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7AF19" w14:textId="1C74C251" w:rsidR="009A252E" w:rsidRDefault="009A252E" w:rsidP="00C11242">
      <w:pPr>
        <w:pStyle w:val="Heading1"/>
        <w:spacing w:line="276" w:lineRule="auto"/>
        <w:ind w:left="567" w:right="1133" w:firstLine="0"/>
        <w:rPr>
          <w:rFonts w:asciiTheme="minorHAnsi" w:hAnsiTheme="minorHAnsi" w:cstheme="minorHAnsi"/>
          <w:b/>
          <w:color w:val="auto"/>
          <w:sz w:val="28"/>
          <w:szCs w:val="28"/>
          <w:lang w:val="en-GB"/>
        </w:rPr>
      </w:pPr>
    </w:p>
    <w:p w14:paraId="464F5074" w14:textId="0A855C69" w:rsidR="00C61FFF" w:rsidRPr="00C61FFF" w:rsidRDefault="00C61FFF" w:rsidP="00C61FFF">
      <w:pPr>
        <w:rPr>
          <w:lang w:val="en-GB" w:eastAsia="en-US"/>
        </w:rPr>
      </w:pPr>
    </w:p>
    <w:p w14:paraId="374E540A" w14:textId="5A4EF023" w:rsidR="009A252E" w:rsidRPr="005A1AF9" w:rsidRDefault="005A1AF9" w:rsidP="00F31694">
      <w:pPr>
        <w:pStyle w:val="Heading1"/>
        <w:spacing w:line="276" w:lineRule="auto"/>
        <w:ind w:left="567" w:right="1133" w:firstLine="0"/>
        <w:jc w:val="right"/>
        <w:rPr>
          <w:rFonts w:asciiTheme="minorHAnsi" w:hAnsiTheme="minorHAnsi" w:cstheme="minorHAnsi"/>
          <w:i/>
          <w:color w:val="auto"/>
          <w:sz w:val="20"/>
          <w:szCs w:val="20"/>
          <w:lang w:val="en-GB"/>
        </w:rPr>
      </w:pPr>
      <w:r w:rsidRPr="005A1AF9">
        <w:rPr>
          <w:rFonts w:asciiTheme="minorHAnsi" w:hAnsiTheme="minorHAnsi" w:cstheme="minorHAnsi"/>
          <w:i/>
          <w:color w:val="auto"/>
          <w:sz w:val="20"/>
          <w:szCs w:val="20"/>
          <w:lang w:val="en-GB"/>
        </w:rPr>
        <w:t>Pakistan</w:t>
      </w:r>
      <w:r w:rsidR="00F31694" w:rsidRPr="005A1AF9">
        <w:rPr>
          <w:rFonts w:asciiTheme="minorHAnsi" w:hAnsiTheme="minorHAnsi" w:cstheme="minorHAnsi"/>
          <w:i/>
          <w:color w:val="auto"/>
          <w:sz w:val="20"/>
          <w:szCs w:val="20"/>
          <w:lang w:val="en-GB"/>
        </w:rPr>
        <w:t xml:space="preserve"> FRAX </w:t>
      </w:r>
      <w:r w:rsidR="005B0515" w:rsidRPr="005A1AF9">
        <w:rPr>
          <w:rFonts w:asciiTheme="minorHAnsi" w:hAnsiTheme="minorHAnsi" w:cstheme="minorHAnsi"/>
          <w:i/>
          <w:color w:val="auto"/>
          <w:sz w:val="20"/>
          <w:szCs w:val="20"/>
          <w:lang w:val="en-GB"/>
        </w:rPr>
        <w:t>v</w:t>
      </w:r>
      <w:r w:rsidR="005B0515">
        <w:rPr>
          <w:rFonts w:asciiTheme="minorHAnsi" w:hAnsiTheme="minorHAnsi" w:cstheme="minorHAnsi"/>
          <w:i/>
          <w:color w:val="auto"/>
          <w:sz w:val="20"/>
          <w:szCs w:val="20"/>
          <w:lang w:val="en-GB"/>
        </w:rPr>
        <w:t>3</w:t>
      </w:r>
    </w:p>
    <w:p w14:paraId="3365D20E" w14:textId="5DB43E82" w:rsidR="00D9601A" w:rsidRPr="005A1AF9" w:rsidRDefault="001A4106" w:rsidP="00C11242">
      <w:pPr>
        <w:pStyle w:val="Heading1"/>
        <w:spacing w:line="276" w:lineRule="auto"/>
        <w:ind w:left="567" w:right="1133" w:firstLine="0"/>
        <w:rPr>
          <w:rFonts w:asciiTheme="minorHAnsi" w:hAnsiTheme="minorHAnsi" w:cstheme="minorHAnsi"/>
          <w:b/>
          <w:color w:val="auto"/>
          <w:sz w:val="28"/>
          <w:szCs w:val="28"/>
          <w:lang w:val="en-GB"/>
        </w:rPr>
      </w:pPr>
      <w:r w:rsidRPr="005A1AF9">
        <w:rPr>
          <w:rFonts w:asciiTheme="minorHAnsi" w:hAnsiTheme="minorHAnsi" w:cstheme="minorHAnsi"/>
          <w:b/>
          <w:color w:val="auto"/>
          <w:sz w:val="28"/>
          <w:szCs w:val="28"/>
          <w:lang w:val="en-GB"/>
        </w:rPr>
        <w:t>A surrogate FRAX model</w:t>
      </w:r>
      <w:r w:rsidR="00FC0F3F" w:rsidRPr="005A1AF9">
        <w:rPr>
          <w:rFonts w:asciiTheme="minorHAnsi" w:hAnsiTheme="minorHAnsi" w:cstheme="minorHAnsi"/>
          <w:b/>
          <w:color w:val="auto"/>
          <w:sz w:val="28"/>
          <w:szCs w:val="28"/>
          <w:lang w:val="en-GB"/>
        </w:rPr>
        <w:t xml:space="preserve"> for</w:t>
      </w:r>
      <w:r w:rsidR="00113E92" w:rsidRPr="005A1AF9">
        <w:rPr>
          <w:rFonts w:asciiTheme="minorHAnsi" w:hAnsiTheme="minorHAnsi" w:cstheme="minorHAnsi"/>
          <w:b/>
          <w:color w:val="auto"/>
          <w:sz w:val="28"/>
          <w:szCs w:val="28"/>
          <w:lang w:val="en-GB"/>
        </w:rPr>
        <w:t xml:space="preserve"> </w:t>
      </w:r>
      <w:bookmarkStart w:id="0" w:name="_Hlk8562866"/>
      <w:r w:rsidR="005A1AF9" w:rsidRPr="005A1AF9">
        <w:rPr>
          <w:rFonts w:asciiTheme="minorHAnsi" w:hAnsiTheme="minorHAnsi" w:cstheme="minorHAnsi"/>
          <w:b/>
          <w:color w:val="auto"/>
          <w:sz w:val="28"/>
          <w:szCs w:val="28"/>
          <w:lang w:val="en-GB"/>
        </w:rPr>
        <w:t>Pakistan</w:t>
      </w:r>
      <w:r w:rsidR="00FC0F3F" w:rsidRPr="005A1AF9">
        <w:rPr>
          <w:rFonts w:asciiTheme="minorHAnsi" w:hAnsiTheme="minorHAnsi" w:cstheme="minorHAnsi"/>
          <w:b/>
          <w:color w:val="auto"/>
          <w:sz w:val="28"/>
          <w:szCs w:val="28"/>
          <w:lang w:val="en-GB"/>
        </w:rPr>
        <w:t xml:space="preserve"> </w:t>
      </w:r>
      <w:bookmarkEnd w:id="0"/>
    </w:p>
    <w:p w14:paraId="64383C8C" w14:textId="77777777" w:rsidR="00E372F1" w:rsidRPr="005A1AF9" w:rsidRDefault="00AC3AC7" w:rsidP="00C11242">
      <w:pPr>
        <w:spacing w:line="276" w:lineRule="auto"/>
        <w:ind w:left="567" w:right="1133"/>
        <w:rPr>
          <w:rFonts w:asciiTheme="minorHAnsi" w:hAnsiTheme="minorHAnsi" w:cstheme="minorHAnsi"/>
          <w:lang w:val="en-GB"/>
        </w:rPr>
      </w:pPr>
      <w:r w:rsidRPr="005A1AF9">
        <w:rPr>
          <w:rFonts w:asciiTheme="minorHAnsi" w:hAnsiTheme="minorHAnsi" w:cstheme="minorHAnsi"/>
          <w:lang w:val="en-GB"/>
        </w:rPr>
        <w:t xml:space="preserve"> </w:t>
      </w:r>
    </w:p>
    <w:p w14:paraId="324B7B07" w14:textId="77777777" w:rsidR="009B5AFD" w:rsidRPr="005A1AF9" w:rsidRDefault="009B5AFD" w:rsidP="00C11242">
      <w:pPr>
        <w:spacing w:line="276" w:lineRule="auto"/>
        <w:ind w:left="567" w:right="1133"/>
        <w:jc w:val="both"/>
        <w:rPr>
          <w:rFonts w:asciiTheme="minorHAnsi" w:hAnsiTheme="minorHAnsi" w:cstheme="minorHAnsi"/>
          <w:lang w:val="en-GB"/>
        </w:rPr>
      </w:pPr>
    </w:p>
    <w:p w14:paraId="29DC2D10" w14:textId="76E466C3" w:rsidR="00F120FB" w:rsidRPr="00246AAA" w:rsidRDefault="005A1AF9" w:rsidP="009306BA">
      <w:pPr>
        <w:suppressAutoHyphens/>
        <w:spacing w:line="360" w:lineRule="auto"/>
        <w:ind w:left="567"/>
        <w:jc w:val="center"/>
        <w:rPr>
          <w:rFonts w:ascii="Calibri" w:eastAsia="Calibri" w:hAnsi="Calibri"/>
          <w:lang w:val="en-GB" w:eastAsia="en-US"/>
        </w:rPr>
      </w:pPr>
      <w:bookmarkStart w:id="1" w:name="_Hlk11400915"/>
      <w:r w:rsidRPr="00702308">
        <w:rPr>
          <w:rFonts w:ascii="Calibri" w:eastAsia="Calibri" w:hAnsi="Calibri"/>
          <w:lang w:val="en-GB" w:eastAsia="en-US"/>
        </w:rPr>
        <w:t>G</w:t>
      </w:r>
      <w:r w:rsidR="00F120FB" w:rsidRPr="00702308">
        <w:rPr>
          <w:rFonts w:ascii="Calibri" w:eastAsia="Calibri" w:hAnsi="Calibri"/>
          <w:lang w:val="en-GB" w:eastAsia="en-US"/>
        </w:rPr>
        <w:t xml:space="preserve"> </w:t>
      </w:r>
      <w:r w:rsidRPr="00702308">
        <w:rPr>
          <w:rFonts w:ascii="Calibri" w:eastAsia="Calibri" w:hAnsi="Calibri"/>
          <w:lang w:val="en-GB" w:eastAsia="en-US"/>
        </w:rPr>
        <w:t>Naureen</w:t>
      </w:r>
      <w:r w:rsidR="00F120FB" w:rsidRPr="00702308">
        <w:rPr>
          <w:rFonts w:ascii="Calibri" w:eastAsia="Calibri" w:hAnsi="Calibri"/>
          <w:vertAlign w:val="superscript"/>
          <w:lang w:val="en-GB" w:eastAsia="en-US"/>
        </w:rPr>
        <w:t>1</w:t>
      </w:r>
      <w:bookmarkStart w:id="2" w:name="_Hlk56692887"/>
      <w:r w:rsidR="00246AAA" w:rsidRPr="00702308">
        <w:rPr>
          <w:rFonts w:ascii="Calibri" w:eastAsia="Calibri" w:hAnsi="Calibri"/>
          <w:lang w:val="en-GB" w:eastAsia="en-US"/>
        </w:rPr>
        <w:t xml:space="preserve"> </w:t>
      </w:r>
      <w:r w:rsidR="00246AAA" w:rsidRPr="00702308">
        <w:rPr>
          <w:rFonts w:ascii="Calibri" w:eastAsia="Calibri" w:hAnsi="Calibri" w:cs="Calibri"/>
          <w:lang w:val="en-GB" w:eastAsia="en-US"/>
        </w:rPr>
        <w:t>∙</w:t>
      </w:r>
      <w:r w:rsidR="001E0247" w:rsidRPr="00702308">
        <w:rPr>
          <w:rFonts w:ascii="Calibri" w:eastAsia="Calibri" w:hAnsi="Calibri" w:cs="Calibri"/>
          <w:lang w:val="en-GB" w:eastAsia="en-US"/>
        </w:rPr>
        <w:t xml:space="preserve"> </w:t>
      </w:r>
      <w:bookmarkEnd w:id="2"/>
      <w:r w:rsidR="004F0694" w:rsidRPr="00702308">
        <w:rPr>
          <w:rFonts w:ascii="Calibri" w:eastAsia="Calibri" w:hAnsi="Calibri"/>
          <w:lang w:val="en-GB" w:eastAsia="en-US"/>
        </w:rPr>
        <w:t>H Johansson</w:t>
      </w:r>
      <w:r w:rsidR="000E01CF" w:rsidRPr="00702308">
        <w:rPr>
          <w:rFonts w:ascii="Calibri" w:eastAsia="Calibri" w:hAnsi="Calibri"/>
          <w:vertAlign w:val="superscript"/>
          <w:lang w:val="en-GB" w:eastAsia="en-US"/>
        </w:rPr>
        <w:t>2,3</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B915A5" w:rsidRPr="00702308">
        <w:rPr>
          <w:rFonts w:ascii="Calibri" w:eastAsia="Calibri" w:hAnsi="Calibri"/>
          <w:lang w:val="en-GB" w:eastAsia="en-US"/>
        </w:rPr>
        <w:t>R Iqbal</w:t>
      </w:r>
      <w:r w:rsidR="000E01CF" w:rsidRPr="00702308">
        <w:rPr>
          <w:rFonts w:ascii="Calibri" w:eastAsia="Calibri" w:hAnsi="Calibri"/>
          <w:vertAlign w:val="superscript"/>
          <w:lang w:val="en-GB" w:eastAsia="en-US"/>
        </w:rPr>
        <w:t>4</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B915A5" w:rsidRPr="00702308">
        <w:rPr>
          <w:rFonts w:ascii="Calibri" w:eastAsia="Calibri" w:hAnsi="Calibri"/>
          <w:lang w:val="en-GB" w:eastAsia="en-US"/>
        </w:rPr>
        <w:t>L Jafri</w:t>
      </w:r>
      <w:r w:rsidR="005F313A" w:rsidRPr="00702308">
        <w:rPr>
          <w:rFonts w:ascii="Calibri" w:eastAsia="Calibri" w:hAnsi="Calibri"/>
          <w:vertAlign w:val="superscript"/>
          <w:lang w:val="en-GB" w:eastAsia="en-US"/>
        </w:rPr>
        <w:t>5</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B915A5" w:rsidRPr="00702308">
        <w:rPr>
          <w:rFonts w:ascii="Calibri" w:eastAsia="Calibri" w:hAnsi="Calibri"/>
          <w:lang w:val="en-GB" w:eastAsia="en-US"/>
        </w:rPr>
        <w:t>AH Khan</w:t>
      </w:r>
      <w:r w:rsidR="005F313A" w:rsidRPr="00702308">
        <w:rPr>
          <w:rFonts w:ascii="Calibri" w:eastAsia="Calibri" w:hAnsi="Calibri"/>
          <w:vertAlign w:val="superscript"/>
          <w:lang w:val="en-GB" w:eastAsia="en-US"/>
        </w:rPr>
        <w:t>5</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B915A5" w:rsidRPr="00702308">
        <w:rPr>
          <w:rFonts w:ascii="Calibri" w:eastAsia="Calibri" w:hAnsi="Calibri"/>
          <w:lang w:val="en-GB" w:eastAsia="en-US"/>
        </w:rPr>
        <w:t>M Umer</w:t>
      </w:r>
      <w:r w:rsidR="001F0DEF" w:rsidRPr="00702308">
        <w:rPr>
          <w:rFonts w:ascii="Calibri" w:eastAsia="Calibri" w:hAnsi="Calibri"/>
          <w:vertAlign w:val="superscript"/>
          <w:lang w:val="en-GB" w:eastAsia="en-US"/>
        </w:rPr>
        <w:t>6</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F120FB" w:rsidRPr="00702308">
        <w:rPr>
          <w:rFonts w:ascii="Calibri" w:eastAsia="Calibri" w:hAnsi="Calibri"/>
          <w:lang w:val="en-GB" w:eastAsia="en-US"/>
        </w:rPr>
        <w:t>E</w:t>
      </w:r>
      <w:r w:rsidR="008D109A" w:rsidRPr="00702308">
        <w:rPr>
          <w:rFonts w:ascii="Calibri" w:eastAsia="Calibri" w:hAnsi="Calibri"/>
          <w:lang w:val="en-GB" w:eastAsia="en-US"/>
        </w:rPr>
        <w:t xml:space="preserve"> </w:t>
      </w:r>
      <w:r w:rsidR="00F120FB" w:rsidRPr="00702308">
        <w:rPr>
          <w:rFonts w:ascii="Calibri" w:eastAsia="Calibri" w:hAnsi="Calibri"/>
          <w:lang w:val="en-GB" w:eastAsia="en-US"/>
        </w:rPr>
        <w:t>Liu</w:t>
      </w:r>
      <w:r w:rsidR="001F0DEF" w:rsidRPr="00702308">
        <w:rPr>
          <w:rFonts w:ascii="Calibri" w:eastAsia="Calibri" w:hAnsi="Calibri"/>
          <w:vertAlign w:val="superscript"/>
          <w:lang w:val="en-GB" w:eastAsia="en-US"/>
        </w:rPr>
        <w:t>2</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Pr="00702308">
        <w:rPr>
          <w:rFonts w:ascii="Calibri" w:eastAsia="Calibri" w:hAnsi="Calibri"/>
          <w:lang w:val="en-GB" w:eastAsia="en-US"/>
        </w:rPr>
        <w:t>L Vandenput</w:t>
      </w:r>
      <w:r w:rsidR="0016214C" w:rsidRPr="00702308">
        <w:rPr>
          <w:rFonts w:ascii="Calibri" w:eastAsia="Calibri" w:hAnsi="Calibri"/>
          <w:vertAlign w:val="superscript"/>
          <w:lang w:val="en-GB" w:eastAsia="en-US"/>
        </w:rPr>
        <w:t>2</w:t>
      </w:r>
      <w:r w:rsidR="006F1B8C" w:rsidRPr="00702308">
        <w:rPr>
          <w:rFonts w:ascii="Calibri" w:eastAsia="Calibri" w:hAnsi="Calibri"/>
          <w:vertAlign w:val="superscript"/>
          <w:lang w:val="en-GB" w:eastAsia="en-US"/>
        </w:rPr>
        <w:t>,</w:t>
      </w:r>
      <w:r w:rsidR="0016214C" w:rsidRPr="00702308">
        <w:rPr>
          <w:rFonts w:ascii="Calibri" w:eastAsia="Calibri" w:hAnsi="Calibri"/>
          <w:vertAlign w:val="superscript"/>
          <w:lang w:val="en-GB" w:eastAsia="en-US"/>
        </w:rPr>
        <w:t>7</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F120FB" w:rsidRPr="00702308">
        <w:rPr>
          <w:rFonts w:ascii="Calibri" w:eastAsia="Calibri" w:hAnsi="Calibri"/>
          <w:lang w:val="en-GB" w:eastAsia="en-US"/>
        </w:rPr>
        <w:t>M</w:t>
      </w:r>
      <w:r w:rsidR="008D109A" w:rsidRPr="00702308">
        <w:rPr>
          <w:rFonts w:ascii="Calibri" w:eastAsia="Calibri" w:hAnsi="Calibri"/>
          <w:lang w:val="en-GB" w:eastAsia="en-US"/>
        </w:rPr>
        <w:t xml:space="preserve"> </w:t>
      </w:r>
      <w:r w:rsidR="00F120FB" w:rsidRPr="00702308">
        <w:rPr>
          <w:rFonts w:ascii="Calibri" w:eastAsia="Calibri" w:hAnsi="Calibri"/>
          <w:lang w:val="en-GB" w:eastAsia="en-US"/>
        </w:rPr>
        <w:t>Lorentzon</w:t>
      </w:r>
      <w:r w:rsidR="0016214C" w:rsidRPr="00702308">
        <w:rPr>
          <w:rFonts w:ascii="Calibri" w:eastAsia="Calibri" w:hAnsi="Calibri"/>
          <w:vertAlign w:val="superscript"/>
          <w:lang w:val="en-GB" w:eastAsia="en-US"/>
        </w:rPr>
        <w:t>2</w:t>
      </w:r>
      <w:r w:rsidR="00F120FB" w:rsidRPr="00702308">
        <w:rPr>
          <w:rFonts w:ascii="Calibri" w:eastAsia="Calibri" w:hAnsi="Calibri"/>
          <w:vertAlign w:val="superscript"/>
          <w:lang w:val="en-GB" w:eastAsia="en-US"/>
        </w:rPr>
        <w:t xml:space="preserve">, </w:t>
      </w:r>
      <w:r w:rsidR="0016214C" w:rsidRPr="00702308">
        <w:rPr>
          <w:rFonts w:ascii="Calibri" w:eastAsia="Calibri" w:hAnsi="Calibri"/>
          <w:vertAlign w:val="superscript"/>
          <w:lang w:val="en-GB" w:eastAsia="en-US"/>
        </w:rPr>
        <w:t>8</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F120FB" w:rsidRPr="00702308">
        <w:rPr>
          <w:rFonts w:ascii="Calibri" w:eastAsia="Calibri" w:hAnsi="Calibri"/>
          <w:lang w:val="en-GB" w:eastAsia="en-US"/>
        </w:rPr>
        <w:t>NC</w:t>
      </w:r>
      <w:r w:rsidR="008D109A" w:rsidRPr="00702308">
        <w:rPr>
          <w:rFonts w:ascii="Calibri" w:eastAsia="Calibri" w:hAnsi="Calibri"/>
          <w:lang w:val="en-GB" w:eastAsia="en-US"/>
        </w:rPr>
        <w:t xml:space="preserve"> </w:t>
      </w:r>
      <w:r w:rsidR="00F120FB" w:rsidRPr="00702308">
        <w:rPr>
          <w:rFonts w:ascii="Calibri" w:eastAsia="Calibri" w:hAnsi="Calibri"/>
          <w:lang w:val="en-GB" w:eastAsia="en-US"/>
        </w:rPr>
        <w:t>Harvey</w:t>
      </w:r>
      <w:r w:rsidR="007B792A" w:rsidRPr="00702308">
        <w:rPr>
          <w:rFonts w:ascii="Calibri" w:eastAsia="Calibri" w:hAnsi="Calibri"/>
          <w:vertAlign w:val="superscript"/>
          <w:lang w:val="en-GB" w:eastAsia="en-US"/>
        </w:rPr>
        <w:t>9</w:t>
      </w:r>
      <w:r w:rsidR="00554B1B" w:rsidRPr="00702308">
        <w:rPr>
          <w:rFonts w:ascii="Calibri" w:eastAsia="Calibri" w:hAnsi="Calibri"/>
          <w:vertAlign w:val="superscript"/>
          <w:lang w:val="en-GB" w:eastAsia="en-US"/>
        </w:rPr>
        <w:t>,10</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F120FB" w:rsidRPr="00702308">
        <w:rPr>
          <w:rFonts w:ascii="Calibri" w:eastAsia="Calibri" w:hAnsi="Calibri"/>
          <w:lang w:val="en-GB" w:eastAsia="en-US"/>
        </w:rPr>
        <w:t>E</w:t>
      </w:r>
      <w:r w:rsidR="00781272" w:rsidRPr="00702308">
        <w:rPr>
          <w:rFonts w:ascii="Calibri" w:eastAsia="Calibri" w:hAnsi="Calibri"/>
          <w:lang w:val="en-GB" w:eastAsia="en-US"/>
        </w:rPr>
        <w:t>V</w:t>
      </w:r>
      <w:r w:rsidR="008D109A" w:rsidRPr="00702308">
        <w:rPr>
          <w:rFonts w:ascii="Calibri" w:eastAsia="Calibri" w:hAnsi="Calibri"/>
          <w:lang w:val="en-GB" w:eastAsia="en-US"/>
        </w:rPr>
        <w:t xml:space="preserve"> </w:t>
      </w:r>
      <w:r w:rsidR="00F120FB" w:rsidRPr="00702308">
        <w:rPr>
          <w:rFonts w:ascii="Calibri" w:eastAsia="Calibri" w:hAnsi="Calibri"/>
          <w:lang w:val="en-GB" w:eastAsia="en-US"/>
        </w:rPr>
        <w:t>McCloskey</w:t>
      </w:r>
      <w:r w:rsidR="0017643A" w:rsidRPr="00702308">
        <w:rPr>
          <w:rFonts w:ascii="Calibri" w:eastAsia="Calibri" w:hAnsi="Calibri"/>
          <w:vertAlign w:val="superscript"/>
          <w:lang w:val="en-GB" w:eastAsia="en-US"/>
        </w:rPr>
        <w:t>3,</w:t>
      </w:r>
      <w:r w:rsidR="00554B1B" w:rsidRPr="00702308">
        <w:rPr>
          <w:rFonts w:ascii="Calibri" w:eastAsia="Calibri" w:hAnsi="Calibri"/>
          <w:vertAlign w:val="superscript"/>
          <w:lang w:val="en-GB" w:eastAsia="en-US"/>
        </w:rPr>
        <w:t>11</w:t>
      </w:r>
      <w:r w:rsidR="001E0247" w:rsidRPr="00702308">
        <w:rPr>
          <w:rFonts w:ascii="Calibri" w:eastAsia="Calibri" w:hAnsi="Calibri"/>
          <w:lang w:val="en-GB" w:eastAsia="en-US"/>
        </w:rPr>
        <w:t xml:space="preserve"> </w:t>
      </w:r>
      <w:r w:rsidR="001E0247" w:rsidRPr="00702308">
        <w:rPr>
          <w:rFonts w:ascii="Calibri" w:eastAsia="Calibri" w:hAnsi="Calibri" w:cs="Calibri"/>
          <w:lang w:val="en-GB" w:eastAsia="en-US"/>
        </w:rPr>
        <w:t xml:space="preserve">∙ </w:t>
      </w:r>
      <w:r w:rsidR="00F120FB" w:rsidRPr="00702308">
        <w:rPr>
          <w:rFonts w:ascii="Calibri" w:eastAsia="Calibri" w:hAnsi="Calibri"/>
          <w:lang w:val="en-GB" w:eastAsia="en-US"/>
        </w:rPr>
        <w:t>JA Kanis</w:t>
      </w:r>
      <w:r w:rsidR="0017643A" w:rsidRPr="00702308">
        <w:rPr>
          <w:rFonts w:ascii="Calibri" w:eastAsia="Calibri" w:hAnsi="Calibri"/>
          <w:vertAlign w:val="superscript"/>
          <w:lang w:val="en-GB" w:eastAsia="en-US"/>
        </w:rPr>
        <w:t>2</w:t>
      </w:r>
      <w:r w:rsidR="00C946B0" w:rsidRPr="00702308">
        <w:rPr>
          <w:rFonts w:ascii="Calibri" w:eastAsia="Calibri" w:hAnsi="Calibri"/>
          <w:vertAlign w:val="superscript"/>
          <w:lang w:val="en-GB" w:eastAsia="en-US"/>
        </w:rPr>
        <w:t>,3</w:t>
      </w:r>
    </w:p>
    <w:bookmarkEnd w:id="1"/>
    <w:p w14:paraId="75D5AD3C" w14:textId="77777777" w:rsidR="006226EF" w:rsidRDefault="006226EF" w:rsidP="00F120FB">
      <w:pPr>
        <w:suppressAutoHyphens/>
        <w:spacing w:line="360" w:lineRule="auto"/>
        <w:ind w:left="709" w:hanging="142"/>
        <w:rPr>
          <w:rFonts w:ascii="Calibri" w:eastAsia="Calibri" w:hAnsi="Calibri"/>
          <w:vertAlign w:val="superscript"/>
          <w:lang w:val="en-GB" w:eastAsia="en-US"/>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8358"/>
      </w:tblGrid>
      <w:tr w:rsidR="002D3408" w:rsidRPr="00EA6518" w14:paraId="2D7B4AAA" w14:textId="77777777" w:rsidTr="00F84A4E">
        <w:tc>
          <w:tcPr>
            <w:tcW w:w="420" w:type="dxa"/>
          </w:tcPr>
          <w:p w14:paraId="727567AF" w14:textId="1B456A49" w:rsidR="002D3408" w:rsidRPr="00EA6518" w:rsidRDefault="001E3FB5"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1</w:t>
            </w:r>
          </w:p>
        </w:tc>
        <w:tc>
          <w:tcPr>
            <w:tcW w:w="8358" w:type="dxa"/>
          </w:tcPr>
          <w:p w14:paraId="1D1799FD" w14:textId="76567000"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Faculty of Medicine, Dentistry and Health Sciences, University of Melbourne, Australia</w:t>
            </w:r>
          </w:p>
        </w:tc>
      </w:tr>
      <w:tr w:rsidR="002D3408" w:rsidRPr="00EA6518" w14:paraId="5121114E" w14:textId="77777777" w:rsidTr="00F84A4E">
        <w:tc>
          <w:tcPr>
            <w:tcW w:w="420" w:type="dxa"/>
          </w:tcPr>
          <w:p w14:paraId="6DEC27BC" w14:textId="510B2A6A" w:rsidR="002D3408" w:rsidRPr="00EA6518" w:rsidRDefault="001E3FB5"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2</w:t>
            </w:r>
          </w:p>
        </w:tc>
        <w:tc>
          <w:tcPr>
            <w:tcW w:w="8358" w:type="dxa"/>
          </w:tcPr>
          <w:p w14:paraId="17BD382F" w14:textId="6D13ADE1"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Mary McKillop Institute for Health Research, Australian Catholic University, Melbourne, Australia</w:t>
            </w:r>
          </w:p>
        </w:tc>
      </w:tr>
      <w:tr w:rsidR="002D3408" w:rsidRPr="00EA6518" w14:paraId="10C9E63D" w14:textId="77777777" w:rsidTr="00F84A4E">
        <w:tc>
          <w:tcPr>
            <w:tcW w:w="420" w:type="dxa"/>
          </w:tcPr>
          <w:p w14:paraId="7CA1B9F2" w14:textId="346711AE" w:rsidR="002D3408" w:rsidRPr="00EA6518" w:rsidRDefault="001E3FB5"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3</w:t>
            </w:r>
          </w:p>
        </w:tc>
        <w:tc>
          <w:tcPr>
            <w:tcW w:w="8358" w:type="dxa"/>
          </w:tcPr>
          <w:p w14:paraId="6367663C" w14:textId="27027093"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Centre for Metabolic Bone Diseases, University of Sheffield, Sheffield, UK</w:t>
            </w:r>
          </w:p>
        </w:tc>
      </w:tr>
      <w:tr w:rsidR="002D3408" w:rsidRPr="00EA6518" w14:paraId="69419167" w14:textId="77777777" w:rsidTr="00F84A4E">
        <w:tc>
          <w:tcPr>
            <w:tcW w:w="420" w:type="dxa"/>
          </w:tcPr>
          <w:p w14:paraId="2C926EDB" w14:textId="090E9961"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4</w:t>
            </w:r>
          </w:p>
        </w:tc>
        <w:tc>
          <w:tcPr>
            <w:tcW w:w="8358" w:type="dxa"/>
          </w:tcPr>
          <w:p w14:paraId="08B37FFC" w14:textId="23A5772B"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Departments of Community Health Sciences and Medicine, Aga Khan University, Pakistan</w:t>
            </w:r>
          </w:p>
        </w:tc>
      </w:tr>
      <w:tr w:rsidR="002D3408" w:rsidRPr="00EA6518" w14:paraId="6473E666" w14:textId="77777777" w:rsidTr="00F84A4E">
        <w:tc>
          <w:tcPr>
            <w:tcW w:w="420" w:type="dxa"/>
          </w:tcPr>
          <w:p w14:paraId="137418BA" w14:textId="101ECA14"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5</w:t>
            </w:r>
          </w:p>
        </w:tc>
        <w:tc>
          <w:tcPr>
            <w:tcW w:w="8358" w:type="dxa"/>
          </w:tcPr>
          <w:p w14:paraId="67E55828" w14:textId="1DD97634"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Department of Pathology &amp; Laboratory Medicine, Aga Khan University, Karachi, Pakistan</w:t>
            </w:r>
          </w:p>
        </w:tc>
      </w:tr>
      <w:tr w:rsidR="002D3408" w:rsidRPr="00EA6518" w14:paraId="432BA112" w14:textId="77777777" w:rsidTr="00F84A4E">
        <w:tc>
          <w:tcPr>
            <w:tcW w:w="420" w:type="dxa"/>
          </w:tcPr>
          <w:p w14:paraId="4D5AB829" w14:textId="083B0F57"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6</w:t>
            </w:r>
          </w:p>
        </w:tc>
        <w:tc>
          <w:tcPr>
            <w:tcW w:w="8358" w:type="dxa"/>
          </w:tcPr>
          <w:p w14:paraId="2C57E652" w14:textId="3A986A9A"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Department of Orthopaedics, Aga Khan University, Karachi, Pakistan</w:t>
            </w:r>
          </w:p>
        </w:tc>
      </w:tr>
      <w:tr w:rsidR="002D3408" w:rsidRPr="00EA6518" w14:paraId="639F3EEE" w14:textId="77777777" w:rsidTr="00F84A4E">
        <w:tc>
          <w:tcPr>
            <w:tcW w:w="420" w:type="dxa"/>
          </w:tcPr>
          <w:p w14:paraId="7BCEFBBD" w14:textId="5CC83C08"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7</w:t>
            </w:r>
          </w:p>
        </w:tc>
        <w:tc>
          <w:tcPr>
            <w:tcW w:w="8358" w:type="dxa"/>
          </w:tcPr>
          <w:p w14:paraId="4E9C7772" w14:textId="043E7B41"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Centre for Bone and Arthritis Research, Department of Internal Medicine and Clinical Nutrition, Institute of Medicine, Sahlgrenska Academy, University of Gothenburg, Sweden</w:t>
            </w:r>
          </w:p>
        </w:tc>
      </w:tr>
      <w:tr w:rsidR="002D3408" w:rsidRPr="00EA6518" w14:paraId="0F254EE9" w14:textId="77777777" w:rsidTr="00F84A4E">
        <w:tc>
          <w:tcPr>
            <w:tcW w:w="420" w:type="dxa"/>
          </w:tcPr>
          <w:p w14:paraId="6F3E2D97" w14:textId="08B3E2AD"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8</w:t>
            </w:r>
          </w:p>
        </w:tc>
        <w:tc>
          <w:tcPr>
            <w:tcW w:w="8358" w:type="dxa"/>
          </w:tcPr>
          <w:p w14:paraId="3F67E0BB" w14:textId="6C0B0FE7"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Geriatric Medicine, Institute of Medicine, University of Gothenburg, Sweden</w:t>
            </w:r>
          </w:p>
        </w:tc>
      </w:tr>
      <w:tr w:rsidR="002D3408" w:rsidRPr="00EA6518" w14:paraId="22679914" w14:textId="77777777" w:rsidTr="00F84A4E">
        <w:tc>
          <w:tcPr>
            <w:tcW w:w="420" w:type="dxa"/>
          </w:tcPr>
          <w:p w14:paraId="30B44C7A" w14:textId="780BC7E2"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9</w:t>
            </w:r>
          </w:p>
        </w:tc>
        <w:tc>
          <w:tcPr>
            <w:tcW w:w="8358" w:type="dxa"/>
          </w:tcPr>
          <w:p w14:paraId="0FE6C030" w14:textId="7F6DFFF5"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 xml:space="preserve">MRC Lifecourse Epidemiology Unit, University of Southampton, Southampton, UK </w:t>
            </w:r>
          </w:p>
        </w:tc>
      </w:tr>
      <w:tr w:rsidR="002D3408" w:rsidRPr="00EA6518" w14:paraId="422A8697" w14:textId="77777777" w:rsidTr="00F84A4E">
        <w:tc>
          <w:tcPr>
            <w:tcW w:w="420" w:type="dxa"/>
          </w:tcPr>
          <w:p w14:paraId="2FA58ED8" w14:textId="5A4EFD53"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10</w:t>
            </w:r>
          </w:p>
        </w:tc>
        <w:tc>
          <w:tcPr>
            <w:tcW w:w="8358" w:type="dxa"/>
          </w:tcPr>
          <w:p w14:paraId="7D65B700" w14:textId="3A0161B3"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NIHR Southampton Biomedical Research Centre, University of Southampton and University Hospital Southampton NHS Foundation Trust, Southampton, UK</w:t>
            </w:r>
          </w:p>
        </w:tc>
      </w:tr>
      <w:tr w:rsidR="002D3408" w:rsidRPr="00EA6518" w14:paraId="2E6A53DF" w14:textId="77777777" w:rsidTr="00F84A4E">
        <w:tc>
          <w:tcPr>
            <w:tcW w:w="420" w:type="dxa"/>
          </w:tcPr>
          <w:p w14:paraId="29A4601E" w14:textId="33C06103" w:rsidR="002D3408" w:rsidRPr="00EA6518" w:rsidRDefault="00920294" w:rsidP="00F84A4E">
            <w:pPr>
              <w:suppressAutoHyphens/>
              <w:spacing w:after="240"/>
              <w:jc w:val="right"/>
              <w:rPr>
                <w:rFonts w:ascii="Calibri" w:eastAsia="Calibri" w:hAnsi="Calibri" w:cs="Calibri"/>
                <w:vertAlign w:val="superscript"/>
                <w:lang w:val="en-GB" w:eastAsia="en-US"/>
              </w:rPr>
            </w:pPr>
            <w:r>
              <w:rPr>
                <w:rFonts w:ascii="Calibri" w:eastAsia="Calibri" w:hAnsi="Calibri" w:cs="Calibri"/>
                <w:vertAlign w:val="superscript"/>
                <w:lang w:val="en-GB" w:eastAsia="en-US"/>
              </w:rPr>
              <w:t>11</w:t>
            </w:r>
          </w:p>
        </w:tc>
        <w:tc>
          <w:tcPr>
            <w:tcW w:w="8358" w:type="dxa"/>
          </w:tcPr>
          <w:p w14:paraId="22082B1A" w14:textId="143C9134" w:rsidR="002D3408" w:rsidRPr="00EA6518" w:rsidRDefault="002D3408" w:rsidP="001E3FB5">
            <w:pPr>
              <w:suppressAutoHyphens/>
              <w:spacing w:after="240"/>
              <w:rPr>
                <w:rFonts w:ascii="Calibri" w:eastAsia="Calibri" w:hAnsi="Calibri" w:cs="Calibri"/>
                <w:vertAlign w:val="superscript"/>
                <w:lang w:val="en-GB" w:eastAsia="en-US"/>
              </w:rPr>
            </w:pPr>
            <w:r w:rsidRPr="00EA6518">
              <w:rPr>
                <w:rFonts w:ascii="Calibri" w:hAnsi="Calibri" w:cs="Calibri"/>
              </w:rPr>
              <w:t>11 Mellanby Centre for Bone Research, Department of Oncology and Metabolism, University of Sheffield, Sheffield, UK</w:t>
            </w:r>
          </w:p>
        </w:tc>
      </w:tr>
    </w:tbl>
    <w:p w14:paraId="0F21E267" w14:textId="77777777" w:rsidR="006226EF" w:rsidRDefault="006226EF" w:rsidP="00F120FB">
      <w:pPr>
        <w:suppressAutoHyphens/>
        <w:spacing w:line="360" w:lineRule="auto"/>
        <w:ind w:left="709" w:hanging="142"/>
        <w:rPr>
          <w:rFonts w:ascii="Calibri" w:eastAsia="Calibri" w:hAnsi="Calibri"/>
          <w:vertAlign w:val="superscript"/>
          <w:lang w:val="en-GB" w:eastAsia="en-US"/>
        </w:rPr>
      </w:pPr>
    </w:p>
    <w:p w14:paraId="5FD4DCC8" w14:textId="77777777" w:rsidR="00772C05" w:rsidRPr="005A1AF9" w:rsidRDefault="00772C05" w:rsidP="00C11242">
      <w:pPr>
        <w:spacing w:line="276" w:lineRule="auto"/>
        <w:ind w:left="567" w:right="1133"/>
        <w:jc w:val="both"/>
        <w:rPr>
          <w:rFonts w:asciiTheme="minorHAnsi" w:hAnsiTheme="minorHAnsi" w:cstheme="minorHAnsi"/>
          <w:lang w:val="en-GB"/>
        </w:rPr>
      </w:pPr>
      <w:r w:rsidRPr="005A1AF9">
        <w:rPr>
          <w:rFonts w:asciiTheme="minorHAnsi" w:hAnsiTheme="minorHAnsi" w:cstheme="minorHAnsi"/>
          <w:lang w:val="en-GB"/>
        </w:rPr>
        <w:t xml:space="preserve">Correspondence: </w:t>
      </w:r>
    </w:p>
    <w:p w14:paraId="0426DE45" w14:textId="77777777" w:rsidR="00772C05" w:rsidRPr="005A1AF9" w:rsidRDefault="00772C05" w:rsidP="00C11242">
      <w:pPr>
        <w:spacing w:line="276" w:lineRule="auto"/>
        <w:ind w:left="567" w:right="1133"/>
        <w:jc w:val="both"/>
        <w:rPr>
          <w:rFonts w:asciiTheme="minorHAnsi" w:hAnsiTheme="minorHAnsi" w:cstheme="minorHAnsi"/>
          <w:lang w:val="en-GB"/>
        </w:rPr>
      </w:pPr>
      <w:r w:rsidRPr="005A1AF9">
        <w:rPr>
          <w:rFonts w:asciiTheme="minorHAnsi" w:hAnsiTheme="minorHAnsi" w:cstheme="minorHAnsi"/>
          <w:lang w:val="en-GB"/>
        </w:rPr>
        <w:t xml:space="preserve">John A Kanis </w:t>
      </w:r>
    </w:p>
    <w:p w14:paraId="6229A8F9" w14:textId="65541F5D" w:rsidR="00772C05" w:rsidRDefault="00772C05" w:rsidP="00C11242">
      <w:pPr>
        <w:spacing w:line="276" w:lineRule="auto"/>
        <w:ind w:left="567" w:right="1133"/>
        <w:jc w:val="both"/>
        <w:rPr>
          <w:rFonts w:asciiTheme="minorHAnsi" w:hAnsiTheme="minorHAnsi" w:cstheme="minorHAnsi"/>
          <w:lang w:val="en-GB"/>
        </w:rPr>
      </w:pPr>
      <w:r w:rsidRPr="005A1AF9">
        <w:rPr>
          <w:rFonts w:asciiTheme="minorHAnsi" w:hAnsiTheme="minorHAnsi" w:cstheme="minorHAnsi"/>
          <w:lang w:val="en-GB"/>
        </w:rPr>
        <w:t xml:space="preserve">e-mail: </w:t>
      </w:r>
      <w:hyperlink r:id="rId8" w:history="1">
        <w:r w:rsidRPr="005A1AF9">
          <w:rPr>
            <w:rStyle w:val="Hyperlink"/>
            <w:rFonts w:asciiTheme="minorHAnsi" w:hAnsiTheme="minorHAnsi" w:cstheme="minorHAnsi"/>
            <w:color w:val="auto"/>
            <w:lang w:val="en-GB"/>
          </w:rPr>
          <w:t>w.j.pontefract@sheffield.ac.uk</w:t>
        </w:r>
      </w:hyperlink>
      <w:r w:rsidRPr="005A1AF9">
        <w:rPr>
          <w:rFonts w:asciiTheme="minorHAnsi" w:hAnsiTheme="minorHAnsi" w:cstheme="minorHAnsi"/>
          <w:lang w:val="en-GB"/>
        </w:rPr>
        <w:t xml:space="preserve"> </w:t>
      </w:r>
    </w:p>
    <w:p w14:paraId="674411DE" w14:textId="396E5EBF" w:rsidR="00874053" w:rsidRDefault="00874053" w:rsidP="00C11242">
      <w:pPr>
        <w:spacing w:line="276" w:lineRule="auto"/>
        <w:ind w:left="567" w:right="1133"/>
        <w:jc w:val="both"/>
        <w:rPr>
          <w:rFonts w:asciiTheme="minorHAnsi" w:hAnsiTheme="minorHAnsi" w:cstheme="minorHAnsi"/>
          <w:lang w:val="en-GB"/>
        </w:rPr>
      </w:pPr>
    </w:p>
    <w:p w14:paraId="7344433A" w14:textId="77777777" w:rsidR="00D9601A" w:rsidRPr="005A1AF9" w:rsidRDefault="00D9601A" w:rsidP="00C11242">
      <w:pPr>
        <w:spacing w:line="276" w:lineRule="auto"/>
        <w:ind w:left="567" w:right="1133"/>
        <w:jc w:val="both"/>
        <w:rPr>
          <w:rFonts w:asciiTheme="minorHAnsi" w:hAnsiTheme="minorHAnsi" w:cstheme="minorHAnsi"/>
          <w:lang w:val="en-GB"/>
        </w:rPr>
      </w:pPr>
    </w:p>
    <w:p w14:paraId="1CD4020E" w14:textId="77777777" w:rsidR="003C4AA2" w:rsidRPr="005A1AF9" w:rsidRDefault="003C4AA2" w:rsidP="00C11242">
      <w:pPr>
        <w:spacing w:line="276" w:lineRule="auto"/>
        <w:ind w:left="567" w:right="1133"/>
        <w:jc w:val="both"/>
        <w:rPr>
          <w:rFonts w:asciiTheme="minorHAnsi" w:hAnsiTheme="minorHAnsi" w:cstheme="minorHAnsi"/>
          <w:color w:val="FF0000"/>
          <w:lang w:val="en-GB"/>
        </w:rPr>
      </w:pPr>
      <w:r w:rsidRPr="005A1AF9">
        <w:rPr>
          <w:rFonts w:asciiTheme="minorHAnsi" w:hAnsiTheme="minorHAnsi" w:cstheme="minorHAnsi"/>
          <w:color w:val="FF0000"/>
          <w:lang w:val="en-GB"/>
        </w:rPr>
        <w:lastRenderedPageBreak/>
        <w:br w:type="page"/>
      </w:r>
    </w:p>
    <w:p w14:paraId="75075515" w14:textId="775172CB" w:rsidR="00606BB7" w:rsidRPr="00474E69" w:rsidRDefault="00606BB7" w:rsidP="00936AFC">
      <w:pPr>
        <w:keepNext/>
        <w:keepLines/>
        <w:spacing w:before="200" w:line="276" w:lineRule="auto"/>
        <w:ind w:left="567" w:right="142"/>
        <w:jc w:val="both"/>
        <w:outlineLvl w:val="1"/>
        <w:rPr>
          <w:rFonts w:asciiTheme="minorHAnsi" w:hAnsiTheme="minorHAnsi" w:cstheme="minorHAnsi"/>
          <w:b/>
          <w:bCs/>
          <w:lang w:val="en-GB"/>
        </w:rPr>
      </w:pPr>
      <w:r w:rsidRPr="00474E69">
        <w:rPr>
          <w:rFonts w:asciiTheme="minorHAnsi" w:hAnsiTheme="minorHAnsi" w:cstheme="minorHAnsi"/>
          <w:b/>
          <w:bCs/>
          <w:lang w:val="en-GB"/>
        </w:rPr>
        <w:lastRenderedPageBreak/>
        <w:t>Abstract</w:t>
      </w:r>
    </w:p>
    <w:p w14:paraId="191A9425" w14:textId="6A67B79B" w:rsidR="00F6667E" w:rsidRPr="00474E69" w:rsidRDefault="00F25992" w:rsidP="00936AFC">
      <w:pPr>
        <w:keepNext/>
        <w:keepLines/>
        <w:spacing w:before="200" w:after="240" w:line="276" w:lineRule="auto"/>
        <w:ind w:left="567" w:right="142"/>
        <w:jc w:val="both"/>
        <w:outlineLvl w:val="1"/>
        <w:rPr>
          <w:rFonts w:asciiTheme="minorHAnsi" w:hAnsiTheme="minorHAnsi" w:cstheme="minorHAnsi"/>
          <w:bCs/>
          <w:lang w:val="en-GB"/>
        </w:rPr>
      </w:pPr>
      <w:r>
        <w:rPr>
          <w:rFonts w:asciiTheme="minorHAnsi" w:hAnsiTheme="minorHAnsi" w:cstheme="minorHAnsi"/>
          <w:b/>
          <w:bCs/>
          <w:lang w:val="en-GB"/>
        </w:rPr>
        <w:t>Summary</w:t>
      </w:r>
      <w:r w:rsidRPr="00474E69">
        <w:rPr>
          <w:rFonts w:asciiTheme="minorHAnsi" w:hAnsiTheme="minorHAnsi" w:cstheme="minorHAnsi"/>
          <w:bCs/>
          <w:lang w:val="en-GB"/>
        </w:rPr>
        <w:t xml:space="preserve"> </w:t>
      </w:r>
      <w:r>
        <w:rPr>
          <w:rFonts w:asciiTheme="minorHAnsi" w:hAnsiTheme="minorHAnsi" w:cstheme="minorHAnsi"/>
          <w:bCs/>
          <w:lang w:val="en-GB"/>
        </w:rPr>
        <w:t>A s</w:t>
      </w:r>
      <w:r w:rsidRPr="00474E69">
        <w:rPr>
          <w:rFonts w:asciiTheme="minorHAnsi" w:hAnsiTheme="minorHAnsi" w:cstheme="minorHAnsi"/>
          <w:bCs/>
          <w:lang w:val="en-GB"/>
        </w:rPr>
        <w:t>urrogate FRAX® model for Pakistan</w:t>
      </w:r>
      <w:r>
        <w:rPr>
          <w:rFonts w:asciiTheme="minorHAnsi" w:hAnsiTheme="minorHAnsi" w:cstheme="minorHAnsi"/>
          <w:bCs/>
          <w:lang w:val="en-GB"/>
        </w:rPr>
        <w:t xml:space="preserve"> has been constructed using age-specific </w:t>
      </w:r>
      <w:r w:rsidR="003C085E" w:rsidRPr="00474E69">
        <w:rPr>
          <w:rFonts w:asciiTheme="minorHAnsi" w:hAnsiTheme="minorHAnsi" w:cstheme="minorHAnsi"/>
          <w:bCs/>
          <w:lang w:val="en-GB"/>
        </w:rPr>
        <w:t xml:space="preserve">hip </w:t>
      </w:r>
      <w:r w:rsidR="00B32AA9" w:rsidRPr="00474E69">
        <w:rPr>
          <w:rFonts w:asciiTheme="minorHAnsi" w:hAnsiTheme="minorHAnsi" w:cstheme="minorHAnsi"/>
          <w:bCs/>
          <w:lang w:val="en-GB"/>
        </w:rPr>
        <w:t xml:space="preserve">fracture rates </w:t>
      </w:r>
      <w:r>
        <w:rPr>
          <w:rFonts w:asciiTheme="minorHAnsi" w:hAnsiTheme="minorHAnsi" w:cstheme="minorHAnsi"/>
          <w:bCs/>
          <w:lang w:val="en-GB"/>
        </w:rPr>
        <w:t>for Indians living in</w:t>
      </w:r>
      <w:r w:rsidR="00D74A1F" w:rsidRPr="00474E69">
        <w:rPr>
          <w:rFonts w:asciiTheme="minorHAnsi" w:hAnsiTheme="minorHAnsi" w:cstheme="minorHAnsi"/>
          <w:bCs/>
          <w:lang w:val="en-GB"/>
        </w:rPr>
        <w:t xml:space="preserve"> </w:t>
      </w:r>
      <w:r w:rsidR="005A1AF9" w:rsidRPr="00474E69">
        <w:rPr>
          <w:rFonts w:asciiTheme="minorHAnsi" w:hAnsiTheme="minorHAnsi" w:cstheme="minorHAnsi"/>
          <w:bCs/>
          <w:lang w:val="en-GB"/>
        </w:rPr>
        <w:t>Singapore</w:t>
      </w:r>
      <w:r>
        <w:rPr>
          <w:rFonts w:asciiTheme="minorHAnsi" w:hAnsiTheme="minorHAnsi" w:cstheme="minorHAnsi"/>
          <w:bCs/>
          <w:lang w:val="en-GB"/>
        </w:rPr>
        <w:t xml:space="preserve"> and age-specific mortality rates from </w:t>
      </w:r>
      <w:r w:rsidR="00D74A1F">
        <w:rPr>
          <w:rFonts w:asciiTheme="minorHAnsi" w:hAnsiTheme="minorHAnsi" w:cstheme="minorHAnsi"/>
          <w:bCs/>
          <w:lang w:val="en-GB"/>
        </w:rPr>
        <w:t>Pa</w:t>
      </w:r>
      <w:r w:rsidR="0081294E">
        <w:rPr>
          <w:rFonts w:asciiTheme="minorHAnsi" w:hAnsiTheme="minorHAnsi" w:cstheme="minorHAnsi"/>
          <w:bCs/>
          <w:lang w:val="en-GB"/>
        </w:rPr>
        <w:t>k</w:t>
      </w:r>
      <w:r w:rsidR="00D74A1F">
        <w:rPr>
          <w:rFonts w:asciiTheme="minorHAnsi" w:hAnsiTheme="minorHAnsi" w:cstheme="minorHAnsi"/>
          <w:bCs/>
          <w:lang w:val="en-GB"/>
        </w:rPr>
        <w:t>istan</w:t>
      </w:r>
      <w:r w:rsidR="00F6667E" w:rsidRPr="00474E69">
        <w:rPr>
          <w:rFonts w:asciiTheme="minorHAnsi" w:hAnsiTheme="minorHAnsi" w:cstheme="minorHAnsi"/>
          <w:bCs/>
          <w:lang w:val="en-GB"/>
        </w:rPr>
        <w:t>.</w:t>
      </w:r>
    </w:p>
    <w:p w14:paraId="23C2E67F" w14:textId="2C05D9B9" w:rsidR="00606BB7" w:rsidRPr="00474E69" w:rsidRDefault="00A1284A" w:rsidP="00936AFC">
      <w:pPr>
        <w:keepNext/>
        <w:keepLines/>
        <w:spacing w:before="200" w:after="240" w:line="276" w:lineRule="auto"/>
        <w:ind w:left="567" w:right="142"/>
        <w:jc w:val="both"/>
        <w:outlineLvl w:val="1"/>
        <w:rPr>
          <w:rFonts w:asciiTheme="minorHAnsi" w:hAnsiTheme="minorHAnsi" w:cstheme="minorHAnsi"/>
          <w:bCs/>
          <w:highlight w:val="yellow"/>
          <w:lang w:val="en-GB"/>
        </w:rPr>
      </w:pPr>
      <w:r w:rsidRPr="00474E69">
        <w:rPr>
          <w:rFonts w:asciiTheme="minorHAnsi" w:hAnsiTheme="minorHAnsi" w:cstheme="minorHAnsi"/>
          <w:b/>
          <w:lang w:val="en-GB"/>
        </w:rPr>
        <w:t>Introduction</w:t>
      </w:r>
      <w:r w:rsidRPr="00474E69">
        <w:rPr>
          <w:rFonts w:asciiTheme="minorHAnsi" w:hAnsiTheme="minorHAnsi" w:cstheme="minorHAnsi"/>
          <w:bCs/>
          <w:lang w:val="en-GB"/>
        </w:rPr>
        <w:t xml:space="preserve"> </w:t>
      </w:r>
      <w:r w:rsidR="00F25992">
        <w:rPr>
          <w:rFonts w:asciiTheme="minorHAnsi" w:hAnsiTheme="minorHAnsi" w:cstheme="minorHAnsi"/>
          <w:bCs/>
          <w:lang w:val="en-GB"/>
        </w:rPr>
        <w:t xml:space="preserve">FRAX models are frequently requested for countries with little or no data on the incidence of hip fracture. In such circumstances, </w:t>
      </w:r>
      <w:r w:rsidR="00D74A1F">
        <w:rPr>
          <w:rFonts w:asciiTheme="minorHAnsi" w:hAnsiTheme="minorHAnsi" w:cstheme="minorHAnsi"/>
          <w:bCs/>
          <w:lang w:val="en-GB"/>
        </w:rPr>
        <w:t>t</w:t>
      </w:r>
      <w:r w:rsidR="00D74A1F" w:rsidRPr="00474E69">
        <w:rPr>
          <w:rFonts w:asciiTheme="minorHAnsi" w:hAnsiTheme="minorHAnsi" w:cstheme="minorHAnsi"/>
          <w:bCs/>
          <w:lang w:val="en-GB"/>
        </w:rPr>
        <w:t xml:space="preserve">he </w:t>
      </w:r>
      <w:r w:rsidR="00606BB7" w:rsidRPr="00474E69">
        <w:rPr>
          <w:rFonts w:asciiTheme="minorHAnsi" w:hAnsiTheme="minorHAnsi" w:cstheme="minorHAnsi"/>
          <w:bCs/>
          <w:lang w:val="en-GB"/>
        </w:rPr>
        <w:t xml:space="preserve">International Society for Clinical Densitometry and International Osteoporosis Foundation </w:t>
      </w:r>
      <w:r w:rsidR="00F25992">
        <w:rPr>
          <w:rFonts w:asciiTheme="minorHAnsi" w:hAnsiTheme="minorHAnsi" w:cstheme="minorHAnsi"/>
          <w:bCs/>
          <w:lang w:val="en-GB"/>
        </w:rPr>
        <w:t xml:space="preserve">have </w:t>
      </w:r>
      <w:r w:rsidR="00606BB7" w:rsidRPr="00474E69">
        <w:rPr>
          <w:rFonts w:asciiTheme="minorHAnsi" w:hAnsiTheme="minorHAnsi" w:cstheme="minorHAnsi"/>
          <w:bCs/>
          <w:lang w:val="en-GB"/>
        </w:rPr>
        <w:t>recommend</w:t>
      </w:r>
      <w:r w:rsidR="00F25992">
        <w:rPr>
          <w:rFonts w:asciiTheme="minorHAnsi" w:hAnsiTheme="minorHAnsi" w:cstheme="minorHAnsi"/>
          <w:bCs/>
          <w:lang w:val="en-GB"/>
        </w:rPr>
        <w:t xml:space="preserve">ed the development of </w:t>
      </w:r>
      <w:r w:rsidR="00606BB7" w:rsidRPr="00474E69">
        <w:rPr>
          <w:rFonts w:asciiTheme="minorHAnsi" w:hAnsiTheme="minorHAnsi" w:cstheme="minorHAnsi"/>
          <w:bCs/>
          <w:lang w:val="en-GB"/>
        </w:rPr>
        <w:t xml:space="preserve">a surrogate FRAX model, based on country-specific </w:t>
      </w:r>
      <w:r w:rsidR="00F25992">
        <w:rPr>
          <w:rFonts w:asciiTheme="minorHAnsi" w:hAnsiTheme="minorHAnsi" w:cstheme="minorHAnsi"/>
          <w:bCs/>
          <w:lang w:val="en-GB"/>
        </w:rPr>
        <w:t>mortality data</w:t>
      </w:r>
      <w:r w:rsidR="00606BB7" w:rsidRPr="00474E69">
        <w:rPr>
          <w:rFonts w:asciiTheme="minorHAnsi" w:hAnsiTheme="minorHAnsi" w:cstheme="minorHAnsi"/>
          <w:bCs/>
          <w:lang w:val="en-GB"/>
        </w:rPr>
        <w:t xml:space="preserve"> </w:t>
      </w:r>
      <w:r w:rsidR="00F25992">
        <w:rPr>
          <w:rFonts w:asciiTheme="minorHAnsi" w:hAnsiTheme="minorHAnsi" w:cstheme="minorHAnsi"/>
          <w:bCs/>
          <w:lang w:val="en-GB"/>
        </w:rPr>
        <w:t>but using</w:t>
      </w:r>
      <w:r w:rsidR="00F25992" w:rsidRPr="00474E69">
        <w:rPr>
          <w:rFonts w:asciiTheme="minorHAnsi" w:hAnsiTheme="minorHAnsi" w:cstheme="minorHAnsi"/>
          <w:bCs/>
          <w:lang w:val="en-GB"/>
        </w:rPr>
        <w:t xml:space="preserve"> </w:t>
      </w:r>
      <w:r w:rsidR="00606BB7" w:rsidRPr="00474E69">
        <w:rPr>
          <w:rFonts w:asciiTheme="minorHAnsi" w:hAnsiTheme="minorHAnsi" w:cstheme="minorHAnsi"/>
          <w:bCs/>
          <w:lang w:val="en-GB"/>
        </w:rPr>
        <w:t xml:space="preserve">fracture data </w:t>
      </w:r>
      <w:r w:rsidR="00F25992">
        <w:rPr>
          <w:rFonts w:asciiTheme="minorHAnsi" w:hAnsiTheme="minorHAnsi" w:cstheme="minorHAnsi"/>
          <w:bCs/>
          <w:lang w:val="en-GB"/>
        </w:rPr>
        <w:t>from a</w:t>
      </w:r>
      <w:r w:rsidR="00606BB7" w:rsidRPr="00474E69">
        <w:rPr>
          <w:rFonts w:asciiTheme="minorHAnsi" w:hAnsiTheme="minorHAnsi" w:cstheme="minorHAnsi"/>
          <w:bCs/>
          <w:lang w:val="en-GB"/>
        </w:rPr>
        <w:t xml:space="preserve"> country</w:t>
      </w:r>
      <w:r w:rsidR="00F25992">
        <w:rPr>
          <w:rFonts w:asciiTheme="minorHAnsi" w:hAnsiTheme="minorHAnsi" w:cstheme="minorHAnsi"/>
          <w:bCs/>
          <w:lang w:val="en-GB"/>
        </w:rPr>
        <w:t>, usually within the region,</w:t>
      </w:r>
      <w:r w:rsidR="00606BB7" w:rsidRPr="00474E69">
        <w:rPr>
          <w:rFonts w:asciiTheme="minorHAnsi" w:hAnsiTheme="minorHAnsi" w:cstheme="minorHAnsi"/>
          <w:bCs/>
          <w:lang w:val="en-GB"/>
        </w:rPr>
        <w:t xml:space="preserve"> where fracture rates </w:t>
      </w:r>
      <w:r w:rsidR="0093729A" w:rsidRPr="00474E69">
        <w:rPr>
          <w:rFonts w:asciiTheme="minorHAnsi" w:hAnsiTheme="minorHAnsi" w:cstheme="minorHAnsi"/>
          <w:bCs/>
          <w:lang w:val="en-GB"/>
        </w:rPr>
        <w:t xml:space="preserve">are </w:t>
      </w:r>
      <w:r w:rsidR="00606BB7" w:rsidRPr="00474E69">
        <w:rPr>
          <w:rFonts w:asciiTheme="minorHAnsi" w:hAnsiTheme="minorHAnsi" w:cstheme="minorHAnsi"/>
          <w:bCs/>
          <w:lang w:val="en-GB"/>
        </w:rPr>
        <w:t>considered to be representative of the index country</w:t>
      </w:r>
      <w:r w:rsidR="00D74A1F">
        <w:rPr>
          <w:rFonts w:asciiTheme="minorHAnsi" w:hAnsiTheme="minorHAnsi" w:cstheme="minorHAnsi"/>
          <w:bCs/>
          <w:lang w:val="en-GB"/>
        </w:rPr>
        <w:t>.</w:t>
      </w:r>
    </w:p>
    <w:p w14:paraId="216022F7" w14:textId="1714A611" w:rsidR="00606BB7" w:rsidRPr="00416DDB" w:rsidRDefault="00F6667E" w:rsidP="00936AFC">
      <w:pPr>
        <w:spacing w:after="200" w:line="276" w:lineRule="auto"/>
        <w:ind w:left="567" w:right="142"/>
        <w:rPr>
          <w:rFonts w:asciiTheme="minorHAnsi" w:hAnsiTheme="minorHAnsi" w:cstheme="minorHAnsi"/>
          <w:lang w:val="en-GB"/>
        </w:rPr>
      </w:pPr>
      <w:r w:rsidRPr="00416DDB">
        <w:rPr>
          <w:rFonts w:asciiTheme="minorHAnsi" w:hAnsiTheme="minorHAnsi" w:cstheme="minorHAnsi"/>
          <w:b/>
          <w:bCs/>
          <w:iCs/>
          <w:lang w:val="en-GB"/>
        </w:rPr>
        <w:t>Objective</w:t>
      </w:r>
      <w:r w:rsidRPr="00416DDB">
        <w:rPr>
          <w:rFonts w:asciiTheme="minorHAnsi" w:hAnsiTheme="minorHAnsi" w:cstheme="minorHAnsi"/>
          <w:lang w:val="en-GB"/>
        </w:rPr>
        <w:t xml:space="preserve"> This paper describes </w:t>
      </w:r>
      <w:r w:rsidR="00D74A1F">
        <w:rPr>
          <w:rFonts w:asciiTheme="minorHAnsi" w:hAnsiTheme="minorHAnsi" w:cstheme="minorHAnsi"/>
          <w:lang w:val="en-GB"/>
        </w:rPr>
        <w:t>the development and characteristics of a</w:t>
      </w:r>
      <w:r w:rsidR="00D74A1F" w:rsidRPr="00416DDB">
        <w:rPr>
          <w:rFonts w:asciiTheme="minorHAnsi" w:hAnsiTheme="minorHAnsi" w:cstheme="minorHAnsi"/>
          <w:lang w:val="en-GB"/>
        </w:rPr>
        <w:t xml:space="preserve"> </w:t>
      </w:r>
      <w:r w:rsidR="00606BB7" w:rsidRPr="00416DDB">
        <w:rPr>
          <w:rFonts w:asciiTheme="minorHAnsi" w:hAnsiTheme="minorHAnsi" w:cstheme="minorHAnsi"/>
          <w:lang w:val="en-GB"/>
        </w:rPr>
        <w:t xml:space="preserve">surrogate FRAX model for </w:t>
      </w:r>
      <w:r w:rsidR="005A1AF9" w:rsidRPr="00416DDB">
        <w:rPr>
          <w:rFonts w:asciiTheme="minorHAnsi" w:hAnsiTheme="minorHAnsi" w:cstheme="minorHAnsi"/>
          <w:lang w:val="en-GB"/>
        </w:rPr>
        <w:t>Pakistan</w:t>
      </w:r>
      <w:r w:rsidR="00F25992">
        <w:rPr>
          <w:rFonts w:asciiTheme="minorHAnsi" w:hAnsiTheme="minorHAnsi" w:cstheme="minorHAnsi"/>
          <w:lang w:val="en-GB"/>
        </w:rPr>
        <w:t>.</w:t>
      </w:r>
    </w:p>
    <w:p w14:paraId="681B180C" w14:textId="3D015B17" w:rsidR="00F6667E" w:rsidRPr="00457C32" w:rsidRDefault="00A1284A" w:rsidP="00936AFC">
      <w:pPr>
        <w:spacing w:after="200" w:line="276" w:lineRule="auto"/>
        <w:ind w:left="567" w:right="142"/>
        <w:rPr>
          <w:rFonts w:asciiTheme="minorHAnsi" w:hAnsiTheme="minorHAnsi" w:cstheme="minorHAnsi"/>
          <w:lang w:val="en-GB"/>
        </w:rPr>
      </w:pPr>
      <w:r w:rsidRPr="00416DDB">
        <w:rPr>
          <w:rFonts w:asciiTheme="minorHAnsi" w:hAnsiTheme="minorHAnsi" w:cstheme="minorHAnsi"/>
          <w:b/>
          <w:bCs/>
          <w:lang w:val="en-GB"/>
        </w:rPr>
        <w:t>Methods</w:t>
      </w:r>
      <w:r w:rsidRPr="00416DDB">
        <w:rPr>
          <w:rFonts w:asciiTheme="minorHAnsi" w:hAnsiTheme="minorHAnsi" w:cstheme="minorHAnsi"/>
          <w:lang w:val="en-GB"/>
        </w:rPr>
        <w:t xml:space="preserve"> </w:t>
      </w:r>
      <w:r w:rsidR="00606BB7" w:rsidRPr="00457C32">
        <w:rPr>
          <w:rFonts w:asciiTheme="minorHAnsi" w:hAnsiTheme="minorHAnsi" w:cstheme="minorHAnsi"/>
          <w:lang w:val="en-GB"/>
        </w:rPr>
        <w:t xml:space="preserve">The FRAX model used the </w:t>
      </w:r>
      <w:r w:rsidR="0053029C">
        <w:rPr>
          <w:rFonts w:asciiTheme="minorHAnsi" w:hAnsiTheme="minorHAnsi" w:cstheme="minorHAnsi"/>
          <w:lang w:val="en-GB"/>
        </w:rPr>
        <w:t xml:space="preserve">ethnic-specific </w:t>
      </w:r>
      <w:r w:rsidR="00606BB7" w:rsidRPr="00457C32">
        <w:rPr>
          <w:rFonts w:asciiTheme="minorHAnsi" w:hAnsiTheme="minorHAnsi" w:cstheme="minorHAnsi"/>
          <w:lang w:val="en-GB"/>
        </w:rPr>
        <w:t xml:space="preserve">incidence of hip fracture </w:t>
      </w:r>
      <w:r w:rsidR="00F25992">
        <w:rPr>
          <w:rFonts w:asciiTheme="minorHAnsi" w:hAnsiTheme="minorHAnsi" w:cstheme="minorHAnsi"/>
          <w:lang w:val="en-GB"/>
        </w:rPr>
        <w:t xml:space="preserve">in </w:t>
      </w:r>
      <w:r w:rsidR="00DB6DCF">
        <w:rPr>
          <w:rFonts w:asciiTheme="minorHAnsi" w:hAnsiTheme="minorHAnsi" w:cstheme="minorHAnsi"/>
          <w:lang w:val="en-GB"/>
        </w:rPr>
        <w:t>Indian</w:t>
      </w:r>
      <w:r w:rsidR="00F25992">
        <w:rPr>
          <w:rFonts w:asciiTheme="minorHAnsi" w:hAnsiTheme="minorHAnsi" w:cstheme="minorHAnsi"/>
          <w:lang w:val="en-GB"/>
        </w:rPr>
        <w:t xml:space="preserve"> men and women</w:t>
      </w:r>
      <w:r w:rsidR="00DB6DCF">
        <w:rPr>
          <w:rFonts w:asciiTheme="minorHAnsi" w:hAnsiTheme="minorHAnsi" w:cstheme="minorHAnsi"/>
          <w:lang w:val="en-GB"/>
        </w:rPr>
        <w:t xml:space="preserve"> living in Singapore</w:t>
      </w:r>
      <w:r w:rsidR="00F25992">
        <w:rPr>
          <w:rFonts w:asciiTheme="minorHAnsi" w:hAnsiTheme="minorHAnsi" w:cstheme="minorHAnsi"/>
          <w:lang w:val="en-GB"/>
        </w:rPr>
        <w:t>, combined with</w:t>
      </w:r>
      <w:r w:rsidR="009100A6">
        <w:rPr>
          <w:rFonts w:asciiTheme="minorHAnsi" w:hAnsiTheme="minorHAnsi" w:cstheme="minorHAnsi"/>
          <w:lang w:val="en-GB"/>
        </w:rPr>
        <w:t xml:space="preserve"> </w:t>
      </w:r>
      <w:r w:rsidRPr="00457C32">
        <w:rPr>
          <w:rFonts w:asciiTheme="minorHAnsi" w:hAnsiTheme="minorHAnsi" w:cstheme="minorHAnsi"/>
          <w:lang w:val="en-GB"/>
        </w:rPr>
        <w:t xml:space="preserve">the death risk for </w:t>
      </w:r>
      <w:r w:rsidR="005A1AF9" w:rsidRPr="00457C32">
        <w:rPr>
          <w:rFonts w:asciiTheme="minorHAnsi" w:hAnsiTheme="minorHAnsi" w:cstheme="minorHAnsi"/>
          <w:lang w:val="en-GB"/>
        </w:rPr>
        <w:t>Pakistan</w:t>
      </w:r>
      <w:r w:rsidRPr="00457C32">
        <w:rPr>
          <w:rFonts w:asciiTheme="minorHAnsi" w:hAnsiTheme="minorHAnsi" w:cstheme="minorHAnsi"/>
          <w:lang w:val="en-GB"/>
        </w:rPr>
        <w:t xml:space="preserve">. </w:t>
      </w:r>
    </w:p>
    <w:p w14:paraId="3EC757A1" w14:textId="2F1E9E6D" w:rsidR="00A1284A" w:rsidRPr="00457C32" w:rsidRDefault="00F6667E" w:rsidP="00936AFC">
      <w:pPr>
        <w:spacing w:after="200" w:line="276" w:lineRule="auto"/>
        <w:ind w:left="567" w:right="142"/>
        <w:rPr>
          <w:rFonts w:asciiTheme="minorHAnsi" w:hAnsiTheme="minorHAnsi" w:cstheme="minorHAnsi"/>
          <w:color w:val="FF0000"/>
          <w:lang w:val="en-GB"/>
        </w:rPr>
      </w:pPr>
      <w:r w:rsidRPr="00457C32">
        <w:rPr>
          <w:rFonts w:asciiTheme="minorHAnsi" w:hAnsiTheme="minorHAnsi" w:cstheme="minorHAnsi"/>
          <w:b/>
          <w:bCs/>
          <w:iCs/>
          <w:lang w:val="en-GB"/>
        </w:rPr>
        <w:t>Results</w:t>
      </w:r>
      <w:r w:rsidRPr="00457C32">
        <w:rPr>
          <w:rFonts w:asciiTheme="minorHAnsi" w:hAnsiTheme="minorHAnsi" w:cstheme="minorHAnsi"/>
          <w:lang w:val="en-GB"/>
        </w:rPr>
        <w:t xml:space="preserve"> </w:t>
      </w:r>
      <w:r w:rsidR="009D63BA">
        <w:rPr>
          <w:rFonts w:asciiTheme="minorHAnsi" w:hAnsiTheme="minorHAnsi" w:cstheme="minorHAnsi"/>
          <w:lang w:val="en-GB"/>
        </w:rPr>
        <w:t>T</w:t>
      </w:r>
      <w:r w:rsidR="009D63BA" w:rsidRPr="00457C32">
        <w:rPr>
          <w:rFonts w:asciiTheme="minorHAnsi" w:hAnsiTheme="minorHAnsi" w:cstheme="minorHAnsi"/>
          <w:lang w:val="en-GB"/>
        </w:rPr>
        <w:t xml:space="preserve">he </w:t>
      </w:r>
      <w:r w:rsidR="00A1284A" w:rsidRPr="00457C32">
        <w:rPr>
          <w:rFonts w:asciiTheme="minorHAnsi" w:hAnsiTheme="minorHAnsi" w:cstheme="minorHAnsi"/>
          <w:lang w:val="en-GB"/>
        </w:rPr>
        <w:t xml:space="preserve">surrogate model gave </w:t>
      </w:r>
      <w:r w:rsidR="00127138" w:rsidRPr="00457C32">
        <w:rPr>
          <w:rFonts w:asciiTheme="minorHAnsi" w:hAnsiTheme="minorHAnsi" w:cstheme="minorHAnsi"/>
          <w:lang w:val="en-GB"/>
        </w:rPr>
        <w:t xml:space="preserve">somewhat </w:t>
      </w:r>
      <w:r w:rsidR="00457C32" w:rsidRPr="00457C32">
        <w:rPr>
          <w:rFonts w:asciiTheme="minorHAnsi" w:hAnsiTheme="minorHAnsi" w:cstheme="minorHAnsi"/>
          <w:lang w:val="en-GB"/>
        </w:rPr>
        <w:t>lower</w:t>
      </w:r>
      <w:r w:rsidR="00127138" w:rsidRPr="00457C32">
        <w:rPr>
          <w:rFonts w:asciiTheme="minorHAnsi" w:hAnsiTheme="minorHAnsi" w:cstheme="minorHAnsi"/>
          <w:lang w:val="en-GB"/>
        </w:rPr>
        <w:t xml:space="preserve"> </w:t>
      </w:r>
      <w:r w:rsidR="00A1284A" w:rsidRPr="00457C32">
        <w:rPr>
          <w:rFonts w:asciiTheme="minorHAnsi" w:hAnsiTheme="minorHAnsi" w:cstheme="minorHAnsi"/>
          <w:lang w:val="en-GB"/>
        </w:rPr>
        <w:t xml:space="preserve">10-year fracture probabilities </w:t>
      </w:r>
      <w:r w:rsidR="00127138" w:rsidRPr="00457C32">
        <w:rPr>
          <w:rFonts w:asciiTheme="minorHAnsi" w:hAnsiTheme="minorHAnsi" w:cstheme="minorHAnsi"/>
          <w:lang w:val="en-GB"/>
        </w:rPr>
        <w:t xml:space="preserve">for </w:t>
      </w:r>
      <w:r w:rsidR="00A1284A" w:rsidRPr="00457C32">
        <w:rPr>
          <w:rFonts w:asciiTheme="minorHAnsi" w:hAnsiTheme="minorHAnsi" w:cstheme="minorHAnsi"/>
          <w:lang w:val="en-GB"/>
        </w:rPr>
        <w:t xml:space="preserve">men </w:t>
      </w:r>
      <w:r w:rsidR="00457C32" w:rsidRPr="00457C32">
        <w:rPr>
          <w:rFonts w:asciiTheme="minorHAnsi" w:hAnsiTheme="minorHAnsi" w:cstheme="minorHAnsi"/>
          <w:lang w:val="en-GB"/>
        </w:rPr>
        <w:t>and women at all ages</w:t>
      </w:r>
      <w:r w:rsidR="009100A6" w:rsidRPr="009100A6">
        <w:t xml:space="preserve"> </w:t>
      </w:r>
      <w:r w:rsidR="009D63BA">
        <w:rPr>
          <w:rFonts w:asciiTheme="minorHAnsi" w:hAnsiTheme="minorHAnsi" w:cstheme="minorHAnsi"/>
          <w:lang w:val="en-GB"/>
        </w:rPr>
        <w:t>c</w:t>
      </w:r>
      <w:r w:rsidR="009100A6" w:rsidRPr="009100A6">
        <w:rPr>
          <w:rFonts w:asciiTheme="minorHAnsi" w:hAnsiTheme="minorHAnsi" w:cstheme="minorHAnsi"/>
          <w:lang w:val="en-GB"/>
        </w:rPr>
        <w:t>ompared to the model for Indians from Singapore</w:t>
      </w:r>
      <w:r w:rsidR="00F25992">
        <w:rPr>
          <w:rFonts w:asciiTheme="minorHAnsi" w:hAnsiTheme="minorHAnsi" w:cstheme="minorHAnsi"/>
          <w:lang w:val="en-GB"/>
        </w:rPr>
        <w:t>, reflecting a higher mortality risk in Pakistan</w:t>
      </w:r>
      <w:r w:rsidR="00127138" w:rsidRPr="00457C32">
        <w:rPr>
          <w:rFonts w:asciiTheme="minorHAnsi" w:hAnsiTheme="minorHAnsi" w:cstheme="minorHAnsi"/>
          <w:lang w:val="en-GB"/>
        </w:rPr>
        <w:t xml:space="preserve">. </w:t>
      </w:r>
      <w:r w:rsidR="00A1284A" w:rsidRPr="00457C32">
        <w:rPr>
          <w:rFonts w:asciiTheme="minorHAnsi" w:hAnsiTheme="minorHAnsi" w:cstheme="minorHAnsi"/>
          <w:lang w:val="en-GB"/>
        </w:rPr>
        <w:t xml:space="preserve">There were very close correlations in fracture probabilities between the surrogate and authentic models </w:t>
      </w:r>
      <w:r w:rsidR="00A1284A" w:rsidRPr="00A86605">
        <w:rPr>
          <w:rFonts w:asciiTheme="minorHAnsi" w:hAnsiTheme="minorHAnsi" w:cstheme="minorHAnsi"/>
          <w:lang w:val="en-GB"/>
        </w:rPr>
        <w:t>(</w:t>
      </w:r>
      <w:r w:rsidR="00D74A1F">
        <w:rPr>
          <w:rFonts w:asciiTheme="minorHAnsi" w:hAnsiTheme="minorHAnsi" w:cstheme="minorHAnsi"/>
          <w:lang w:val="en-GB"/>
        </w:rPr>
        <w:t>r</w:t>
      </w:r>
      <w:r w:rsidR="001B14C3" w:rsidRPr="00C80B08">
        <w:rPr>
          <w:rFonts w:asciiTheme="minorHAnsi" w:hAnsiTheme="minorHAnsi" w:cstheme="minorHAnsi"/>
          <w:u w:val="single"/>
          <w:lang w:val="en-GB"/>
        </w:rPr>
        <w:t>&gt;</w:t>
      </w:r>
      <w:r w:rsidR="00C614C9">
        <w:rPr>
          <w:rFonts w:asciiTheme="minorHAnsi" w:hAnsiTheme="minorHAnsi" w:cstheme="minorHAnsi"/>
          <w:lang w:val="en-GB"/>
        </w:rPr>
        <w:t>0.998</w:t>
      </w:r>
      <w:r w:rsidR="00A1284A" w:rsidRPr="00A86605">
        <w:rPr>
          <w:rFonts w:asciiTheme="minorHAnsi" w:hAnsiTheme="minorHAnsi" w:cstheme="minorHAnsi"/>
          <w:lang w:val="en-GB"/>
        </w:rPr>
        <w:t xml:space="preserve">) so that the use of the </w:t>
      </w:r>
      <w:r w:rsidR="005A1AF9" w:rsidRPr="00A86605">
        <w:rPr>
          <w:rFonts w:asciiTheme="minorHAnsi" w:hAnsiTheme="minorHAnsi" w:cstheme="minorHAnsi"/>
          <w:lang w:val="en-GB"/>
        </w:rPr>
        <w:t>Pakistan</w:t>
      </w:r>
      <w:r w:rsidR="00A1284A" w:rsidRPr="00A86605">
        <w:rPr>
          <w:rFonts w:asciiTheme="minorHAnsi" w:hAnsiTheme="minorHAnsi" w:cstheme="minorHAnsi"/>
          <w:lang w:val="en-GB"/>
        </w:rPr>
        <w:t xml:space="preserve"> model had little impact on the rank order of risk.  </w:t>
      </w:r>
      <w:r w:rsidR="00B46851" w:rsidRPr="00A86605">
        <w:rPr>
          <w:rFonts w:asciiTheme="minorHAnsi" w:hAnsiTheme="minorHAnsi" w:cstheme="minorHAnsi"/>
          <w:lang w:val="en-GB"/>
        </w:rPr>
        <w:t>It was estimated</w:t>
      </w:r>
      <w:r w:rsidR="00A1284A" w:rsidRPr="00A86605">
        <w:rPr>
          <w:rFonts w:asciiTheme="minorHAnsi" w:hAnsiTheme="minorHAnsi" w:cstheme="minorHAnsi"/>
          <w:lang w:val="en-GB"/>
        </w:rPr>
        <w:t xml:space="preserve"> that </w:t>
      </w:r>
      <w:r w:rsidR="00D74A1F" w:rsidRPr="00A86605">
        <w:rPr>
          <w:rFonts w:asciiTheme="minorHAnsi" w:hAnsiTheme="minorHAnsi" w:cstheme="minorHAnsi"/>
          <w:lang w:val="en-GB"/>
        </w:rPr>
        <w:t>36</w:t>
      </w:r>
      <w:r w:rsidR="00D74A1F">
        <w:rPr>
          <w:rFonts w:asciiTheme="minorHAnsi" w:hAnsiTheme="minorHAnsi" w:cstheme="minorHAnsi"/>
          <w:lang w:val="en-GB"/>
        </w:rPr>
        <w:t>,</w:t>
      </w:r>
      <w:r w:rsidR="00A86605" w:rsidRPr="00A86605">
        <w:rPr>
          <w:rFonts w:asciiTheme="minorHAnsi" w:hAnsiTheme="minorHAnsi" w:cstheme="minorHAnsi"/>
          <w:lang w:val="en-GB"/>
        </w:rPr>
        <w:t>524</w:t>
      </w:r>
      <w:r w:rsidR="00A1284A" w:rsidRPr="00A86605">
        <w:rPr>
          <w:rFonts w:asciiTheme="minorHAnsi" w:hAnsiTheme="minorHAnsi" w:cstheme="minorHAnsi"/>
          <w:lang w:val="en-GB"/>
        </w:rPr>
        <w:t xml:space="preserve"> hip fractures </w:t>
      </w:r>
      <w:r w:rsidR="005107C0" w:rsidRPr="00A86605">
        <w:rPr>
          <w:rFonts w:asciiTheme="minorHAnsi" w:hAnsiTheme="minorHAnsi" w:cstheme="minorHAnsi"/>
          <w:lang w:val="en-GB"/>
        </w:rPr>
        <w:t xml:space="preserve">arose in </w:t>
      </w:r>
      <w:r w:rsidR="000D4015" w:rsidRPr="00A86605">
        <w:rPr>
          <w:rFonts w:asciiTheme="minorHAnsi" w:hAnsiTheme="minorHAnsi" w:cstheme="minorHAnsi"/>
          <w:lang w:val="en-GB"/>
        </w:rPr>
        <w:t>2015</w:t>
      </w:r>
      <w:r w:rsidR="005107C0" w:rsidRPr="00A86605">
        <w:rPr>
          <w:rFonts w:asciiTheme="minorHAnsi" w:hAnsiTheme="minorHAnsi" w:cstheme="minorHAnsi"/>
          <w:lang w:val="en-GB"/>
        </w:rPr>
        <w:t xml:space="preserve"> in individuals over the age of 50 years in </w:t>
      </w:r>
      <w:r w:rsidR="005A1AF9" w:rsidRPr="00A86605">
        <w:rPr>
          <w:rFonts w:asciiTheme="minorHAnsi" w:hAnsiTheme="minorHAnsi" w:cstheme="minorHAnsi"/>
          <w:lang w:val="en-GB"/>
        </w:rPr>
        <w:t>Pakistan</w:t>
      </w:r>
      <w:r w:rsidR="0093729A" w:rsidRPr="00A86605">
        <w:rPr>
          <w:rFonts w:asciiTheme="minorHAnsi" w:hAnsiTheme="minorHAnsi" w:cstheme="minorHAnsi"/>
          <w:lang w:val="en-GB"/>
        </w:rPr>
        <w:t xml:space="preserve">, with a </w:t>
      </w:r>
      <w:r w:rsidR="005107C0" w:rsidRPr="00A86605">
        <w:rPr>
          <w:rFonts w:asciiTheme="minorHAnsi" w:hAnsiTheme="minorHAnsi" w:cstheme="minorHAnsi"/>
          <w:lang w:val="en-GB"/>
        </w:rPr>
        <w:t>predicted increase by</w:t>
      </w:r>
      <w:r w:rsidR="00961275" w:rsidRPr="00A86605">
        <w:rPr>
          <w:rFonts w:asciiTheme="minorHAnsi" w:hAnsiTheme="minorHAnsi" w:cstheme="minorHAnsi"/>
          <w:lang w:val="en-GB"/>
        </w:rPr>
        <w:t xml:space="preserve"> </w:t>
      </w:r>
      <w:r w:rsidR="00A86605" w:rsidRPr="00A86605">
        <w:rPr>
          <w:rFonts w:asciiTheme="minorHAnsi" w:hAnsiTheme="minorHAnsi" w:cstheme="minorHAnsi"/>
          <w:lang w:val="en-GB"/>
        </w:rPr>
        <w:t>214</w:t>
      </w:r>
      <w:r w:rsidR="005107C0" w:rsidRPr="00A86605">
        <w:rPr>
          <w:rFonts w:asciiTheme="minorHAnsi" w:hAnsiTheme="minorHAnsi" w:cstheme="minorHAnsi"/>
          <w:lang w:val="en-GB"/>
        </w:rPr>
        <w:t xml:space="preserve">% to </w:t>
      </w:r>
      <w:r w:rsidR="00A86605" w:rsidRPr="00A86605">
        <w:rPr>
          <w:rFonts w:ascii="Calibri" w:eastAsia="Calibri" w:hAnsi="Calibri"/>
          <w:lang w:eastAsia="en-US"/>
        </w:rPr>
        <w:t>114</w:t>
      </w:r>
      <w:r w:rsidR="001368C7" w:rsidRPr="000E317A">
        <w:rPr>
          <w:rFonts w:ascii="Calibri" w:eastAsia="Calibri" w:hAnsi="Calibri"/>
          <w:lang w:val="en-AU" w:eastAsia="en-US"/>
        </w:rPr>
        <w:t>,</w:t>
      </w:r>
      <w:r w:rsidR="00A86605" w:rsidRPr="00A86605">
        <w:rPr>
          <w:rFonts w:ascii="Calibri" w:eastAsia="Calibri" w:hAnsi="Calibri"/>
          <w:lang w:eastAsia="en-US"/>
        </w:rPr>
        <w:t>820</w:t>
      </w:r>
      <w:r w:rsidR="005107C0" w:rsidRPr="00A86605">
        <w:rPr>
          <w:rFonts w:asciiTheme="minorHAnsi" w:hAnsiTheme="minorHAnsi" w:cstheme="minorHAnsi"/>
          <w:lang w:val="en-GB"/>
        </w:rPr>
        <w:t xml:space="preserve"> in 2050.</w:t>
      </w:r>
    </w:p>
    <w:p w14:paraId="7A1CBFFD" w14:textId="250ECFC8" w:rsidR="00F6667E" w:rsidRPr="004A1963" w:rsidRDefault="00F6667E" w:rsidP="00936AFC">
      <w:pPr>
        <w:spacing w:after="200" w:line="276" w:lineRule="auto"/>
        <w:ind w:left="567" w:right="142"/>
        <w:rPr>
          <w:rFonts w:asciiTheme="minorHAnsi" w:hAnsiTheme="minorHAnsi" w:cstheme="minorHAnsi"/>
          <w:lang w:val="en-GB"/>
        </w:rPr>
      </w:pPr>
      <w:r w:rsidRPr="00457C32">
        <w:rPr>
          <w:rFonts w:asciiTheme="minorHAnsi" w:hAnsiTheme="minorHAnsi" w:cstheme="minorHAnsi"/>
          <w:b/>
          <w:bCs/>
          <w:iCs/>
          <w:lang w:val="en-GB"/>
        </w:rPr>
        <w:t>Conclusion</w:t>
      </w:r>
      <w:r w:rsidRPr="00457C32">
        <w:rPr>
          <w:rFonts w:asciiTheme="minorHAnsi" w:hAnsiTheme="minorHAnsi" w:cstheme="minorHAnsi"/>
          <w:lang w:val="en-GB"/>
        </w:rPr>
        <w:t xml:space="preserve"> The </w:t>
      </w:r>
      <w:r w:rsidR="0093729A" w:rsidRPr="00457C32">
        <w:rPr>
          <w:rFonts w:asciiTheme="minorHAnsi" w:hAnsiTheme="minorHAnsi" w:cstheme="minorHAnsi"/>
          <w:lang w:val="en-GB"/>
        </w:rPr>
        <w:t xml:space="preserve">surrogate </w:t>
      </w:r>
      <w:r w:rsidRPr="00457C32">
        <w:rPr>
          <w:rFonts w:asciiTheme="minorHAnsi" w:hAnsiTheme="minorHAnsi" w:cstheme="minorHAnsi"/>
          <w:lang w:val="en-GB"/>
        </w:rPr>
        <w:t xml:space="preserve">FRAX model </w:t>
      </w:r>
      <w:r w:rsidR="005107C0" w:rsidRPr="00457C32">
        <w:rPr>
          <w:rFonts w:asciiTheme="minorHAnsi" w:hAnsiTheme="minorHAnsi" w:cstheme="minorHAnsi"/>
          <w:lang w:val="en-GB"/>
        </w:rPr>
        <w:t xml:space="preserve">for </w:t>
      </w:r>
      <w:r w:rsidR="005A1AF9" w:rsidRPr="00457C32">
        <w:rPr>
          <w:rFonts w:asciiTheme="minorHAnsi" w:hAnsiTheme="minorHAnsi" w:cstheme="minorHAnsi"/>
          <w:lang w:val="en-GB"/>
        </w:rPr>
        <w:t>Pakistan</w:t>
      </w:r>
      <w:r w:rsidR="005107C0" w:rsidRPr="00457C32">
        <w:rPr>
          <w:rFonts w:asciiTheme="minorHAnsi" w:hAnsiTheme="minorHAnsi" w:cstheme="minorHAnsi"/>
          <w:lang w:val="en-GB"/>
        </w:rPr>
        <w:t xml:space="preserve"> provides</w:t>
      </w:r>
      <w:r w:rsidRPr="00457C32">
        <w:rPr>
          <w:rFonts w:asciiTheme="minorHAnsi" w:hAnsiTheme="minorHAnsi" w:cstheme="minorHAnsi"/>
          <w:lang w:val="en-GB"/>
        </w:rPr>
        <w:t xml:space="preserve"> </w:t>
      </w:r>
      <w:r w:rsidR="00F25992">
        <w:rPr>
          <w:rFonts w:asciiTheme="minorHAnsi" w:hAnsiTheme="minorHAnsi" w:cstheme="minorHAnsi"/>
          <w:lang w:val="en-GB"/>
        </w:rPr>
        <w:t>an</w:t>
      </w:r>
      <w:r w:rsidR="00F25992" w:rsidRPr="00457C32">
        <w:rPr>
          <w:rFonts w:asciiTheme="minorHAnsi" w:hAnsiTheme="minorHAnsi" w:cstheme="minorHAnsi"/>
          <w:lang w:val="en-GB"/>
        </w:rPr>
        <w:t xml:space="preserve"> </w:t>
      </w:r>
      <w:r w:rsidR="005107C0" w:rsidRPr="00457C32">
        <w:rPr>
          <w:rFonts w:asciiTheme="minorHAnsi" w:hAnsiTheme="minorHAnsi" w:cstheme="minorHAnsi"/>
          <w:lang w:val="en-GB"/>
        </w:rPr>
        <w:t>opportunity to</w:t>
      </w:r>
      <w:r w:rsidR="005107C0" w:rsidRPr="004A1963">
        <w:rPr>
          <w:rFonts w:asciiTheme="minorHAnsi" w:hAnsiTheme="minorHAnsi" w:cstheme="minorHAnsi"/>
          <w:lang w:val="en-GB"/>
        </w:rPr>
        <w:t xml:space="preserve"> </w:t>
      </w:r>
      <w:r w:rsidRPr="004A1963">
        <w:rPr>
          <w:rFonts w:asciiTheme="minorHAnsi" w:hAnsiTheme="minorHAnsi" w:cstheme="minorHAnsi"/>
          <w:lang w:val="en-GB"/>
        </w:rPr>
        <w:t>determin</w:t>
      </w:r>
      <w:r w:rsidR="005107C0" w:rsidRPr="004A1963">
        <w:rPr>
          <w:rFonts w:asciiTheme="minorHAnsi" w:hAnsiTheme="minorHAnsi" w:cstheme="minorHAnsi"/>
          <w:lang w:val="en-GB"/>
        </w:rPr>
        <w:t>e</w:t>
      </w:r>
      <w:r w:rsidRPr="004A1963">
        <w:rPr>
          <w:rFonts w:asciiTheme="minorHAnsi" w:hAnsiTheme="minorHAnsi" w:cstheme="minorHAnsi"/>
          <w:lang w:val="en-GB"/>
        </w:rPr>
        <w:t xml:space="preserve"> fracture probability </w:t>
      </w:r>
      <w:r w:rsidR="00F25992">
        <w:rPr>
          <w:rFonts w:asciiTheme="minorHAnsi" w:hAnsiTheme="minorHAnsi" w:cstheme="minorHAnsi"/>
          <w:lang w:val="en-GB"/>
        </w:rPr>
        <w:t>within</w:t>
      </w:r>
      <w:r w:rsidR="00F25992" w:rsidRPr="004A1963">
        <w:rPr>
          <w:rFonts w:asciiTheme="minorHAnsi" w:hAnsiTheme="minorHAnsi" w:cstheme="minorHAnsi"/>
          <w:lang w:val="en-GB"/>
        </w:rPr>
        <w:t xml:space="preserve"> </w:t>
      </w:r>
      <w:r w:rsidRPr="004A1963">
        <w:rPr>
          <w:rFonts w:asciiTheme="minorHAnsi" w:hAnsiTheme="minorHAnsi" w:cstheme="minorHAnsi"/>
          <w:lang w:val="en-GB"/>
        </w:rPr>
        <w:t xml:space="preserve">the </w:t>
      </w:r>
      <w:r w:rsidR="005A1AF9" w:rsidRPr="004A1963">
        <w:rPr>
          <w:rFonts w:asciiTheme="minorHAnsi" w:hAnsiTheme="minorHAnsi" w:cstheme="minorHAnsi"/>
          <w:lang w:val="en-GB"/>
        </w:rPr>
        <w:t>Pakistan</w:t>
      </w:r>
      <w:r w:rsidRPr="004A1963">
        <w:rPr>
          <w:rFonts w:asciiTheme="minorHAnsi" w:hAnsiTheme="minorHAnsi" w:cstheme="minorHAnsi"/>
          <w:lang w:val="en-GB"/>
        </w:rPr>
        <w:t xml:space="preserve"> population and help guide decisions about treatment.</w:t>
      </w:r>
    </w:p>
    <w:p w14:paraId="01200CCA" w14:textId="77777777" w:rsidR="005107C0" w:rsidRPr="004A1963" w:rsidRDefault="005107C0" w:rsidP="00936AFC">
      <w:pPr>
        <w:spacing w:after="200" w:line="276" w:lineRule="auto"/>
        <w:ind w:left="567" w:right="142"/>
        <w:jc w:val="both"/>
        <w:rPr>
          <w:rFonts w:asciiTheme="minorHAnsi" w:hAnsiTheme="minorHAnsi" w:cstheme="minorHAnsi"/>
          <w:b/>
          <w:bCs/>
          <w:lang w:val="en-GB"/>
        </w:rPr>
      </w:pPr>
    </w:p>
    <w:p w14:paraId="3BFE537B" w14:textId="3959D59F" w:rsidR="00F6667E" w:rsidRPr="004A1963" w:rsidRDefault="00F6667E" w:rsidP="00936AFC">
      <w:pPr>
        <w:spacing w:after="200" w:line="276" w:lineRule="auto"/>
        <w:ind w:left="567" w:right="142"/>
        <w:jc w:val="both"/>
        <w:rPr>
          <w:rFonts w:asciiTheme="minorHAnsi" w:eastAsia="Calibri" w:hAnsiTheme="minorHAnsi" w:cstheme="minorHAnsi"/>
          <w:bCs/>
          <w:lang w:val="en-GB"/>
        </w:rPr>
      </w:pPr>
      <w:r w:rsidRPr="004A1963">
        <w:rPr>
          <w:rFonts w:asciiTheme="minorHAnsi" w:hAnsiTheme="minorHAnsi" w:cstheme="minorHAnsi"/>
          <w:b/>
          <w:bCs/>
          <w:lang w:val="en-GB"/>
        </w:rPr>
        <w:t xml:space="preserve">Keywords </w:t>
      </w:r>
      <w:r w:rsidR="00AC54C8" w:rsidRPr="004A1963">
        <w:rPr>
          <w:rFonts w:asciiTheme="minorHAnsi" w:eastAsia="Calibri" w:hAnsiTheme="minorHAnsi" w:cstheme="minorHAnsi"/>
          <w:bCs/>
          <w:lang w:val="en-GB"/>
        </w:rPr>
        <w:t>FRAX · Fracture probability</w:t>
      </w:r>
      <w:bookmarkStart w:id="3" w:name="_Hlk11759589"/>
      <w:r w:rsidR="00AC54C8" w:rsidRPr="004A1963">
        <w:rPr>
          <w:rFonts w:asciiTheme="minorHAnsi" w:eastAsia="Calibri" w:hAnsiTheme="minorHAnsi" w:cstheme="minorHAnsi"/>
          <w:bCs/>
          <w:lang w:val="en-GB"/>
        </w:rPr>
        <w:t xml:space="preserve"> · E</w:t>
      </w:r>
      <w:bookmarkEnd w:id="3"/>
      <w:r w:rsidR="00AC54C8" w:rsidRPr="004A1963">
        <w:rPr>
          <w:rFonts w:asciiTheme="minorHAnsi" w:eastAsia="Calibri" w:hAnsiTheme="minorHAnsi" w:cstheme="minorHAnsi"/>
          <w:bCs/>
          <w:lang w:val="en-GB"/>
        </w:rPr>
        <w:t>pidemiology · Hip fracture</w:t>
      </w:r>
      <w:bookmarkStart w:id="4" w:name="_Hlk11759647"/>
      <w:r w:rsidR="00AC54C8" w:rsidRPr="004A1963">
        <w:rPr>
          <w:rFonts w:asciiTheme="minorHAnsi" w:eastAsia="Calibri" w:hAnsiTheme="minorHAnsi" w:cstheme="minorHAnsi"/>
          <w:bCs/>
          <w:lang w:val="en-GB"/>
        </w:rPr>
        <w:t xml:space="preserve"> </w:t>
      </w:r>
      <w:r w:rsidR="00C205D2" w:rsidRPr="004A1963">
        <w:rPr>
          <w:rFonts w:asciiTheme="minorHAnsi" w:eastAsia="Calibri" w:hAnsiTheme="minorHAnsi" w:cstheme="minorHAnsi"/>
          <w:bCs/>
          <w:lang w:val="en-GB"/>
        </w:rPr>
        <w:t xml:space="preserve">· </w:t>
      </w:r>
      <w:bookmarkEnd w:id="4"/>
      <w:r w:rsidR="005A1AF9" w:rsidRPr="004A1963">
        <w:rPr>
          <w:rFonts w:asciiTheme="minorHAnsi" w:eastAsia="Calibri" w:hAnsiTheme="minorHAnsi" w:cstheme="minorHAnsi"/>
          <w:bCs/>
          <w:lang w:val="en-GB"/>
        </w:rPr>
        <w:t>Singapore</w:t>
      </w:r>
      <w:r w:rsidR="00D74A1F">
        <w:rPr>
          <w:rFonts w:asciiTheme="minorHAnsi" w:eastAsia="Calibri" w:hAnsiTheme="minorHAnsi" w:cstheme="minorHAnsi"/>
          <w:bCs/>
          <w:lang w:val="en-GB"/>
        </w:rPr>
        <w:t>an</w:t>
      </w:r>
      <w:r w:rsidR="005A1AF9" w:rsidRPr="004A1963">
        <w:rPr>
          <w:rFonts w:asciiTheme="minorHAnsi" w:eastAsia="Calibri" w:hAnsiTheme="minorHAnsi" w:cstheme="minorHAnsi"/>
          <w:bCs/>
          <w:lang w:val="en-GB"/>
        </w:rPr>
        <w:t xml:space="preserve"> </w:t>
      </w:r>
      <w:r w:rsidR="00D74A1F">
        <w:rPr>
          <w:rFonts w:asciiTheme="minorHAnsi" w:eastAsia="Calibri" w:hAnsiTheme="minorHAnsi" w:cstheme="minorHAnsi"/>
          <w:bCs/>
          <w:lang w:val="en-GB"/>
        </w:rPr>
        <w:t>I</w:t>
      </w:r>
      <w:r w:rsidR="00D74A1F" w:rsidRPr="004A1963">
        <w:rPr>
          <w:rFonts w:asciiTheme="minorHAnsi" w:eastAsia="Calibri" w:hAnsiTheme="minorHAnsi" w:cstheme="minorHAnsi"/>
          <w:bCs/>
          <w:lang w:val="en-GB"/>
        </w:rPr>
        <w:t xml:space="preserve">ndians </w:t>
      </w:r>
      <w:r w:rsidR="00BB58E2" w:rsidRPr="004A1963">
        <w:rPr>
          <w:rFonts w:asciiTheme="minorHAnsi" w:eastAsia="Calibri" w:hAnsiTheme="minorHAnsi" w:cstheme="minorHAnsi"/>
          <w:bCs/>
          <w:lang w:val="en-GB"/>
        </w:rPr>
        <w:t xml:space="preserve">· Surrogate · </w:t>
      </w:r>
      <w:r w:rsidR="005A1AF9" w:rsidRPr="004A1963">
        <w:rPr>
          <w:rFonts w:asciiTheme="minorHAnsi" w:hAnsiTheme="minorHAnsi" w:cstheme="minorHAnsi"/>
          <w:lang w:val="en-GB"/>
        </w:rPr>
        <w:t>Pakistan</w:t>
      </w:r>
    </w:p>
    <w:p w14:paraId="570ABC58" w14:textId="55258891" w:rsidR="003C4AA2" w:rsidRPr="005A1AF9" w:rsidRDefault="003C4AA2" w:rsidP="00936AFC">
      <w:pPr>
        <w:spacing w:line="276" w:lineRule="auto"/>
        <w:ind w:left="567" w:right="142"/>
        <w:jc w:val="both"/>
        <w:rPr>
          <w:rFonts w:asciiTheme="minorHAnsi" w:hAnsiTheme="minorHAnsi" w:cstheme="minorHAnsi"/>
          <w:color w:val="FF0000"/>
          <w:lang w:val="en-GB"/>
        </w:rPr>
      </w:pPr>
      <w:r w:rsidRPr="005A1AF9">
        <w:rPr>
          <w:rFonts w:asciiTheme="minorHAnsi" w:hAnsiTheme="minorHAnsi" w:cstheme="minorHAnsi"/>
          <w:color w:val="FF0000"/>
          <w:lang w:val="en-GB"/>
        </w:rPr>
        <w:br w:type="page"/>
      </w:r>
    </w:p>
    <w:p w14:paraId="25B00C51" w14:textId="3FA38F3B" w:rsidR="00007904" w:rsidRPr="0031337B" w:rsidRDefault="006E2F26" w:rsidP="00936AFC">
      <w:pPr>
        <w:keepNext/>
        <w:keepLines/>
        <w:spacing w:before="200" w:line="276" w:lineRule="auto"/>
        <w:ind w:left="567" w:right="142"/>
        <w:outlineLvl w:val="1"/>
        <w:rPr>
          <w:rFonts w:asciiTheme="minorHAnsi" w:hAnsiTheme="minorHAnsi" w:cstheme="minorHAnsi"/>
          <w:b/>
          <w:bCs/>
          <w:lang w:val="en-GB"/>
        </w:rPr>
      </w:pPr>
      <w:r w:rsidRPr="0031337B">
        <w:rPr>
          <w:rFonts w:asciiTheme="minorHAnsi" w:hAnsiTheme="minorHAnsi" w:cstheme="minorHAnsi"/>
          <w:b/>
          <w:bCs/>
          <w:lang w:val="en-GB"/>
        </w:rPr>
        <w:lastRenderedPageBreak/>
        <w:t>Introductio</w:t>
      </w:r>
      <w:r w:rsidR="00AC5172" w:rsidRPr="0031337B">
        <w:rPr>
          <w:rFonts w:asciiTheme="minorHAnsi" w:hAnsiTheme="minorHAnsi" w:cstheme="minorHAnsi"/>
          <w:b/>
          <w:bCs/>
          <w:lang w:val="en-GB"/>
        </w:rPr>
        <w:t>n</w:t>
      </w:r>
    </w:p>
    <w:p w14:paraId="33EC8E67" w14:textId="2B8D38FC" w:rsidR="00F26567" w:rsidRDefault="007C6ABB" w:rsidP="00BE79B0">
      <w:pPr>
        <w:keepNext/>
        <w:keepLines/>
        <w:spacing w:before="200" w:line="276" w:lineRule="auto"/>
        <w:ind w:left="567" w:right="142"/>
        <w:outlineLvl w:val="1"/>
        <w:rPr>
          <w:rFonts w:asciiTheme="minorHAnsi" w:hAnsiTheme="minorHAnsi" w:cstheme="minorHAnsi"/>
          <w:lang w:val="en-GB"/>
        </w:rPr>
      </w:pPr>
      <w:r w:rsidRPr="007C6ABB">
        <w:rPr>
          <w:rFonts w:asciiTheme="minorHAnsi" w:hAnsiTheme="minorHAnsi" w:cstheme="minorHAnsi"/>
          <w:lang w:val="en-GB"/>
        </w:rPr>
        <w:t xml:space="preserve">In 2008, the </w:t>
      </w:r>
      <w:r w:rsidR="00F25992">
        <w:rPr>
          <w:rFonts w:asciiTheme="minorHAnsi" w:hAnsiTheme="minorHAnsi" w:cstheme="minorHAnsi"/>
          <w:lang w:val="en-GB"/>
        </w:rPr>
        <w:t xml:space="preserve">then </w:t>
      </w:r>
      <w:r w:rsidRPr="007C6ABB">
        <w:rPr>
          <w:rFonts w:asciiTheme="minorHAnsi" w:hAnsiTheme="minorHAnsi" w:cstheme="minorHAnsi"/>
          <w:lang w:val="en-GB"/>
        </w:rPr>
        <w:t xml:space="preserve">WHO Collaborating Centre for Metabolic Bone Diseases at the University of Sheffield, UK </w:t>
      </w:r>
      <w:r w:rsidR="00F25992">
        <w:rPr>
          <w:rFonts w:asciiTheme="minorHAnsi" w:hAnsiTheme="minorHAnsi" w:cstheme="minorHAnsi"/>
          <w:lang w:val="en-GB"/>
        </w:rPr>
        <w:t>launched the FRAX</w:t>
      </w:r>
      <w:r w:rsidR="00F25992" w:rsidRPr="007C6ABB">
        <w:rPr>
          <w:rFonts w:asciiTheme="minorHAnsi" w:hAnsiTheme="minorHAnsi" w:cstheme="minorHAnsi"/>
          <w:lang w:val="en-GB"/>
        </w:rPr>
        <w:t>®</w:t>
      </w:r>
      <w:r w:rsidR="00F25992">
        <w:rPr>
          <w:rFonts w:asciiTheme="minorHAnsi" w:hAnsiTheme="minorHAnsi" w:cstheme="minorHAnsi"/>
          <w:lang w:val="en-GB"/>
        </w:rPr>
        <w:t xml:space="preserve"> tool for the calculation of 10-year</w:t>
      </w:r>
      <w:r w:rsidRPr="007C6ABB">
        <w:rPr>
          <w:rFonts w:asciiTheme="minorHAnsi" w:hAnsiTheme="minorHAnsi" w:cstheme="minorHAnsi"/>
          <w:lang w:val="en-GB"/>
        </w:rPr>
        <w:t xml:space="preserve"> fracture probabilities in women and men from readily obtained clinical risk factors (CRFs) and </w:t>
      </w:r>
      <w:r w:rsidR="00861EB3" w:rsidRPr="00861EB3">
        <w:rPr>
          <w:rFonts w:asciiTheme="minorHAnsi" w:hAnsiTheme="minorHAnsi" w:cstheme="minorHAnsi"/>
          <w:lang w:val="en-GB"/>
        </w:rPr>
        <w:t>bone mineral density</w:t>
      </w:r>
      <w:r w:rsidR="00861EB3">
        <w:rPr>
          <w:rFonts w:asciiTheme="minorHAnsi" w:hAnsiTheme="minorHAnsi" w:cstheme="minorHAnsi"/>
          <w:lang w:val="en-GB"/>
        </w:rPr>
        <w:t xml:space="preserve"> </w:t>
      </w:r>
      <w:r w:rsidR="00130D68">
        <w:rPr>
          <w:rFonts w:asciiTheme="minorHAnsi" w:hAnsiTheme="minorHAnsi" w:cstheme="minorHAnsi"/>
          <w:lang w:val="en-GB"/>
        </w:rPr>
        <w:t>(</w:t>
      </w:r>
      <w:r w:rsidRPr="007C6ABB">
        <w:rPr>
          <w:rFonts w:asciiTheme="minorHAnsi" w:hAnsiTheme="minorHAnsi" w:cstheme="minorHAnsi"/>
          <w:lang w:val="en-GB"/>
        </w:rPr>
        <w:t>BMD</w:t>
      </w:r>
      <w:r w:rsidR="00130D68">
        <w:rPr>
          <w:rFonts w:asciiTheme="minorHAnsi" w:hAnsiTheme="minorHAnsi" w:cstheme="minorHAnsi"/>
          <w:lang w:val="en-GB"/>
        </w:rPr>
        <w:t>)</w:t>
      </w:r>
      <w:r w:rsidRPr="007C6ABB">
        <w:rPr>
          <w:rFonts w:asciiTheme="minorHAnsi" w:hAnsiTheme="minorHAnsi" w:cstheme="minorHAnsi"/>
          <w:lang w:val="en-GB"/>
        </w:rPr>
        <w:t xml:space="preserve"> measurements at the femoral neck (http://www.shef.ac.uk/FRAX). The algorithm (FRAX) was based on a series of meta-analyses using primary data from population-based cohorts that </w:t>
      </w:r>
      <w:r w:rsidR="00BE79B0">
        <w:rPr>
          <w:rFonts w:asciiTheme="minorHAnsi" w:hAnsiTheme="minorHAnsi" w:cstheme="minorHAnsi"/>
          <w:lang w:val="en-GB"/>
        </w:rPr>
        <w:t xml:space="preserve">examined a list of candidate </w:t>
      </w:r>
      <w:r w:rsidR="008F2B50">
        <w:rPr>
          <w:rFonts w:asciiTheme="minorHAnsi" w:hAnsiTheme="minorHAnsi" w:cstheme="minorHAnsi"/>
          <w:lang w:val="en-GB"/>
        </w:rPr>
        <w:t>clinical risk factors</w:t>
      </w:r>
      <w:r w:rsidRPr="007C6ABB">
        <w:rPr>
          <w:rFonts w:asciiTheme="minorHAnsi" w:hAnsiTheme="minorHAnsi" w:cstheme="minorHAnsi"/>
          <w:lang w:val="en-GB"/>
        </w:rPr>
        <w:t xml:space="preserve"> for fracture [</w:t>
      </w:r>
      <w:r w:rsidR="00D917B4">
        <w:rPr>
          <w:rFonts w:asciiTheme="minorHAnsi" w:hAnsiTheme="minorHAnsi" w:cstheme="minorHAnsi"/>
          <w:lang w:val="en-GB"/>
        </w:rPr>
        <w:t>1, 2]</w:t>
      </w:r>
      <w:r w:rsidR="007532B2">
        <w:rPr>
          <w:rFonts w:asciiTheme="minorHAnsi" w:hAnsiTheme="minorHAnsi" w:cstheme="minorHAnsi"/>
          <w:lang w:val="en-GB"/>
        </w:rPr>
        <w:t>.</w:t>
      </w:r>
      <w:r w:rsidR="00D917B4">
        <w:rPr>
          <w:rFonts w:asciiTheme="minorHAnsi" w:hAnsiTheme="minorHAnsi" w:cstheme="minorHAnsi"/>
          <w:lang w:val="en-GB"/>
        </w:rPr>
        <w:t xml:space="preserve"> </w:t>
      </w:r>
      <w:r w:rsidR="007532B2">
        <w:rPr>
          <w:rFonts w:asciiTheme="minorHAnsi" w:hAnsiTheme="minorHAnsi" w:cstheme="minorHAnsi"/>
          <w:lang w:val="en-GB"/>
        </w:rPr>
        <w:t xml:space="preserve"> </w:t>
      </w:r>
      <w:r w:rsidR="00BE79B0">
        <w:rPr>
          <w:rFonts w:asciiTheme="minorHAnsi" w:hAnsiTheme="minorHAnsi" w:cstheme="minorHAnsi"/>
          <w:lang w:val="en-GB"/>
        </w:rPr>
        <w:t xml:space="preserve">The output of </w:t>
      </w:r>
      <w:r w:rsidRPr="007C6ABB">
        <w:rPr>
          <w:rFonts w:asciiTheme="minorHAnsi" w:hAnsiTheme="minorHAnsi" w:cstheme="minorHAnsi"/>
          <w:lang w:val="en-GB"/>
        </w:rPr>
        <w:t xml:space="preserve">FRAX </w:t>
      </w:r>
      <w:r w:rsidR="00BE79B0">
        <w:rPr>
          <w:rFonts w:asciiTheme="minorHAnsi" w:hAnsiTheme="minorHAnsi" w:cstheme="minorHAnsi"/>
          <w:lang w:val="en-GB"/>
        </w:rPr>
        <w:t xml:space="preserve">comprises </w:t>
      </w:r>
      <w:r w:rsidRPr="007C6ABB">
        <w:rPr>
          <w:rFonts w:asciiTheme="minorHAnsi" w:hAnsiTheme="minorHAnsi" w:cstheme="minorHAnsi"/>
          <w:lang w:val="en-GB"/>
        </w:rPr>
        <w:t>the probability of major osteoporotic fracture (hip, spine, distal forearm or proximal humerus) or hip fracture</w:t>
      </w:r>
      <w:r w:rsidR="00BE79B0">
        <w:rPr>
          <w:rFonts w:asciiTheme="minorHAnsi" w:hAnsiTheme="minorHAnsi" w:cstheme="minorHAnsi"/>
          <w:lang w:val="en-GB"/>
        </w:rPr>
        <w:t xml:space="preserve">.  This probability is in turn dependent upon the </w:t>
      </w:r>
      <w:r w:rsidRPr="007C6ABB">
        <w:rPr>
          <w:rFonts w:asciiTheme="minorHAnsi" w:hAnsiTheme="minorHAnsi" w:cstheme="minorHAnsi"/>
          <w:lang w:val="en-GB"/>
        </w:rPr>
        <w:t>risk of fracture and the competing risk of death, both of which vary from country to country [</w:t>
      </w:r>
      <w:r w:rsidR="00D917B4">
        <w:rPr>
          <w:rFonts w:asciiTheme="minorHAnsi" w:hAnsiTheme="minorHAnsi" w:cstheme="minorHAnsi"/>
          <w:lang w:val="en-GB"/>
        </w:rPr>
        <w:t>3]</w:t>
      </w:r>
      <w:r w:rsidRPr="007C6ABB">
        <w:rPr>
          <w:rFonts w:asciiTheme="minorHAnsi" w:hAnsiTheme="minorHAnsi" w:cstheme="minorHAnsi"/>
          <w:lang w:val="en-GB"/>
        </w:rPr>
        <w:t xml:space="preserve">. </w:t>
      </w:r>
      <w:r w:rsidR="00BE79B0">
        <w:rPr>
          <w:rFonts w:asciiTheme="minorHAnsi" w:hAnsiTheme="minorHAnsi" w:cstheme="minorHAnsi"/>
          <w:lang w:val="en-GB"/>
        </w:rPr>
        <w:t xml:space="preserve"> </w:t>
      </w:r>
      <w:r w:rsidR="00BE79B0" w:rsidRPr="00F37046">
        <w:rPr>
          <w:rFonts w:asciiTheme="minorHAnsi" w:hAnsiTheme="minorHAnsi" w:cstheme="minorHAnsi"/>
          <w:lang w:val="en-GB"/>
        </w:rPr>
        <w:t xml:space="preserve">Ideally, data for </w:t>
      </w:r>
      <w:r w:rsidR="00BE79B0">
        <w:rPr>
          <w:rFonts w:asciiTheme="minorHAnsi" w:hAnsiTheme="minorHAnsi" w:cstheme="minorHAnsi"/>
          <w:lang w:val="en-GB"/>
        </w:rPr>
        <w:t>age-specific incidences of</w:t>
      </w:r>
      <w:r w:rsidR="00BE79B0" w:rsidRPr="00F37046">
        <w:rPr>
          <w:rFonts w:asciiTheme="minorHAnsi" w:hAnsiTheme="minorHAnsi" w:cstheme="minorHAnsi"/>
          <w:lang w:val="en-GB"/>
        </w:rPr>
        <w:t xml:space="preserve"> fracture and death should be available for the construction of country specific FRAX models</w:t>
      </w:r>
      <w:r w:rsidR="00BE79B0">
        <w:rPr>
          <w:rFonts w:asciiTheme="minorHAnsi" w:hAnsiTheme="minorHAnsi" w:cstheme="minorHAnsi"/>
          <w:lang w:val="en-GB"/>
        </w:rPr>
        <w:t>, but information on fracture incidence is frequently poor or absent</w:t>
      </w:r>
      <w:r w:rsidR="00BE79B0" w:rsidRPr="00F37046">
        <w:rPr>
          <w:rFonts w:asciiTheme="minorHAnsi" w:hAnsiTheme="minorHAnsi" w:cstheme="minorHAnsi"/>
          <w:lang w:val="en-GB"/>
        </w:rPr>
        <w:t>.</w:t>
      </w:r>
      <w:r w:rsidR="00BE79B0">
        <w:rPr>
          <w:rFonts w:asciiTheme="minorHAnsi" w:hAnsiTheme="minorHAnsi" w:cstheme="minorHAnsi"/>
          <w:lang w:val="en-GB"/>
        </w:rPr>
        <w:t xml:space="preserve">  On a positive note, t</w:t>
      </w:r>
      <w:r w:rsidR="00BE79B0" w:rsidRPr="0031337B">
        <w:rPr>
          <w:rFonts w:asciiTheme="minorHAnsi" w:hAnsiTheme="minorHAnsi" w:cstheme="minorHAnsi"/>
          <w:lang w:val="en-GB"/>
        </w:rPr>
        <w:t xml:space="preserve">he availability of FRAX has stimulated studies </w:t>
      </w:r>
      <w:r w:rsidR="00BE79B0">
        <w:rPr>
          <w:rFonts w:asciiTheme="minorHAnsi" w:hAnsiTheme="minorHAnsi" w:cstheme="minorHAnsi"/>
          <w:lang w:val="en-GB"/>
        </w:rPr>
        <w:t xml:space="preserve">of fracture incidence </w:t>
      </w:r>
      <w:r w:rsidR="00BE79B0" w:rsidRPr="0031337B">
        <w:rPr>
          <w:rFonts w:asciiTheme="minorHAnsi" w:hAnsiTheme="minorHAnsi" w:cstheme="minorHAnsi"/>
          <w:lang w:val="en-GB"/>
        </w:rPr>
        <w:t>that can be used for the generation of new FRAX models</w:t>
      </w:r>
      <w:r w:rsidR="00BE79B0">
        <w:rPr>
          <w:rFonts w:asciiTheme="minorHAnsi" w:hAnsiTheme="minorHAnsi" w:cstheme="minorHAnsi"/>
          <w:lang w:val="en-GB"/>
        </w:rPr>
        <w:t>; s</w:t>
      </w:r>
      <w:r w:rsidR="00BE79B0" w:rsidRPr="0031337B">
        <w:rPr>
          <w:rFonts w:asciiTheme="minorHAnsi" w:hAnsiTheme="minorHAnsi" w:cstheme="minorHAnsi"/>
          <w:lang w:val="en-GB"/>
        </w:rPr>
        <w:t xml:space="preserve">pecific examples include </w:t>
      </w:r>
      <w:r w:rsidR="00BE79B0">
        <w:rPr>
          <w:rFonts w:asciiTheme="minorHAnsi" w:hAnsiTheme="minorHAnsi" w:cstheme="minorHAnsi"/>
          <w:lang w:val="en-GB"/>
        </w:rPr>
        <w:t xml:space="preserve">Armenia, Belarus, </w:t>
      </w:r>
      <w:r w:rsidR="00BE79B0" w:rsidRPr="0031337B">
        <w:rPr>
          <w:rFonts w:asciiTheme="minorHAnsi" w:hAnsiTheme="minorHAnsi" w:cstheme="minorHAnsi"/>
          <w:lang w:val="en-GB"/>
        </w:rPr>
        <w:t xml:space="preserve">Brazil, </w:t>
      </w:r>
      <w:r w:rsidR="00BE79B0">
        <w:rPr>
          <w:rFonts w:asciiTheme="minorHAnsi" w:hAnsiTheme="minorHAnsi" w:cstheme="minorHAnsi"/>
          <w:lang w:val="en-GB"/>
        </w:rPr>
        <w:t xml:space="preserve">Kazakhstan, </w:t>
      </w:r>
      <w:r w:rsidR="00BE79B0" w:rsidRPr="0031337B">
        <w:rPr>
          <w:rFonts w:asciiTheme="minorHAnsi" w:hAnsiTheme="minorHAnsi" w:cstheme="minorHAnsi"/>
          <w:lang w:val="en-GB"/>
        </w:rPr>
        <w:t>Mexico</w:t>
      </w:r>
      <w:r w:rsidR="00BE79B0">
        <w:rPr>
          <w:rFonts w:asciiTheme="minorHAnsi" w:hAnsiTheme="minorHAnsi" w:cstheme="minorHAnsi"/>
          <w:lang w:val="en-GB"/>
        </w:rPr>
        <w:t>, Russia</w:t>
      </w:r>
      <w:r w:rsidR="009D1F43">
        <w:rPr>
          <w:rFonts w:asciiTheme="minorHAnsi" w:hAnsiTheme="minorHAnsi" w:cstheme="minorHAnsi"/>
          <w:lang w:val="en-GB"/>
        </w:rPr>
        <w:t>,</w:t>
      </w:r>
      <w:r w:rsidR="00BE79B0" w:rsidRPr="0031337B">
        <w:rPr>
          <w:rFonts w:asciiTheme="minorHAnsi" w:hAnsiTheme="minorHAnsi" w:cstheme="minorHAnsi"/>
          <w:lang w:val="en-GB"/>
        </w:rPr>
        <w:t xml:space="preserve"> Turkey</w:t>
      </w:r>
      <w:r w:rsidR="00BE79B0">
        <w:rPr>
          <w:rFonts w:asciiTheme="minorHAnsi" w:hAnsiTheme="minorHAnsi" w:cstheme="minorHAnsi"/>
          <w:lang w:val="en-GB"/>
        </w:rPr>
        <w:t xml:space="preserve"> and Uzbekistan</w:t>
      </w:r>
      <w:r w:rsidR="00BE79B0" w:rsidRPr="0031337B">
        <w:rPr>
          <w:rFonts w:asciiTheme="minorHAnsi" w:hAnsiTheme="minorHAnsi" w:cstheme="minorHAnsi"/>
          <w:lang w:val="en-GB"/>
        </w:rPr>
        <w:t xml:space="preserve"> [</w:t>
      </w:r>
      <w:r w:rsidR="00566ED7">
        <w:rPr>
          <w:rFonts w:asciiTheme="minorHAnsi" w:hAnsiTheme="minorHAnsi" w:cstheme="minorHAnsi"/>
          <w:lang w:val="en-GB"/>
        </w:rPr>
        <w:t>4]</w:t>
      </w:r>
      <w:r w:rsidR="00BE79B0" w:rsidRPr="00F37046">
        <w:rPr>
          <w:rFonts w:asciiTheme="minorHAnsi" w:hAnsiTheme="minorHAnsi" w:cstheme="minorHAnsi"/>
          <w:lang w:val="en-GB"/>
        </w:rPr>
        <w:t xml:space="preserve">.  </w:t>
      </w:r>
    </w:p>
    <w:p w14:paraId="0DC5BB62" w14:textId="0BD05807" w:rsidR="00BE79B0" w:rsidRPr="0031337B" w:rsidRDefault="00BE79B0" w:rsidP="00BE79B0">
      <w:pPr>
        <w:keepNext/>
        <w:keepLines/>
        <w:spacing w:before="200" w:line="276" w:lineRule="auto"/>
        <w:ind w:left="567" w:right="142"/>
        <w:outlineLvl w:val="1"/>
        <w:rPr>
          <w:rFonts w:asciiTheme="minorHAnsi" w:hAnsiTheme="minorHAnsi" w:cstheme="minorHAnsi"/>
          <w:lang w:val="en-GB"/>
        </w:rPr>
      </w:pPr>
      <w:r w:rsidRPr="00F37046">
        <w:rPr>
          <w:rFonts w:asciiTheme="minorHAnsi" w:hAnsiTheme="minorHAnsi" w:cstheme="minorHAnsi"/>
          <w:lang w:val="en-GB"/>
        </w:rPr>
        <w:t xml:space="preserve">Recognizing that data on hip and other fractures are not always available, the International Society for Clinical Densitometry and International Osteoporosis Foundation recommend </w:t>
      </w:r>
      <w:r>
        <w:rPr>
          <w:rFonts w:asciiTheme="minorHAnsi" w:hAnsiTheme="minorHAnsi" w:cstheme="minorHAnsi"/>
          <w:lang w:val="en-GB"/>
        </w:rPr>
        <w:t>the development of</w:t>
      </w:r>
      <w:r w:rsidRPr="00F37046">
        <w:rPr>
          <w:rFonts w:asciiTheme="minorHAnsi" w:hAnsiTheme="minorHAnsi" w:cstheme="minorHAnsi"/>
          <w:lang w:val="en-GB"/>
        </w:rPr>
        <w:t xml:space="preserve"> a surrogate FRAX model</w:t>
      </w:r>
      <w:r>
        <w:rPr>
          <w:rFonts w:asciiTheme="minorHAnsi" w:hAnsiTheme="minorHAnsi" w:cstheme="minorHAnsi"/>
          <w:lang w:val="en-GB"/>
        </w:rPr>
        <w:t xml:space="preserve"> to be used until country-specific data are collected</w:t>
      </w:r>
      <w:r w:rsidR="002B71DD">
        <w:rPr>
          <w:rFonts w:asciiTheme="minorHAnsi" w:hAnsiTheme="minorHAnsi" w:cstheme="minorHAnsi"/>
          <w:lang w:val="en-GB"/>
        </w:rPr>
        <w:t xml:space="preserve"> and made available.  Such surrogate models are</w:t>
      </w:r>
      <w:r w:rsidRPr="00F37046">
        <w:rPr>
          <w:rFonts w:asciiTheme="minorHAnsi" w:hAnsiTheme="minorHAnsi" w:cstheme="minorHAnsi"/>
          <w:lang w:val="en-GB"/>
        </w:rPr>
        <w:t xml:space="preserve"> based on </w:t>
      </w:r>
      <w:r w:rsidR="002B71DD">
        <w:rPr>
          <w:rFonts w:asciiTheme="minorHAnsi" w:hAnsiTheme="minorHAnsi" w:cstheme="minorHAnsi"/>
          <w:lang w:val="en-GB"/>
        </w:rPr>
        <w:t xml:space="preserve">age- and sex-specific mortality data from </w:t>
      </w:r>
      <w:r w:rsidRPr="00F37046">
        <w:rPr>
          <w:rFonts w:asciiTheme="minorHAnsi" w:hAnsiTheme="minorHAnsi" w:cstheme="minorHAnsi"/>
          <w:lang w:val="en-GB"/>
        </w:rPr>
        <w:t xml:space="preserve">the </w:t>
      </w:r>
      <w:r w:rsidR="002B71DD">
        <w:rPr>
          <w:rFonts w:asciiTheme="minorHAnsi" w:hAnsiTheme="minorHAnsi" w:cstheme="minorHAnsi"/>
          <w:lang w:val="en-GB"/>
        </w:rPr>
        <w:t xml:space="preserve">index </w:t>
      </w:r>
      <w:r w:rsidRPr="00F37046">
        <w:rPr>
          <w:rFonts w:asciiTheme="minorHAnsi" w:hAnsiTheme="minorHAnsi" w:cstheme="minorHAnsi"/>
          <w:lang w:val="en-GB"/>
        </w:rPr>
        <w:t>country</w:t>
      </w:r>
      <w:r w:rsidR="002B71DD">
        <w:rPr>
          <w:rFonts w:asciiTheme="minorHAnsi" w:hAnsiTheme="minorHAnsi" w:cstheme="minorHAnsi"/>
          <w:lang w:val="en-GB"/>
        </w:rPr>
        <w:t>, combined with age</w:t>
      </w:r>
      <w:r w:rsidRPr="00F37046">
        <w:rPr>
          <w:rFonts w:asciiTheme="minorHAnsi" w:hAnsiTheme="minorHAnsi" w:cstheme="minorHAnsi"/>
          <w:lang w:val="en-GB"/>
        </w:rPr>
        <w:t>-specific</w:t>
      </w:r>
      <w:r w:rsidR="002B71DD">
        <w:rPr>
          <w:rFonts w:asciiTheme="minorHAnsi" w:hAnsiTheme="minorHAnsi" w:cstheme="minorHAnsi"/>
          <w:lang w:val="en-GB"/>
        </w:rPr>
        <w:t>, sex-specific</w:t>
      </w:r>
      <w:r w:rsidRPr="00F37046">
        <w:rPr>
          <w:rFonts w:asciiTheme="minorHAnsi" w:hAnsiTheme="minorHAnsi" w:cstheme="minorHAnsi"/>
          <w:lang w:val="en-GB"/>
        </w:rPr>
        <w:t xml:space="preserve"> </w:t>
      </w:r>
      <w:r w:rsidR="002B71DD">
        <w:rPr>
          <w:rFonts w:asciiTheme="minorHAnsi" w:hAnsiTheme="minorHAnsi" w:cstheme="minorHAnsi"/>
          <w:lang w:val="en-GB"/>
        </w:rPr>
        <w:t xml:space="preserve">rates of </w:t>
      </w:r>
      <w:r w:rsidRPr="00F37046">
        <w:rPr>
          <w:rFonts w:asciiTheme="minorHAnsi" w:hAnsiTheme="minorHAnsi" w:cstheme="minorHAnsi"/>
          <w:lang w:val="en-GB"/>
        </w:rPr>
        <w:t xml:space="preserve">fracture </w:t>
      </w:r>
      <w:r w:rsidR="002B71DD">
        <w:rPr>
          <w:rFonts w:asciiTheme="minorHAnsi" w:hAnsiTheme="minorHAnsi" w:cstheme="minorHAnsi"/>
          <w:lang w:val="en-GB"/>
        </w:rPr>
        <w:t>derived from a</w:t>
      </w:r>
      <w:r w:rsidRPr="00F37046">
        <w:rPr>
          <w:rFonts w:asciiTheme="minorHAnsi" w:hAnsiTheme="minorHAnsi" w:cstheme="minorHAnsi"/>
          <w:lang w:val="en-GB"/>
        </w:rPr>
        <w:t xml:space="preserve"> country</w:t>
      </w:r>
      <w:r w:rsidR="002B71DD">
        <w:rPr>
          <w:rFonts w:asciiTheme="minorHAnsi" w:hAnsiTheme="minorHAnsi" w:cstheme="minorHAnsi"/>
          <w:lang w:val="en-GB"/>
        </w:rPr>
        <w:t>, usually nearby,</w:t>
      </w:r>
      <w:r w:rsidRPr="00F37046">
        <w:rPr>
          <w:rFonts w:asciiTheme="minorHAnsi" w:hAnsiTheme="minorHAnsi" w:cstheme="minorHAnsi"/>
          <w:lang w:val="en-GB"/>
        </w:rPr>
        <w:t xml:space="preserve"> where fracture rates are considered to be representative of the index country [</w:t>
      </w:r>
      <w:r w:rsidR="00566ED7">
        <w:rPr>
          <w:rFonts w:asciiTheme="minorHAnsi" w:hAnsiTheme="minorHAnsi" w:cstheme="minorHAnsi"/>
          <w:lang w:val="en-GB"/>
        </w:rPr>
        <w:t>5</w:t>
      </w:r>
      <w:r w:rsidRPr="0031337B">
        <w:rPr>
          <w:rFonts w:asciiTheme="minorHAnsi" w:hAnsiTheme="minorHAnsi" w:cstheme="minorHAnsi"/>
          <w:lang w:val="en-GB"/>
        </w:rPr>
        <w:t xml:space="preserve">]. Of the </w:t>
      </w:r>
      <w:r>
        <w:rPr>
          <w:rFonts w:asciiTheme="minorHAnsi" w:hAnsiTheme="minorHAnsi" w:cstheme="minorHAnsi"/>
          <w:lang w:val="en-GB"/>
        </w:rPr>
        <w:t>73</w:t>
      </w:r>
      <w:r w:rsidRPr="0031337B">
        <w:rPr>
          <w:rFonts w:asciiTheme="minorHAnsi" w:hAnsiTheme="minorHAnsi" w:cstheme="minorHAnsi"/>
          <w:lang w:val="en-GB"/>
        </w:rPr>
        <w:t xml:space="preserve"> countries for which a FRAX model is available, six FRAX country-specific models currently use surrogate data on fracture risk (Georgia, India, </w:t>
      </w:r>
      <w:proofErr w:type="spellStart"/>
      <w:r w:rsidRPr="0031337B">
        <w:rPr>
          <w:rFonts w:asciiTheme="minorHAnsi" w:hAnsiTheme="minorHAnsi" w:cstheme="minorHAnsi"/>
          <w:lang w:val="en-GB"/>
        </w:rPr>
        <w:t>Kyrgystan</w:t>
      </w:r>
      <w:proofErr w:type="spellEnd"/>
      <w:r w:rsidRPr="0031337B">
        <w:rPr>
          <w:rFonts w:asciiTheme="minorHAnsi" w:hAnsiTheme="minorHAnsi" w:cstheme="minorHAnsi"/>
          <w:lang w:val="en-GB"/>
        </w:rPr>
        <w:t xml:space="preserve">, Palestine, Sri Lanka and Syria).  </w:t>
      </w:r>
      <w:r w:rsidR="002B71DD">
        <w:rPr>
          <w:rFonts w:asciiTheme="minorHAnsi" w:hAnsiTheme="minorHAnsi" w:cstheme="minorHAnsi"/>
          <w:lang w:val="en-GB"/>
        </w:rPr>
        <w:t>In the absence of good epidemiological data on fracture</w:t>
      </w:r>
      <w:r w:rsidR="00520346">
        <w:rPr>
          <w:rFonts w:asciiTheme="minorHAnsi" w:hAnsiTheme="minorHAnsi" w:cstheme="minorHAnsi"/>
          <w:lang w:val="en-GB"/>
        </w:rPr>
        <w:t xml:space="preserve"> [</w:t>
      </w:r>
      <w:r w:rsidR="00566ED7">
        <w:rPr>
          <w:rFonts w:asciiTheme="minorHAnsi" w:hAnsiTheme="minorHAnsi" w:cstheme="minorHAnsi"/>
          <w:lang w:val="en-GB"/>
        </w:rPr>
        <w:t>6]</w:t>
      </w:r>
      <w:r w:rsidR="002B71DD">
        <w:rPr>
          <w:rFonts w:asciiTheme="minorHAnsi" w:hAnsiTheme="minorHAnsi" w:cstheme="minorHAnsi"/>
          <w:lang w:val="en-GB"/>
        </w:rPr>
        <w:t>, t</w:t>
      </w:r>
      <w:r w:rsidRPr="0031337B">
        <w:rPr>
          <w:rFonts w:asciiTheme="minorHAnsi" w:hAnsiTheme="minorHAnsi" w:cstheme="minorHAnsi"/>
          <w:lang w:val="en-GB"/>
        </w:rPr>
        <w:t>he present report describes the development of a surrogate FRAX model for Pakistan.</w:t>
      </w:r>
    </w:p>
    <w:p w14:paraId="02A7FC8C" w14:textId="05574B82" w:rsidR="00BE79B0" w:rsidRDefault="00BE79B0" w:rsidP="00936AFC">
      <w:pPr>
        <w:keepNext/>
        <w:keepLines/>
        <w:spacing w:before="200" w:line="276" w:lineRule="auto"/>
        <w:ind w:left="567" w:right="142"/>
        <w:outlineLvl w:val="1"/>
        <w:rPr>
          <w:rFonts w:asciiTheme="minorHAnsi" w:hAnsiTheme="minorHAnsi" w:cstheme="minorHAnsi"/>
          <w:lang w:val="en-GB"/>
        </w:rPr>
      </w:pPr>
    </w:p>
    <w:p w14:paraId="5207F0FE" w14:textId="77777777" w:rsidR="009566D4" w:rsidRPr="0031337B" w:rsidRDefault="009566D4" w:rsidP="00936AFC">
      <w:pPr>
        <w:keepNext/>
        <w:keepLines/>
        <w:spacing w:before="200" w:line="276" w:lineRule="auto"/>
        <w:ind w:left="567" w:right="142"/>
        <w:outlineLvl w:val="1"/>
        <w:rPr>
          <w:rFonts w:asciiTheme="minorHAnsi" w:hAnsiTheme="minorHAnsi" w:cstheme="minorHAnsi"/>
          <w:lang w:val="en-GB"/>
        </w:rPr>
      </w:pPr>
    </w:p>
    <w:p w14:paraId="266D1EFB" w14:textId="29759969" w:rsidR="006E2F26" w:rsidRPr="0031337B" w:rsidRDefault="006E2F26" w:rsidP="00936AFC">
      <w:pPr>
        <w:pStyle w:val="ListParagraph"/>
        <w:spacing w:after="0"/>
        <w:ind w:left="567" w:right="142" w:firstLine="0"/>
        <w:contextualSpacing/>
        <w:rPr>
          <w:rFonts w:asciiTheme="minorHAnsi" w:hAnsiTheme="minorHAnsi" w:cstheme="minorHAnsi"/>
          <w:b/>
          <w:bCs/>
          <w:sz w:val="24"/>
          <w:szCs w:val="24"/>
          <w:lang w:val="en-GB"/>
        </w:rPr>
      </w:pPr>
      <w:r w:rsidRPr="0031337B">
        <w:rPr>
          <w:rFonts w:asciiTheme="minorHAnsi" w:hAnsiTheme="minorHAnsi" w:cstheme="minorHAnsi"/>
          <w:b/>
          <w:bCs/>
          <w:sz w:val="24"/>
          <w:szCs w:val="24"/>
          <w:lang w:val="en-GB"/>
        </w:rPr>
        <w:t>Methods</w:t>
      </w:r>
    </w:p>
    <w:p w14:paraId="1F8B1E19" w14:textId="370E6D77" w:rsidR="00FA459F" w:rsidRPr="00CD04EF" w:rsidRDefault="00FA459F" w:rsidP="00936AFC">
      <w:pPr>
        <w:pStyle w:val="ListParagraph"/>
        <w:spacing w:after="0"/>
        <w:ind w:left="567" w:right="142" w:firstLine="0"/>
        <w:contextualSpacing/>
        <w:rPr>
          <w:rFonts w:asciiTheme="minorHAnsi" w:hAnsiTheme="minorHAnsi" w:cstheme="minorHAnsi"/>
          <w:b/>
          <w:bCs/>
          <w:sz w:val="24"/>
          <w:szCs w:val="24"/>
          <w:lang w:val="en-GB"/>
        </w:rPr>
      </w:pPr>
    </w:p>
    <w:p w14:paraId="3F8A338A" w14:textId="3ABA36BD" w:rsidR="00FA459F" w:rsidRPr="00F37046" w:rsidRDefault="005A1AF9" w:rsidP="00936AFC">
      <w:pPr>
        <w:pStyle w:val="ListParagraph"/>
        <w:spacing w:after="0"/>
        <w:ind w:left="567" w:right="142" w:firstLine="0"/>
        <w:contextualSpacing/>
        <w:rPr>
          <w:rFonts w:asciiTheme="minorHAnsi" w:hAnsiTheme="minorHAnsi" w:cstheme="minorHAnsi"/>
          <w:sz w:val="24"/>
          <w:szCs w:val="24"/>
          <w:lang w:val="en-GB"/>
        </w:rPr>
      </w:pPr>
      <w:r w:rsidRPr="00CD04EF">
        <w:rPr>
          <w:rFonts w:asciiTheme="minorHAnsi" w:hAnsiTheme="minorHAnsi" w:cstheme="minorHAnsi"/>
          <w:sz w:val="24"/>
          <w:szCs w:val="24"/>
          <w:lang w:val="en-GB"/>
        </w:rPr>
        <w:t>Pakistan</w:t>
      </w:r>
      <w:r w:rsidR="002B3C12" w:rsidRPr="00CD04EF">
        <w:rPr>
          <w:rFonts w:asciiTheme="minorHAnsi" w:hAnsiTheme="minorHAnsi" w:cstheme="minorHAnsi"/>
          <w:sz w:val="24"/>
          <w:szCs w:val="24"/>
          <w:lang w:val="en-GB"/>
        </w:rPr>
        <w:t xml:space="preserve"> is </w:t>
      </w:r>
      <w:r w:rsidR="008E53DA" w:rsidRPr="00CD04EF">
        <w:rPr>
          <w:rFonts w:asciiTheme="minorHAnsi" w:hAnsiTheme="minorHAnsi" w:cstheme="minorHAnsi"/>
          <w:sz w:val="24"/>
          <w:szCs w:val="24"/>
          <w:lang w:val="en-GB"/>
        </w:rPr>
        <w:t xml:space="preserve">bordered </w:t>
      </w:r>
      <w:r w:rsidR="002B3C12" w:rsidRPr="00CD04EF">
        <w:rPr>
          <w:rFonts w:asciiTheme="minorHAnsi" w:hAnsiTheme="minorHAnsi" w:cstheme="minorHAnsi"/>
          <w:sz w:val="24"/>
          <w:szCs w:val="24"/>
          <w:lang w:val="en-GB"/>
        </w:rPr>
        <w:t xml:space="preserve">by </w:t>
      </w:r>
      <w:r w:rsidR="008E53DA" w:rsidRPr="00CD04EF">
        <w:rPr>
          <w:rFonts w:asciiTheme="minorHAnsi" w:hAnsiTheme="minorHAnsi" w:cstheme="minorHAnsi"/>
          <w:sz w:val="24"/>
          <w:szCs w:val="24"/>
          <w:lang w:val="en-GB"/>
        </w:rPr>
        <w:t>India to the east, China to the north, Afghanistan to the northwest</w:t>
      </w:r>
      <w:r w:rsidR="00E93600">
        <w:rPr>
          <w:rFonts w:asciiTheme="minorHAnsi" w:hAnsiTheme="minorHAnsi" w:cstheme="minorHAnsi"/>
          <w:sz w:val="24"/>
          <w:szCs w:val="24"/>
          <w:lang w:val="en-GB"/>
        </w:rPr>
        <w:t xml:space="preserve">, Iran </w:t>
      </w:r>
      <w:r w:rsidR="008E53DA" w:rsidRPr="00CD04EF">
        <w:rPr>
          <w:rFonts w:asciiTheme="minorHAnsi" w:hAnsiTheme="minorHAnsi" w:cstheme="minorHAnsi"/>
          <w:sz w:val="24"/>
          <w:szCs w:val="24"/>
          <w:lang w:val="en-GB"/>
        </w:rPr>
        <w:t xml:space="preserve">to the west </w:t>
      </w:r>
      <w:r w:rsidR="00E93600">
        <w:rPr>
          <w:rFonts w:asciiTheme="minorHAnsi" w:hAnsiTheme="minorHAnsi" w:cstheme="minorHAnsi"/>
          <w:sz w:val="24"/>
          <w:szCs w:val="24"/>
          <w:lang w:val="en-GB"/>
        </w:rPr>
        <w:t xml:space="preserve">and </w:t>
      </w:r>
      <w:r w:rsidR="008E53DA" w:rsidRPr="001F7A8F">
        <w:rPr>
          <w:rFonts w:asciiTheme="minorHAnsi" w:hAnsiTheme="minorHAnsi" w:cstheme="minorHAnsi"/>
          <w:sz w:val="24"/>
          <w:szCs w:val="24"/>
          <w:lang w:val="en-GB"/>
        </w:rPr>
        <w:t xml:space="preserve">a coastline along the Arabian Sea and Gulf of Oman in the south. </w:t>
      </w:r>
      <w:r w:rsidRPr="001F7A8F">
        <w:rPr>
          <w:rFonts w:asciiTheme="minorHAnsi" w:hAnsiTheme="minorHAnsi" w:cstheme="minorHAnsi"/>
          <w:sz w:val="24"/>
          <w:szCs w:val="24"/>
          <w:lang w:val="en-GB"/>
        </w:rPr>
        <w:t>Pakistan</w:t>
      </w:r>
      <w:r w:rsidR="003447DB" w:rsidRPr="001F7A8F">
        <w:rPr>
          <w:rFonts w:asciiTheme="minorHAnsi" w:hAnsiTheme="minorHAnsi" w:cstheme="minorHAnsi"/>
          <w:sz w:val="24"/>
          <w:szCs w:val="24"/>
          <w:lang w:val="en-GB"/>
        </w:rPr>
        <w:t xml:space="preserve"> </w:t>
      </w:r>
      <w:r w:rsidR="00F40468" w:rsidRPr="001F7A8F">
        <w:rPr>
          <w:rFonts w:asciiTheme="minorHAnsi" w:hAnsiTheme="minorHAnsi" w:cstheme="minorHAnsi"/>
          <w:sz w:val="24"/>
          <w:szCs w:val="24"/>
          <w:lang w:val="en-GB"/>
        </w:rPr>
        <w:t xml:space="preserve">has an area of </w:t>
      </w:r>
      <w:r w:rsidR="0052050F" w:rsidRPr="001F7A8F">
        <w:rPr>
          <w:rFonts w:asciiTheme="minorHAnsi" w:hAnsiTheme="minorHAnsi" w:cstheme="minorHAnsi"/>
          <w:sz w:val="24"/>
          <w:szCs w:val="24"/>
          <w:lang w:val="en-GB"/>
        </w:rPr>
        <w:t>881</w:t>
      </w:r>
      <w:r w:rsidR="001E241E" w:rsidRPr="001F7A8F">
        <w:rPr>
          <w:rFonts w:asciiTheme="minorHAnsi" w:hAnsiTheme="minorHAnsi" w:cstheme="minorHAnsi"/>
          <w:sz w:val="24"/>
          <w:szCs w:val="24"/>
          <w:lang w:val="en-GB"/>
        </w:rPr>
        <w:t>,</w:t>
      </w:r>
      <w:r w:rsidR="0052050F" w:rsidRPr="001F7A8F">
        <w:rPr>
          <w:rFonts w:asciiTheme="minorHAnsi" w:hAnsiTheme="minorHAnsi" w:cstheme="minorHAnsi"/>
          <w:sz w:val="24"/>
          <w:szCs w:val="24"/>
          <w:lang w:val="en-GB"/>
        </w:rPr>
        <w:t>913</w:t>
      </w:r>
      <w:r w:rsidR="001E241E" w:rsidRPr="001F7A8F">
        <w:rPr>
          <w:rFonts w:asciiTheme="minorHAnsi" w:hAnsiTheme="minorHAnsi" w:cstheme="minorHAnsi"/>
          <w:sz w:val="24"/>
          <w:szCs w:val="24"/>
          <w:lang w:val="en-GB"/>
        </w:rPr>
        <w:t xml:space="preserve"> </w:t>
      </w:r>
      <w:r w:rsidR="003447DB" w:rsidRPr="001F7A8F">
        <w:rPr>
          <w:rFonts w:asciiTheme="minorHAnsi" w:hAnsiTheme="minorHAnsi" w:cstheme="minorHAnsi"/>
          <w:sz w:val="24"/>
          <w:szCs w:val="24"/>
          <w:lang w:val="en-GB"/>
        </w:rPr>
        <w:t xml:space="preserve">square kilometres with a population </w:t>
      </w:r>
      <w:r w:rsidR="003323ED" w:rsidRPr="001F7A8F">
        <w:rPr>
          <w:rFonts w:asciiTheme="minorHAnsi" w:hAnsiTheme="minorHAnsi" w:cstheme="minorHAnsi"/>
          <w:sz w:val="24"/>
          <w:szCs w:val="24"/>
          <w:lang w:val="en-GB"/>
        </w:rPr>
        <w:t xml:space="preserve">estimated at </w:t>
      </w:r>
      <w:r w:rsidR="0052050F" w:rsidRPr="001F7A8F">
        <w:rPr>
          <w:rFonts w:asciiTheme="minorHAnsi" w:hAnsiTheme="minorHAnsi" w:cstheme="minorHAnsi"/>
          <w:sz w:val="24"/>
          <w:szCs w:val="24"/>
          <w:lang w:val="en-GB"/>
        </w:rPr>
        <w:t>220</w:t>
      </w:r>
      <w:r w:rsidR="003323ED" w:rsidRPr="001F7A8F">
        <w:rPr>
          <w:rFonts w:asciiTheme="minorHAnsi" w:hAnsiTheme="minorHAnsi" w:cstheme="minorHAnsi"/>
          <w:sz w:val="24"/>
          <w:szCs w:val="24"/>
          <w:lang w:val="en-GB"/>
        </w:rPr>
        <w:t>,</w:t>
      </w:r>
      <w:r w:rsidR="0052050F" w:rsidRPr="001F7A8F">
        <w:rPr>
          <w:rFonts w:asciiTheme="minorHAnsi" w:hAnsiTheme="minorHAnsi" w:cstheme="minorHAnsi"/>
          <w:sz w:val="24"/>
          <w:szCs w:val="24"/>
          <w:lang w:val="en-GB"/>
        </w:rPr>
        <w:t>892</w:t>
      </w:r>
      <w:r w:rsidR="003323ED" w:rsidRPr="001F7A8F">
        <w:rPr>
          <w:rFonts w:asciiTheme="minorHAnsi" w:hAnsiTheme="minorHAnsi" w:cstheme="minorHAnsi"/>
          <w:sz w:val="24"/>
          <w:szCs w:val="24"/>
          <w:lang w:val="en-GB"/>
        </w:rPr>
        <w:t>,</w:t>
      </w:r>
      <w:r w:rsidR="0052050F" w:rsidRPr="001F7A8F">
        <w:rPr>
          <w:rFonts w:asciiTheme="minorHAnsi" w:hAnsiTheme="minorHAnsi" w:cstheme="minorHAnsi"/>
          <w:sz w:val="24"/>
          <w:szCs w:val="24"/>
          <w:lang w:val="en-GB"/>
        </w:rPr>
        <w:t>340</w:t>
      </w:r>
      <w:r w:rsidR="003323ED" w:rsidRPr="001F7A8F">
        <w:rPr>
          <w:rFonts w:asciiTheme="minorHAnsi" w:hAnsiTheme="minorHAnsi" w:cstheme="minorHAnsi"/>
          <w:sz w:val="24"/>
          <w:szCs w:val="24"/>
          <w:lang w:val="en-GB"/>
        </w:rPr>
        <w:t xml:space="preserve"> in 20</w:t>
      </w:r>
      <w:r w:rsidR="0052050F" w:rsidRPr="001F7A8F">
        <w:rPr>
          <w:rFonts w:asciiTheme="minorHAnsi" w:hAnsiTheme="minorHAnsi" w:cstheme="minorHAnsi"/>
          <w:sz w:val="24"/>
          <w:szCs w:val="24"/>
          <w:lang w:val="en-GB"/>
        </w:rPr>
        <w:t>20</w:t>
      </w:r>
      <w:r w:rsidR="001C1923" w:rsidRPr="001F7A8F">
        <w:rPr>
          <w:rFonts w:asciiTheme="minorHAnsi" w:hAnsiTheme="minorHAnsi" w:cstheme="minorHAnsi"/>
          <w:sz w:val="24"/>
          <w:szCs w:val="24"/>
          <w:lang w:val="en-GB"/>
        </w:rPr>
        <w:t xml:space="preserve"> </w:t>
      </w:r>
      <w:r w:rsidR="003323ED" w:rsidRPr="001F7A8F">
        <w:rPr>
          <w:rFonts w:asciiTheme="minorHAnsi" w:hAnsiTheme="minorHAnsi" w:cstheme="minorHAnsi"/>
          <w:sz w:val="24"/>
          <w:szCs w:val="24"/>
          <w:lang w:val="en-GB"/>
        </w:rPr>
        <w:t>[</w:t>
      </w:r>
      <w:r w:rsidR="008A0C0B">
        <w:rPr>
          <w:rFonts w:asciiTheme="minorHAnsi" w:hAnsiTheme="minorHAnsi" w:cstheme="minorHAnsi"/>
          <w:sz w:val="24"/>
          <w:szCs w:val="24"/>
          <w:lang w:val="en-GB"/>
        </w:rPr>
        <w:t>7, 8]</w:t>
      </w:r>
      <w:r w:rsidR="00DE7F9E" w:rsidRPr="001F7A8F">
        <w:rPr>
          <w:sz w:val="24"/>
          <w:szCs w:val="24"/>
          <w:lang w:val="en-AU"/>
        </w:rPr>
        <w:t>.</w:t>
      </w:r>
      <w:r w:rsidR="003323ED" w:rsidRPr="001F7A8F">
        <w:rPr>
          <w:rFonts w:asciiTheme="minorHAnsi" w:hAnsiTheme="minorHAnsi" w:cstheme="minorHAnsi"/>
          <w:sz w:val="24"/>
          <w:szCs w:val="24"/>
          <w:lang w:val="en-GB"/>
        </w:rPr>
        <w:t xml:space="preserve"> </w:t>
      </w:r>
      <w:r w:rsidR="002B2832" w:rsidRPr="001F7A8F">
        <w:rPr>
          <w:rFonts w:asciiTheme="minorHAnsi" w:hAnsiTheme="minorHAnsi" w:cstheme="minorHAnsi"/>
          <w:sz w:val="24"/>
          <w:szCs w:val="24"/>
          <w:lang w:val="en-GB"/>
        </w:rPr>
        <w:t>The</w:t>
      </w:r>
      <w:r w:rsidR="002B2832" w:rsidRPr="00F37046">
        <w:rPr>
          <w:rFonts w:asciiTheme="minorHAnsi" w:hAnsiTheme="minorHAnsi" w:cstheme="minorHAnsi"/>
          <w:sz w:val="24"/>
          <w:szCs w:val="24"/>
          <w:lang w:val="en-GB"/>
        </w:rPr>
        <w:t xml:space="preserve"> population of </w:t>
      </w:r>
      <w:r w:rsidRPr="00F37046">
        <w:rPr>
          <w:rFonts w:asciiTheme="minorHAnsi" w:hAnsiTheme="minorHAnsi" w:cstheme="minorHAnsi"/>
          <w:sz w:val="24"/>
          <w:szCs w:val="24"/>
          <w:lang w:val="en-GB"/>
        </w:rPr>
        <w:t>Pakistan</w:t>
      </w:r>
      <w:r w:rsidR="002B2832" w:rsidRPr="00F37046">
        <w:rPr>
          <w:rFonts w:asciiTheme="minorHAnsi" w:hAnsiTheme="minorHAnsi" w:cstheme="minorHAnsi"/>
          <w:sz w:val="24"/>
          <w:szCs w:val="24"/>
          <w:lang w:val="en-GB"/>
        </w:rPr>
        <w:t xml:space="preserve"> is young with </w:t>
      </w:r>
      <w:r w:rsidR="00B3410B" w:rsidRPr="00F37046">
        <w:rPr>
          <w:rFonts w:asciiTheme="minorHAnsi" w:hAnsiTheme="minorHAnsi" w:cstheme="minorHAnsi"/>
          <w:sz w:val="24"/>
          <w:szCs w:val="24"/>
          <w:lang w:val="en-GB"/>
        </w:rPr>
        <w:t>a median</w:t>
      </w:r>
      <w:r w:rsidR="002B2832" w:rsidRPr="00F37046">
        <w:rPr>
          <w:rFonts w:asciiTheme="minorHAnsi" w:hAnsiTheme="minorHAnsi" w:cstheme="minorHAnsi"/>
          <w:sz w:val="24"/>
          <w:szCs w:val="24"/>
          <w:lang w:val="en-GB"/>
        </w:rPr>
        <w:t xml:space="preserve"> age of 2</w:t>
      </w:r>
      <w:r w:rsidR="00B36673" w:rsidRPr="00F37046">
        <w:rPr>
          <w:rFonts w:asciiTheme="minorHAnsi" w:hAnsiTheme="minorHAnsi" w:cstheme="minorHAnsi"/>
          <w:sz w:val="24"/>
          <w:szCs w:val="24"/>
          <w:lang w:val="en-GB"/>
        </w:rPr>
        <w:t>2</w:t>
      </w:r>
      <w:r w:rsidR="002B2832" w:rsidRPr="00F37046">
        <w:rPr>
          <w:rFonts w:asciiTheme="minorHAnsi" w:hAnsiTheme="minorHAnsi" w:cstheme="minorHAnsi"/>
          <w:sz w:val="24"/>
          <w:szCs w:val="24"/>
          <w:lang w:val="en-GB"/>
        </w:rPr>
        <w:t>.</w:t>
      </w:r>
      <w:r w:rsidR="00B36673" w:rsidRPr="00F37046">
        <w:rPr>
          <w:rFonts w:asciiTheme="minorHAnsi" w:hAnsiTheme="minorHAnsi" w:cstheme="minorHAnsi"/>
          <w:sz w:val="24"/>
          <w:szCs w:val="24"/>
          <w:lang w:val="en-GB"/>
        </w:rPr>
        <w:t>8</w:t>
      </w:r>
      <w:r w:rsidR="002B2832" w:rsidRPr="00F37046">
        <w:rPr>
          <w:rFonts w:asciiTheme="minorHAnsi" w:hAnsiTheme="minorHAnsi" w:cstheme="minorHAnsi"/>
          <w:sz w:val="24"/>
          <w:szCs w:val="24"/>
          <w:lang w:val="en-GB"/>
        </w:rPr>
        <w:t xml:space="preserve"> years</w:t>
      </w:r>
      <w:r w:rsidR="00E93600">
        <w:rPr>
          <w:rFonts w:asciiTheme="minorHAnsi" w:hAnsiTheme="minorHAnsi" w:cstheme="minorHAnsi"/>
          <w:sz w:val="24"/>
          <w:szCs w:val="24"/>
          <w:lang w:val="en-GB"/>
        </w:rPr>
        <w:t>, compared, for example,</w:t>
      </w:r>
      <w:r w:rsidR="008E17E1">
        <w:rPr>
          <w:rFonts w:asciiTheme="minorHAnsi" w:hAnsiTheme="minorHAnsi" w:cstheme="minorHAnsi"/>
          <w:sz w:val="24"/>
          <w:szCs w:val="24"/>
          <w:lang w:val="en-GB"/>
        </w:rPr>
        <w:t xml:space="preserve"> to</w:t>
      </w:r>
      <w:r w:rsidR="00E93600">
        <w:rPr>
          <w:rFonts w:asciiTheme="minorHAnsi" w:hAnsiTheme="minorHAnsi" w:cstheme="minorHAnsi"/>
          <w:sz w:val="24"/>
          <w:szCs w:val="24"/>
          <w:lang w:val="en-GB"/>
        </w:rPr>
        <w:t xml:space="preserve"> a median age of 40.3 years in the UK</w:t>
      </w:r>
      <w:r w:rsidR="00E61443">
        <w:rPr>
          <w:rFonts w:asciiTheme="minorHAnsi" w:hAnsiTheme="minorHAnsi" w:cstheme="minorHAnsi"/>
          <w:sz w:val="24"/>
          <w:szCs w:val="24"/>
          <w:lang w:val="en-GB"/>
        </w:rPr>
        <w:t xml:space="preserve"> [</w:t>
      </w:r>
      <w:r w:rsidR="0058597B">
        <w:rPr>
          <w:rFonts w:asciiTheme="minorHAnsi" w:hAnsiTheme="minorHAnsi" w:cstheme="minorHAnsi"/>
          <w:sz w:val="24"/>
          <w:szCs w:val="24"/>
          <w:lang w:val="en-GB"/>
        </w:rPr>
        <w:t>9]</w:t>
      </w:r>
      <w:r w:rsidR="007A465B">
        <w:rPr>
          <w:rFonts w:asciiTheme="minorHAnsi" w:hAnsiTheme="minorHAnsi" w:cstheme="minorHAnsi"/>
          <w:sz w:val="24"/>
          <w:szCs w:val="24"/>
          <w:lang w:val="en-GB"/>
        </w:rPr>
        <w:t>.</w:t>
      </w:r>
      <w:r w:rsidR="00E93600">
        <w:rPr>
          <w:rFonts w:asciiTheme="minorHAnsi" w:hAnsiTheme="minorHAnsi" w:cstheme="minorHAnsi"/>
          <w:sz w:val="24"/>
          <w:szCs w:val="24"/>
          <w:lang w:val="en-GB"/>
        </w:rPr>
        <w:t xml:space="preserve"> </w:t>
      </w:r>
    </w:p>
    <w:p w14:paraId="4F9E89EE" w14:textId="0C7AD888" w:rsidR="00CE4548" w:rsidRPr="00F37046" w:rsidRDefault="00CE4548" w:rsidP="00936AFC">
      <w:pPr>
        <w:spacing w:line="276" w:lineRule="auto"/>
        <w:ind w:left="567" w:right="142" w:firstLine="567"/>
        <w:rPr>
          <w:rFonts w:asciiTheme="minorHAnsi" w:hAnsiTheme="minorHAnsi" w:cstheme="minorHAnsi"/>
          <w:lang w:val="en-GB"/>
        </w:rPr>
      </w:pPr>
    </w:p>
    <w:p w14:paraId="5C44FC49" w14:textId="77777777" w:rsidR="00446D9D" w:rsidRPr="007A465B" w:rsidRDefault="00446D9D" w:rsidP="00936AFC">
      <w:pPr>
        <w:spacing w:line="276" w:lineRule="auto"/>
        <w:ind w:left="567" w:right="142"/>
        <w:rPr>
          <w:rFonts w:asciiTheme="minorHAnsi" w:hAnsiTheme="minorHAnsi" w:cstheme="minorHAnsi"/>
          <w:i/>
          <w:lang w:val="en-GB"/>
        </w:rPr>
      </w:pPr>
      <w:r w:rsidRPr="007A465B">
        <w:rPr>
          <w:rFonts w:asciiTheme="minorHAnsi" w:hAnsiTheme="minorHAnsi" w:cstheme="minorHAnsi"/>
          <w:i/>
          <w:lang w:val="en-GB"/>
        </w:rPr>
        <w:t>Development of surrogate model for Pakistan</w:t>
      </w:r>
    </w:p>
    <w:p w14:paraId="0DEA97A7" w14:textId="4F8F7A6C" w:rsidR="0095025E" w:rsidRPr="00F37046" w:rsidRDefault="00E93600" w:rsidP="00936AFC">
      <w:pPr>
        <w:spacing w:line="276" w:lineRule="auto"/>
        <w:ind w:left="567" w:right="142"/>
        <w:rPr>
          <w:rFonts w:asciiTheme="minorHAnsi" w:hAnsiTheme="minorHAnsi" w:cstheme="minorHAnsi"/>
          <w:lang w:val="en-GB"/>
        </w:rPr>
      </w:pPr>
      <w:r>
        <w:rPr>
          <w:rFonts w:asciiTheme="minorHAnsi" w:hAnsiTheme="minorHAnsi" w:cstheme="minorHAnsi"/>
          <w:lang w:val="en-GB"/>
        </w:rPr>
        <w:lastRenderedPageBreak/>
        <w:t xml:space="preserve">Data on </w:t>
      </w:r>
      <w:r w:rsidR="00605BEB" w:rsidRPr="00F37046">
        <w:rPr>
          <w:rFonts w:asciiTheme="minorHAnsi" w:hAnsiTheme="minorHAnsi" w:cstheme="minorHAnsi"/>
          <w:lang w:val="en-GB"/>
        </w:rPr>
        <w:t>hip fracture risk</w:t>
      </w:r>
      <w:r>
        <w:rPr>
          <w:rFonts w:asciiTheme="minorHAnsi" w:hAnsiTheme="minorHAnsi" w:cstheme="minorHAnsi"/>
          <w:lang w:val="en-GB"/>
        </w:rPr>
        <w:t xml:space="preserve"> were those derived for</w:t>
      </w:r>
      <w:r w:rsidR="0028460B">
        <w:rPr>
          <w:rFonts w:asciiTheme="minorHAnsi" w:hAnsiTheme="minorHAnsi" w:cstheme="minorHAnsi"/>
          <w:lang w:val="en-GB"/>
        </w:rPr>
        <w:t xml:space="preserve"> </w:t>
      </w:r>
      <w:r>
        <w:rPr>
          <w:rFonts w:asciiTheme="minorHAnsi" w:hAnsiTheme="minorHAnsi" w:cstheme="minorHAnsi"/>
          <w:lang w:val="en-GB"/>
        </w:rPr>
        <w:t xml:space="preserve">the population categorised as of Indian ethnicity in </w:t>
      </w:r>
      <w:r w:rsidR="005A1AF9" w:rsidRPr="00F37046">
        <w:rPr>
          <w:rFonts w:asciiTheme="minorHAnsi" w:hAnsiTheme="minorHAnsi" w:cstheme="minorHAnsi"/>
          <w:lang w:val="en-GB"/>
        </w:rPr>
        <w:t>Singapore</w:t>
      </w:r>
      <w:r>
        <w:rPr>
          <w:rFonts w:asciiTheme="minorHAnsi" w:hAnsiTheme="minorHAnsi" w:cstheme="minorHAnsi"/>
          <w:lang w:val="en-GB"/>
        </w:rPr>
        <w:t xml:space="preserve">.  The data have been used previously in the development of a surrogate FRAX model for </w:t>
      </w:r>
      <w:r w:rsidR="00FE4240" w:rsidRPr="00F37046">
        <w:rPr>
          <w:rFonts w:asciiTheme="minorHAnsi" w:hAnsiTheme="minorHAnsi" w:cstheme="minorHAnsi"/>
          <w:lang w:val="en-GB"/>
        </w:rPr>
        <w:t xml:space="preserve">India </w:t>
      </w:r>
      <w:r w:rsidR="006D7BA5" w:rsidRPr="00F37046">
        <w:rPr>
          <w:rFonts w:asciiTheme="minorHAnsi" w:hAnsiTheme="minorHAnsi" w:cstheme="minorHAnsi"/>
          <w:lang w:val="en-GB"/>
        </w:rPr>
        <w:t>[</w:t>
      </w:r>
      <w:r w:rsidR="004276FB">
        <w:rPr>
          <w:rFonts w:asciiTheme="minorHAnsi" w:hAnsiTheme="minorHAnsi" w:cstheme="minorHAnsi"/>
          <w:lang w:val="en-GB"/>
        </w:rPr>
        <w:t>4, 10</w:t>
      </w:r>
      <w:r w:rsidR="00E407A0">
        <w:rPr>
          <w:rFonts w:asciiTheme="minorHAnsi" w:hAnsiTheme="minorHAnsi" w:cstheme="minorHAnsi"/>
          <w:lang w:val="en-GB"/>
        </w:rPr>
        <w:t>]</w:t>
      </w:r>
      <w:r w:rsidR="00C82FAD">
        <w:rPr>
          <w:rFonts w:asciiTheme="minorHAnsi" w:hAnsiTheme="minorHAnsi" w:cstheme="minorHAnsi"/>
          <w:lang w:val="en-GB"/>
        </w:rPr>
        <w:t xml:space="preserve">. </w:t>
      </w:r>
      <w:r w:rsidR="00E407A0">
        <w:rPr>
          <w:rFonts w:asciiTheme="minorHAnsi" w:hAnsiTheme="minorHAnsi" w:cstheme="minorHAnsi"/>
          <w:lang w:val="en-GB"/>
        </w:rPr>
        <w:t xml:space="preserve"> </w:t>
      </w:r>
      <w:r w:rsidR="009A1948" w:rsidRPr="00F37046">
        <w:rPr>
          <w:rFonts w:asciiTheme="minorHAnsi" w:hAnsiTheme="minorHAnsi" w:cstheme="minorHAnsi"/>
          <w:lang w:val="en-GB"/>
        </w:rPr>
        <w:t xml:space="preserve">Details of the </w:t>
      </w:r>
      <w:r w:rsidR="00E611E8" w:rsidRPr="00F37046">
        <w:rPr>
          <w:rFonts w:asciiTheme="minorHAnsi" w:hAnsiTheme="minorHAnsi" w:cstheme="minorHAnsi"/>
          <w:lang w:val="en-GB"/>
        </w:rPr>
        <w:t xml:space="preserve">FRAX model </w:t>
      </w:r>
      <w:r w:rsidR="009A0D11" w:rsidRPr="00F37046">
        <w:rPr>
          <w:rFonts w:asciiTheme="minorHAnsi" w:hAnsiTheme="minorHAnsi" w:cstheme="minorHAnsi"/>
          <w:lang w:val="en-GB"/>
        </w:rPr>
        <w:t xml:space="preserve">for </w:t>
      </w:r>
      <w:r w:rsidR="0087474E" w:rsidRPr="00F37046">
        <w:rPr>
          <w:rFonts w:asciiTheme="minorHAnsi" w:hAnsiTheme="minorHAnsi" w:cstheme="minorHAnsi"/>
          <w:lang w:val="en-GB"/>
        </w:rPr>
        <w:t xml:space="preserve">Singapore </w:t>
      </w:r>
      <w:r w:rsidR="00E611E8" w:rsidRPr="00F37046">
        <w:rPr>
          <w:rFonts w:asciiTheme="minorHAnsi" w:hAnsiTheme="minorHAnsi" w:cstheme="minorHAnsi"/>
          <w:lang w:val="en-GB"/>
        </w:rPr>
        <w:t xml:space="preserve">are available elsewhere </w:t>
      </w:r>
      <w:r w:rsidR="00E31982" w:rsidRPr="00F37046">
        <w:rPr>
          <w:rFonts w:asciiTheme="minorHAnsi" w:hAnsiTheme="minorHAnsi" w:cstheme="minorHAnsi"/>
          <w:lang w:val="en-GB"/>
        </w:rPr>
        <w:t>[</w:t>
      </w:r>
      <w:r w:rsidR="009A1BF3">
        <w:rPr>
          <w:rFonts w:asciiTheme="minorHAnsi" w:hAnsiTheme="minorHAnsi" w:cstheme="minorHAnsi"/>
          <w:lang w:val="en-GB"/>
        </w:rPr>
        <w:t>11</w:t>
      </w:r>
      <w:r w:rsidR="00E31982" w:rsidRPr="00F37046">
        <w:rPr>
          <w:rFonts w:asciiTheme="minorHAnsi" w:hAnsiTheme="minorHAnsi" w:cstheme="minorHAnsi"/>
          <w:lang w:val="en-GB"/>
        </w:rPr>
        <w:t>]</w:t>
      </w:r>
      <w:r w:rsidR="00EA3A6E" w:rsidRPr="00F37046">
        <w:rPr>
          <w:rFonts w:asciiTheme="minorHAnsi" w:hAnsiTheme="minorHAnsi" w:cstheme="minorHAnsi"/>
          <w:lang w:val="en-GB"/>
        </w:rPr>
        <w:t>.</w:t>
      </w:r>
      <w:r w:rsidR="00A264BA" w:rsidRPr="00F37046">
        <w:t xml:space="preserve"> </w:t>
      </w:r>
      <w:r w:rsidR="00E771B4">
        <w:rPr>
          <w:lang w:val="en-GB"/>
        </w:rPr>
        <w:t xml:space="preserve"> </w:t>
      </w:r>
      <w:r w:rsidR="002130B8">
        <w:rPr>
          <w:rFonts w:asciiTheme="minorHAnsi" w:hAnsiTheme="minorHAnsi" w:cstheme="minorHAnsi"/>
          <w:lang w:val="en-GB"/>
        </w:rPr>
        <w:t xml:space="preserve">As described previously, in the absence of incidence data </w:t>
      </w:r>
      <w:r w:rsidR="00446D9D">
        <w:rPr>
          <w:rFonts w:asciiTheme="minorHAnsi" w:hAnsiTheme="minorHAnsi" w:cstheme="minorHAnsi"/>
          <w:lang w:val="en-GB"/>
        </w:rPr>
        <w:t>for</w:t>
      </w:r>
      <w:r w:rsidR="002130B8">
        <w:rPr>
          <w:rFonts w:asciiTheme="minorHAnsi" w:hAnsiTheme="minorHAnsi" w:cstheme="minorHAnsi"/>
          <w:lang w:val="en-GB"/>
        </w:rPr>
        <w:t xml:space="preserve"> other sites of major osteoporotic fracture (clinical spine, distal forearm and proximal humerus), the</w:t>
      </w:r>
      <w:r w:rsidRPr="007A465B">
        <w:rPr>
          <w:rFonts w:asciiTheme="minorHAnsi" w:hAnsiTheme="minorHAnsi" w:cstheme="minorHAnsi"/>
        </w:rPr>
        <w:t xml:space="preserve"> hip fracture rates </w:t>
      </w:r>
      <w:r w:rsidR="002130B8">
        <w:rPr>
          <w:rFonts w:asciiTheme="minorHAnsi" w:hAnsiTheme="minorHAnsi" w:cstheme="minorHAnsi"/>
          <w:lang w:val="en-GB"/>
        </w:rPr>
        <w:t>were used</w:t>
      </w:r>
      <w:r w:rsidRPr="007A465B">
        <w:rPr>
          <w:rFonts w:asciiTheme="minorHAnsi" w:hAnsiTheme="minorHAnsi" w:cstheme="minorHAnsi"/>
        </w:rPr>
        <w:t xml:space="preserve"> </w:t>
      </w:r>
      <w:r w:rsidR="002130B8">
        <w:rPr>
          <w:rFonts w:asciiTheme="minorHAnsi" w:hAnsiTheme="minorHAnsi" w:cstheme="minorHAnsi"/>
          <w:lang w:val="en-GB"/>
        </w:rPr>
        <w:t xml:space="preserve">to </w:t>
      </w:r>
      <w:r w:rsidRPr="007A465B">
        <w:rPr>
          <w:rFonts w:asciiTheme="minorHAnsi" w:hAnsiTheme="minorHAnsi" w:cstheme="minorHAnsi"/>
        </w:rPr>
        <w:t>estimate the</w:t>
      </w:r>
      <w:r w:rsidR="002130B8">
        <w:rPr>
          <w:rFonts w:asciiTheme="minorHAnsi" w:hAnsiTheme="minorHAnsi" w:cstheme="minorHAnsi"/>
          <w:lang w:val="en-GB"/>
        </w:rPr>
        <w:t>se</w:t>
      </w:r>
      <w:r w:rsidRPr="007A465B">
        <w:rPr>
          <w:rFonts w:asciiTheme="minorHAnsi" w:hAnsiTheme="minorHAnsi" w:cstheme="minorHAnsi"/>
        </w:rPr>
        <w:t xml:space="preserve"> incidence</w:t>
      </w:r>
      <w:r w:rsidR="002130B8">
        <w:rPr>
          <w:rFonts w:asciiTheme="minorHAnsi" w:hAnsiTheme="minorHAnsi" w:cstheme="minorHAnsi"/>
          <w:lang w:val="en-GB"/>
        </w:rPr>
        <w:t xml:space="preserve">s on the assumption </w:t>
      </w:r>
      <w:r w:rsidRPr="007A465B">
        <w:rPr>
          <w:rFonts w:asciiTheme="minorHAnsi" w:hAnsiTheme="minorHAnsi" w:cstheme="minorHAnsi"/>
        </w:rPr>
        <w:t xml:space="preserve">that the ratio of hip fracture incidence to </w:t>
      </w:r>
      <w:r w:rsidR="002130B8">
        <w:rPr>
          <w:rFonts w:asciiTheme="minorHAnsi" w:hAnsiTheme="minorHAnsi" w:cstheme="minorHAnsi"/>
          <w:lang w:val="en-GB"/>
        </w:rPr>
        <w:t xml:space="preserve">these </w:t>
      </w:r>
      <w:r w:rsidRPr="007A465B">
        <w:rPr>
          <w:rFonts w:asciiTheme="minorHAnsi" w:hAnsiTheme="minorHAnsi" w:cstheme="minorHAnsi"/>
        </w:rPr>
        <w:t>other FRAX outcomes is the same in the index country as that documented in Sweden</w:t>
      </w:r>
      <w:r w:rsidR="00A23A6E">
        <w:rPr>
          <w:rFonts w:asciiTheme="minorHAnsi" w:hAnsiTheme="minorHAnsi" w:cstheme="minorHAnsi"/>
          <w:lang w:val="en-GB"/>
        </w:rPr>
        <w:t xml:space="preserve">, Iceland, </w:t>
      </w:r>
      <w:r w:rsidR="00D575E2">
        <w:rPr>
          <w:rFonts w:asciiTheme="minorHAnsi" w:hAnsiTheme="minorHAnsi" w:cstheme="minorHAnsi"/>
          <w:lang w:val="en-GB"/>
        </w:rPr>
        <w:t>Canada, Moldova and elsewhere</w:t>
      </w:r>
      <w:r w:rsidR="00446D9D">
        <w:rPr>
          <w:rFonts w:asciiTheme="minorHAnsi" w:hAnsiTheme="minorHAnsi" w:cstheme="minorHAnsi"/>
          <w:lang w:val="en-GB"/>
        </w:rPr>
        <w:t xml:space="preserve"> </w:t>
      </w:r>
      <w:r w:rsidRPr="0028460B">
        <w:rPr>
          <w:rFonts w:asciiTheme="minorHAnsi" w:hAnsiTheme="minorHAnsi" w:cstheme="minorHAnsi"/>
        </w:rPr>
        <w:t>[</w:t>
      </w:r>
      <w:r w:rsidR="009A1BF3">
        <w:rPr>
          <w:rFonts w:asciiTheme="minorHAnsi" w:hAnsiTheme="minorHAnsi" w:cstheme="minorHAnsi"/>
          <w:lang w:val="en-GB"/>
        </w:rPr>
        <w:t>12</w:t>
      </w:r>
      <w:r w:rsidR="002A4E2C">
        <w:rPr>
          <w:rFonts w:asciiTheme="minorHAnsi" w:hAnsiTheme="minorHAnsi" w:cstheme="minorHAnsi"/>
          <w:lang w:val="en-GB"/>
        </w:rPr>
        <w:t>,13, 14</w:t>
      </w:r>
      <w:r w:rsidR="00DF6F8A">
        <w:rPr>
          <w:rFonts w:asciiTheme="minorHAnsi" w:hAnsiTheme="minorHAnsi" w:cstheme="minorHAnsi"/>
          <w:lang w:val="en-GB"/>
        </w:rPr>
        <w:t>, 15]</w:t>
      </w:r>
      <w:r w:rsidR="00C82FAD">
        <w:rPr>
          <w:rFonts w:asciiTheme="minorHAnsi" w:hAnsiTheme="minorHAnsi" w:cstheme="minorHAnsi"/>
          <w:lang w:val="en-GB"/>
        </w:rPr>
        <w:t xml:space="preserve">. </w:t>
      </w:r>
      <w:r w:rsidR="002A4E2C">
        <w:rPr>
          <w:rFonts w:asciiTheme="minorHAnsi" w:hAnsiTheme="minorHAnsi" w:cstheme="minorHAnsi"/>
          <w:lang w:val="en-GB"/>
        </w:rPr>
        <w:t xml:space="preserve"> </w:t>
      </w:r>
      <w:r w:rsidR="00283073" w:rsidRPr="00F37046">
        <w:rPr>
          <w:rFonts w:asciiTheme="minorHAnsi" w:hAnsiTheme="minorHAnsi" w:cstheme="minorHAnsi"/>
          <w:lang w:val="en-GB"/>
        </w:rPr>
        <w:t xml:space="preserve">National mortality rates </w:t>
      </w:r>
      <w:r w:rsidR="006237FC" w:rsidRPr="00F37046">
        <w:rPr>
          <w:rFonts w:asciiTheme="minorHAnsi" w:hAnsiTheme="minorHAnsi" w:cstheme="minorHAnsi"/>
          <w:lang w:val="en-GB"/>
        </w:rPr>
        <w:t xml:space="preserve">for </w:t>
      </w:r>
      <w:r w:rsidR="00FE4240" w:rsidRPr="00F37046">
        <w:rPr>
          <w:rFonts w:asciiTheme="minorHAnsi" w:hAnsiTheme="minorHAnsi" w:cstheme="minorHAnsi"/>
          <w:lang w:val="en-GB"/>
        </w:rPr>
        <w:t>Pakistan</w:t>
      </w:r>
      <w:r w:rsidR="006237FC" w:rsidRPr="00F37046">
        <w:rPr>
          <w:rFonts w:asciiTheme="minorHAnsi" w:hAnsiTheme="minorHAnsi" w:cstheme="minorHAnsi"/>
          <w:lang w:val="en-GB"/>
        </w:rPr>
        <w:t xml:space="preserve"> </w:t>
      </w:r>
      <w:r w:rsidR="00283073" w:rsidRPr="00F37046">
        <w:rPr>
          <w:rFonts w:asciiTheme="minorHAnsi" w:hAnsiTheme="minorHAnsi" w:cstheme="minorHAnsi"/>
          <w:lang w:val="en-GB"/>
        </w:rPr>
        <w:t xml:space="preserve">used data from the World Health Organization for </w:t>
      </w:r>
      <w:r w:rsidR="00852062" w:rsidRPr="00F37046">
        <w:rPr>
          <w:rFonts w:asciiTheme="minorHAnsi" w:hAnsiTheme="minorHAnsi" w:cstheme="minorHAnsi"/>
          <w:lang w:val="en-GB"/>
        </w:rPr>
        <w:t>2015-2019</w:t>
      </w:r>
      <w:r w:rsidR="00283073" w:rsidRPr="00F37046">
        <w:rPr>
          <w:rFonts w:asciiTheme="minorHAnsi" w:hAnsiTheme="minorHAnsi" w:cstheme="minorHAnsi"/>
          <w:lang w:val="en-GB"/>
        </w:rPr>
        <w:t xml:space="preserve"> [</w:t>
      </w:r>
      <w:r w:rsidR="00DF6F8A">
        <w:rPr>
          <w:rFonts w:asciiTheme="minorHAnsi" w:hAnsiTheme="minorHAnsi" w:cstheme="minorHAnsi"/>
          <w:lang w:val="en-GB"/>
        </w:rPr>
        <w:t>16</w:t>
      </w:r>
      <w:r w:rsidR="009768F9" w:rsidRPr="00F37046">
        <w:rPr>
          <w:rFonts w:asciiTheme="minorHAnsi" w:hAnsiTheme="minorHAnsi" w:cstheme="minorHAnsi"/>
          <w:lang w:val="en-GB"/>
        </w:rPr>
        <w:t>]</w:t>
      </w:r>
      <w:r w:rsidR="00962BD7" w:rsidRPr="00F37046">
        <w:rPr>
          <w:rFonts w:asciiTheme="minorHAnsi" w:hAnsiTheme="minorHAnsi" w:cstheme="minorHAnsi"/>
          <w:lang w:val="en-GB"/>
        </w:rPr>
        <w:t>.</w:t>
      </w:r>
      <w:r w:rsidR="008362F3" w:rsidRPr="00F37046">
        <w:rPr>
          <w:rFonts w:asciiTheme="minorHAnsi" w:hAnsiTheme="minorHAnsi" w:cstheme="minorHAnsi"/>
          <w:lang w:val="en-GB"/>
        </w:rPr>
        <w:t xml:space="preserve"> </w:t>
      </w:r>
    </w:p>
    <w:p w14:paraId="5C97F560" w14:textId="77777777" w:rsidR="0095025E" w:rsidRPr="00F37046" w:rsidRDefault="0095025E" w:rsidP="00936AFC">
      <w:pPr>
        <w:spacing w:line="276" w:lineRule="auto"/>
        <w:ind w:left="567" w:right="142"/>
        <w:rPr>
          <w:rFonts w:asciiTheme="minorHAnsi" w:hAnsiTheme="minorHAnsi" w:cstheme="minorHAnsi"/>
          <w:lang w:val="en-GB"/>
        </w:rPr>
      </w:pPr>
    </w:p>
    <w:p w14:paraId="41CBE111" w14:textId="77777777" w:rsidR="00446D9D" w:rsidRPr="00735D8B" w:rsidRDefault="00446D9D" w:rsidP="00936AFC">
      <w:pPr>
        <w:spacing w:line="276" w:lineRule="auto"/>
        <w:ind w:left="567" w:right="142"/>
        <w:rPr>
          <w:rFonts w:asciiTheme="minorHAnsi" w:hAnsiTheme="minorHAnsi" w:cstheme="minorHAnsi"/>
          <w:i/>
          <w:lang w:val="en-GB"/>
        </w:rPr>
      </w:pPr>
      <w:r w:rsidRPr="00735D8B">
        <w:rPr>
          <w:rFonts w:asciiTheme="minorHAnsi" w:hAnsiTheme="minorHAnsi" w:cstheme="minorHAnsi"/>
          <w:i/>
          <w:lang w:val="en-GB"/>
        </w:rPr>
        <w:t>Comparative performance of the surrogate Pakistan FRAX model</w:t>
      </w:r>
    </w:p>
    <w:p w14:paraId="5E640CEE" w14:textId="4E585694" w:rsidR="00777DDC" w:rsidRPr="00A0622C" w:rsidRDefault="0095025E" w:rsidP="00936AFC">
      <w:pPr>
        <w:spacing w:line="276" w:lineRule="auto"/>
        <w:ind w:left="567" w:right="142"/>
        <w:rPr>
          <w:rFonts w:asciiTheme="minorHAnsi" w:hAnsiTheme="minorHAnsi" w:cstheme="minorHAnsi"/>
          <w:lang w:val="en-GB"/>
        </w:rPr>
      </w:pPr>
      <w:r w:rsidRPr="00F37046">
        <w:rPr>
          <w:rFonts w:asciiTheme="minorHAnsi" w:hAnsiTheme="minorHAnsi" w:cstheme="minorHAnsi"/>
          <w:lang w:val="en-GB"/>
        </w:rPr>
        <w:t>For the purpose of comparing the authentic FRAX model</w:t>
      </w:r>
      <w:r w:rsidR="00807E9F" w:rsidRPr="00F37046">
        <w:rPr>
          <w:rFonts w:asciiTheme="minorHAnsi" w:hAnsiTheme="minorHAnsi" w:cstheme="minorHAnsi"/>
          <w:lang w:val="en-GB"/>
        </w:rPr>
        <w:t xml:space="preserve"> for</w:t>
      </w:r>
      <w:r w:rsidR="0097511C">
        <w:rPr>
          <w:rFonts w:asciiTheme="minorHAnsi" w:hAnsiTheme="minorHAnsi" w:cstheme="minorHAnsi"/>
          <w:lang w:val="en-GB"/>
        </w:rPr>
        <w:t xml:space="preserve"> </w:t>
      </w:r>
      <w:r w:rsidR="005A1AF9" w:rsidRPr="00F37046">
        <w:rPr>
          <w:rFonts w:asciiTheme="minorHAnsi" w:hAnsiTheme="minorHAnsi" w:cstheme="minorHAnsi"/>
          <w:lang w:val="en-GB"/>
        </w:rPr>
        <w:t xml:space="preserve">Singapore </w:t>
      </w:r>
      <w:r w:rsidR="00446D9D">
        <w:rPr>
          <w:rFonts w:asciiTheme="minorHAnsi" w:hAnsiTheme="minorHAnsi" w:cstheme="minorHAnsi"/>
          <w:lang w:val="en-GB"/>
        </w:rPr>
        <w:t>with</w:t>
      </w:r>
      <w:r w:rsidRPr="00F37046">
        <w:rPr>
          <w:rFonts w:asciiTheme="minorHAnsi" w:hAnsiTheme="minorHAnsi" w:cstheme="minorHAnsi"/>
          <w:lang w:val="en-GB"/>
        </w:rPr>
        <w:t xml:space="preserve"> the surrogate</w:t>
      </w:r>
      <w:r w:rsidR="00DF7393" w:rsidRPr="00F37046">
        <w:rPr>
          <w:rFonts w:asciiTheme="minorHAnsi" w:hAnsiTheme="minorHAnsi" w:cstheme="minorHAnsi"/>
          <w:lang w:val="en-GB"/>
        </w:rPr>
        <w:t xml:space="preserve"> model for </w:t>
      </w:r>
      <w:r w:rsidR="005A1AF9" w:rsidRPr="00F37046">
        <w:rPr>
          <w:rFonts w:asciiTheme="minorHAnsi" w:hAnsiTheme="minorHAnsi" w:cstheme="minorHAnsi"/>
          <w:lang w:val="en-GB"/>
        </w:rPr>
        <w:t>Pakistan</w:t>
      </w:r>
      <w:r w:rsidRPr="00F37046">
        <w:rPr>
          <w:rFonts w:asciiTheme="minorHAnsi" w:hAnsiTheme="minorHAnsi" w:cstheme="minorHAnsi"/>
          <w:lang w:val="en-GB"/>
        </w:rPr>
        <w:t>, the probabilities of a major osteoporotic fracture (hip, clinical spine, forearm and humeral fractures) and of hip fracture alone were computed in men and women at ages 50, 60, 70 and 80 years for all possible combinations of clinical risk factors at BMD T-scores between 0 and −3.5 SD in 0.5 SD steps with a BMI set to 2</w:t>
      </w:r>
      <w:r w:rsidR="00612936" w:rsidRPr="00F37046">
        <w:rPr>
          <w:rFonts w:asciiTheme="minorHAnsi" w:hAnsiTheme="minorHAnsi" w:cstheme="minorHAnsi"/>
          <w:lang w:val="en-GB"/>
        </w:rPr>
        <w:t>6</w:t>
      </w:r>
      <w:r w:rsidRPr="00F37046">
        <w:rPr>
          <w:rFonts w:asciiTheme="minorHAnsi" w:hAnsiTheme="minorHAnsi" w:cstheme="minorHAnsi"/>
          <w:lang w:val="en-GB"/>
        </w:rPr>
        <w:t xml:space="preserve"> kg/m</w:t>
      </w:r>
      <w:r w:rsidRPr="00F37046">
        <w:rPr>
          <w:rFonts w:asciiTheme="minorHAnsi" w:hAnsiTheme="minorHAnsi" w:cstheme="minorHAnsi"/>
          <w:vertAlign w:val="superscript"/>
          <w:lang w:val="en-GB"/>
        </w:rPr>
        <w:t>2</w:t>
      </w:r>
      <w:r w:rsidRPr="00F37046">
        <w:rPr>
          <w:rFonts w:asciiTheme="minorHAnsi" w:hAnsiTheme="minorHAnsi" w:cstheme="minorHAnsi"/>
          <w:lang w:val="en-GB"/>
        </w:rPr>
        <w:t xml:space="preserve"> [</w:t>
      </w:r>
      <w:r w:rsidR="00DA061F">
        <w:rPr>
          <w:rFonts w:asciiTheme="minorHAnsi" w:hAnsiTheme="minorHAnsi" w:cstheme="minorHAnsi"/>
          <w:lang w:val="en-GB"/>
        </w:rPr>
        <w:t>17, 18]</w:t>
      </w:r>
      <w:r w:rsidRPr="00F37046">
        <w:rPr>
          <w:rFonts w:asciiTheme="minorHAnsi" w:hAnsiTheme="minorHAnsi" w:cstheme="minorHAnsi"/>
          <w:lang w:val="en-GB"/>
        </w:rPr>
        <w:t>.</w:t>
      </w:r>
      <w:r w:rsidRPr="00A0622C">
        <w:rPr>
          <w:rFonts w:asciiTheme="minorHAnsi" w:hAnsiTheme="minorHAnsi" w:cstheme="minorHAnsi"/>
          <w:lang w:val="en-GB"/>
        </w:rPr>
        <w:t xml:space="preserve"> </w:t>
      </w:r>
      <w:r w:rsidR="00446D9D">
        <w:rPr>
          <w:rFonts w:asciiTheme="minorHAnsi" w:hAnsiTheme="minorHAnsi" w:cstheme="minorHAnsi"/>
          <w:lang w:val="en-GB"/>
        </w:rPr>
        <w:t xml:space="preserve">This </w:t>
      </w:r>
      <w:r w:rsidRPr="00A0622C">
        <w:rPr>
          <w:rFonts w:asciiTheme="minorHAnsi" w:hAnsiTheme="minorHAnsi" w:cstheme="minorHAnsi"/>
          <w:lang w:val="en-GB"/>
        </w:rPr>
        <w:t xml:space="preserve">combination of six risk factors and eight values of BMD </w:t>
      </w:r>
      <w:r w:rsidR="00446D9D">
        <w:rPr>
          <w:rFonts w:asciiTheme="minorHAnsi" w:hAnsiTheme="minorHAnsi" w:cstheme="minorHAnsi"/>
          <w:lang w:val="en-GB"/>
        </w:rPr>
        <w:t>gave</w:t>
      </w:r>
      <w:r w:rsidR="00446D9D" w:rsidRPr="00A0622C">
        <w:rPr>
          <w:rFonts w:asciiTheme="minorHAnsi" w:hAnsiTheme="minorHAnsi" w:cstheme="minorHAnsi"/>
          <w:lang w:val="en-GB"/>
        </w:rPr>
        <w:t xml:space="preserve"> </w:t>
      </w:r>
      <w:r w:rsidRPr="00A0622C">
        <w:rPr>
          <w:rFonts w:asciiTheme="minorHAnsi" w:hAnsiTheme="minorHAnsi" w:cstheme="minorHAnsi"/>
          <w:lang w:val="en-GB"/>
        </w:rPr>
        <w:t xml:space="preserve">a total of </w:t>
      </w:r>
      <w:r w:rsidR="002619BC" w:rsidRPr="00A0622C">
        <w:rPr>
          <w:rFonts w:asciiTheme="minorHAnsi" w:hAnsiTheme="minorHAnsi" w:cstheme="minorHAnsi"/>
          <w:lang w:val="en-GB"/>
        </w:rPr>
        <w:t xml:space="preserve">512 </w:t>
      </w:r>
      <w:r w:rsidRPr="00A0622C">
        <w:rPr>
          <w:rFonts w:asciiTheme="minorHAnsi" w:hAnsiTheme="minorHAnsi" w:cstheme="minorHAnsi"/>
          <w:lang w:val="en-GB"/>
        </w:rPr>
        <w:t>combinations</w:t>
      </w:r>
      <w:r w:rsidR="00FF2CDF">
        <w:rPr>
          <w:rFonts w:asciiTheme="minorHAnsi" w:hAnsiTheme="minorHAnsi" w:cstheme="minorHAnsi"/>
          <w:lang w:val="en-GB"/>
        </w:rPr>
        <w:t xml:space="preserve"> at each age studied</w:t>
      </w:r>
      <w:r w:rsidRPr="00A0622C">
        <w:rPr>
          <w:rFonts w:asciiTheme="minorHAnsi" w:hAnsiTheme="minorHAnsi" w:cstheme="minorHAnsi"/>
          <w:lang w:val="en-GB"/>
        </w:rPr>
        <w:t xml:space="preserve">.  Note that this was not a population simulation, but an array of all possible combinations. The correlation between the probabilities derived from the surrogate and authentic models was examined by piecewise linear regression with knots at the probabilities of </w:t>
      </w:r>
      <w:r w:rsidR="007C3B35" w:rsidRPr="007C3B35">
        <w:rPr>
          <w:rFonts w:asciiTheme="minorHAnsi" w:hAnsiTheme="minorHAnsi" w:cstheme="minorHAnsi"/>
          <w:lang w:val="en-GB"/>
        </w:rPr>
        <w:t>35</w:t>
      </w:r>
      <w:r w:rsidRPr="007C3B35">
        <w:rPr>
          <w:rFonts w:asciiTheme="minorHAnsi" w:hAnsiTheme="minorHAnsi" w:cstheme="minorHAnsi"/>
          <w:lang w:val="en-GB"/>
        </w:rPr>
        <w:t>% for the</w:t>
      </w:r>
      <w:r w:rsidRPr="00A0622C">
        <w:rPr>
          <w:rFonts w:asciiTheme="minorHAnsi" w:hAnsiTheme="minorHAnsi" w:cstheme="minorHAnsi"/>
          <w:lang w:val="en-GB"/>
        </w:rPr>
        <w:t xml:space="preserve"> </w:t>
      </w:r>
      <w:r w:rsidR="005A1AF9" w:rsidRPr="00A0622C">
        <w:rPr>
          <w:rFonts w:asciiTheme="minorHAnsi" w:hAnsiTheme="minorHAnsi" w:cstheme="minorHAnsi"/>
          <w:lang w:val="en-GB"/>
        </w:rPr>
        <w:t>Singapore</w:t>
      </w:r>
      <w:r w:rsidR="00470B45">
        <w:rPr>
          <w:rFonts w:asciiTheme="minorHAnsi" w:hAnsiTheme="minorHAnsi" w:cstheme="minorHAnsi"/>
          <w:lang w:val="en-GB"/>
        </w:rPr>
        <w:t>an</w:t>
      </w:r>
      <w:r w:rsidR="005A1AF9" w:rsidRPr="00A0622C">
        <w:rPr>
          <w:rFonts w:asciiTheme="minorHAnsi" w:hAnsiTheme="minorHAnsi" w:cstheme="minorHAnsi"/>
          <w:lang w:val="en-GB"/>
        </w:rPr>
        <w:t xml:space="preserve"> </w:t>
      </w:r>
      <w:r w:rsidR="00470B45">
        <w:rPr>
          <w:rFonts w:asciiTheme="minorHAnsi" w:hAnsiTheme="minorHAnsi" w:cstheme="minorHAnsi"/>
          <w:lang w:val="en-GB"/>
        </w:rPr>
        <w:t>I</w:t>
      </w:r>
      <w:r w:rsidR="00470B45" w:rsidRPr="00A0622C">
        <w:rPr>
          <w:rFonts w:asciiTheme="minorHAnsi" w:hAnsiTheme="minorHAnsi" w:cstheme="minorHAnsi"/>
          <w:lang w:val="en-GB"/>
        </w:rPr>
        <w:t xml:space="preserve">ndian </w:t>
      </w:r>
      <w:r w:rsidRPr="00A0622C">
        <w:rPr>
          <w:rFonts w:asciiTheme="minorHAnsi" w:hAnsiTheme="minorHAnsi" w:cstheme="minorHAnsi"/>
          <w:lang w:val="en-GB"/>
        </w:rPr>
        <w:t xml:space="preserve">probabilities of a major osteoporotic fracture and hip fracture. Tabular data were used to compare probabilities between the two versions at the 50th (median) percentile of the distribution of the </w:t>
      </w:r>
      <w:r w:rsidR="00A0622C">
        <w:rPr>
          <w:rFonts w:asciiTheme="minorHAnsi" w:hAnsiTheme="minorHAnsi" w:cstheme="minorHAnsi"/>
          <w:lang w:val="en-GB"/>
        </w:rPr>
        <w:t xml:space="preserve">Singapore Indian </w:t>
      </w:r>
      <w:r w:rsidRPr="00A0622C">
        <w:rPr>
          <w:rFonts w:asciiTheme="minorHAnsi" w:hAnsiTheme="minorHAnsi" w:cstheme="minorHAnsi"/>
          <w:lang w:val="en-GB"/>
        </w:rPr>
        <w:t xml:space="preserve">model. Differences in the </w:t>
      </w:r>
      <w:r w:rsidR="00A0622C">
        <w:rPr>
          <w:rFonts w:asciiTheme="minorHAnsi" w:hAnsiTheme="minorHAnsi" w:cstheme="minorHAnsi"/>
          <w:lang w:val="en-GB"/>
        </w:rPr>
        <w:t>Pakistan</w:t>
      </w:r>
      <w:r w:rsidRPr="00A0622C">
        <w:rPr>
          <w:rFonts w:asciiTheme="minorHAnsi" w:hAnsiTheme="minorHAnsi" w:cstheme="minorHAnsi"/>
          <w:lang w:val="en-GB"/>
        </w:rPr>
        <w:t xml:space="preserve"> model from the </w:t>
      </w:r>
      <w:r w:rsidR="00A0622C">
        <w:rPr>
          <w:rFonts w:asciiTheme="minorHAnsi" w:hAnsiTheme="minorHAnsi" w:cstheme="minorHAnsi"/>
          <w:lang w:val="en-GB"/>
        </w:rPr>
        <w:t>Singapore Indian</w:t>
      </w:r>
      <w:r w:rsidRPr="00A0622C">
        <w:rPr>
          <w:rFonts w:asciiTheme="minorHAnsi" w:hAnsiTheme="minorHAnsi" w:cstheme="minorHAnsi"/>
          <w:lang w:val="en-GB"/>
        </w:rPr>
        <w:t xml:space="preserve"> model at these percentiles were expressed as 95% tolerance intervals (TI).</w:t>
      </w:r>
      <w:r w:rsidR="00A264BA" w:rsidRPr="00A0622C">
        <w:rPr>
          <w:rFonts w:asciiTheme="minorHAnsi" w:hAnsiTheme="minorHAnsi" w:cstheme="minorHAnsi"/>
          <w:lang w:val="en-GB"/>
        </w:rPr>
        <w:t xml:space="preserve">  </w:t>
      </w:r>
    </w:p>
    <w:p w14:paraId="0DB5D6CA" w14:textId="77777777" w:rsidR="00794A76" w:rsidRPr="00A0622C" w:rsidRDefault="00794A76" w:rsidP="00936AFC">
      <w:pPr>
        <w:spacing w:line="276" w:lineRule="auto"/>
        <w:ind w:left="567" w:right="142" w:firstLine="426"/>
        <w:rPr>
          <w:rFonts w:asciiTheme="minorHAnsi" w:hAnsiTheme="minorHAnsi" w:cstheme="minorHAnsi"/>
          <w:highlight w:val="yellow"/>
          <w:lang w:val="en-GB"/>
        </w:rPr>
      </w:pPr>
    </w:p>
    <w:p w14:paraId="7C3C9AD6" w14:textId="2DFE4156" w:rsidR="00084D6F" w:rsidRPr="00A0622C" w:rsidRDefault="00084D6F" w:rsidP="00936AFC">
      <w:pPr>
        <w:spacing w:line="276" w:lineRule="auto"/>
        <w:ind w:left="567" w:right="142"/>
        <w:rPr>
          <w:rFonts w:asciiTheme="minorHAnsi" w:hAnsiTheme="minorHAnsi" w:cstheme="minorHAnsi"/>
          <w:lang w:val="en-GB"/>
        </w:rPr>
      </w:pPr>
      <w:r w:rsidRPr="00A0622C">
        <w:rPr>
          <w:rFonts w:asciiTheme="minorHAnsi" w:hAnsiTheme="minorHAnsi" w:cstheme="minorHAnsi"/>
          <w:lang w:val="en-GB"/>
        </w:rPr>
        <w:t xml:space="preserve">The age and sex-specific incidence was applied to the </w:t>
      </w:r>
      <w:r w:rsidR="00A0622C" w:rsidRPr="00A0622C">
        <w:rPr>
          <w:rFonts w:asciiTheme="minorHAnsi" w:hAnsiTheme="minorHAnsi" w:cstheme="minorHAnsi"/>
          <w:lang w:val="en-GB"/>
        </w:rPr>
        <w:t>Pakistan</w:t>
      </w:r>
      <w:r w:rsidRPr="00A0622C">
        <w:rPr>
          <w:rFonts w:asciiTheme="minorHAnsi" w:hAnsiTheme="minorHAnsi" w:cstheme="minorHAnsi"/>
          <w:lang w:val="en-GB"/>
        </w:rPr>
        <w:t xml:space="preserve"> population </w:t>
      </w:r>
      <w:r w:rsidR="005E5EA4" w:rsidRPr="00A0622C">
        <w:rPr>
          <w:rFonts w:asciiTheme="minorHAnsi" w:hAnsiTheme="minorHAnsi" w:cstheme="minorHAnsi"/>
          <w:lang w:val="en-GB"/>
        </w:rPr>
        <w:t>in</w:t>
      </w:r>
      <w:r w:rsidRPr="00A0622C">
        <w:rPr>
          <w:rFonts w:asciiTheme="minorHAnsi" w:hAnsiTheme="minorHAnsi" w:cstheme="minorHAnsi"/>
          <w:lang w:val="en-GB"/>
        </w:rPr>
        <w:t xml:space="preserve"> </w:t>
      </w:r>
      <w:r w:rsidR="00BF74C8">
        <w:rPr>
          <w:rFonts w:asciiTheme="minorHAnsi" w:hAnsiTheme="minorHAnsi" w:cstheme="minorHAnsi"/>
          <w:lang w:val="en-GB"/>
        </w:rPr>
        <w:t>2015</w:t>
      </w:r>
      <w:r w:rsidR="00BF74C8" w:rsidRPr="00A0622C">
        <w:rPr>
          <w:rFonts w:asciiTheme="minorHAnsi" w:hAnsiTheme="minorHAnsi" w:cstheme="minorHAnsi"/>
          <w:lang w:val="en-GB"/>
        </w:rPr>
        <w:t xml:space="preserve"> </w:t>
      </w:r>
      <w:r w:rsidRPr="00A0622C">
        <w:rPr>
          <w:rFonts w:asciiTheme="minorHAnsi" w:hAnsiTheme="minorHAnsi" w:cstheme="minorHAnsi"/>
          <w:lang w:val="en-GB"/>
        </w:rPr>
        <w:t>to estimate the number of hip fractures nationwide</w:t>
      </w:r>
      <w:r w:rsidR="00FF2CDF">
        <w:rPr>
          <w:rFonts w:asciiTheme="minorHAnsi" w:hAnsiTheme="minorHAnsi" w:cstheme="minorHAnsi"/>
          <w:lang w:val="en-GB"/>
        </w:rPr>
        <w:t xml:space="preserve"> in that year</w:t>
      </w:r>
      <w:r w:rsidRPr="00A0622C">
        <w:rPr>
          <w:rFonts w:asciiTheme="minorHAnsi" w:hAnsiTheme="minorHAnsi" w:cstheme="minorHAnsi"/>
          <w:lang w:val="en-GB"/>
        </w:rPr>
        <w:t xml:space="preserve">.  Additionally, future projections were estimated </w:t>
      </w:r>
      <w:r w:rsidR="00372D33" w:rsidRPr="00A0622C">
        <w:rPr>
          <w:rFonts w:asciiTheme="minorHAnsi" w:hAnsiTheme="minorHAnsi" w:cstheme="minorHAnsi"/>
          <w:lang w:val="en-GB"/>
        </w:rPr>
        <w:t xml:space="preserve">up to 2050 </w:t>
      </w:r>
      <w:r w:rsidRPr="00A0622C">
        <w:rPr>
          <w:rFonts w:asciiTheme="minorHAnsi" w:hAnsiTheme="minorHAnsi" w:cstheme="minorHAnsi"/>
          <w:lang w:val="en-GB"/>
        </w:rPr>
        <w:t xml:space="preserve">assuming </w:t>
      </w:r>
      <w:r w:rsidRPr="00F37046">
        <w:rPr>
          <w:rFonts w:asciiTheme="minorHAnsi" w:hAnsiTheme="minorHAnsi" w:cstheme="minorHAnsi"/>
          <w:lang w:val="en-GB"/>
        </w:rPr>
        <w:t>that the age- and sex-s</w:t>
      </w:r>
      <w:r w:rsidR="00372D33" w:rsidRPr="00F37046">
        <w:rPr>
          <w:rFonts w:asciiTheme="minorHAnsi" w:hAnsiTheme="minorHAnsi" w:cstheme="minorHAnsi"/>
          <w:lang w:val="en-GB"/>
        </w:rPr>
        <w:t>p</w:t>
      </w:r>
      <w:r w:rsidRPr="00F37046">
        <w:rPr>
          <w:rFonts w:asciiTheme="minorHAnsi" w:hAnsiTheme="minorHAnsi" w:cstheme="minorHAnsi"/>
          <w:lang w:val="en-GB"/>
        </w:rPr>
        <w:t>ecific incidence remained stable</w:t>
      </w:r>
      <w:r w:rsidR="00372D33" w:rsidRPr="00F37046">
        <w:rPr>
          <w:rFonts w:asciiTheme="minorHAnsi" w:hAnsiTheme="minorHAnsi" w:cstheme="minorHAnsi"/>
          <w:lang w:val="en-GB"/>
        </w:rPr>
        <w:t>.  Population demography was taken from the United Nations using the medium variant for fertility [</w:t>
      </w:r>
      <w:r w:rsidR="00D859F1">
        <w:rPr>
          <w:rFonts w:asciiTheme="minorHAnsi" w:hAnsiTheme="minorHAnsi" w:cstheme="minorHAnsi"/>
          <w:lang w:val="en-GB"/>
        </w:rPr>
        <w:t>8]</w:t>
      </w:r>
      <w:r w:rsidR="00372D33" w:rsidRPr="00F37046">
        <w:rPr>
          <w:rFonts w:asciiTheme="minorHAnsi" w:hAnsiTheme="minorHAnsi" w:cstheme="minorHAnsi"/>
          <w:lang w:val="en-GB"/>
        </w:rPr>
        <w:t>.</w:t>
      </w:r>
      <w:r w:rsidRPr="00A0622C">
        <w:rPr>
          <w:rFonts w:asciiTheme="minorHAnsi" w:hAnsiTheme="minorHAnsi" w:cstheme="minorHAnsi"/>
          <w:lang w:val="en-GB"/>
        </w:rPr>
        <w:t xml:space="preserve"> </w:t>
      </w:r>
    </w:p>
    <w:p w14:paraId="02FF318E" w14:textId="77777777" w:rsidR="00E254B2" w:rsidRPr="00EB736C" w:rsidRDefault="00E254B2" w:rsidP="00936AFC">
      <w:pPr>
        <w:spacing w:line="276" w:lineRule="auto"/>
        <w:ind w:left="567" w:right="142"/>
        <w:rPr>
          <w:rFonts w:asciiTheme="minorHAnsi" w:hAnsiTheme="minorHAnsi" w:cstheme="minorHAnsi"/>
          <w:highlight w:val="yellow"/>
          <w:lang w:val="en-GB"/>
        </w:rPr>
      </w:pPr>
    </w:p>
    <w:p w14:paraId="19A08ABB" w14:textId="0083734E" w:rsidR="00286D3C" w:rsidRPr="00EB736C" w:rsidRDefault="00147509" w:rsidP="00936AFC">
      <w:pPr>
        <w:spacing w:line="276" w:lineRule="auto"/>
        <w:ind w:left="567" w:right="142"/>
        <w:rPr>
          <w:rFonts w:asciiTheme="minorHAnsi" w:hAnsiTheme="minorHAnsi" w:cstheme="minorHAnsi"/>
          <w:b/>
          <w:lang w:val="en-GB"/>
        </w:rPr>
      </w:pPr>
      <w:r w:rsidRPr="00EB736C">
        <w:rPr>
          <w:rFonts w:asciiTheme="minorHAnsi" w:hAnsiTheme="minorHAnsi" w:cstheme="minorHAnsi"/>
          <w:b/>
          <w:lang w:val="en-GB"/>
        </w:rPr>
        <w:t>Results</w:t>
      </w:r>
      <w:r w:rsidR="00286D3C" w:rsidRPr="00EB736C">
        <w:rPr>
          <w:rFonts w:asciiTheme="minorHAnsi" w:hAnsiTheme="minorHAnsi" w:cstheme="minorHAnsi"/>
          <w:b/>
          <w:lang w:val="en-GB"/>
        </w:rPr>
        <w:t xml:space="preserve"> </w:t>
      </w:r>
    </w:p>
    <w:p w14:paraId="458487B9" w14:textId="00E73793" w:rsidR="008724AF" w:rsidRDefault="003D2965" w:rsidP="00936AFC">
      <w:pPr>
        <w:spacing w:line="276" w:lineRule="auto"/>
        <w:ind w:left="567" w:right="142"/>
        <w:rPr>
          <w:rFonts w:ascii="Calibri" w:eastAsia="Calibri" w:hAnsi="Calibri" w:cs="DokChampa"/>
          <w:lang w:val="en-US" w:eastAsia="en-US" w:bidi="lo-LA"/>
        </w:rPr>
      </w:pPr>
      <w:r>
        <w:rPr>
          <w:rFonts w:ascii="Calibri" w:eastAsia="Calibri" w:hAnsi="Calibri" w:cs="DokChampa"/>
          <w:lang w:val="en-US" w:eastAsia="en-US" w:bidi="lo-LA"/>
        </w:rPr>
        <w:t xml:space="preserve">Using the combinations of CRFs and BMD, </w:t>
      </w:r>
      <w:r w:rsidR="00FD530F">
        <w:rPr>
          <w:rFonts w:ascii="Calibri" w:eastAsia="Calibri" w:hAnsi="Calibri" w:cs="DokChampa"/>
          <w:lang w:val="en-US" w:eastAsia="en-US" w:bidi="lo-LA"/>
        </w:rPr>
        <w:t xml:space="preserve">the </w:t>
      </w:r>
      <w:r>
        <w:rPr>
          <w:rFonts w:ascii="Calibri" w:eastAsia="Calibri" w:hAnsi="Calibri" w:cs="DokChampa"/>
          <w:lang w:val="en-US" w:eastAsia="en-US" w:bidi="lo-LA"/>
        </w:rPr>
        <w:t xml:space="preserve">median </w:t>
      </w:r>
      <w:r w:rsidR="005555EC" w:rsidRPr="005555EC">
        <w:rPr>
          <w:rFonts w:ascii="Calibri" w:eastAsia="Calibri" w:hAnsi="Calibri" w:cs="DokChampa"/>
          <w:lang w:val="en-US" w:eastAsia="en-US" w:bidi="lo-LA"/>
        </w:rPr>
        <w:t xml:space="preserve">probabilities for Pakistan were </w:t>
      </w:r>
      <w:r w:rsidR="00375E23">
        <w:rPr>
          <w:rFonts w:ascii="Calibri" w:eastAsia="Calibri" w:hAnsi="Calibri" w:cs="DokChampa"/>
          <w:lang w:val="en-US" w:eastAsia="en-US" w:bidi="lo-LA"/>
        </w:rPr>
        <w:t>similar to those</w:t>
      </w:r>
      <w:r w:rsidR="005555EC" w:rsidRPr="005555EC">
        <w:rPr>
          <w:rFonts w:ascii="Calibri" w:eastAsia="Calibri" w:hAnsi="Calibri" w:cs="DokChampa"/>
          <w:lang w:val="en-US" w:eastAsia="en-US" w:bidi="lo-LA"/>
        </w:rPr>
        <w:t xml:space="preserve"> for Indians</w:t>
      </w:r>
      <w:r w:rsidR="005E266D">
        <w:rPr>
          <w:rFonts w:ascii="Calibri" w:eastAsia="Calibri" w:hAnsi="Calibri" w:cs="DokChampa"/>
          <w:lang w:val="en-US" w:eastAsia="en-US" w:bidi="lo-LA"/>
        </w:rPr>
        <w:t xml:space="preserve"> in </w:t>
      </w:r>
      <w:r w:rsidR="005E266D" w:rsidRPr="005E266D">
        <w:rPr>
          <w:rFonts w:ascii="Calibri" w:eastAsia="Calibri" w:hAnsi="Calibri" w:cs="DokChampa"/>
          <w:lang w:val="en-US" w:eastAsia="en-US" w:bidi="lo-LA"/>
        </w:rPr>
        <w:t>Singapore</w:t>
      </w:r>
      <w:r w:rsidR="005555EC" w:rsidRPr="005555EC">
        <w:rPr>
          <w:rFonts w:ascii="Calibri" w:eastAsia="Calibri" w:hAnsi="Calibri" w:cs="DokChampa"/>
          <w:lang w:val="en-US" w:eastAsia="en-US" w:bidi="lo-LA"/>
        </w:rPr>
        <w:t xml:space="preserve"> for the age of 50</w:t>
      </w:r>
      <w:r w:rsidR="00B94739">
        <w:rPr>
          <w:rFonts w:ascii="Calibri" w:eastAsia="Calibri" w:hAnsi="Calibri" w:cs="DokChampa"/>
          <w:lang w:val="en-US" w:eastAsia="en-US" w:bidi="lo-LA"/>
        </w:rPr>
        <w:t xml:space="preserve"> years</w:t>
      </w:r>
      <w:r>
        <w:rPr>
          <w:rFonts w:ascii="Calibri" w:eastAsia="Calibri" w:hAnsi="Calibri" w:cs="DokChampa"/>
          <w:lang w:val="en-US" w:eastAsia="en-US" w:bidi="lo-LA"/>
        </w:rPr>
        <w:t>, but with increasing age, the median values were lower in the Pakistan model, an effect that was more marked for men</w:t>
      </w:r>
      <w:r w:rsidR="00FD530F">
        <w:rPr>
          <w:rFonts w:ascii="Calibri" w:eastAsia="Calibri" w:hAnsi="Calibri" w:cs="DokChampa"/>
          <w:lang w:val="en-US" w:eastAsia="en-US" w:bidi="lo-LA"/>
        </w:rPr>
        <w:t xml:space="preserve"> (Table 1)</w:t>
      </w:r>
      <w:r w:rsidR="005555EC" w:rsidRPr="005555EC">
        <w:rPr>
          <w:rFonts w:ascii="Calibri" w:eastAsia="Calibri" w:hAnsi="Calibri" w:cs="DokChampa"/>
          <w:lang w:val="en-US" w:eastAsia="en-US" w:bidi="lo-LA"/>
        </w:rPr>
        <w:t xml:space="preserve">. </w:t>
      </w:r>
      <w:r w:rsidR="00810375" w:rsidRPr="00A32260">
        <w:rPr>
          <w:rFonts w:ascii="Calibri" w:eastAsia="Calibri" w:hAnsi="Calibri" w:cs="DokChampa"/>
          <w:lang w:val="en-US" w:eastAsia="en-US" w:bidi="lo-LA"/>
        </w:rPr>
        <w:t xml:space="preserve">For </w:t>
      </w:r>
      <w:r>
        <w:rPr>
          <w:rFonts w:ascii="Calibri" w:eastAsia="Calibri" w:hAnsi="Calibri" w:cs="DokChampa"/>
          <w:lang w:val="en-US" w:eastAsia="en-US" w:bidi="lo-LA"/>
        </w:rPr>
        <w:t xml:space="preserve">example, in </w:t>
      </w:r>
      <w:r w:rsidR="00810375" w:rsidRPr="00A32260">
        <w:rPr>
          <w:rFonts w:ascii="Calibri" w:eastAsia="Calibri" w:hAnsi="Calibri" w:cs="DokChampa"/>
          <w:lang w:val="en-US" w:eastAsia="en-US" w:bidi="lo-LA"/>
        </w:rPr>
        <w:t>men a</w:t>
      </w:r>
      <w:r w:rsidR="00915A0B" w:rsidRPr="00A32260">
        <w:rPr>
          <w:rFonts w:ascii="Calibri" w:eastAsia="Calibri" w:hAnsi="Calibri" w:cs="DokChampa"/>
          <w:lang w:val="en-US" w:eastAsia="en-US" w:bidi="lo-LA"/>
        </w:rPr>
        <w:t xml:space="preserve">t the age of 70 </w:t>
      </w:r>
      <w:r w:rsidR="003342F9" w:rsidRPr="00A32260">
        <w:rPr>
          <w:rFonts w:ascii="Calibri" w:eastAsia="Calibri" w:hAnsi="Calibri" w:cs="DokChampa"/>
          <w:lang w:val="en-US" w:eastAsia="en-US" w:bidi="lo-LA"/>
        </w:rPr>
        <w:t xml:space="preserve">and 80 </w:t>
      </w:r>
      <w:r w:rsidR="00915A0B" w:rsidRPr="00A32260">
        <w:rPr>
          <w:rFonts w:ascii="Calibri" w:eastAsia="Calibri" w:hAnsi="Calibri" w:cs="DokChampa"/>
          <w:lang w:val="en-US" w:eastAsia="en-US" w:bidi="lo-LA"/>
        </w:rPr>
        <w:t>yea</w:t>
      </w:r>
      <w:r w:rsidR="00C479FC" w:rsidRPr="00A32260">
        <w:rPr>
          <w:rFonts w:ascii="Calibri" w:eastAsia="Calibri" w:hAnsi="Calibri" w:cs="DokChampa"/>
          <w:lang w:val="en-US" w:eastAsia="en-US" w:bidi="lo-LA"/>
        </w:rPr>
        <w:t xml:space="preserve">rs, </w:t>
      </w:r>
      <w:r w:rsidR="00645D80" w:rsidRPr="00A32260">
        <w:rPr>
          <w:rFonts w:ascii="Calibri" w:eastAsia="Calibri" w:hAnsi="Calibri" w:cs="DokChampa"/>
          <w:lang w:val="en-US" w:eastAsia="en-US" w:bidi="lo-LA"/>
        </w:rPr>
        <w:t>t</w:t>
      </w:r>
      <w:r w:rsidR="00C479FC" w:rsidRPr="00A32260">
        <w:rPr>
          <w:rFonts w:ascii="Calibri" w:eastAsia="Calibri" w:hAnsi="Calibri" w:cs="DokChampa"/>
          <w:lang w:val="en-US" w:eastAsia="en-US" w:bidi="lo-LA"/>
        </w:rPr>
        <w:t xml:space="preserve">he median value </w:t>
      </w:r>
      <w:r w:rsidR="00645D80" w:rsidRPr="00A32260">
        <w:rPr>
          <w:rFonts w:ascii="Calibri" w:eastAsia="Calibri" w:hAnsi="Calibri" w:cs="DokChampa"/>
          <w:lang w:val="en-US" w:eastAsia="en-US" w:bidi="lo-LA"/>
        </w:rPr>
        <w:t xml:space="preserve">of </w:t>
      </w:r>
      <w:r w:rsidR="00C479FC" w:rsidRPr="00A32260">
        <w:rPr>
          <w:rFonts w:ascii="Calibri" w:eastAsia="Calibri" w:hAnsi="Calibri" w:cs="DokChampa"/>
          <w:lang w:val="en-US" w:eastAsia="en-US" w:bidi="lo-LA"/>
        </w:rPr>
        <w:t>t</w:t>
      </w:r>
      <w:r w:rsidR="004B7A41" w:rsidRPr="00A32260">
        <w:rPr>
          <w:rFonts w:ascii="Calibri" w:eastAsia="Calibri" w:hAnsi="Calibri" w:cs="DokChampa"/>
          <w:lang w:val="en-US" w:eastAsia="en-US" w:bidi="lo-LA"/>
        </w:rPr>
        <w:t xml:space="preserve">he </w:t>
      </w:r>
      <w:r w:rsidR="007E35E9" w:rsidRPr="00A32260">
        <w:rPr>
          <w:rFonts w:ascii="Calibri" w:eastAsia="Calibri" w:hAnsi="Calibri" w:cs="DokChampa"/>
          <w:lang w:val="en-US" w:eastAsia="en-US" w:bidi="lo-LA"/>
        </w:rPr>
        <w:t>surrogate</w:t>
      </w:r>
      <w:r w:rsidR="004B7A41" w:rsidRPr="00A32260">
        <w:rPr>
          <w:rFonts w:ascii="Calibri" w:eastAsia="Calibri" w:hAnsi="Calibri" w:cs="DokChampa"/>
          <w:lang w:val="en-US" w:eastAsia="en-US" w:bidi="lo-LA"/>
        </w:rPr>
        <w:t xml:space="preserve"> version was </w:t>
      </w:r>
      <w:r w:rsidR="003342F9" w:rsidRPr="00A32260">
        <w:rPr>
          <w:rFonts w:ascii="Calibri" w:eastAsia="Calibri" w:hAnsi="Calibri" w:cs="DokChampa"/>
          <w:lang w:val="en-US" w:eastAsia="en-US" w:bidi="lo-LA"/>
        </w:rPr>
        <w:t>lower</w:t>
      </w:r>
      <w:r w:rsidR="004B7A41" w:rsidRPr="00A32260">
        <w:rPr>
          <w:rFonts w:ascii="Calibri" w:eastAsia="Calibri" w:hAnsi="Calibri" w:cs="DokChampa"/>
          <w:lang w:val="en-US" w:eastAsia="en-US" w:bidi="lo-LA"/>
        </w:rPr>
        <w:t xml:space="preserve"> by </w:t>
      </w:r>
      <w:r w:rsidR="00253B9D" w:rsidRPr="00A32260">
        <w:rPr>
          <w:rFonts w:ascii="Calibri" w:eastAsia="Calibri" w:hAnsi="Calibri" w:cs="DokChampa"/>
          <w:lang w:val="en-US" w:eastAsia="en-US" w:bidi="lo-LA"/>
        </w:rPr>
        <w:t xml:space="preserve">about </w:t>
      </w:r>
      <w:r w:rsidR="003342F9" w:rsidRPr="00A32260">
        <w:rPr>
          <w:rFonts w:ascii="Calibri" w:eastAsia="Calibri" w:hAnsi="Calibri" w:cs="DokChampa"/>
          <w:lang w:val="en-US" w:eastAsia="en-US" w:bidi="lo-LA"/>
        </w:rPr>
        <w:t>30</w:t>
      </w:r>
      <w:r w:rsidR="004B7A41" w:rsidRPr="00A32260">
        <w:rPr>
          <w:rFonts w:ascii="Calibri" w:eastAsia="Calibri" w:hAnsi="Calibri" w:cs="DokChampa"/>
          <w:lang w:val="en-US" w:eastAsia="en-US" w:bidi="lo-LA"/>
        </w:rPr>
        <w:t xml:space="preserve">% </w:t>
      </w:r>
      <w:r w:rsidR="003422B4" w:rsidRPr="00A32260">
        <w:rPr>
          <w:rFonts w:ascii="Calibri" w:eastAsia="Calibri" w:hAnsi="Calibri" w:cs="DokChampa"/>
          <w:lang w:val="en-US" w:eastAsia="en-US" w:bidi="lo-LA"/>
        </w:rPr>
        <w:t>for the probability of hip fracture and major osteoporotic fract</w:t>
      </w:r>
      <w:r w:rsidR="00E6621F" w:rsidRPr="00A32260">
        <w:rPr>
          <w:rFonts w:ascii="Calibri" w:eastAsia="Calibri" w:hAnsi="Calibri" w:cs="DokChampa"/>
          <w:lang w:val="en-US" w:eastAsia="en-US" w:bidi="lo-LA"/>
        </w:rPr>
        <w:t>ure</w:t>
      </w:r>
      <w:r w:rsidR="00FD530F">
        <w:rPr>
          <w:rFonts w:ascii="Calibri" w:eastAsia="Calibri" w:hAnsi="Calibri" w:cs="DokChampa"/>
          <w:lang w:val="en-US" w:eastAsia="en-US" w:bidi="lo-LA"/>
        </w:rPr>
        <w:t xml:space="preserve">, whereas at younger </w:t>
      </w:r>
      <w:r w:rsidR="004B7A41" w:rsidRPr="00A32260">
        <w:rPr>
          <w:rFonts w:ascii="Calibri" w:eastAsia="Calibri" w:hAnsi="Calibri" w:cs="DokChampa"/>
          <w:lang w:val="en-US" w:eastAsia="en-US" w:bidi="lo-LA"/>
        </w:rPr>
        <w:t>age</w:t>
      </w:r>
      <w:r w:rsidR="009A3D15" w:rsidRPr="00A32260">
        <w:rPr>
          <w:rFonts w:ascii="Calibri" w:eastAsia="Calibri" w:hAnsi="Calibri" w:cs="DokChampa"/>
          <w:lang w:val="en-US" w:eastAsia="en-US" w:bidi="lo-LA"/>
        </w:rPr>
        <w:t xml:space="preserve">s, the difference was less than </w:t>
      </w:r>
      <w:r w:rsidR="00A32260" w:rsidRPr="00A32260">
        <w:rPr>
          <w:rFonts w:ascii="Calibri" w:eastAsia="Calibri" w:hAnsi="Calibri" w:cs="DokChampa"/>
          <w:lang w:val="en-US" w:eastAsia="en-US" w:bidi="lo-LA"/>
        </w:rPr>
        <w:t>12</w:t>
      </w:r>
      <w:r w:rsidR="009A3D15" w:rsidRPr="00A32260">
        <w:rPr>
          <w:rFonts w:ascii="Calibri" w:eastAsia="Calibri" w:hAnsi="Calibri" w:cs="DokChampa"/>
          <w:lang w:val="en-US" w:eastAsia="en-US" w:bidi="lo-LA"/>
        </w:rPr>
        <w:t>%</w:t>
      </w:r>
      <w:r w:rsidR="009508BF" w:rsidRPr="00A32260">
        <w:rPr>
          <w:rFonts w:ascii="Calibri" w:eastAsia="Calibri" w:hAnsi="Calibri" w:cs="DokChampa"/>
          <w:lang w:val="en-US" w:eastAsia="en-US" w:bidi="lo-LA"/>
        </w:rPr>
        <w:t xml:space="preserve"> (Table 1)</w:t>
      </w:r>
      <w:r w:rsidR="009A3D15" w:rsidRPr="00A32260">
        <w:rPr>
          <w:rFonts w:ascii="Calibri" w:eastAsia="Calibri" w:hAnsi="Calibri" w:cs="DokChampa"/>
          <w:lang w:val="en-US" w:eastAsia="en-US" w:bidi="lo-LA"/>
        </w:rPr>
        <w:t xml:space="preserve">. </w:t>
      </w:r>
      <w:r w:rsidR="00810375" w:rsidRPr="00A32260">
        <w:rPr>
          <w:rFonts w:ascii="Calibri" w:eastAsia="Calibri" w:hAnsi="Calibri" w:cs="DokChampa"/>
          <w:lang w:val="en-US" w:eastAsia="en-US" w:bidi="lo-LA"/>
        </w:rPr>
        <w:t>For women</w:t>
      </w:r>
      <w:r w:rsidR="00322125">
        <w:rPr>
          <w:rFonts w:ascii="Calibri" w:eastAsia="Calibri" w:hAnsi="Calibri" w:cs="DokChampa"/>
          <w:lang w:val="en-US" w:eastAsia="en-US" w:bidi="lo-LA"/>
        </w:rPr>
        <w:t>,</w:t>
      </w:r>
      <w:r w:rsidR="00810375" w:rsidRPr="00A32260">
        <w:rPr>
          <w:rFonts w:ascii="Calibri" w:eastAsia="Calibri" w:hAnsi="Calibri" w:cs="DokChampa"/>
          <w:lang w:val="en-US" w:eastAsia="en-US" w:bidi="lo-LA"/>
        </w:rPr>
        <w:t xml:space="preserve"> the difference was less than </w:t>
      </w:r>
      <w:r w:rsidR="00A32260" w:rsidRPr="00A32260">
        <w:rPr>
          <w:rFonts w:ascii="Calibri" w:eastAsia="Calibri" w:hAnsi="Calibri" w:cs="DokChampa"/>
          <w:lang w:val="en-US" w:eastAsia="en-US" w:bidi="lo-LA"/>
        </w:rPr>
        <w:t>7</w:t>
      </w:r>
      <w:r w:rsidR="00810375" w:rsidRPr="00A32260">
        <w:rPr>
          <w:rFonts w:ascii="Calibri" w:eastAsia="Calibri" w:hAnsi="Calibri" w:cs="DokChampa"/>
          <w:lang w:val="en-US" w:eastAsia="en-US" w:bidi="lo-LA"/>
        </w:rPr>
        <w:t xml:space="preserve">% for ages below </w:t>
      </w:r>
      <w:r w:rsidR="00A32260" w:rsidRPr="00A32260">
        <w:rPr>
          <w:rFonts w:ascii="Calibri" w:eastAsia="Calibri" w:hAnsi="Calibri" w:cs="DokChampa"/>
          <w:lang w:val="en-US" w:eastAsia="en-US" w:bidi="lo-LA"/>
        </w:rPr>
        <w:t>70</w:t>
      </w:r>
      <w:r w:rsidR="00322125">
        <w:rPr>
          <w:rFonts w:ascii="Calibri" w:eastAsia="Calibri" w:hAnsi="Calibri" w:cs="DokChampa"/>
          <w:lang w:val="en-US" w:eastAsia="en-US" w:bidi="lo-LA"/>
        </w:rPr>
        <w:t xml:space="preserve"> </w:t>
      </w:r>
      <w:proofErr w:type="gramStart"/>
      <w:r w:rsidR="00322125">
        <w:rPr>
          <w:rFonts w:ascii="Calibri" w:eastAsia="Calibri" w:hAnsi="Calibri" w:cs="DokChampa"/>
          <w:lang w:val="en-US" w:eastAsia="en-US" w:bidi="lo-LA"/>
        </w:rPr>
        <w:t>years</w:t>
      </w:r>
      <w:r w:rsidR="00FD530F">
        <w:rPr>
          <w:rFonts w:ascii="Calibri" w:eastAsia="Calibri" w:hAnsi="Calibri" w:cs="DokChampa"/>
          <w:lang w:val="en-US" w:eastAsia="en-US" w:bidi="lo-LA"/>
        </w:rPr>
        <w:t>, but</w:t>
      </w:r>
      <w:proofErr w:type="gramEnd"/>
      <w:r w:rsidR="00FD530F">
        <w:rPr>
          <w:rFonts w:ascii="Calibri" w:eastAsia="Calibri" w:hAnsi="Calibri" w:cs="DokChampa"/>
          <w:lang w:val="en-US" w:eastAsia="en-US" w:bidi="lo-LA"/>
        </w:rPr>
        <w:t xml:space="preserve"> ranged from </w:t>
      </w:r>
      <w:r w:rsidR="00FD530F" w:rsidRPr="00A32260">
        <w:rPr>
          <w:rFonts w:ascii="Calibri" w:eastAsia="Calibri" w:hAnsi="Calibri" w:cs="DokChampa"/>
          <w:lang w:val="en-US" w:eastAsia="en-US" w:bidi="lo-LA"/>
        </w:rPr>
        <w:t>11-23%</w:t>
      </w:r>
      <w:r w:rsidR="00FD530F">
        <w:rPr>
          <w:rFonts w:ascii="Calibri" w:eastAsia="Calibri" w:hAnsi="Calibri" w:cs="DokChampa"/>
          <w:lang w:val="en-US" w:eastAsia="en-US" w:bidi="lo-LA"/>
        </w:rPr>
        <w:t xml:space="preserve"> lower values at the ages of </w:t>
      </w:r>
      <w:r w:rsidR="00A32260" w:rsidRPr="00A32260">
        <w:rPr>
          <w:rFonts w:ascii="Calibri" w:eastAsia="Calibri" w:hAnsi="Calibri" w:cs="DokChampa"/>
          <w:lang w:val="en-US" w:eastAsia="en-US" w:bidi="lo-LA"/>
        </w:rPr>
        <w:t xml:space="preserve">70 and </w:t>
      </w:r>
      <w:r w:rsidR="00810375" w:rsidRPr="00A32260">
        <w:rPr>
          <w:rFonts w:ascii="Calibri" w:eastAsia="Calibri" w:hAnsi="Calibri" w:cs="DokChampa"/>
          <w:lang w:val="en-US" w:eastAsia="en-US" w:bidi="lo-LA"/>
        </w:rPr>
        <w:t>80 years</w:t>
      </w:r>
      <w:r w:rsidR="00FD530F">
        <w:rPr>
          <w:rFonts w:ascii="Calibri" w:eastAsia="Calibri" w:hAnsi="Calibri" w:cs="DokChampa"/>
          <w:lang w:val="en-US" w:eastAsia="en-US" w:bidi="lo-LA"/>
        </w:rPr>
        <w:t>.</w:t>
      </w:r>
    </w:p>
    <w:p w14:paraId="260630A2" w14:textId="77777777" w:rsidR="008724AF" w:rsidRDefault="008724AF" w:rsidP="00936AFC">
      <w:pPr>
        <w:spacing w:line="276" w:lineRule="auto"/>
        <w:ind w:left="567" w:right="142"/>
        <w:rPr>
          <w:rFonts w:ascii="Calibri" w:eastAsia="Calibri" w:hAnsi="Calibri" w:cs="DokChampa"/>
          <w:lang w:val="en-US" w:eastAsia="en-US" w:bidi="lo-LA"/>
        </w:rPr>
      </w:pPr>
    </w:p>
    <w:p w14:paraId="180AB411" w14:textId="448C3949" w:rsidR="008724AF" w:rsidRPr="00ED35B4" w:rsidRDefault="004B7A41" w:rsidP="008724AF">
      <w:pPr>
        <w:autoSpaceDE w:val="0"/>
        <w:autoSpaceDN w:val="0"/>
        <w:adjustRightInd w:val="0"/>
        <w:ind w:right="708"/>
        <w:jc w:val="both"/>
        <w:rPr>
          <w:rFonts w:ascii="Calibri" w:eastAsia="Calibri" w:hAnsi="Calibri" w:cs="AdvTT3713a231"/>
          <w:sz w:val="22"/>
          <w:szCs w:val="22"/>
          <w:lang w:val="en-GB" w:eastAsia="en-US"/>
        </w:rPr>
      </w:pPr>
      <w:r w:rsidRPr="00A32260">
        <w:rPr>
          <w:rFonts w:ascii="Calibri" w:eastAsia="Calibri" w:hAnsi="Calibri" w:cs="DokChampa"/>
          <w:lang w:val="en-US" w:eastAsia="en-US" w:bidi="lo-LA"/>
        </w:rPr>
        <w:lastRenderedPageBreak/>
        <w:t xml:space="preserve"> </w:t>
      </w:r>
      <w:r w:rsidR="008724AF" w:rsidRPr="00ED35B4">
        <w:rPr>
          <w:rFonts w:ascii="Calibri" w:eastAsia="Calibri" w:hAnsi="Calibri" w:cs="AdvTTb8864ccf.B"/>
          <w:b/>
          <w:sz w:val="22"/>
          <w:szCs w:val="22"/>
          <w:lang w:val="en-GB" w:eastAsia="en-US"/>
        </w:rPr>
        <w:t>Table 1</w:t>
      </w:r>
      <w:r w:rsidR="008724AF" w:rsidRPr="00ED35B4">
        <w:rPr>
          <w:rFonts w:ascii="Calibri" w:eastAsia="Calibri" w:hAnsi="Calibri" w:cs="AdvTTb8864ccf.B"/>
          <w:sz w:val="22"/>
          <w:szCs w:val="22"/>
          <w:lang w:val="en-GB" w:eastAsia="en-US"/>
        </w:rPr>
        <w:t xml:space="preserve"> </w:t>
      </w:r>
      <w:r w:rsidR="008724AF" w:rsidRPr="00ED35B4">
        <w:rPr>
          <w:rFonts w:ascii="Calibri" w:eastAsia="Calibri" w:hAnsi="Calibri" w:cs="AdvTT3713a231"/>
          <w:sz w:val="22"/>
          <w:szCs w:val="22"/>
          <w:lang w:val="en-GB" w:eastAsia="en-US"/>
        </w:rPr>
        <w:t>Probability (%) of a major osteoporotic fracture (MOF) or a hip fracture (with 95% tolerance intervals; TI) in</w:t>
      </w:r>
      <w:r w:rsidR="008724AF" w:rsidRPr="00ED35B4">
        <w:rPr>
          <w:rFonts w:ascii="Calibri" w:eastAsia="Calibri" w:hAnsi="Calibri" w:cs="AdvTT3713a231"/>
          <w:b/>
          <w:sz w:val="22"/>
          <w:szCs w:val="22"/>
          <w:lang w:val="en-GB" w:eastAsia="en-US"/>
        </w:rPr>
        <w:t xml:space="preserve"> </w:t>
      </w:r>
      <w:r w:rsidR="008724AF" w:rsidRPr="00ED35B4">
        <w:rPr>
          <w:rFonts w:ascii="Calibri" w:eastAsia="Calibri" w:hAnsi="Calibri" w:cs="AdvTT3713a231"/>
          <w:bCs/>
          <w:sz w:val="22"/>
          <w:szCs w:val="22"/>
          <w:lang w:val="en-GB" w:eastAsia="en-US"/>
        </w:rPr>
        <w:t>men and women</w:t>
      </w:r>
      <w:r w:rsidR="008724AF" w:rsidRPr="00ED35B4">
        <w:rPr>
          <w:rFonts w:ascii="Calibri" w:eastAsia="Calibri" w:hAnsi="Calibri" w:cs="AdvTT3713a231"/>
          <w:sz w:val="22"/>
          <w:szCs w:val="22"/>
          <w:lang w:val="en-GB" w:eastAsia="en-US"/>
        </w:rPr>
        <w:t xml:space="preserve"> at the median of the probability distribution (Singapore version) by age.</w:t>
      </w:r>
      <w:r w:rsidR="0030469E">
        <w:rPr>
          <w:rFonts w:ascii="Calibri" w:eastAsia="Calibri" w:hAnsi="Calibri" w:cs="AdvTT3713a231"/>
          <w:sz w:val="22"/>
          <w:szCs w:val="22"/>
          <w:lang w:val="en-GB" w:eastAsia="en-US"/>
        </w:rPr>
        <w:t xml:space="preserve">  </w:t>
      </w:r>
      <w:r w:rsidR="00461A3A">
        <w:rPr>
          <w:rFonts w:ascii="Calibri" w:eastAsia="Calibri" w:hAnsi="Calibri" w:cs="AdvTT3713a231"/>
          <w:sz w:val="22"/>
          <w:szCs w:val="22"/>
          <w:lang w:val="en-GB" w:eastAsia="en-US"/>
        </w:rPr>
        <w:t xml:space="preserve">The r value </w:t>
      </w:r>
      <w:r w:rsidR="00A321DF">
        <w:rPr>
          <w:rFonts w:ascii="Calibri" w:eastAsia="Calibri" w:hAnsi="Calibri" w:cs="AdvTT3713a231"/>
          <w:sz w:val="22"/>
          <w:szCs w:val="22"/>
          <w:lang w:val="en-GB" w:eastAsia="en-US"/>
        </w:rPr>
        <w:t xml:space="preserve">provides the age-specific correlation </w:t>
      </w:r>
      <w:r w:rsidR="002464D9">
        <w:rPr>
          <w:rFonts w:ascii="Calibri" w:eastAsia="Calibri" w:hAnsi="Calibri" w:cs="AdvTT3713a231"/>
          <w:sz w:val="22"/>
          <w:szCs w:val="22"/>
          <w:lang w:val="en-GB" w:eastAsia="en-US"/>
        </w:rPr>
        <w:t xml:space="preserve">coefficient </w:t>
      </w:r>
      <w:r w:rsidR="008F5CAA">
        <w:rPr>
          <w:rFonts w:ascii="Calibri" w:eastAsia="Calibri" w:hAnsi="Calibri" w:cs="AdvTT3713a231"/>
          <w:sz w:val="22"/>
          <w:szCs w:val="22"/>
          <w:lang w:val="en-GB" w:eastAsia="en-US"/>
        </w:rPr>
        <w:t xml:space="preserve">between the Singaporean and </w:t>
      </w:r>
      <w:r w:rsidR="00546BF7">
        <w:rPr>
          <w:rFonts w:ascii="Calibri" w:eastAsia="Calibri" w:hAnsi="Calibri" w:cs="AdvTT3713a231"/>
          <w:sz w:val="22"/>
          <w:szCs w:val="22"/>
          <w:lang w:val="en-GB" w:eastAsia="en-US"/>
        </w:rPr>
        <w:t xml:space="preserve">Pakistani </w:t>
      </w:r>
      <w:r w:rsidR="009617A8">
        <w:rPr>
          <w:rFonts w:ascii="Calibri" w:eastAsia="Calibri" w:hAnsi="Calibri" w:cs="AdvTT3713a231"/>
          <w:sz w:val="22"/>
          <w:szCs w:val="22"/>
          <w:lang w:val="en-GB" w:eastAsia="en-US"/>
        </w:rPr>
        <w:t>probabilities to</w:t>
      </w:r>
      <w:r w:rsidR="00765FD7">
        <w:rPr>
          <w:rFonts w:ascii="Calibri" w:eastAsia="Calibri" w:hAnsi="Calibri" w:cs="AdvTT3713a231"/>
          <w:sz w:val="22"/>
          <w:szCs w:val="22"/>
          <w:lang w:val="en-GB" w:eastAsia="en-US"/>
        </w:rPr>
        <w:t>gether with the 95% tolerance intervals (TI).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1134"/>
        <w:gridCol w:w="883"/>
        <w:gridCol w:w="1200"/>
        <w:gridCol w:w="788"/>
        <w:gridCol w:w="261"/>
        <w:gridCol w:w="1133"/>
        <w:gridCol w:w="1198"/>
        <w:gridCol w:w="1066"/>
        <w:gridCol w:w="869"/>
      </w:tblGrid>
      <w:tr w:rsidR="008724AF" w:rsidRPr="00ED35B4" w14:paraId="3BA691E2" w14:textId="77777777" w:rsidTr="00FD530F">
        <w:tc>
          <w:tcPr>
            <w:tcW w:w="672" w:type="dxa"/>
            <w:tcBorders>
              <w:top w:val="single" w:sz="4" w:space="0" w:color="auto"/>
            </w:tcBorders>
          </w:tcPr>
          <w:p w14:paraId="6DAAB243"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4005" w:type="dxa"/>
            <w:gridSpan w:val="4"/>
            <w:tcBorders>
              <w:top w:val="single" w:sz="4" w:space="0" w:color="auto"/>
              <w:bottom w:val="single" w:sz="4" w:space="0" w:color="auto"/>
            </w:tcBorders>
          </w:tcPr>
          <w:p w14:paraId="4885961F"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GB" w:eastAsia="en-US"/>
              </w:rPr>
              <w:t>Men</w:t>
            </w:r>
          </w:p>
        </w:tc>
        <w:tc>
          <w:tcPr>
            <w:tcW w:w="261" w:type="dxa"/>
            <w:tcBorders>
              <w:top w:val="single" w:sz="4" w:space="0" w:color="auto"/>
            </w:tcBorders>
          </w:tcPr>
          <w:p w14:paraId="47DCFEC0"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4266" w:type="dxa"/>
            <w:gridSpan w:val="4"/>
            <w:tcBorders>
              <w:top w:val="single" w:sz="4" w:space="0" w:color="auto"/>
              <w:bottom w:val="single" w:sz="4" w:space="0" w:color="auto"/>
            </w:tcBorders>
          </w:tcPr>
          <w:p w14:paraId="0425DD47"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Women</w:t>
            </w:r>
          </w:p>
        </w:tc>
      </w:tr>
      <w:tr w:rsidR="008724AF" w:rsidRPr="00ED35B4" w14:paraId="19336121" w14:textId="77777777" w:rsidTr="00FD530F">
        <w:tc>
          <w:tcPr>
            <w:tcW w:w="672" w:type="dxa"/>
          </w:tcPr>
          <w:p w14:paraId="00376193"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4" w:type="dxa"/>
            <w:tcBorders>
              <w:top w:val="single" w:sz="4" w:space="0" w:color="auto"/>
            </w:tcBorders>
          </w:tcPr>
          <w:p w14:paraId="67A6E90A" w14:textId="654A6592"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eastAsia="en-US"/>
              </w:rPr>
              <w:t xml:space="preserve">Singapore </w:t>
            </w:r>
          </w:p>
        </w:tc>
        <w:tc>
          <w:tcPr>
            <w:tcW w:w="2083" w:type="dxa"/>
            <w:gridSpan w:val="2"/>
            <w:tcBorders>
              <w:top w:val="single" w:sz="4" w:space="0" w:color="auto"/>
            </w:tcBorders>
          </w:tcPr>
          <w:p w14:paraId="09471E06"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Pakistan</w:t>
            </w:r>
          </w:p>
        </w:tc>
        <w:tc>
          <w:tcPr>
            <w:tcW w:w="788" w:type="dxa"/>
            <w:tcBorders>
              <w:top w:val="single" w:sz="4" w:space="0" w:color="auto"/>
            </w:tcBorders>
          </w:tcPr>
          <w:p w14:paraId="08577193"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261" w:type="dxa"/>
          </w:tcPr>
          <w:p w14:paraId="1DACBA05"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Borders>
              <w:top w:val="single" w:sz="4" w:space="0" w:color="auto"/>
            </w:tcBorders>
          </w:tcPr>
          <w:p w14:paraId="06690C57" w14:textId="722786B3"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eastAsia="en-US"/>
              </w:rPr>
              <w:t xml:space="preserve">Singapore </w:t>
            </w:r>
          </w:p>
        </w:tc>
        <w:tc>
          <w:tcPr>
            <w:tcW w:w="2264" w:type="dxa"/>
            <w:gridSpan w:val="2"/>
            <w:tcBorders>
              <w:top w:val="single" w:sz="4" w:space="0" w:color="auto"/>
            </w:tcBorders>
          </w:tcPr>
          <w:p w14:paraId="070B13C4"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Pakistan</w:t>
            </w:r>
          </w:p>
        </w:tc>
        <w:tc>
          <w:tcPr>
            <w:tcW w:w="869" w:type="dxa"/>
            <w:tcBorders>
              <w:top w:val="single" w:sz="4" w:space="0" w:color="auto"/>
            </w:tcBorders>
          </w:tcPr>
          <w:p w14:paraId="4F01F57B"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r>
      <w:tr w:rsidR="008724AF" w:rsidRPr="00ED35B4" w14:paraId="0250637D" w14:textId="77777777" w:rsidTr="00FD530F">
        <w:tc>
          <w:tcPr>
            <w:tcW w:w="672" w:type="dxa"/>
            <w:tcBorders>
              <w:bottom w:val="single" w:sz="4" w:space="0" w:color="auto"/>
            </w:tcBorders>
          </w:tcPr>
          <w:p w14:paraId="6321E29D"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Age</w:t>
            </w:r>
          </w:p>
        </w:tc>
        <w:tc>
          <w:tcPr>
            <w:tcW w:w="1134" w:type="dxa"/>
            <w:tcBorders>
              <w:bottom w:val="single" w:sz="4" w:space="0" w:color="auto"/>
            </w:tcBorders>
          </w:tcPr>
          <w:p w14:paraId="25FF80A5" w14:textId="77777777" w:rsidR="008724AF" w:rsidRPr="00ED35B4" w:rsidRDefault="008724AF" w:rsidP="00FD530F">
            <w:pPr>
              <w:spacing w:line="360" w:lineRule="auto"/>
              <w:jc w:val="both"/>
              <w:rPr>
                <w:rFonts w:asciiTheme="minorHAnsi" w:eastAsia="Calibri" w:hAnsiTheme="minorHAnsi" w:cstheme="minorHAnsi"/>
                <w:sz w:val="20"/>
                <w:szCs w:val="20"/>
                <w:lang w:val="en-GB" w:eastAsia="en-US" w:bidi="lo-LA"/>
              </w:rPr>
            </w:pPr>
            <w:r w:rsidRPr="00ED35B4">
              <w:rPr>
                <w:rFonts w:asciiTheme="minorHAnsi" w:eastAsia="Calibri" w:hAnsiTheme="minorHAnsi" w:cstheme="minorHAnsi"/>
                <w:sz w:val="20"/>
                <w:szCs w:val="20"/>
                <w:lang w:val="en-GB" w:eastAsia="en-US"/>
              </w:rPr>
              <w:t>Median</w:t>
            </w:r>
          </w:p>
        </w:tc>
        <w:tc>
          <w:tcPr>
            <w:tcW w:w="883" w:type="dxa"/>
            <w:tcBorders>
              <w:bottom w:val="single" w:sz="4" w:space="0" w:color="auto"/>
            </w:tcBorders>
          </w:tcPr>
          <w:p w14:paraId="55F70B16" w14:textId="77777777" w:rsidR="008724AF" w:rsidRPr="00ED35B4" w:rsidRDefault="008724AF" w:rsidP="00FD530F">
            <w:pPr>
              <w:spacing w:line="360" w:lineRule="auto"/>
              <w:jc w:val="both"/>
              <w:rPr>
                <w:rFonts w:asciiTheme="minorHAnsi" w:eastAsia="Calibri" w:hAnsiTheme="minorHAnsi" w:cstheme="minorHAnsi"/>
                <w:sz w:val="20"/>
                <w:szCs w:val="20"/>
                <w:lang w:val="en-GB" w:eastAsia="en-US" w:bidi="lo-LA"/>
              </w:rPr>
            </w:pPr>
          </w:p>
        </w:tc>
        <w:tc>
          <w:tcPr>
            <w:tcW w:w="1200" w:type="dxa"/>
            <w:tcBorders>
              <w:bottom w:val="single" w:sz="4" w:space="0" w:color="auto"/>
            </w:tcBorders>
          </w:tcPr>
          <w:p w14:paraId="01714056"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95% TI</w:t>
            </w:r>
          </w:p>
        </w:tc>
        <w:tc>
          <w:tcPr>
            <w:tcW w:w="788" w:type="dxa"/>
            <w:tcBorders>
              <w:bottom w:val="single" w:sz="4" w:space="0" w:color="auto"/>
            </w:tcBorders>
          </w:tcPr>
          <w:p w14:paraId="70BDC196"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r value</w:t>
            </w:r>
          </w:p>
        </w:tc>
        <w:tc>
          <w:tcPr>
            <w:tcW w:w="261" w:type="dxa"/>
            <w:tcBorders>
              <w:bottom w:val="single" w:sz="4" w:space="0" w:color="auto"/>
            </w:tcBorders>
          </w:tcPr>
          <w:p w14:paraId="3AB886FD"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Borders>
              <w:bottom w:val="single" w:sz="4" w:space="0" w:color="auto"/>
            </w:tcBorders>
          </w:tcPr>
          <w:p w14:paraId="541F61B7"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GB" w:eastAsia="en-US"/>
              </w:rPr>
              <w:t>Median</w:t>
            </w:r>
          </w:p>
        </w:tc>
        <w:tc>
          <w:tcPr>
            <w:tcW w:w="1198" w:type="dxa"/>
            <w:tcBorders>
              <w:bottom w:val="single" w:sz="4" w:space="0" w:color="auto"/>
            </w:tcBorders>
          </w:tcPr>
          <w:p w14:paraId="52F48019"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p>
        </w:tc>
        <w:tc>
          <w:tcPr>
            <w:tcW w:w="1066" w:type="dxa"/>
            <w:tcBorders>
              <w:bottom w:val="single" w:sz="4" w:space="0" w:color="auto"/>
            </w:tcBorders>
          </w:tcPr>
          <w:p w14:paraId="08E31807"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95% TI</w:t>
            </w:r>
          </w:p>
        </w:tc>
        <w:tc>
          <w:tcPr>
            <w:tcW w:w="869" w:type="dxa"/>
            <w:tcBorders>
              <w:bottom w:val="single" w:sz="4" w:space="0" w:color="auto"/>
            </w:tcBorders>
          </w:tcPr>
          <w:p w14:paraId="0B1D68F6" w14:textId="77777777" w:rsidR="008724AF" w:rsidRPr="00ED35B4" w:rsidRDefault="008724AF" w:rsidP="00FD530F">
            <w:pPr>
              <w:spacing w:line="360" w:lineRule="auto"/>
              <w:jc w:val="both"/>
              <w:rPr>
                <w:rFonts w:asciiTheme="minorHAnsi" w:eastAsia="Calibri" w:hAnsiTheme="minorHAnsi" w:cstheme="minorHAnsi"/>
                <w:sz w:val="20"/>
                <w:szCs w:val="20"/>
                <w:lang w:val="en-US" w:eastAsia="en-US" w:bidi="lo-LA"/>
              </w:rPr>
            </w:pPr>
            <w:r w:rsidRPr="00ED35B4">
              <w:rPr>
                <w:rFonts w:asciiTheme="minorHAnsi" w:eastAsia="Calibri" w:hAnsiTheme="minorHAnsi" w:cstheme="minorHAnsi"/>
                <w:sz w:val="20"/>
                <w:szCs w:val="20"/>
                <w:lang w:val="en-US" w:eastAsia="en-US" w:bidi="lo-LA"/>
              </w:rPr>
              <w:t>r value</w:t>
            </w:r>
          </w:p>
        </w:tc>
      </w:tr>
      <w:tr w:rsidR="008724AF" w:rsidRPr="005A1AF9" w14:paraId="7E7481B1" w14:textId="77777777" w:rsidTr="00FD530F">
        <w:tc>
          <w:tcPr>
            <w:tcW w:w="1806" w:type="dxa"/>
            <w:gridSpan w:val="2"/>
            <w:tcBorders>
              <w:top w:val="single" w:sz="4" w:space="0" w:color="auto"/>
            </w:tcBorders>
          </w:tcPr>
          <w:p w14:paraId="610555C6" w14:textId="77777777" w:rsidR="008724AF" w:rsidRPr="00A4348B" w:rsidRDefault="008724AF" w:rsidP="00FD530F">
            <w:pPr>
              <w:spacing w:line="360" w:lineRule="auto"/>
              <w:jc w:val="both"/>
              <w:rPr>
                <w:rFonts w:asciiTheme="minorHAnsi" w:eastAsia="Calibri" w:hAnsiTheme="minorHAnsi" w:cstheme="minorHAnsi"/>
                <w:sz w:val="20"/>
                <w:szCs w:val="20"/>
                <w:lang w:val="en-US" w:eastAsia="en-US" w:bidi="lo-LA"/>
              </w:rPr>
            </w:pPr>
            <w:r w:rsidRPr="00A4348B">
              <w:rPr>
                <w:rFonts w:asciiTheme="minorHAnsi" w:eastAsia="Calibri" w:hAnsiTheme="minorHAnsi" w:cstheme="minorHAnsi"/>
                <w:sz w:val="20"/>
                <w:szCs w:val="20"/>
                <w:lang w:val="en-GB" w:eastAsia="en-US"/>
              </w:rPr>
              <w:t>MOF</w:t>
            </w:r>
          </w:p>
        </w:tc>
        <w:tc>
          <w:tcPr>
            <w:tcW w:w="883" w:type="dxa"/>
            <w:tcBorders>
              <w:top w:val="single" w:sz="4" w:space="0" w:color="auto"/>
            </w:tcBorders>
          </w:tcPr>
          <w:p w14:paraId="24B882F2"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200" w:type="dxa"/>
            <w:tcBorders>
              <w:top w:val="single" w:sz="4" w:space="0" w:color="auto"/>
            </w:tcBorders>
          </w:tcPr>
          <w:p w14:paraId="55844B9D"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788" w:type="dxa"/>
            <w:tcBorders>
              <w:top w:val="single" w:sz="4" w:space="0" w:color="auto"/>
            </w:tcBorders>
          </w:tcPr>
          <w:p w14:paraId="4F55ADBC"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p>
        </w:tc>
        <w:tc>
          <w:tcPr>
            <w:tcW w:w="261" w:type="dxa"/>
            <w:tcBorders>
              <w:top w:val="single" w:sz="4" w:space="0" w:color="auto"/>
            </w:tcBorders>
          </w:tcPr>
          <w:p w14:paraId="24F6EE20"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Borders>
              <w:top w:val="single" w:sz="4" w:space="0" w:color="auto"/>
            </w:tcBorders>
          </w:tcPr>
          <w:p w14:paraId="3019F986"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98" w:type="dxa"/>
            <w:tcBorders>
              <w:top w:val="single" w:sz="4" w:space="0" w:color="auto"/>
            </w:tcBorders>
          </w:tcPr>
          <w:p w14:paraId="6F86507C"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066" w:type="dxa"/>
            <w:tcBorders>
              <w:top w:val="single" w:sz="4" w:space="0" w:color="auto"/>
            </w:tcBorders>
          </w:tcPr>
          <w:p w14:paraId="0ECA97D7"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869" w:type="dxa"/>
            <w:tcBorders>
              <w:top w:val="single" w:sz="4" w:space="0" w:color="auto"/>
            </w:tcBorders>
          </w:tcPr>
          <w:p w14:paraId="0D2FD113"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r>
      <w:tr w:rsidR="008724AF" w:rsidRPr="005A1AF9" w14:paraId="2084C4E7" w14:textId="77777777" w:rsidTr="00FD530F">
        <w:tc>
          <w:tcPr>
            <w:tcW w:w="672" w:type="dxa"/>
          </w:tcPr>
          <w:p w14:paraId="56A0618E" w14:textId="77777777" w:rsidR="008724AF" w:rsidRPr="00B57388" w:rsidRDefault="008724AF" w:rsidP="00FD530F">
            <w:pPr>
              <w:spacing w:line="360" w:lineRule="auto"/>
              <w:jc w:val="both"/>
              <w:rPr>
                <w:rFonts w:asciiTheme="minorHAnsi" w:eastAsia="Calibri" w:hAnsiTheme="minorHAnsi" w:cstheme="minorHAnsi"/>
                <w:sz w:val="20"/>
                <w:szCs w:val="20"/>
                <w:lang w:val="en-US" w:eastAsia="en-US" w:bidi="lo-LA"/>
              </w:rPr>
            </w:pPr>
            <w:r w:rsidRPr="00B57388">
              <w:rPr>
                <w:rFonts w:asciiTheme="minorHAnsi" w:eastAsia="Calibri" w:hAnsiTheme="minorHAnsi" w:cstheme="minorHAnsi"/>
                <w:sz w:val="20"/>
                <w:szCs w:val="20"/>
                <w:lang w:val="en-GB" w:eastAsia="en-US"/>
              </w:rPr>
              <w:t>50</w:t>
            </w:r>
          </w:p>
        </w:tc>
        <w:tc>
          <w:tcPr>
            <w:tcW w:w="1134" w:type="dxa"/>
          </w:tcPr>
          <w:p w14:paraId="61CB60F9" w14:textId="77777777" w:rsidR="008724AF" w:rsidRPr="00B57388" w:rsidRDefault="008724AF" w:rsidP="00FD530F">
            <w:pPr>
              <w:spacing w:line="360" w:lineRule="auto"/>
              <w:jc w:val="both"/>
              <w:rPr>
                <w:rFonts w:asciiTheme="minorHAnsi" w:eastAsia="Calibri" w:hAnsiTheme="minorHAnsi" w:cstheme="minorHAnsi"/>
                <w:sz w:val="20"/>
                <w:szCs w:val="20"/>
                <w:lang w:val="en-US" w:eastAsia="en-US" w:bidi="lo-LA"/>
              </w:rPr>
            </w:pPr>
            <w:r w:rsidRPr="00B57388">
              <w:rPr>
                <w:rFonts w:asciiTheme="minorHAnsi" w:eastAsia="Calibri" w:hAnsiTheme="minorHAnsi" w:cstheme="minorHAnsi"/>
                <w:sz w:val="20"/>
                <w:szCs w:val="20"/>
                <w:lang w:val="en-US" w:eastAsia="en-US" w:bidi="lo-LA"/>
              </w:rPr>
              <w:t>6.0</w:t>
            </w:r>
          </w:p>
        </w:tc>
        <w:tc>
          <w:tcPr>
            <w:tcW w:w="883" w:type="dxa"/>
          </w:tcPr>
          <w:p w14:paraId="525408DF" w14:textId="77777777" w:rsidR="008724AF" w:rsidRPr="009D4A3E" w:rsidRDefault="008724AF" w:rsidP="00FD530F">
            <w:pPr>
              <w:spacing w:line="360" w:lineRule="auto"/>
              <w:jc w:val="both"/>
              <w:rPr>
                <w:rFonts w:asciiTheme="minorHAnsi" w:eastAsia="Calibri" w:hAnsiTheme="minorHAnsi" w:cstheme="minorHAnsi"/>
                <w:sz w:val="20"/>
                <w:szCs w:val="20"/>
                <w:lang w:val="en-US" w:eastAsia="en-US" w:bidi="lo-LA"/>
              </w:rPr>
            </w:pPr>
            <w:r w:rsidRPr="009D4A3E">
              <w:rPr>
                <w:rFonts w:asciiTheme="minorHAnsi" w:hAnsiTheme="minorHAnsi" w:cstheme="minorHAnsi"/>
                <w:sz w:val="20"/>
                <w:szCs w:val="20"/>
                <w:lang w:val="sv-SE"/>
              </w:rPr>
              <w:t>5.9</w:t>
            </w:r>
          </w:p>
        </w:tc>
        <w:tc>
          <w:tcPr>
            <w:tcW w:w="1200" w:type="dxa"/>
          </w:tcPr>
          <w:p w14:paraId="7CE539BC" w14:textId="77777777" w:rsidR="008724AF" w:rsidRPr="009D4A3E" w:rsidRDefault="008724AF" w:rsidP="00FD530F">
            <w:pPr>
              <w:spacing w:line="360" w:lineRule="auto"/>
              <w:jc w:val="both"/>
              <w:rPr>
                <w:rFonts w:asciiTheme="minorHAnsi" w:eastAsia="Calibri" w:hAnsiTheme="minorHAnsi" w:cstheme="minorHAnsi"/>
                <w:sz w:val="20"/>
                <w:szCs w:val="20"/>
                <w:lang w:val="en-US" w:eastAsia="en-US" w:bidi="lo-LA"/>
              </w:rPr>
            </w:pPr>
            <w:r w:rsidRPr="009D4A3E">
              <w:rPr>
                <w:rFonts w:asciiTheme="minorHAnsi" w:hAnsiTheme="minorHAnsi" w:cstheme="minorHAnsi"/>
                <w:sz w:val="20"/>
                <w:szCs w:val="20"/>
                <w:lang w:val="sv-SE"/>
              </w:rPr>
              <w:t>5</w:t>
            </w:r>
            <w:r w:rsidRPr="009D4A3E">
              <w:rPr>
                <w:rFonts w:asciiTheme="minorHAnsi" w:hAnsiTheme="minorHAnsi" w:cstheme="minorHAnsi"/>
                <w:sz w:val="20"/>
                <w:szCs w:val="20"/>
              </w:rPr>
              <w:t>.</w:t>
            </w:r>
            <w:r w:rsidRPr="009D4A3E">
              <w:rPr>
                <w:rFonts w:asciiTheme="minorHAnsi" w:hAnsiTheme="minorHAnsi" w:cstheme="minorHAnsi"/>
                <w:sz w:val="20"/>
                <w:szCs w:val="20"/>
                <w:lang w:val="sv-SE"/>
              </w:rPr>
              <w:t>8</w:t>
            </w:r>
            <w:r w:rsidRPr="009D4A3E">
              <w:rPr>
                <w:rFonts w:asciiTheme="minorHAnsi" w:hAnsiTheme="minorHAnsi" w:cstheme="minorHAnsi"/>
                <w:sz w:val="20"/>
                <w:szCs w:val="20"/>
              </w:rPr>
              <w:t>-</w:t>
            </w:r>
            <w:r w:rsidRPr="009D4A3E">
              <w:rPr>
                <w:rFonts w:asciiTheme="minorHAnsi" w:hAnsiTheme="minorHAnsi" w:cstheme="minorHAnsi"/>
                <w:sz w:val="20"/>
                <w:szCs w:val="20"/>
                <w:lang w:val="sv-SE"/>
              </w:rPr>
              <w:t>6</w:t>
            </w:r>
            <w:r w:rsidRPr="009D4A3E">
              <w:rPr>
                <w:rFonts w:asciiTheme="minorHAnsi" w:hAnsiTheme="minorHAnsi" w:cstheme="minorHAnsi"/>
                <w:sz w:val="20"/>
                <w:szCs w:val="20"/>
              </w:rPr>
              <w:t>.</w:t>
            </w:r>
            <w:r w:rsidRPr="009D4A3E">
              <w:rPr>
                <w:rFonts w:asciiTheme="minorHAnsi" w:hAnsiTheme="minorHAnsi" w:cstheme="minorHAnsi"/>
                <w:sz w:val="20"/>
                <w:szCs w:val="20"/>
                <w:lang w:val="sv-SE"/>
              </w:rPr>
              <w:t>0</w:t>
            </w:r>
          </w:p>
        </w:tc>
        <w:tc>
          <w:tcPr>
            <w:tcW w:w="788" w:type="dxa"/>
          </w:tcPr>
          <w:p w14:paraId="00E4E2A1"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1.000</w:t>
            </w:r>
          </w:p>
        </w:tc>
        <w:tc>
          <w:tcPr>
            <w:tcW w:w="261" w:type="dxa"/>
          </w:tcPr>
          <w:p w14:paraId="67D6DB61"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Pr>
          <w:p w14:paraId="38AB0E7A" w14:textId="77777777" w:rsidR="008724AF" w:rsidRPr="004E4CE3" w:rsidRDefault="008724AF" w:rsidP="00FD530F">
            <w:pPr>
              <w:spacing w:line="360" w:lineRule="auto"/>
              <w:jc w:val="both"/>
              <w:rPr>
                <w:rFonts w:asciiTheme="minorHAnsi" w:eastAsia="Calibri" w:hAnsiTheme="minorHAnsi" w:cstheme="minorHAnsi"/>
                <w:sz w:val="20"/>
                <w:szCs w:val="20"/>
                <w:lang w:val="en-US" w:eastAsia="en-US" w:bidi="lo-LA"/>
              </w:rPr>
            </w:pPr>
            <w:r w:rsidRPr="004E4CE3">
              <w:rPr>
                <w:rFonts w:asciiTheme="minorHAnsi" w:eastAsia="Calibri" w:hAnsiTheme="minorHAnsi" w:cstheme="minorHAnsi"/>
                <w:sz w:val="20"/>
                <w:szCs w:val="20"/>
                <w:lang w:val="en-US" w:eastAsia="en-US" w:bidi="lo-LA"/>
              </w:rPr>
              <w:t>6.2</w:t>
            </w:r>
          </w:p>
        </w:tc>
        <w:tc>
          <w:tcPr>
            <w:tcW w:w="1198" w:type="dxa"/>
          </w:tcPr>
          <w:p w14:paraId="15573564"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sz w:val="20"/>
                <w:szCs w:val="20"/>
                <w:lang w:val="sv-SE"/>
              </w:rPr>
              <w:t>6</w:t>
            </w:r>
            <w:r w:rsidRPr="00952945">
              <w:rPr>
                <w:sz w:val="20"/>
                <w:szCs w:val="20"/>
              </w:rPr>
              <w:t>.1</w:t>
            </w:r>
          </w:p>
        </w:tc>
        <w:tc>
          <w:tcPr>
            <w:tcW w:w="1066" w:type="dxa"/>
          </w:tcPr>
          <w:p w14:paraId="4DA7F35A"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sz w:val="20"/>
                <w:szCs w:val="20"/>
                <w:lang w:val="sv-SE"/>
              </w:rPr>
              <w:t>6</w:t>
            </w:r>
            <w:r w:rsidRPr="00952945">
              <w:rPr>
                <w:sz w:val="20"/>
                <w:szCs w:val="20"/>
              </w:rPr>
              <w:t>.</w:t>
            </w:r>
            <w:r w:rsidRPr="00952945">
              <w:rPr>
                <w:sz w:val="20"/>
                <w:szCs w:val="20"/>
                <w:lang w:val="sv-SE"/>
              </w:rPr>
              <w:t>0</w:t>
            </w:r>
            <w:r w:rsidRPr="00952945">
              <w:rPr>
                <w:sz w:val="20"/>
                <w:szCs w:val="20"/>
              </w:rPr>
              <w:t>-</w:t>
            </w:r>
            <w:r w:rsidRPr="00952945">
              <w:rPr>
                <w:sz w:val="20"/>
                <w:szCs w:val="20"/>
                <w:lang w:val="sv-SE"/>
              </w:rPr>
              <w:t>6</w:t>
            </w:r>
            <w:r w:rsidRPr="00952945">
              <w:rPr>
                <w:sz w:val="20"/>
                <w:szCs w:val="20"/>
              </w:rPr>
              <w:t>.</w:t>
            </w:r>
            <w:r w:rsidRPr="00952945">
              <w:rPr>
                <w:sz w:val="20"/>
                <w:szCs w:val="20"/>
                <w:lang w:val="sv-SE"/>
              </w:rPr>
              <w:t>2</w:t>
            </w:r>
          </w:p>
        </w:tc>
        <w:tc>
          <w:tcPr>
            <w:tcW w:w="869" w:type="dxa"/>
          </w:tcPr>
          <w:p w14:paraId="3F2F9C1C"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1.000</w:t>
            </w:r>
          </w:p>
        </w:tc>
      </w:tr>
      <w:tr w:rsidR="008724AF" w:rsidRPr="005A1AF9" w14:paraId="49C5175B" w14:textId="77777777" w:rsidTr="00FD530F">
        <w:tc>
          <w:tcPr>
            <w:tcW w:w="672" w:type="dxa"/>
          </w:tcPr>
          <w:p w14:paraId="20828685" w14:textId="77777777" w:rsidR="008724AF" w:rsidRPr="00A4348B" w:rsidRDefault="008724AF" w:rsidP="00FD530F">
            <w:pPr>
              <w:spacing w:line="360" w:lineRule="auto"/>
              <w:jc w:val="both"/>
              <w:rPr>
                <w:rFonts w:asciiTheme="minorHAnsi" w:eastAsia="Calibri" w:hAnsiTheme="minorHAnsi" w:cstheme="minorHAnsi"/>
                <w:sz w:val="20"/>
                <w:szCs w:val="20"/>
                <w:lang w:val="en-US" w:eastAsia="en-US" w:bidi="lo-LA"/>
              </w:rPr>
            </w:pPr>
            <w:r w:rsidRPr="00A4348B">
              <w:rPr>
                <w:rFonts w:asciiTheme="minorHAnsi" w:eastAsia="Calibri" w:hAnsiTheme="minorHAnsi" w:cstheme="minorHAnsi"/>
                <w:sz w:val="20"/>
                <w:szCs w:val="20"/>
                <w:lang w:val="en-GB" w:eastAsia="en-US"/>
              </w:rPr>
              <w:t>60</w:t>
            </w:r>
          </w:p>
        </w:tc>
        <w:tc>
          <w:tcPr>
            <w:tcW w:w="1134" w:type="dxa"/>
          </w:tcPr>
          <w:p w14:paraId="4A6F636C" w14:textId="77777777" w:rsidR="008724AF" w:rsidRPr="00B57388" w:rsidRDefault="008724AF" w:rsidP="00FD530F">
            <w:pPr>
              <w:spacing w:line="360" w:lineRule="auto"/>
              <w:jc w:val="both"/>
              <w:rPr>
                <w:rFonts w:asciiTheme="minorHAnsi" w:eastAsia="Calibri" w:hAnsiTheme="minorHAnsi" w:cstheme="minorHAnsi"/>
                <w:sz w:val="20"/>
                <w:szCs w:val="20"/>
                <w:lang w:val="en-US" w:eastAsia="en-US" w:bidi="lo-LA"/>
              </w:rPr>
            </w:pPr>
            <w:r w:rsidRPr="00B57388">
              <w:rPr>
                <w:rFonts w:asciiTheme="minorHAnsi" w:eastAsia="Calibri" w:hAnsiTheme="minorHAnsi" w:cstheme="minorHAnsi"/>
                <w:sz w:val="20"/>
                <w:szCs w:val="20"/>
                <w:lang w:val="en-US" w:eastAsia="en-US" w:bidi="lo-LA"/>
              </w:rPr>
              <w:t>12.2</w:t>
            </w:r>
          </w:p>
        </w:tc>
        <w:tc>
          <w:tcPr>
            <w:tcW w:w="883" w:type="dxa"/>
          </w:tcPr>
          <w:p w14:paraId="2E460E89"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11</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0</w:t>
            </w:r>
          </w:p>
        </w:tc>
        <w:tc>
          <w:tcPr>
            <w:tcW w:w="1200" w:type="dxa"/>
          </w:tcPr>
          <w:p w14:paraId="50A8719D"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10</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4</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11</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6</w:t>
            </w:r>
          </w:p>
        </w:tc>
        <w:tc>
          <w:tcPr>
            <w:tcW w:w="788" w:type="dxa"/>
          </w:tcPr>
          <w:p w14:paraId="691B77B0"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1.000</w:t>
            </w:r>
          </w:p>
        </w:tc>
        <w:tc>
          <w:tcPr>
            <w:tcW w:w="261" w:type="dxa"/>
          </w:tcPr>
          <w:p w14:paraId="5DCB8B1B"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Pr>
          <w:p w14:paraId="64A4616C" w14:textId="77777777" w:rsidR="008724AF" w:rsidRPr="004E4CE3" w:rsidRDefault="008724AF" w:rsidP="00FD530F">
            <w:pPr>
              <w:spacing w:line="360" w:lineRule="auto"/>
              <w:jc w:val="both"/>
              <w:rPr>
                <w:rFonts w:asciiTheme="minorHAnsi" w:eastAsia="Calibri" w:hAnsiTheme="minorHAnsi" w:cstheme="minorHAnsi"/>
                <w:sz w:val="20"/>
                <w:szCs w:val="20"/>
                <w:lang w:val="en-US" w:eastAsia="en-US" w:bidi="lo-LA"/>
              </w:rPr>
            </w:pPr>
            <w:r w:rsidRPr="004E4CE3">
              <w:rPr>
                <w:rFonts w:asciiTheme="minorHAnsi" w:eastAsia="Calibri" w:hAnsiTheme="minorHAnsi" w:cstheme="minorHAnsi"/>
                <w:sz w:val="20"/>
                <w:szCs w:val="20"/>
                <w:lang w:val="en-US" w:eastAsia="en-US" w:bidi="lo-LA"/>
              </w:rPr>
              <w:t>14.2</w:t>
            </w:r>
          </w:p>
        </w:tc>
        <w:tc>
          <w:tcPr>
            <w:tcW w:w="1198" w:type="dxa"/>
          </w:tcPr>
          <w:p w14:paraId="113A6B8A"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13.2</w:t>
            </w:r>
          </w:p>
        </w:tc>
        <w:tc>
          <w:tcPr>
            <w:tcW w:w="1066" w:type="dxa"/>
          </w:tcPr>
          <w:p w14:paraId="093C57EA"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12.7-13.8</w:t>
            </w:r>
          </w:p>
        </w:tc>
        <w:tc>
          <w:tcPr>
            <w:tcW w:w="869" w:type="dxa"/>
          </w:tcPr>
          <w:p w14:paraId="6B056A1F"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1.000</w:t>
            </w:r>
          </w:p>
        </w:tc>
      </w:tr>
      <w:tr w:rsidR="008724AF" w:rsidRPr="005A1AF9" w14:paraId="2A33A6F7" w14:textId="77777777" w:rsidTr="00FD530F">
        <w:tc>
          <w:tcPr>
            <w:tcW w:w="672" w:type="dxa"/>
          </w:tcPr>
          <w:p w14:paraId="291DCDB6" w14:textId="77777777" w:rsidR="008724AF" w:rsidRPr="00A4348B" w:rsidRDefault="008724AF" w:rsidP="00FD530F">
            <w:pPr>
              <w:spacing w:line="360" w:lineRule="auto"/>
              <w:jc w:val="both"/>
              <w:rPr>
                <w:rFonts w:asciiTheme="minorHAnsi" w:eastAsia="Calibri" w:hAnsiTheme="minorHAnsi" w:cstheme="minorHAnsi"/>
                <w:sz w:val="20"/>
                <w:szCs w:val="20"/>
                <w:lang w:val="en-US" w:eastAsia="en-US" w:bidi="lo-LA"/>
              </w:rPr>
            </w:pPr>
            <w:r w:rsidRPr="00A4348B">
              <w:rPr>
                <w:rFonts w:asciiTheme="minorHAnsi" w:eastAsia="Calibri" w:hAnsiTheme="minorHAnsi" w:cstheme="minorHAnsi"/>
                <w:sz w:val="20"/>
                <w:szCs w:val="20"/>
                <w:lang w:val="en-GB" w:eastAsia="en-US"/>
              </w:rPr>
              <w:t>70</w:t>
            </w:r>
          </w:p>
        </w:tc>
        <w:tc>
          <w:tcPr>
            <w:tcW w:w="1134" w:type="dxa"/>
          </w:tcPr>
          <w:p w14:paraId="776975D0" w14:textId="77777777" w:rsidR="008724AF" w:rsidRPr="00B57388" w:rsidRDefault="008724AF" w:rsidP="00FD530F">
            <w:pPr>
              <w:spacing w:line="360" w:lineRule="auto"/>
              <w:jc w:val="both"/>
              <w:rPr>
                <w:rFonts w:asciiTheme="minorHAnsi" w:eastAsia="Calibri" w:hAnsiTheme="minorHAnsi" w:cstheme="minorHAnsi"/>
                <w:sz w:val="20"/>
                <w:szCs w:val="20"/>
                <w:lang w:val="en-US" w:eastAsia="en-US" w:bidi="lo-LA"/>
              </w:rPr>
            </w:pPr>
            <w:r w:rsidRPr="00B57388">
              <w:rPr>
                <w:rFonts w:asciiTheme="minorHAnsi" w:eastAsia="Calibri" w:hAnsiTheme="minorHAnsi" w:cstheme="minorHAnsi"/>
                <w:sz w:val="20"/>
                <w:szCs w:val="20"/>
                <w:lang w:val="en-US" w:eastAsia="en-US" w:bidi="lo-LA"/>
              </w:rPr>
              <w:t>19.6</w:t>
            </w:r>
          </w:p>
        </w:tc>
        <w:tc>
          <w:tcPr>
            <w:tcW w:w="883" w:type="dxa"/>
          </w:tcPr>
          <w:p w14:paraId="23D99D55"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rPr>
              <w:t>1</w:t>
            </w:r>
            <w:r w:rsidRPr="00952945">
              <w:rPr>
                <w:rFonts w:asciiTheme="minorHAnsi" w:hAnsiTheme="minorHAnsi" w:cstheme="minorHAnsi"/>
                <w:sz w:val="20"/>
                <w:szCs w:val="20"/>
                <w:lang w:val="sv-SE"/>
              </w:rPr>
              <w:t>4</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2</w:t>
            </w:r>
          </w:p>
        </w:tc>
        <w:tc>
          <w:tcPr>
            <w:tcW w:w="1200" w:type="dxa"/>
          </w:tcPr>
          <w:p w14:paraId="6E758797"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rPr>
              <w:t>1</w:t>
            </w:r>
            <w:r w:rsidRPr="00952945">
              <w:rPr>
                <w:rFonts w:asciiTheme="minorHAnsi" w:hAnsiTheme="minorHAnsi" w:cstheme="minorHAnsi"/>
                <w:sz w:val="20"/>
                <w:szCs w:val="20"/>
                <w:lang w:val="sv-SE"/>
              </w:rPr>
              <w:t>2</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5</w:t>
            </w:r>
            <w:r w:rsidRPr="00952945">
              <w:rPr>
                <w:rFonts w:asciiTheme="minorHAnsi" w:hAnsiTheme="minorHAnsi" w:cstheme="minorHAnsi"/>
                <w:sz w:val="20"/>
                <w:szCs w:val="20"/>
              </w:rPr>
              <w:t>-1</w:t>
            </w:r>
            <w:r w:rsidRPr="00952945">
              <w:rPr>
                <w:rFonts w:asciiTheme="minorHAnsi" w:hAnsiTheme="minorHAnsi" w:cstheme="minorHAnsi"/>
                <w:sz w:val="20"/>
                <w:szCs w:val="20"/>
                <w:lang w:val="sv-SE"/>
              </w:rPr>
              <w:t>5</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8</w:t>
            </w:r>
          </w:p>
        </w:tc>
        <w:tc>
          <w:tcPr>
            <w:tcW w:w="788" w:type="dxa"/>
          </w:tcPr>
          <w:p w14:paraId="2DDF9129"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0.997</w:t>
            </w:r>
          </w:p>
        </w:tc>
        <w:tc>
          <w:tcPr>
            <w:tcW w:w="261" w:type="dxa"/>
          </w:tcPr>
          <w:p w14:paraId="74D09B8C"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Pr>
          <w:p w14:paraId="01EC38E8" w14:textId="77777777" w:rsidR="008724AF" w:rsidRPr="004E4CE3" w:rsidRDefault="008724AF" w:rsidP="00FD530F">
            <w:pPr>
              <w:spacing w:line="360" w:lineRule="auto"/>
              <w:jc w:val="both"/>
              <w:rPr>
                <w:rFonts w:asciiTheme="minorHAnsi" w:eastAsia="Calibri" w:hAnsiTheme="minorHAnsi" w:cstheme="minorHAnsi"/>
                <w:sz w:val="20"/>
                <w:szCs w:val="20"/>
                <w:lang w:val="en-US" w:eastAsia="en-US" w:bidi="lo-LA"/>
              </w:rPr>
            </w:pPr>
            <w:r w:rsidRPr="004E4CE3">
              <w:rPr>
                <w:rFonts w:asciiTheme="minorHAnsi" w:eastAsia="Calibri" w:hAnsiTheme="minorHAnsi" w:cstheme="minorHAnsi"/>
                <w:sz w:val="20"/>
                <w:szCs w:val="20"/>
                <w:lang w:val="en-US" w:eastAsia="en-US" w:bidi="lo-LA"/>
              </w:rPr>
              <w:t>2</w:t>
            </w:r>
            <w:r>
              <w:rPr>
                <w:rFonts w:asciiTheme="minorHAnsi" w:eastAsia="Calibri" w:hAnsiTheme="minorHAnsi" w:cstheme="minorHAnsi"/>
                <w:sz w:val="20"/>
                <w:szCs w:val="20"/>
                <w:lang w:val="en-US" w:eastAsia="en-US" w:bidi="lo-LA"/>
              </w:rPr>
              <w:t>2</w:t>
            </w:r>
            <w:r w:rsidRPr="004E4CE3">
              <w:rPr>
                <w:rFonts w:asciiTheme="minorHAnsi" w:eastAsia="Calibri" w:hAnsiTheme="minorHAnsi" w:cstheme="minorHAnsi"/>
                <w:sz w:val="20"/>
                <w:szCs w:val="20"/>
                <w:lang w:val="en-US" w:eastAsia="en-US" w:bidi="lo-LA"/>
              </w:rPr>
              <w:t>.</w:t>
            </w:r>
            <w:r>
              <w:rPr>
                <w:rFonts w:asciiTheme="minorHAnsi" w:eastAsia="Calibri" w:hAnsiTheme="minorHAnsi" w:cstheme="minorHAnsi"/>
                <w:sz w:val="20"/>
                <w:szCs w:val="20"/>
                <w:lang w:val="en-US" w:eastAsia="en-US" w:bidi="lo-LA"/>
              </w:rPr>
              <w:t>9</w:t>
            </w:r>
          </w:p>
        </w:tc>
        <w:tc>
          <w:tcPr>
            <w:tcW w:w="1198" w:type="dxa"/>
          </w:tcPr>
          <w:p w14:paraId="5E4FD740"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19.2</w:t>
            </w:r>
          </w:p>
        </w:tc>
        <w:tc>
          <w:tcPr>
            <w:tcW w:w="1066" w:type="dxa"/>
          </w:tcPr>
          <w:p w14:paraId="38018A38"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17.6-20.7</w:t>
            </w:r>
          </w:p>
        </w:tc>
        <w:tc>
          <w:tcPr>
            <w:tcW w:w="869" w:type="dxa"/>
          </w:tcPr>
          <w:p w14:paraId="2E205A44"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0.998</w:t>
            </w:r>
          </w:p>
        </w:tc>
      </w:tr>
      <w:tr w:rsidR="008724AF" w:rsidRPr="005A1AF9" w14:paraId="3C2E1070" w14:textId="77777777" w:rsidTr="00FD530F">
        <w:tc>
          <w:tcPr>
            <w:tcW w:w="672" w:type="dxa"/>
          </w:tcPr>
          <w:p w14:paraId="1A99176B" w14:textId="77777777" w:rsidR="008724AF" w:rsidRPr="00A4348B" w:rsidRDefault="008724AF" w:rsidP="00FD530F">
            <w:pPr>
              <w:spacing w:line="360" w:lineRule="auto"/>
              <w:jc w:val="both"/>
              <w:rPr>
                <w:rFonts w:asciiTheme="minorHAnsi" w:eastAsia="Calibri" w:hAnsiTheme="minorHAnsi" w:cstheme="minorHAnsi"/>
                <w:sz w:val="20"/>
                <w:szCs w:val="20"/>
                <w:lang w:val="en-US" w:eastAsia="en-US" w:bidi="lo-LA"/>
              </w:rPr>
            </w:pPr>
            <w:r w:rsidRPr="00A4348B">
              <w:rPr>
                <w:rFonts w:asciiTheme="minorHAnsi" w:eastAsia="Calibri" w:hAnsiTheme="minorHAnsi" w:cstheme="minorHAnsi"/>
                <w:sz w:val="20"/>
                <w:szCs w:val="20"/>
                <w:lang w:val="en-GB" w:eastAsia="en-US"/>
              </w:rPr>
              <w:t>80</w:t>
            </w:r>
          </w:p>
        </w:tc>
        <w:tc>
          <w:tcPr>
            <w:tcW w:w="1134" w:type="dxa"/>
          </w:tcPr>
          <w:p w14:paraId="7E24147F" w14:textId="77777777" w:rsidR="008724AF" w:rsidRPr="00B57388" w:rsidRDefault="008724AF" w:rsidP="00FD530F">
            <w:pPr>
              <w:spacing w:line="360" w:lineRule="auto"/>
              <w:jc w:val="both"/>
              <w:rPr>
                <w:rFonts w:asciiTheme="minorHAnsi" w:eastAsia="Calibri" w:hAnsiTheme="minorHAnsi" w:cstheme="minorHAnsi"/>
                <w:sz w:val="20"/>
                <w:szCs w:val="20"/>
                <w:lang w:val="en-US" w:eastAsia="en-US" w:bidi="lo-LA"/>
              </w:rPr>
            </w:pPr>
            <w:r w:rsidRPr="00B57388">
              <w:rPr>
                <w:rFonts w:asciiTheme="minorHAnsi" w:eastAsia="Calibri" w:hAnsiTheme="minorHAnsi" w:cstheme="minorHAnsi"/>
                <w:sz w:val="20"/>
                <w:szCs w:val="20"/>
                <w:lang w:val="en-US" w:eastAsia="en-US" w:bidi="lo-LA"/>
              </w:rPr>
              <w:t>19.0</w:t>
            </w:r>
          </w:p>
        </w:tc>
        <w:tc>
          <w:tcPr>
            <w:tcW w:w="883" w:type="dxa"/>
          </w:tcPr>
          <w:p w14:paraId="493347EB"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13</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6</w:t>
            </w:r>
          </w:p>
        </w:tc>
        <w:tc>
          <w:tcPr>
            <w:tcW w:w="1200" w:type="dxa"/>
          </w:tcPr>
          <w:p w14:paraId="4F5ADEE8"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12</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5</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14</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7</w:t>
            </w:r>
          </w:p>
        </w:tc>
        <w:tc>
          <w:tcPr>
            <w:tcW w:w="788" w:type="dxa"/>
          </w:tcPr>
          <w:p w14:paraId="6C2650A2"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0.998</w:t>
            </w:r>
          </w:p>
        </w:tc>
        <w:tc>
          <w:tcPr>
            <w:tcW w:w="261" w:type="dxa"/>
          </w:tcPr>
          <w:p w14:paraId="14F03557"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Pr>
          <w:p w14:paraId="5E3B0007" w14:textId="77777777" w:rsidR="008724AF" w:rsidRPr="004E4CE3" w:rsidRDefault="008724AF" w:rsidP="00FD530F">
            <w:pPr>
              <w:spacing w:line="360" w:lineRule="auto"/>
              <w:jc w:val="both"/>
              <w:rPr>
                <w:rFonts w:asciiTheme="minorHAnsi" w:eastAsia="Calibri" w:hAnsiTheme="minorHAnsi" w:cstheme="minorHAnsi"/>
                <w:sz w:val="20"/>
                <w:szCs w:val="20"/>
                <w:lang w:val="en-US" w:eastAsia="en-US" w:bidi="lo-LA"/>
              </w:rPr>
            </w:pPr>
            <w:r w:rsidRPr="004E4CE3">
              <w:rPr>
                <w:rFonts w:asciiTheme="minorHAnsi" w:eastAsia="Calibri" w:hAnsiTheme="minorHAnsi" w:cstheme="minorHAnsi"/>
                <w:sz w:val="20"/>
                <w:szCs w:val="20"/>
                <w:lang w:val="en-US" w:eastAsia="en-US" w:bidi="lo-LA"/>
              </w:rPr>
              <w:t>25.0</w:t>
            </w:r>
          </w:p>
        </w:tc>
        <w:tc>
          <w:tcPr>
            <w:tcW w:w="1198" w:type="dxa"/>
          </w:tcPr>
          <w:p w14:paraId="187CF9F1"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22.3</w:t>
            </w:r>
          </w:p>
        </w:tc>
        <w:tc>
          <w:tcPr>
            <w:tcW w:w="1066" w:type="dxa"/>
          </w:tcPr>
          <w:p w14:paraId="0D8D4D86"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20.6-23.9</w:t>
            </w:r>
          </w:p>
        </w:tc>
        <w:tc>
          <w:tcPr>
            <w:tcW w:w="869" w:type="dxa"/>
          </w:tcPr>
          <w:p w14:paraId="00E3BF49"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r w:rsidRPr="009863B5">
              <w:rPr>
                <w:rFonts w:asciiTheme="minorHAnsi" w:eastAsia="Calibri" w:hAnsiTheme="minorHAnsi" w:cstheme="minorHAnsi"/>
                <w:sz w:val="20"/>
                <w:szCs w:val="20"/>
                <w:lang w:val="en-US" w:eastAsia="en-US" w:bidi="lo-LA"/>
              </w:rPr>
              <w:t>0.998</w:t>
            </w:r>
          </w:p>
        </w:tc>
      </w:tr>
      <w:tr w:rsidR="008724AF" w:rsidRPr="005A1AF9" w14:paraId="075B5C59" w14:textId="77777777" w:rsidTr="00FD530F">
        <w:tc>
          <w:tcPr>
            <w:tcW w:w="1806" w:type="dxa"/>
            <w:gridSpan w:val="2"/>
          </w:tcPr>
          <w:p w14:paraId="4E396604" w14:textId="77777777" w:rsidR="008724AF" w:rsidRPr="00A4348B" w:rsidRDefault="008724AF" w:rsidP="00FD530F">
            <w:pPr>
              <w:spacing w:line="360" w:lineRule="auto"/>
              <w:jc w:val="both"/>
              <w:rPr>
                <w:rFonts w:asciiTheme="minorHAnsi" w:eastAsia="Calibri" w:hAnsiTheme="minorHAnsi" w:cstheme="minorHAnsi"/>
                <w:sz w:val="20"/>
                <w:szCs w:val="20"/>
                <w:lang w:val="en-US" w:eastAsia="en-US" w:bidi="lo-LA"/>
              </w:rPr>
            </w:pPr>
            <w:r w:rsidRPr="00A4348B">
              <w:rPr>
                <w:rFonts w:asciiTheme="minorHAnsi" w:eastAsia="Calibri" w:hAnsiTheme="minorHAnsi" w:cstheme="minorHAnsi"/>
                <w:sz w:val="20"/>
                <w:szCs w:val="20"/>
                <w:lang w:val="en-GB" w:eastAsia="en-US"/>
              </w:rPr>
              <w:t>Hip fracture</w:t>
            </w:r>
          </w:p>
        </w:tc>
        <w:tc>
          <w:tcPr>
            <w:tcW w:w="883" w:type="dxa"/>
          </w:tcPr>
          <w:p w14:paraId="0B0B77C8"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200" w:type="dxa"/>
          </w:tcPr>
          <w:p w14:paraId="51FEDC57"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788" w:type="dxa"/>
          </w:tcPr>
          <w:p w14:paraId="3957E7A6"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p>
        </w:tc>
        <w:tc>
          <w:tcPr>
            <w:tcW w:w="261" w:type="dxa"/>
          </w:tcPr>
          <w:p w14:paraId="7C5E904F"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33" w:type="dxa"/>
          </w:tcPr>
          <w:p w14:paraId="52D33211"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198" w:type="dxa"/>
          </w:tcPr>
          <w:p w14:paraId="0B348A53"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1066" w:type="dxa"/>
          </w:tcPr>
          <w:p w14:paraId="79AB44F3" w14:textId="77777777" w:rsidR="008724AF" w:rsidRPr="005A1AF9" w:rsidRDefault="008724AF" w:rsidP="00FD530F">
            <w:pPr>
              <w:spacing w:line="360" w:lineRule="auto"/>
              <w:jc w:val="both"/>
              <w:rPr>
                <w:rFonts w:asciiTheme="minorHAnsi" w:eastAsia="Calibri" w:hAnsiTheme="minorHAnsi" w:cstheme="minorHAnsi"/>
                <w:color w:val="FF0000"/>
                <w:sz w:val="20"/>
                <w:szCs w:val="20"/>
                <w:lang w:val="en-US" w:eastAsia="en-US" w:bidi="lo-LA"/>
              </w:rPr>
            </w:pPr>
          </w:p>
        </w:tc>
        <w:tc>
          <w:tcPr>
            <w:tcW w:w="869" w:type="dxa"/>
          </w:tcPr>
          <w:p w14:paraId="3A812453" w14:textId="77777777" w:rsidR="008724AF" w:rsidRPr="009863B5" w:rsidRDefault="008724AF" w:rsidP="00FD530F">
            <w:pPr>
              <w:spacing w:line="360" w:lineRule="auto"/>
              <w:jc w:val="both"/>
              <w:rPr>
                <w:rFonts w:asciiTheme="minorHAnsi" w:eastAsia="Calibri" w:hAnsiTheme="minorHAnsi" w:cstheme="minorHAnsi"/>
                <w:sz w:val="20"/>
                <w:szCs w:val="20"/>
                <w:lang w:val="en-US" w:eastAsia="en-US" w:bidi="lo-LA"/>
              </w:rPr>
            </w:pPr>
          </w:p>
        </w:tc>
      </w:tr>
      <w:tr w:rsidR="008724AF" w:rsidRPr="00952945" w14:paraId="306FB1BD" w14:textId="77777777" w:rsidTr="00FD530F">
        <w:tc>
          <w:tcPr>
            <w:tcW w:w="672" w:type="dxa"/>
          </w:tcPr>
          <w:p w14:paraId="56F26DCA"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GB" w:eastAsia="en-US"/>
              </w:rPr>
              <w:t>50</w:t>
            </w:r>
          </w:p>
        </w:tc>
        <w:tc>
          <w:tcPr>
            <w:tcW w:w="1134" w:type="dxa"/>
          </w:tcPr>
          <w:p w14:paraId="2D6AC5B6"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1.8</w:t>
            </w:r>
          </w:p>
        </w:tc>
        <w:tc>
          <w:tcPr>
            <w:tcW w:w="883" w:type="dxa"/>
          </w:tcPr>
          <w:p w14:paraId="742F9D19"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8</w:t>
            </w:r>
          </w:p>
        </w:tc>
        <w:tc>
          <w:tcPr>
            <w:tcW w:w="1200" w:type="dxa"/>
          </w:tcPr>
          <w:p w14:paraId="61AABAF2"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1</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7</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1</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8</w:t>
            </w:r>
          </w:p>
        </w:tc>
        <w:tc>
          <w:tcPr>
            <w:tcW w:w="788" w:type="dxa"/>
          </w:tcPr>
          <w:p w14:paraId="6DD2C149"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1.000</w:t>
            </w:r>
          </w:p>
        </w:tc>
        <w:tc>
          <w:tcPr>
            <w:tcW w:w="261" w:type="dxa"/>
          </w:tcPr>
          <w:p w14:paraId="494DF286"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Pr>
          <w:p w14:paraId="4E5DD2D3"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1.2</w:t>
            </w:r>
          </w:p>
        </w:tc>
        <w:tc>
          <w:tcPr>
            <w:tcW w:w="1198" w:type="dxa"/>
          </w:tcPr>
          <w:p w14:paraId="006DC1D2"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1.2</w:t>
            </w:r>
          </w:p>
        </w:tc>
        <w:tc>
          <w:tcPr>
            <w:tcW w:w="1066" w:type="dxa"/>
          </w:tcPr>
          <w:p w14:paraId="0DB14E9D"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1.1-1.2</w:t>
            </w:r>
          </w:p>
        </w:tc>
        <w:tc>
          <w:tcPr>
            <w:tcW w:w="869" w:type="dxa"/>
          </w:tcPr>
          <w:p w14:paraId="66218EC9"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1.000</w:t>
            </w:r>
          </w:p>
        </w:tc>
      </w:tr>
      <w:tr w:rsidR="008724AF" w:rsidRPr="00952945" w14:paraId="76D136FE" w14:textId="77777777" w:rsidTr="00FD530F">
        <w:tc>
          <w:tcPr>
            <w:tcW w:w="672" w:type="dxa"/>
          </w:tcPr>
          <w:p w14:paraId="4802736E"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GB" w:eastAsia="en-US"/>
              </w:rPr>
              <w:t>60</w:t>
            </w:r>
          </w:p>
        </w:tc>
        <w:tc>
          <w:tcPr>
            <w:tcW w:w="1134" w:type="dxa"/>
          </w:tcPr>
          <w:p w14:paraId="21131FA6"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4.2</w:t>
            </w:r>
          </w:p>
        </w:tc>
        <w:tc>
          <w:tcPr>
            <w:tcW w:w="883" w:type="dxa"/>
          </w:tcPr>
          <w:p w14:paraId="75B1F13A"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3</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7</w:t>
            </w:r>
          </w:p>
        </w:tc>
        <w:tc>
          <w:tcPr>
            <w:tcW w:w="1200" w:type="dxa"/>
          </w:tcPr>
          <w:p w14:paraId="46803AAD"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hAnsiTheme="minorHAnsi" w:cstheme="minorHAnsi"/>
                <w:sz w:val="20"/>
                <w:szCs w:val="20"/>
                <w:lang w:val="sv-SE"/>
              </w:rPr>
              <w:t>3</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3</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4</w:t>
            </w:r>
            <w:r w:rsidRPr="00952945">
              <w:rPr>
                <w:rFonts w:asciiTheme="minorHAnsi" w:hAnsiTheme="minorHAnsi" w:cstheme="minorHAnsi"/>
                <w:sz w:val="20"/>
                <w:szCs w:val="20"/>
              </w:rPr>
              <w:t>.</w:t>
            </w:r>
            <w:r w:rsidRPr="00952945">
              <w:rPr>
                <w:rFonts w:asciiTheme="minorHAnsi" w:hAnsiTheme="minorHAnsi" w:cstheme="minorHAnsi"/>
                <w:sz w:val="20"/>
                <w:szCs w:val="20"/>
                <w:lang w:val="sv-SE"/>
              </w:rPr>
              <w:t>1</w:t>
            </w:r>
          </w:p>
        </w:tc>
        <w:tc>
          <w:tcPr>
            <w:tcW w:w="788" w:type="dxa"/>
          </w:tcPr>
          <w:p w14:paraId="4057DB62"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1.000</w:t>
            </w:r>
          </w:p>
        </w:tc>
        <w:tc>
          <w:tcPr>
            <w:tcW w:w="261" w:type="dxa"/>
          </w:tcPr>
          <w:p w14:paraId="058824F5"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Pr>
          <w:p w14:paraId="52FE8320"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3.2</w:t>
            </w:r>
          </w:p>
        </w:tc>
        <w:tc>
          <w:tcPr>
            <w:tcW w:w="1198" w:type="dxa"/>
          </w:tcPr>
          <w:p w14:paraId="08F93E57"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3.0</w:t>
            </w:r>
          </w:p>
        </w:tc>
        <w:tc>
          <w:tcPr>
            <w:tcW w:w="1066" w:type="dxa"/>
          </w:tcPr>
          <w:p w14:paraId="5CD94FAB"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2.7-3.2</w:t>
            </w:r>
          </w:p>
        </w:tc>
        <w:tc>
          <w:tcPr>
            <w:tcW w:w="869" w:type="dxa"/>
          </w:tcPr>
          <w:p w14:paraId="17D23894" w14:textId="77777777" w:rsidR="008724AF" w:rsidRPr="00952945" w:rsidRDefault="008724AF" w:rsidP="00FD530F">
            <w:pPr>
              <w:spacing w:line="360" w:lineRule="auto"/>
              <w:jc w:val="both"/>
              <w:rPr>
                <w:rFonts w:asciiTheme="minorHAnsi" w:eastAsia="Calibri" w:hAnsiTheme="minorHAnsi" w:cstheme="minorHAnsi"/>
                <w:sz w:val="20"/>
                <w:szCs w:val="20"/>
                <w:lang w:val="en-US" w:eastAsia="en-US" w:bidi="lo-LA"/>
              </w:rPr>
            </w:pPr>
            <w:r w:rsidRPr="00952945">
              <w:rPr>
                <w:rFonts w:asciiTheme="minorHAnsi" w:eastAsia="Calibri" w:hAnsiTheme="minorHAnsi" w:cstheme="minorHAnsi"/>
                <w:sz w:val="20"/>
                <w:szCs w:val="20"/>
                <w:lang w:val="en-US" w:eastAsia="en-US" w:bidi="lo-LA"/>
              </w:rPr>
              <w:t>1.000</w:t>
            </w:r>
          </w:p>
        </w:tc>
      </w:tr>
      <w:tr w:rsidR="008724AF" w:rsidRPr="005D3861" w14:paraId="3367D617" w14:textId="77777777" w:rsidTr="00FD530F">
        <w:tc>
          <w:tcPr>
            <w:tcW w:w="672" w:type="dxa"/>
          </w:tcPr>
          <w:p w14:paraId="53379513"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GB" w:eastAsia="en-US"/>
              </w:rPr>
              <w:t>70</w:t>
            </w:r>
          </w:p>
        </w:tc>
        <w:tc>
          <w:tcPr>
            <w:tcW w:w="1134" w:type="dxa"/>
          </w:tcPr>
          <w:p w14:paraId="165EDBD6"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10.5</w:t>
            </w:r>
          </w:p>
        </w:tc>
        <w:tc>
          <w:tcPr>
            <w:tcW w:w="883" w:type="dxa"/>
          </w:tcPr>
          <w:p w14:paraId="502463BA"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hAnsiTheme="minorHAnsi" w:cstheme="minorHAnsi"/>
                <w:sz w:val="20"/>
                <w:szCs w:val="20"/>
                <w:lang w:val="sv-SE"/>
              </w:rPr>
              <w:t>7</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4</w:t>
            </w:r>
          </w:p>
        </w:tc>
        <w:tc>
          <w:tcPr>
            <w:tcW w:w="1200" w:type="dxa"/>
          </w:tcPr>
          <w:p w14:paraId="1F12BF3F"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hAnsiTheme="minorHAnsi" w:cstheme="minorHAnsi"/>
                <w:sz w:val="20"/>
                <w:szCs w:val="20"/>
                <w:lang w:val="sv-SE"/>
              </w:rPr>
              <w:t>6</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2</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8</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6</w:t>
            </w:r>
          </w:p>
        </w:tc>
        <w:tc>
          <w:tcPr>
            <w:tcW w:w="788" w:type="dxa"/>
          </w:tcPr>
          <w:p w14:paraId="2D3FA436"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0.999</w:t>
            </w:r>
          </w:p>
        </w:tc>
        <w:tc>
          <w:tcPr>
            <w:tcW w:w="261" w:type="dxa"/>
          </w:tcPr>
          <w:p w14:paraId="7D8B7AAA"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Pr>
          <w:p w14:paraId="6AEDBDCC"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8.4</w:t>
            </w:r>
          </w:p>
        </w:tc>
        <w:tc>
          <w:tcPr>
            <w:tcW w:w="1198" w:type="dxa"/>
          </w:tcPr>
          <w:p w14:paraId="3D9726A2"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7.1</w:t>
            </w:r>
          </w:p>
        </w:tc>
        <w:tc>
          <w:tcPr>
            <w:tcW w:w="1066" w:type="dxa"/>
          </w:tcPr>
          <w:p w14:paraId="6AB1E180"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6.1-8.1</w:t>
            </w:r>
          </w:p>
        </w:tc>
        <w:tc>
          <w:tcPr>
            <w:tcW w:w="869" w:type="dxa"/>
          </w:tcPr>
          <w:p w14:paraId="4524E4BC"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0.999</w:t>
            </w:r>
          </w:p>
        </w:tc>
      </w:tr>
      <w:tr w:rsidR="008724AF" w:rsidRPr="005D3861" w14:paraId="1AEB862C" w14:textId="77777777" w:rsidTr="00FD530F">
        <w:tc>
          <w:tcPr>
            <w:tcW w:w="672" w:type="dxa"/>
            <w:tcBorders>
              <w:bottom w:val="single" w:sz="4" w:space="0" w:color="auto"/>
            </w:tcBorders>
          </w:tcPr>
          <w:p w14:paraId="318D095F"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GB" w:eastAsia="en-US"/>
              </w:rPr>
              <w:t>80</w:t>
            </w:r>
          </w:p>
        </w:tc>
        <w:tc>
          <w:tcPr>
            <w:tcW w:w="1134" w:type="dxa"/>
            <w:tcBorders>
              <w:bottom w:val="single" w:sz="4" w:space="0" w:color="auto"/>
            </w:tcBorders>
          </w:tcPr>
          <w:p w14:paraId="0AAD5343"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14.0</w:t>
            </w:r>
          </w:p>
        </w:tc>
        <w:tc>
          <w:tcPr>
            <w:tcW w:w="883" w:type="dxa"/>
            <w:tcBorders>
              <w:bottom w:val="single" w:sz="4" w:space="0" w:color="auto"/>
            </w:tcBorders>
          </w:tcPr>
          <w:p w14:paraId="365FEB56"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hAnsiTheme="minorHAnsi" w:cstheme="minorHAnsi"/>
                <w:sz w:val="20"/>
                <w:szCs w:val="20"/>
                <w:lang w:val="sv-SE"/>
              </w:rPr>
              <w:t>9</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9</w:t>
            </w:r>
          </w:p>
        </w:tc>
        <w:tc>
          <w:tcPr>
            <w:tcW w:w="1200" w:type="dxa"/>
            <w:tcBorders>
              <w:bottom w:val="single" w:sz="4" w:space="0" w:color="auto"/>
            </w:tcBorders>
          </w:tcPr>
          <w:p w14:paraId="18D40C59"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hAnsiTheme="minorHAnsi" w:cstheme="minorHAnsi"/>
                <w:sz w:val="20"/>
                <w:szCs w:val="20"/>
                <w:lang w:val="sv-SE"/>
              </w:rPr>
              <w:t>8</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9</w:t>
            </w:r>
            <w:r w:rsidRPr="005D3861">
              <w:rPr>
                <w:rFonts w:asciiTheme="minorHAnsi" w:hAnsiTheme="minorHAnsi" w:cstheme="minorHAnsi"/>
                <w:sz w:val="20"/>
                <w:szCs w:val="20"/>
              </w:rPr>
              <w:t>-1</w:t>
            </w:r>
            <w:r w:rsidRPr="005D3861">
              <w:rPr>
                <w:rFonts w:asciiTheme="minorHAnsi" w:hAnsiTheme="minorHAnsi" w:cstheme="minorHAnsi"/>
                <w:sz w:val="20"/>
                <w:szCs w:val="20"/>
                <w:lang w:val="sv-SE"/>
              </w:rPr>
              <w:t>0</w:t>
            </w:r>
            <w:r w:rsidRPr="005D3861">
              <w:rPr>
                <w:rFonts w:asciiTheme="minorHAnsi" w:hAnsiTheme="minorHAnsi" w:cstheme="minorHAnsi"/>
                <w:sz w:val="20"/>
                <w:szCs w:val="20"/>
              </w:rPr>
              <w:t>.</w:t>
            </w:r>
            <w:r w:rsidRPr="005D3861">
              <w:rPr>
                <w:rFonts w:asciiTheme="minorHAnsi" w:hAnsiTheme="minorHAnsi" w:cstheme="minorHAnsi"/>
                <w:sz w:val="20"/>
                <w:szCs w:val="20"/>
                <w:lang w:val="sv-SE"/>
              </w:rPr>
              <w:t>8</w:t>
            </w:r>
          </w:p>
        </w:tc>
        <w:tc>
          <w:tcPr>
            <w:tcW w:w="788" w:type="dxa"/>
            <w:tcBorders>
              <w:bottom w:val="single" w:sz="4" w:space="0" w:color="auto"/>
            </w:tcBorders>
          </w:tcPr>
          <w:p w14:paraId="19EA7E76"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0.998</w:t>
            </w:r>
          </w:p>
        </w:tc>
        <w:tc>
          <w:tcPr>
            <w:tcW w:w="261" w:type="dxa"/>
            <w:tcBorders>
              <w:bottom w:val="single" w:sz="4" w:space="0" w:color="auto"/>
            </w:tcBorders>
          </w:tcPr>
          <w:p w14:paraId="54023D52"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p>
        </w:tc>
        <w:tc>
          <w:tcPr>
            <w:tcW w:w="1133" w:type="dxa"/>
            <w:tcBorders>
              <w:bottom w:val="single" w:sz="4" w:space="0" w:color="auto"/>
            </w:tcBorders>
          </w:tcPr>
          <w:p w14:paraId="74F7656D"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14.7</w:t>
            </w:r>
          </w:p>
        </w:tc>
        <w:tc>
          <w:tcPr>
            <w:tcW w:w="1198" w:type="dxa"/>
            <w:tcBorders>
              <w:bottom w:val="single" w:sz="4" w:space="0" w:color="auto"/>
            </w:tcBorders>
          </w:tcPr>
          <w:p w14:paraId="51FB035A"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11.3</w:t>
            </w:r>
          </w:p>
        </w:tc>
        <w:tc>
          <w:tcPr>
            <w:tcW w:w="1066" w:type="dxa"/>
            <w:tcBorders>
              <w:bottom w:val="single" w:sz="4" w:space="0" w:color="auto"/>
            </w:tcBorders>
          </w:tcPr>
          <w:p w14:paraId="25BC7E2C"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10.0-12.6</w:t>
            </w:r>
          </w:p>
        </w:tc>
        <w:tc>
          <w:tcPr>
            <w:tcW w:w="869" w:type="dxa"/>
            <w:tcBorders>
              <w:bottom w:val="single" w:sz="4" w:space="0" w:color="auto"/>
            </w:tcBorders>
          </w:tcPr>
          <w:p w14:paraId="4B4115BB" w14:textId="77777777" w:rsidR="008724AF" w:rsidRPr="005D3861" w:rsidRDefault="008724AF" w:rsidP="00FD530F">
            <w:pPr>
              <w:spacing w:line="360" w:lineRule="auto"/>
              <w:jc w:val="both"/>
              <w:rPr>
                <w:rFonts w:asciiTheme="minorHAnsi" w:eastAsia="Calibri" w:hAnsiTheme="minorHAnsi" w:cstheme="minorHAnsi"/>
                <w:sz w:val="20"/>
                <w:szCs w:val="20"/>
                <w:lang w:val="en-US" w:eastAsia="en-US" w:bidi="lo-LA"/>
              </w:rPr>
            </w:pPr>
            <w:r w:rsidRPr="005D3861">
              <w:rPr>
                <w:rFonts w:asciiTheme="minorHAnsi" w:eastAsia="Calibri" w:hAnsiTheme="minorHAnsi" w:cstheme="minorHAnsi"/>
                <w:sz w:val="20"/>
                <w:szCs w:val="20"/>
                <w:lang w:val="en-US" w:eastAsia="en-US" w:bidi="lo-LA"/>
              </w:rPr>
              <w:t>0.999</w:t>
            </w:r>
          </w:p>
        </w:tc>
      </w:tr>
    </w:tbl>
    <w:p w14:paraId="5886F44A" w14:textId="77777777" w:rsidR="008724AF" w:rsidRPr="005A1AF9" w:rsidRDefault="008724AF" w:rsidP="008724AF">
      <w:pPr>
        <w:spacing w:line="360" w:lineRule="auto"/>
        <w:ind w:firstLine="709"/>
        <w:jc w:val="both"/>
        <w:rPr>
          <w:rFonts w:ascii="Arial" w:eastAsia="Calibri" w:hAnsi="Arial" w:cs="DokChampa"/>
          <w:color w:val="FF0000"/>
          <w:sz w:val="22"/>
          <w:szCs w:val="20"/>
          <w:lang w:val="en-US" w:eastAsia="en-US" w:bidi="lo-LA"/>
        </w:rPr>
      </w:pPr>
    </w:p>
    <w:p w14:paraId="578AF7DF" w14:textId="4B2B08C5" w:rsidR="00A070A7" w:rsidRDefault="00FD530F" w:rsidP="00936AFC">
      <w:pPr>
        <w:spacing w:line="276" w:lineRule="auto"/>
        <w:ind w:left="567" w:right="142"/>
        <w:rPr>
          <w:rFonts w:ascii="Calibri" w:eastAsia="Calibri" w:hAnsi="Calibri" w:cs="DokChampa"/>
          <w:color w:val="FF0000"/>
          <w:lang w:val="en-US" w:eastAsia="en-US" w:bidi="lo-LA"/>
        </w:rPr>
      </w:pPr>
      <w:r>
        <w:rPr>
          <w:rFonts w:ascii="Calibri" w:eastAsia="Calibri" w:hAnsi="Calibri" w:cs="DokChampa"/>
          <w:lang w:val="en-US" w:eastAsia="en-US" w:bidi="lo-LA"/>
        </w:rPr>
        <w:t>Despite differences in absolute values of probability, t</w:t>
      </w:r>
      <w:r w:rsidRPr="00EB736C">
        <w:rPr>
          <w:rFonts w:ascii="Calibri" w:eastAsia="Calibri" w:hAnsi="Calibri" w:cs="DokChampa"/>
          <w:lang w:val="en-US" w:eastAsia="en-US" w:bidi="lo-LA"/>
        </w:rPr>
        <w:t>here was a close correlation between the FRAX model for Singapore and the surrogate Pakistan model</w:t>
      </w:r>
      <w:r>
        <w:rPr>
          <w:rFonts w:ascii="Calibri" w:eastAsia="Calibri" w:hAnsi="Calibri" w:cs="DokChampa"/>
          <w:lang w:val="en-US" w:eastAsia="en-US" w:bidi="lo-LA"/>
        </w:rPr>
        <w:t xml:space="preserve"> (Table 1)</w:t>
      </w:r>
      <w:r w:rsidRPr="00EB736C">
        <w:rPr>
          <w:rFonts w:ascii="Calibri" w:eastAsia="Calibri" w:hAnsi="Calibri" w:cs="DokChampa"/>
          <w:lang w:val="en-US" w:eastAsia="en-US" w:bidi="lo-LA"/>
        </w:rPr>
        <w:t xml:space="preserve">. </w:t>
      </w:r>
      <w:r w:rsidR="00A070A7" w:rsidRPr="005555EC">
        <w:rPr>
          <w:rFonts w:ascii="Calibri" w:eastAsia="Calibri" w:hAnsi="Calibri" w:cs="DokChampa"/>
          <w:lang w:val="en-US" w:eastAsia="en-US" w:bidi="lo-LA"/>
        </w:rPr>
        <w:t xml:space="preserve">For all ages the correlation coefficients </w:t>
      </w:r>
      <w:r w:rsidR="006D6D6F">
        <w:rPr>
          <w:rFonts w:ascii="Calibri" w:eastAsia="Calibri" w:hAnsi="Calibri" w:cs="DokChampa"/>
          <w:lang w:val="en-US" w:eastAsia="en-US" w:bidi="lo-LA"/>
        </w:rPr>
        <w:t>between the prob</w:t>
      </w:r>
      <w:r>
        <w:rPr>
          <w:rFonts w:ascii="Calibri" w:eastAsia="Calibri" w:hAnsi="Calibri" w:cs="DokChampa"/>
          <w:lang w:val="en-US" w:eastAsia="en-US" w:bidi="lo-LA"/>
        </w:rPr>
        <w:t>a</w:t>
      </w:r>
      <w:r w:rsidR="006D6D6F">
        <w:rPr>
          <w:rFonts w:ascii="Calibri" w:eastAsia="Calibri" w:hAnsi="Calibri" w:cs="DokChampa"/>
          <w:lang w:val="en-US" w:eastAsia="en-US" w:bidi="lo-LA"/>
        </w:rPr>
        <w:t xml:space="preserve">bilities </w:t>
      </w:r>
      <w:r>
        <w:rPr>
          <w:rFonts w:ascii="Calibri" w:eastAsia="Calibri" w:hAnsi="Calibri" w:cs="DokChampa"/>
          <w:lang w:val="en-US" w:eastAsia="en-US" w:bidi="lo-LA"/>
        </w:rPr>
        <w:t xml:space="preserve">within risk factor combinations </w:t>
      </w:r>
      <w:r w:rsidR="00A070A7" w:rsidRPr="005555EC">
        <w:rPr>
          <w:rFonts w:ascii="Calibri" w:eastAsia="Calibri" w:hAnsi="Calibri" w:cs="DokChampa"/>
          <w:lang w:val="en-US" w:eastAsia="en-US" w:bidi="lo-LA"/>
        </w:rPr>
        <w:t>were high (r</w:t>
      </w:r>
      <w:r w:rsidR="00A070A7" w:rsidRPr="00DC1AA4">
        <w:rPr>
          <w:rFonts w:ascii="Calibri" w:eastAsia="Calibri" w:hAnsi="Calibri" w:cs="DokChampa"/>
          <w:u w:val="single"/>
          <w:lang w:val="en-US" w:eastAsia="en-US" w:bidi="lo-LA"/>
        </w:rPr>
        <w:t>&gt;</w:t>
      </w:r>
      <w:r w:rsidR="00A070A7">
        <w:rPr>
          <w:rFonts w:ascii="Calibri" w:eastAsia="Calibri" w:hAnsi="Calibri" w:cs="DokChampa"/>
          <w:lang w:val="en-US" w:eastAsia="en-US" w:bidi="lo-LA"/>
        </w:rPr>
        <w:t>0.998</w:t>
      </w:r>
      <w:r w:rsidR="00A070A7" w:rsidRPr="005555EC">
        <w:rPr>
          <w:rFonts w:ascii="Calibri" w:eastAsia="Calibri" w:hAnsi="Calibri" w:cs="DokChampa"/>
          <w:lang w:val="en-US" w:eastAsia="en-US" w:bidi="lo-LA"/>
        </w:rPr>
        <w:t xml:space="preserve">). The </w:t>
      </w:r>
      <w:r w:rsidR="00A070A7" w:rsidRPr="00A32260">
        <w:rPr>
          <w:rFonts w:ascii="Calibri" w:eastAsia="Calibri" w:hAnsi="Calibri" w:cs="DokChampa"/>
          <w:lang w:val="en-US" w:eastAsia="en-US" w:bidi="lo-LA"/>
        </w:rPr>
        <w:t>relationship</w:t>
      </w:r>
      <w:r>
        <w:rPr>
          <w:rFonts w:ascii="Calibri" w:eastAsia="Calibri" w:hAnsi="Calibri" w:cs="DokChampa"/>
          <w:lang w:val="en-US" w:eastAsia="en-US" w:bidi="lo-LA"/>
        </w:rPr>
        <w:t>s</w:t>
      </w:r>
      <w:r w:rsidR="00A070A7" w:rsidRPr="00A32260">
        <w:rPr>
          <w:rFonts w:ascii="Calibri" w:eastAsia="Calibri" w:hAnsi="Calibri" w:cs="DokChampa"/>
          <w:lang w:val="en-US" w:eastAsia="en-US" w:bidi="lo-LA"/>
        </w:rPr>
        <w:t xml:space="preserve"> between the probabilities of a major osteoporotic fracture and hip fracture derived from the two </w:t>
      </w:r>
      <w:r>
        <w:rPr>
          <w:rFonts w:ascii="Calibri" w:eastAsia="Calibri" w:hAnsi="Calibri" w:cs="DokChampa"/>
          <w:lang w:val="en-US" w:eastAsia="en-US" w:bidi="lo-LA"/>
        </w:rPr>
        <w:t>models</w:t>
      </w:r>
      <w:r w:rsidRPr="00A32260">
        <w:rPr>
          <w:rFonts w:ascii="Calibri" w:eastAsia="Calibri" w:hAnsi="Calibri" w:cs="DokChampa"/>
          <w:lang w:val="en-US" w:eastAsia="en-US" w:bidi="lo-LA"/>
        </w:rPr>
        <w:t xml:space="preserve"> </w:t>
      </w:r>
      <w:r w:rsidR="00A070A7" w:rsidRPr="00A32260">
        <w:rPr>
          <w:rFonts w:ascii="Calibri" w:eastAsia="Calibri" w:hAnsi="Calibri" w:cs="DokChampa"/>
          <w:lang w:val="en-US" w:eastAsia="en-US" w:bidi="lo-LA"/>
        </w:rPr>
        <w:t xml:space="preserve">of FRAX </w:t>
      </w:r>
      <w:r>
        <w:rPr>
          <w:rFonts w:ascii="Calibri" w:eastAsia="Calibri" w:hAnsi="Calibri" w:cs="DokChampa"/>
          <w:lang w:val="en-US" w:eastAsia="en-US" w:bidi="lo-LA"/>
        </w:rPr>
        <w:t>are</w:t>
      </w:r>
      <w:r w:rsidRPr="00A32260">
        <w:rPr>
          <w:rFonts w:ascii="Calibri" w:eastAsia="Calibri" w:hAnsi="Calibri" w:cs="DokChampa"/>
          <w:lang w:val="en-US" w:eastAsia="en-US" w:bidi="lo-LA"/>
        </w:rPr>
        <w:t xml:space="preserve"> </w:t>
      </w:r>
      <w:r w:rsidR="00A070A7" w:rsidRPr="00A32260">
        <w:rPr>
          <w:rFonts w:ascii="Calibri" w:eastAsia="Calibri" w:hAnsi="Calibri" w:cs="DokChampa"/>
          <w:lang w:val="en-US" w:eastAsia="en-US" w:bidi="lo-LA"/>
        </w:rPr>
        <w:t>shown for men and women age 70 years in Fig. 1.</w:t>
      </w:r>
    </w:p>
    <w:p w14:paraId="5225F146" w14:textId="14A5E386" w:rsidR="007F17C5" w:rsidRDefault="007F17C5" w:rsidP="00936AFC">
      <w:pPr>
        <w:spacing w:line="276" w:lineRule="auto"/>
        <w:ind w:left="567" w:right="142"/>
        <w:rPr>
          <w:rFonts w:ascii="Calibri" w:eastAsia="Calibri" w:hAnsi="Calibri" w:cs="DokChampa"/>
          <w:color w:val="FF0000"/>
          <w:lang w:val="en-US" w:eastAsia="en-US" w:bidi="lo-LA"/>
        </w:rPr>
      </w:pPr>
    </w:p>
    <w:p w14:paraId="3B163E08" w14:textId="2AD7BE35" w:rsidR="007F17C5" w:rsidRDefault="00E56C5C" w:rsidP="001F2016">
      <w:pPr>
        <w:spacing w:line="276" w:lineRule="auto"/>
        <w:ind w:left="567" w:right="142"/>
        <w:jc w:val="center"/>
        <w:rPr>
          <w:rFonts w:ascii="Calibri" w:eastAsia="Calibri" w:hAnsi="Calibri" w:cs="DokChampa"/>
          <w:color w:val="FF0000"/>
          <w:lang w:val="en-US" w:eastAsia="en-US" w:bidi="lo-LA"/>
        </w:rPr>
      </w:pPr>
      <w:r w:rsidRPr="00E56C5C">
        <w:rPr>
          <w:rFonts w:ascii="Calibri" w:eastAsia="Calibri" w:hAnsi="Calibri" w:cs="DokChampa"/>
          <w:noProof/>
          <w:color w:val="FF0000"/>
          <w:lang w:val="en-GB" w:eastAsia="en-GB"/>
        </w:rPr>
        <w:drawing>
          <wp:inline distT="0" distB="0" distL="0" distR="0" wp14:anchorId="31A8C3E8" wp14:editId="6FA96D30">
            <wp:extent cx="4232910" cy="3114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18" t="3474" r="24218" b="1872"/>
                    <a:stretch/>
                  </pic:blipFill>
                  <pic:spPr bwMode="auto">
                    <a:xfrm>
                      <a:off x="0" y="0"/>
                      <a:ext cx="4233849" cy="3115273"/>
                    </a:xfrm>
                    <a:prstGeom prst="rect">
                      <a:avLst/>
                    </a:prstGeom>
                    <a:ln>
                      <a:noFill/>
                    </a:ln>
                    <a:extLst>
                      <a:ext uri="{53640926-AAD7-44D8-BBD7-CCE9431645EC}">
                        <a14:shadowObscured xmlns:a14="http://schemas.microsoft.com/office/drawing/2010/main"/>
                      </a:ext>
                    </a:extLst>
                  </pic:spPr>
                </pic:pic>
              </a:graphicData>
            </a:graphic>
          </wp:inline>
        </w:drawing>
      </w:r>
    </w:p>
    <w:p w14:paraId="56DF6496" w14:textId="05B6989E" w:rsidR="004B7A41" w:rsidRPr="003176B8" w:rsidRDefault="004B7A41" w:rsidP="00D609C1">
      <w:pPr>
        <w:spacing w:line="276" w:lineRule="auto"/>
        <w:ind w:left="993" w:right="992"/>
        <w:jc w:val="both"/>
        <w:rPr>
          <w:rFonts w:ascii="Calibri" w:eastAsia="Calibri" w:hAnsi="Calibri" w:cs="DokChampa"/>
          <w:sz w:val="22"/>
          <w:szCs w:val="20"/>
          <w:lang w:val="en-GB" w:eastAsia="en-US" w:bidi="lo-LA"/>
        </w:rPr>
      </w:pPr>
      <w:r w:rsidRPr="003176B8">
        <w:rPr>
          <w:rFonts w:ascii="Calibri" w:eastAsia="Calibri" w:hAnsi="Calibri" w:cs="DokChampa"/>
          <w:b/>
          <w:sz w:val="22"/>
          <w:szCs w:val="20"/>
          <w:lang w:val="en-GB" w:eastAsia="en-US" w:bidi="lo-LA"/>
        </w:rPr>
        <w:t xml:space="preserve">Fig. </w:t>
      </w:r>
      <w:r w:rsidR="00E80712" w:rsidRPr="003176B8">
        <w:rPr>
          <w:rFonts w:ascii="Calibri" w:eastAsia="Calibri" w:hAnsi="Calibri" w:cs="DokChampa"/>
          <w:b/>
          <w:sz w:val="22"/>
          <w:szCs w:val="20"/>
          <w:lang w:val="en-GB" w:eastAsia="en-US" w:bidi="lo-LA"/>
        </w:rPr>
        <w:t>1</w:t>
      </w:r>
      <w:r w:rsidRPr="003176B8">
        <w:rPr>
          <w:rFonts w:ascii="Calibri" w:eastAsia="Calibri" w:hAnsi="Calibri" w:cs="DokChampa"/>
          <w:sz w:val="22"/>
          <w:szCs w:val="20"/>
          <w:lang w:val="en-GB" w:eastAsia="en-US" w:bidi="lo-LA"/>
        </w:rPr>
        <w:t xml:space="preserve"> Comparison of 10-year probability of fracture using the surrogate </w:t>
      </w:r>
      <w:r w:rsidR="00FD530F">
        <w:rPr>
          <w:rFonts w:ascii="Calibri" w:eastAsia="Calibri" w:hAnsi="Calibri" w:cs="DokChampa"/>
          <w:sz w:val="22"/>
          <w:szCs w:val="20"/>
          <w:lang w:val="en-GB" w:eastAsia="en-US" w:bidi="lo-LA"/>
        </w:rPr>
        <w:t xml:space="preserve">Pakistan </w:t>
      </w:r>
      <w:r w:rsidRPr="003176B8">
        <w:rPr>
          <w:rFonts w:ascii="Calibri" w:eastAsia="Calibri" w:hAnsi="Calibri" w:cs="DokChampa"/>
          <w:sz w:val="22"/>
          <w:szCs w:val="20"/>
          <w:lang w:val="en-GB" w:eastAsia="en-US" w:bidi="lo-LA"/>
        </w:rPr>
        <w:t xml:space="preserve">FRAX tool and the </w:t>
      </w:r>
      <w:r w:rsidR="003176B8" w:rsidRPr="003176B8">
        <w:rPr>
          <w:rFonts w:ascii="Calibri" w:eastAsia="Calibri" w:hAnsi="Calibri" w:cs="DokChampa"/>
          <w:sz w:val="22"/>
          <w:szCs w:val="20"/>
          <w:lang w:val="en-GB" w:eastAsia="en-US" w:bidi="lo-LA"/>
        </w:rPr>
        <w:t xml:space="preserve">Singapore </w:t>
      </w:r>
      <w:r w:rsidR="003E3EF7">
        <w:rPr>
          <w:rFonts w:ascii="Calibri" w:eastAsia="Calibri" w:hAnsi="Calibri" w:cs="DokChampa"/>
          <w:sz w:val="22"/>
          <w:szCs w:val="20"/>
          <w:lang w:val="en-GB" w:eastAsia="en-US" w:bidi="lo-LA"/>
        </w:rPr>
        <w:t>I</w:t>
      </w:r>
      <w:r w:rsidR="003E3EF7" w:rsidRPr="003176B8">
        <w:rPr>
          <w:rFonts w:ascii="Calibri" w:eastAsia="Calibri" w:hAnsi="Calibri" w:cs="DokChampa"/>
          <w:sz w:val="22"/>
          <w:szCs w:val="20"/>
          <w:lang w:val="en-GB" w:eastAsia="en-US" w:bidi="lo-LA"/>
        </w:rPr>
        <w:t xml:space="preserve">ndian </w:t>
      </w:r>
      <w:r w:rsidR="008C5329" w:rsidRPr="003176B8">
        <w:rPr>
          <w:rFonts w:ascii="Calibri" w:eastAsia="Calibri" w:hAnsi="Calibri" w:cs="DokChampa"/>
          <w:sz w:val="22"/>
          <w:szCs w:val="20"/>
          <w:lang w:val="en-GB" w:eastAsia="en-US" w:bidi="lo-LA"/>
        </w:rPr>
        <w:t>FRAX</w:t>
      </w:r>
      <w:r w:rsidR="001C40EE" w:rsidRPr="003176B8">
        <w:rPr>
          <w:rFonts w:ascii="Calibri" w:eastAsia="Calibri" w:hAnsi="Calibri" w:cs="DokChampa"/>
          <w:sz w:val="22"/>
          <w:szCs w:val="20"/>
          <w:lang w:val="en-GB" w:eastAsia="en-US" w:bidi="lo-LA"/>
        </w:rPr>
        <w:t xml:space="preserve"> </w:t>
      </w:r>
      <w:r w:rsidR="00405408" w:rsidRPr="003176B8">
        <w:rPr>
          <w:rFonts w:ascii="Calibri" w:eastAsia="Calibri" w:hAnsi="Calibri" w:cs="DokChampa"/>
          <w:sz w:val="22"/>
          <w:szCs w:val="20"/>
          <w:lang w:val="en-GB" w:eastAsia="en-US" w:bidi="lo-LA"/>
        </w:rPr>
        <w:t>t</w:t>
      </w:r>
      <w:r w:rsidRPr="003176B8">
        <w:rPr>
          <w:rFonts w:ascii="Calibri" w:eastAsia="Calibri" w:hAnsi="Calibri" w:cs="DokChampa"/>
          <w:sz w:val="22"/>
          <w:szCs w:val="20"/>
          <w:lang w:val="en-GB" w:eastAsia="en-US" w:bidi="lo-LA"/>
        </w:rPr>
        <w:t>ool for</w:t>
      </w:r>
      <w:r w:rsidR="00405408" w:rsidRPr="003176B8">
        <w:rPr>
          <w:rFonts w:ascii="Calibri" w:eastAsia="Calibri" w:hAnsi="Calibri" w:cs="DokChampa"/>
          <w:sz w:val="22"/>
          <w:szCs w:val="20"/>
          <w:lang w:val="en-GB" w:eastAsia="en-US" w:bidi="lo-LA"/>
        </w:rPr>
        <w:t xml:space="preserve"> </w:t>
      </w:r>
      <w:bookmarkStart w:id="5" w:name="_Hlk56680892"/>
      <w:r w:rsidR="00FD530F">
        <w:rPr>
          <w:rFonts w:ascii="Calibri" w:eastAsia="Calibri" w:hAnsi="Calibri" w:cs="DokChampa"/>
          <w:sz w:val="22"/>
          <w:szCs w:val="20"/>
          <w:lang w:val="en-GB" w:eastAsia="en-US" w:bidi="lo-LA"/>
        </w:rPr>
        <w:t xml:space="preserve">combinations of clinical risk factors </w:t>
      </w:r>
      <w:r w:rsidR="00FD530F">
        <w:rPr>
          <w:rFonts w:ascii="Calibri" w:eastAsia="Calibri" w:hAnsi="Calibri" w:cs="DokChampa"/>
          <w:sz w:val="22"/>
          <w:szCs w:val="20"/>
          <w:lang w:val="en-GB" w:eastAsia="en-US" w:bidi="lo-LA"/>
        </w:rPr>
        <w:lastRenderedPageBreak/>
        <w:t>and BMD</w:t>
      </w:r>
      <w:bookmarkEnd w:id="5"/>
      <w:r w:rsidR="00C6469E" w:rsidRPr="003176B8">
        <w:rPr>
          <w:rFonts w:ascii="Calibri" w:eastAsia="Calibri" w:hAnsi="Calibri" w:cs="DokChampa"/>
          <w:sz w:val="22"/>
          <w:szCs w:val="20"/>
          <w:lang w:val="en-GB" w:eastAsia="en-US" w:bidi="lo-LA"/>
        </w:rPr>
        <w:t xml:space="preserve"> at the age of 70 years</w:t>
      </w:r>
      <w:r w:rsidR="00803825" w:rsidRPr="003176B8">
        <w:rPr>
          <w:rFonts w:ascii="Calibri" w:eastAsia="Calibri" w:hAnsi="Calibri" w:cs="DokChampa"/>
          <w:sz w:val="22"/>
          <w:szCs w:val="20"/>
          <w:lang w:val="en-GB" w:eastAsia="en-US" w:bidi="lo-LA"/>
        </w:rPr>
        <w:t xml:space="preserve">.  The </w:t>
      </w:r>
      <w:r w:rsidR="0075163B" w:rsidRPr="003176B8">
        <w:rPr>
          <w:rFonts w:ascii="Calibri" w:eastAsia="Calibri" w:hAnsi="Calibri" w:cs="DokChampa"/>
          <w:sz w:val="22"/>
          <w:szCs w:val="20"/>
          <w:lang w:val="en-GB" w:eastAsia="en-US" w:bidi="lo-LA"/>
        </w:rPr>
        <w:t>left-hand</w:t>
      </w:r>
      <w:r w:rsidR="00803825" w:rsidRPr="003176B8">
        <w:rPr>
          <w:rFonts w:ascii="Calibri" w:eastAsia="Calibri" w:hAnsi="Calibri" w:cs="DokChampa"/>
          <w:sz w:val="22"/>
          <w:szCs w:val="20"/>
          <w:lang w:val="en-GB" w:eastAsia="en-US" w:bidi="lo-LA"/>
        </w:rPr>
        <w:t xml:space="preserve"> panels show </w:t>
      </w:r>
      <w:r w:rsidR="00EB190C" w:rsidRPr="003176B8">
        <w:rPr>
          <w:rFonts w:ascii="Calibri" w:eastAsia="Calibri" w:hAnsi="Calibri" w:cs="DokChampa"/>
          <w:sz w:val="22"/>
          <w:szCs w:val="20"/>
          <w:lang w:val="en-GB" w:eastAsia="en-US" w:bidi="lo-LA"/>
        </w:rPr>
        <w:t>t</w:t>
      </w:r>
      <w:r w:rsidR="00803825" w:rsidRPr="003176B8">
        <w:rPr>
          <w:rFonts w:ascii="Calibri" w:eastAsia="Calibri" w:hAnsi="Calibri" w:cs="DokChampa"/>
          <w:sz w:val="22"/>
          <w:szCs w:val="20"/>
          <w:lang w:val="en-GB" w:eastAsia="en-US" w:bidi="lo-LA"/>
        </w:rPr>
        <w:t xml:space="preserve">he </w:t>
      </w:r>
      <w:r w:rsidR="00EB190C" w:rsidRPr="003176B8">
        <w:rPr>
          <w:rFonts w:ascii="Calibri" w:eastAsia="Calibri" w:hAnsi="Calibri" w:cs="DokChampa"/>
          <w:sz w:val="22"/>
          <w:szCs w:val="20"/>
          <w:lang w:val="en-GB" w:eastAsia="en-US" w:bidi="lo-LA"/>
        </w:rPr>
        <w:t>comparison in men</w:t>
      </w:r>
      <w:r w:rsidRPr="003176B8">
        <w:rPr>
          <w:rFonts w:ascii="Calibri" w:eastAsia="Calibri" w:hAnsi="Calibri" w:cs="DokChampa"/>
          <w:sz w:val="22"/>
          <w:szCs w:val="20"/>
          <w:lang w:val="en-GB" w:eastAsia="en-US" w:bidi="lo-LA"/>
        </w:rPr>
        <w:t xml:space="preserve">. </w:t>
      </w:r>
      <w:r w:rsidR="00EB190C" w:rsidRPr="003176B8">
        <w:rPr>
          <w:rFonts w:ascii="Calibri" w:eastAsia="Calibri" w:hAnsi="Calibri" w:cs="DokChampa"/>
          <w:sz w:val="22"/>
          <w:szCs w:val="20"/>
          <w:lang w:val="en-GB" w:eastAsia="en-US" w:bidi="lo-LA"/>
        </w:rPr>
        <w:t xml:space="preserve"> The top panels relate to major osteoporotic fracture (MOF)</w:t>
      </w:r>
      <w:r w:rsidR="004C08D2" w:rsidRPr="003176B8">
        <w:rPr>
          <w:rFonts w:ascii="Calibri" w:eastAsia="Calibri" w:hAnsi="Calibri" w:cs="DokChampa"/>
          <w:sz w:val="22"/>
          <w:szCs w:val="20"/>
          <w:lang w:val="en-GB" w:eastAsia="en-US" w:bidi="lo-LA"/>
        </w:rPr>
        <w:t xml:space="preserve"> and the lower panels to hip </w:t>
      </w:r>
      <w:r w:rsidR="00DB7C93" w:rsidRPr="003176B8">
        <w:rPr>
          <w:rFonts w:ascii="Calibri" w:eastAsia="Calibri" w:hAnsi="Calibri" w:cs="DokChampa"/>
          <w:sz w:val="22"/>
          <w:szCs w:val="20"/>
          <w:lang w:val="en-GB" w:eastAsia="en-US" w:bidi="lo-LA"/>
        </w:rPr>
        <w:t xml:space="preserve">fracture probability.  </w:t>
      </w:r>
      <w:r w:rsidRPr="003176B8">
        <w:rPr>
          <w:rFonts w:ascii="Calibri" w:eastAsia="Calibri" w:hAnsi="Calibri" w:cs="DokChampa"/>
          <w:sz w:val="22"/>
          <w:szCs w:val="20"/>
          <w:lang w:val="en-GB" w:eastAsia="en-US" w:bidi="lo-LA"/>
        </w:rPr>
        <w:t>The diagonal line shows the line of identity.</w:t>
      </w:r>
    </w:p>
    <w:p w14:paraId="5322C0D5" w14:textId="05D02299" w:rsidR="004B7A41" w:rsidRDefault="004B7A41" w:rsidP="004B7A41">
      <w:pPr>
        <w:spacing w:line="276" w:lineRule="auto"/>
        <w:ind w:left="567" w:right="708"/>
        <w:jc w:val="both"/>
        <w:rPr>
          <w:rFonts w:ascii="Calibri" w:eastAsia="Calibri" w:hAnsi="Calibri" w:cs="DokChampa"/>
          <w:color w:val="FF0000"/>
          <w:sz w:val="22"/>
          <w:szCs w:val="20"/>
          <w:highlight w:val="magenta"/>
          <w:lang w:val="en-GB" w:eastAsia="en-US" w:bidi="lo-LA"/>
        </w:rPr>
      </w:pPr>
    </w:p>
    <w:p w14:paraId="1330D373" w14:textId="12EA4933" w:rsidR="00E34B38" w:rsidRPr="007A6F77" w:rsidRDefault="001A3C47" w:rsidP="00306030">
      <w:pPr>
        <w:ind w:left="567" w:right="142"/>
        <w:jc w:val="both"/>
        <w:rPr>
          <w:rFonts w:asciiTheme="minorHAnsi" w:hAnsiTheme="minorHAnsi" w:cstheme="minorHAnsi"/>
          <w:i/>
          <w:lang w:val="en-GB"/>
        </w:rPr>
      </w:pPr>
      <w:r w:rsidRPr="007A6F77">
        <w:rPr>
          <w:rFonts w:asciiTheme="minorHAnsi" w:hAnsiTheme="minorHAnsi" w:cstheme="minorHAnsi"/>
          <w:i/>
          <w:lang w:val="en-GB"/>
        </w:rPr>
        <w:t>F</w:t>
      </w:r>
      <w:r w:rsidR="006F0FF8" w:rsidRPr="007A6F77">
        <w:rPr>
          <w:rFonts w:asciiTheme="minorHAnsi" w:hAnsiTheme="minorHAnsi" w:cstheme="minorHAnsi"/>
          <w:i/>
          <w:lang w:val="en-GB"/>
        </w:rPr>
        <w:t>racture</w:t>
      </w:r>
      <w:r w:rsidRPr="007A6F77">
        <w:rPr>
          <w:rFonts w:asciiTheme="minorHAnsi" w:hAnsiTheme="minorHAnsi" w:cstheme="minorHAnsi"/>
          <w:i/>
          <w:lang w:val="en-GB"/>
        </w:rPr>
        <w:t xml:space="preserve"> projections</w:t>
      </w:r>
    </w:p>
    <w:p w14:paraId="5F448D22" w14:textId="6D6FB5F8" w:rsidR="00E7143D" w:rsidRPr="005A1AF9" w:rsidRDefault="00285B32" w:rsidP="00306030">
      <w:pPr>
        <w:spacing w:line="276" w:lineRule="auto"/>
        <w:ind w:left="567" w:right="142"/>
        <w:rPr>
          <w:rFonts w:asciiTheme="minorHAnsi" w:eastAsia="Calibri" w:hAnsiTheme="minorHAnsi" w:cstheme="minorHAnsi"/>
          <w:color w:val="FF0000"/>
          <w:lang w:val="en-GB" w:bidi="lo-LA"/>
        </w:rPr>
      </w:pPr>
      <w:r w:rsidRPr="007A6F77">
        <w:rPr>
          <w:rFonts w:asciiTheme="minorHAnsi" w:eastAsia="Calibri" w:hAnsiTheme="minorHAnsi" w:cstheme="minorHAnsi"/>
          <w:lang w:val="en-GB" w:bidi="lo-LA"/>
        </w:rPr>
        <w:t xml:space="preserve">Assuming that the fracture rates </w:t>
      </w:r>
      <w:r w:rsidR="00B1310F">
        <w:rPr>
          <w:rFonts w:asciiTheme="minorHAnsi" w:eastAsia="Calibri" w:hAnsiTheme="minorHAnsi" w:cstheme="minorHAnsi"/>
          <w:lang w:val="en-GB" w:bidi="lo-LA"/>
        </w:rPr>
        <w:t>derived from</w:t>
      </w:r>
      <w:r w:rsidR="008B31F5">
        <w:rPr>
          <w:rFonts w:asciiTheme="minorHAnsi" w:eastAsia="Calibri" w:hAnsiTheme="minorHAnsi" w:cstheme="minorHAnsi"/>
          <w:lang w:val="en-GB" w:bidi="lo-LA"/>
        </w:rPr>
        <w:t xml:space="preserve"> Indians living </w:t>
      </w:r>
      <w:r w:rsidRPr="007A6F77">
        <w:rPr>
          <w:rFonts w:asciiTheme="minorHAnsi" w:eastAsia="Calibri" w:hAnsiTheme="minorHAnsi" w:cstheme="minorHAnsi"/>
          <w:lang w:val="en-GB" w:bidi="lo-LA"/>
        </w:rPr>
        <w:t xml:space="preserve">in </w:t>
      </w:r>
      <w:r w:rsidR="005A1AF9" w:rsidRPr="007A6F77">
        <w:rPr>
          <w:rFonts w:asciiTheme="minorHAnsi" w:eastAsia="Calibri" w:hAnsiTheme="minorHAnsi" w:cstheme="minorHAnsi"/>
          <w:lang w:val="en-GB" w:bidi="lo-LA"/>
        </w:rPr>
        <w:t xml:space="preserve">Singapore </w:t>
      </w:r>
      <w:r w:rsidR="00CA0FA7" w:rsidRPr="007A6F77">
        <w:rPr>
          <w:rFonts w:asciiTheme="minorHAnsi" w:eastAsia="Calibri" w:hAnsiTheme="minorHAnsi" w:cstheme="minorHAnsi"/>
          <w:lang w:val="en-GB" w:bidi="lo-LA"/>
        </w:rPr>
        <w:t>were</w:t>
      </w:r>
      <w:r w:rsidRPr="007A6F77">
        <w:rPr>
          <w:rFonts w:asciiTheme="minorHAnsi" w:eastAsia="Calibri" w:hAnsiTheme="minorHAnsi" w:cstheme="minorHAnsi"/>
          <w:lang w:val="en-GB" w:bidi="lo-LA"/>
        </w:rPr>
        <w:t xml:space="preserve"> representative for </w:t>
      </w:r>
      <w:r w:rsidR="005A1AF9" w:rsidRPr="007A6F77">
        <w:rPr>
          <w:rFonts w:asciiTheme="minorHAnsi" w:eastAsia="Calibri" w:hAnsiTheme="minorHAnsi" w:cstheme="minorHAnsi"/>
          <w:lang w:val="en-GB" w:bidi="lo-LA"/>
        </w:rPr>
        <w:t>Pakistan</w:t>
      </w:r>
      <w:r w:rsidRPr="007A6F77">
        <w:rPr>
          <w:rFonts w:asciiTheme="minorHAnsi" w:eastAsia="Calibri" w:hAnsiTheme="minorHAnsi" w:cstheme="minorHAnsi"/>
          <w:lang w:val="en-GB" w:bidi="lo-LA"/>
        </w:rPr>
        <w:t xml:space="preserve">, and based on the </w:t>
      </w:r>
      <w:r w:rsidR="005B4CCD">
        <w:rPr>
          <w:rFonts w:asciiTheme="minorHAnsi" w:eastAsia="Calibri" w:hAnsiTheme="minorHAnsi" w:cstheme="minorHAnsi"/>
          <w:lang w:val="en-GB" w:bidi="lo-LA"/>
        </w:rPr>
        <w:t>United Nations</w:t>
      </w:r>
      <w:r w:rsidRPr="007A6F77">
        <w:rPr>
          <w:rFonts w:asciiTheme="minorHAnsi" w:eastAsia="Calibri" w:hAnsiTheme="minorHAnsi" w:cstheme="minorHAnsi"/>
          <w:lang w:val="en-GB" w:bidi="lo-LA"/>
        </w:rPr>
        <w:t xml:space="preserve"> estimates of </w:t>
      </w:r>
      <w:r w:rsidR="009C61B9" w:rsidRPr="007A6F77">
        <w:rPr>
          <w:rFonts w:asciiTheme="minorHAnsi" w:eastAsia="Calibri" w:hAnsiTheme="minorHAnsi" w:cstheme="minorHAnsi"/>
          <w:lang w:val="en-GB" w:bidi="lo-LA"/>
        </w:rPr>
        <w:t xml:space="preserve">the </w:t>
      </w:r>
      <w:r w:rsidR="007A6F77" w:rsidRPr="007A6F77">
        <w:rPr>
          <w:rFonts w:asciiTheme="minorHAnsi" w:eastAsia="Calibri" w:hAnsiTheme="minorHAnsi" w:cstheme="minorHAnsi"/>
          <w:lang w:val="en-GB" w:bidi="lo-LA"/>
        </w:rPr>
        <w:t>Pakistan</w:t>
      </w:r>
      <w:r w:rsidRPr="007A6F77">
        <w:rPr>
          <w:rFonts w:asciiTheme="minorHAnsi" w:eastAsia="Calibri" w:hAnsiTheme="minorHAnsi" w:cstheme="minorHAnsi"/>
          <w:lang w:val="en-GB" w:bidi="lo-LA"/>
        </w:rPr>
        <w:t xml:space="preserve"> population for 2015, we estimated that the annual number of hip fractures in men and women </w:t>
      </w:r>
      <w:r w:rsidRPr="00D20FB3">
        <w:rPr>
          <w:rFonts w:asciiTheme="minorHAnsi" w:eastAsia="Calibri" w:hAnsiTheme="minorHAnsi" w:cstheme="minorHAnsi"/>
          <w:lang w:val="en-GB" w:bidi="lo-LA"/>
        </w:rPr>
        <w:t xml:space="preserve">age 50 years </w:t>
      </w:r>
      <w:r w:rsidR="006D5635" w:rsidRPr="00D20FB3">
        <w:rPr>
          <w:rFonts w:asciiTheme="minorHAnsi" w:eastAsia="Calibri" w:hAnsiTheme="minorHAnsi" w:cstheme="minorHAnsi"/>
          <w:lang w:val="en-GB" w:bidi="lo-LA"/>
        </w:rPr>
        <w:t>or</w:t>
      </w:r>
      <w:r w:rsidRPr="00D20FB3">
        <w:rPr>
          <w:rFonts w:asciiTheme="minorHAnsi" w:eastAsia="Calibri" w:hAnsiTheme="minorHAnsi" w:cstheme="minorHAnsi"/>
          <w:lang w:val="en-GB" w:bidi="lo-LA"/>
        </w:rPr>
        <w:t xml:space="preserve"> older in </w:t>
      </w:r>
      <w:r w:rsidR="005A1AF9" w:rsidRPr="00D20FB3">
        <w:rPr>
          <w:rFonts w:asciiTheme="minorHAnsi" w:eastAsia="Calibri" w:hAnsiTheme="minorHAnsi" w:cstheme="minorHAnsi"/>
          <w:lang w:val="en-GB" w:bidi="lo-LA"/>
        </w:rPr>
        <w:t>Pakistan</w:t>
      </w:r>
      <w:r w:rsidRPr="00D20FB3">
        <w:rPr>
          <w:rFonts w:asciiTheme="minorHAnsi" w:eastAsia="Calibri" w:hAnsiTheme="minorHAnsi" w:cstheme="minorHAnsi"/>
          <w:lang w:val="en-GB" w:bidi="lo-LA"/>
        </w:rPr>
        <w:t xml:space="preserve"> in 2015 </w:t>
      </w:r>
      <w:r w:rsidR="000D14BE">
        <w:rPr>
          <w:rFonts w:asciiTheme="minorHAnsi" w:eastAsia="Calibri" w:hAnsiTheme="minorHAnsi" w:cstheme="minorHAnsi"/>
          <w:lang w:val="en-GB" w:bidi="lo-LA"/>
        </w:rPr>
        <w:t>totalled</w:t>
      </w:r>
      <w:r w:rsidR="000D14BE" w:rsidRPr="00D20FB3">
        <w:rPr>
          <w:rFonts w:asciiTheme="minorHAnsi" w:eastAsia="Calibri" w:hAnsiTheme="minorHAnsi" w:cstheme="minorHAnsi"/>
          <w:lang w:val="en-GB" w:bidi="lo-LA"/>
        </w:rPr>
        <w:t xml:space="preserve"> 36</w:t>
      </w:r>
      <w:r w:rsidR="000D14BE">
        <w:rPr>
          <w:rFonts w:asciiTheme="minorHAnsi" w:eastAsia="Calibri" w:hAnsiTheme="minorHAnsi" w:cstheme="minorHAnsi"/>
          <w:lang w:val="en-GB" w:bidi="lo-LA"/>
        </w:rPr>
        <w:t>,</w:t>
      </w:r>
      <w:r w:rsidR="00D20FB3" w:rsidRPr="00D20FB3">
        <w:rPr>
          <w:rFonts w:asciiTheme="minorHAnsi" w:eastAsia="Calibri" w:hAnsiTheme="minorHAnsi" w:cstheme="minorHAnsi"/>
          <w:lang w:val="en-GB" w:bidi="lo-LA"/>
        </w:rPr>
        <w:t>524</w:t>
      </w:r>
      <w:r w:rsidRPr="00D20FB3">
        <w:rPr>
          <w:rFonts w:asciiTheme="minorHAnsi" w:eastAsia="Calibri" w:hAnsiTheme="minorHAnsi" w:cstheme="minorHAnsi"/>
          <w:lang w:val="en-GB" w:bidi="lo-LA"/>
        </w:rPr>
        <w:t xml:space="preserve">, comprising </w:t>
      </w:r>
      <w:r w:rsidR="000D14BE" w:rsidRPr="00D20FB3">
        <w:rPr>
          <w:rFonts w:asciiTheme="minorHAnsi" w:eastAsia="Calibri" w:hAnsiTheme="minorHAnsi" w:cstheme="minorHAnsi"/>
          <w:lang w:val="en-GB" w:bidi="lo-LA"/>
        </w:rPr>
        <w:t>12</w:t>
      </w:r>
      <w:r w:rsidR="000D14BE">
        <w:rPr>
          <w:rFonts w:asciiTheme="minorHAnsi" w:eastAsia="Calibri" w:hAnsiTheme="minorHAnsi" w:cstheme="minorHAnsi"/>
          <w:lang w:val="en-GB" w:bidi="lo-LA"/>
        </w:rPr>
        <w:t>,</w:t>
      </w:r>
      <w:r w:rsidR="00D20FB3" w:rsidRPr="00D20FB3">
        <w:rPr>
          <w:rFonts w:asciiTheme="minorHAnsi" w:eastAsia="Calibri" w:hAnsiTheme="minorHAnsi" w:cstheme="minorHAnsi"/>
          <w:lang w:val="en-GB" w:bidi="lo-LA"/>
        </w:rPr>
        <w:t>902</w:t>
      </w:r>
      <w:r w:rsidRPr="00D20FB3">
        <w:rPr>
          <w:rFonts w:asciiTheme="minorHAnsi" w:eastAsia="Calibri" w:hAnsiTheme="minorHAnsi" w:cstheme="minorHAnsi"/>
          <w:lang w:val="en-GB" w:bidi="lo-LA"/>
        </w:rPr>
        <w:t xml:space="preserve"> </w:t>
      </w:r>
      <w:r w:rsidR="00470962">
        <w:rPr>
          <w:rFonts w:asciiTheme="minorHAnsi" w:eastAsia="Calibri" w:hAnsiTheme="minorHAnsi" w:cstheme="minorHAnsi"/>
          <w:lang w:val="en-GB" w:bidi="lo-LA"/>
        </w:rPr>
        <w:t>hip fractures</w:t>
      </w:r>
      <w:r w:rsidR="00BD0424">
        <w:rPr>
          <w:rFonts w:asciiTheme="minorHAnsi" w:eastAsia="Calibri" w:hAnsiTheme="minorHAnsi" w:cstheme="minorHAnsi"/>
          <w:lang w:val="en-GB" w:bidi="lo-LA"/>
        </w:rPr>
        <w:t xml:space="preserve"> </w:t>
      </w:r>
      <w:r w:rsidRPr="00D20FB3">
        <w:rPr>
          <w:rFonts w:asciiTheme="minorHAnsi" w:eastAsia="Calibri" w:hAnsiTheme="minorHAnsi" w:cstheme="minorHAnsi"/>
          <w:lang w:val="en-GB" w:bidi="lo-LA"/>
        </w:rPr>
        <w:t xml:space="preserve">in men and </w:t>
      </w:r>
      <w:r w:rsidR="00D20FB3" w:rsidRPr="00D20FB3">
        <w:rPr>
          <w:rFonts w:asciiTheme="minorHAnsi" w:eastAsia="Calibri" w:hAnsiTheme="minorHAnsi" w:cstheme="minorHAnsi"/>
          <w:lang w:val="en-GB" w:bidi="lo-LA"/>
        </w:rPr>
        <w:t>23</w:t>
      </w:r>
      <w:r w:rsidR="00370510">
        <w:rPr>
          <w:rFonts w:asciiTheme="minorHAnsi" w:eastAsia="Calibri" w:hAnsiTheme="minorHAnsi" w:cstheme="minorHAnsi"/>
          <w:lang w:val="en-GB" w:bidi="lo-LA"/>
        </w:rPr>
        <w:t>,</w:t>
      </w:r>
      <w:r w:rsidR="00D20FB3" w:rsidRPr="00D20FB3">
        <w:rPr>
          <w:rFonts w:asciiTheme="minorHAnsi" w:eastAsia="Calibri" w:hAnsiTheme="minorHAnsi" w:cstheme="minorHAnsi"/>
          <w:lang w:val="en-GB" w:bidi="lo-LA"/>
        </w:rPr>
        <w:t xml:space="preserve">622 </w:t>
      </w:r>
      <w:r w:rsidRPr="00D20FB3">
        <w:rPr>
          <w:rFonts w:asciiTheme="minorHAnsi" w:eastAsia="Calibri" w:hAnsiTheme="minorHAnsi" w:cstheme="minorHAnsi"/>
          <w:lang w:val="en-GB" w:bidi="lo-LA"/>
        </w:rPr>
        <w:t xml:space="preserve">in women. The number of hip fractures is </w:t>
      </w:r>
      <w:r w:rsidR="000767E6">
        <w:rPr>
          <w:rFonts w:asciiTheme="minorHAnsi" w:eastAsia="Calibri" w:hAnsiTheme="minorHAnsi" w:cstheme="minorHAnsi"/>
          <w:lang w:val="en-GB" w:bidi="lo-LA"/>
        </w:rPr>
        <w:t>estimated</w:t>
      </w:r>
      <w:r w:rsidR="000767E6" w:rsidRPr="00D20FB3">
        <w:rPr>
          <w:rFonts w:asciiTheme="minorHAnsi" w:eastAsia="Calibri" w:hAnsiTheme="minorHAnsi" w:cstheme="minorHAnsi"/>
          <w:lang w:val="en-GB" w:bidi="lo-LA"/>
        </w:rPr>
        <w:t xml:space="preserve"> </w:t>
      </w:r>
      <w:r w:rsidRPr="00D20FB3">
        <w:rPr>
          <w:rFonts w:asciiTheme="minorHAnsi" w:eastAsia="Calibri" w:hAnsiTheme="minorHAnsi" w:cstheme="minorHAnsi"/>
          <w:lang w:val="en-GB" w:bidi="lo-LA"/>
        </w:rPr>
        <w:t>to increase progressively by calendar year with an increase of 2</w:t>
      </w:r>
      <w:r w:rsidR="00D20FB3" w:rsidRPr="00D20FB3">
        <w:rPr>
          <w:rFonts w:asciiTheme="minorHAnsi" w:eastAsia="Calibri" w:hAnsiTheme="minorHAnsi" w:cstheme="minorHAnsi"/>
          <w:lang w:val="en-GB" w:bidi="lo-LA"/>
        </w:rPr>
        <w:t>14</w:t>
      </w:r>
      <w:r w:rsidRPr="00D20FB3">
        <w:rPr>
          <w:rFonts w:asciiTheme="minorHAnsi" w:eastAsia="Calibri" w:hAnsiTheme="minorHAnsi" w:cstheme="minorHAnsi"/>
          <w:lang w:val="en-GB" w:bidi="lo-LA"/>
        </w:rPr>
        <w:t xml:space="preserve">% by 2050 (Table 2).  The increase in hip fracture numbers </w:t>
      </w:r>
      <w:r w:rsidR="00293B16" w:rsidRPr="00D20FB3">
        <w:rPr>
          <w:rFonts w:asciiTheme="minorHAnsi" w:eastAsia="Calibri" w:hAnsiTheme="minorHAnsi" w:cstheme="minorHAnsi"/>
          <w:lang w:val="en-GB" w:bidi="lo-LA"/>
        </w:rPr>
        <w:t>is</w:t>
      </w:r>
      <w:r w:rsidRPr="00D20FB3">
        <w:rPr>
          <w:rFonts w:asciiTheme="minorHAnsi" w:eastAsia="Calibri" w:hAnsiTheme="minorHAnsi" w:cstheme="minorHAnsi"/>
          <w:lang w:val="en-GB" w:bidi="lo-LA"/>
        </w:rPr>
        <w:t xml:space="preserve"> particularly </w:t>
      </w:r>
      <w:r w:rsidR="00BC6157">
        <w:rPr>
          <w:rFonts w:asciiTheme="minorHAnsi" w:eastAsia="Calibri" w:hAnsiTheme="minorHAnsi" w:cstheme="minorHAnsi"/>
          <w:lang w:val="en-GB" w:bidi="lo-LA"/>
        </w:rPr>
        <w:t>high</w:t>
      </w:r>
      <w:r w:rsidR="00BC6157" w:rsidRPr="00D20FB3">
        <w:rPr>
          <w:rFonts w:asciiTheme="minorHAnsi" w:eastAsia="Calibri" w:hAnsiTheme="minorHAnsi" w:cstheme="minorHAnsi"/>
          <w:lang w:val="en-GB" w:bidi="lo-LA"/>
        </w:rPr>
        <w:t xml:space="preserve"> </w:t>
      </w:r>
      <w:r w:rsidRPr="00D20FB3">
        <w:rPr>
          <w:rFonts w:asciiTheme="minorHAnsi" w:eastAsia="Calibri" w:hAnsiTheme="minorHAnsi" w:cstheme="minorHAnsi"/>
          <w:lang w:val="en-GB" w:bidi="lo-LA"/>
        </w:rPr>
        <w:t>in women (2</w:t>
      </w:r>
      <w:r w:rsidR="00D20FB3" w:rsidRPr="00D20FB3">
        <w:rPr>
          <w:rFonts w:asciiTheme="minorHAnsi" w:eastAsia="Calibri" w:hAnsiTheme="minorHAnsi" w:cstheme="minorHAnsi"/>
          <w:lang w:val="en-GB" w:bidi="lo-LA"/>
        </w:rPr>
        <w:t>31</w:t>
      </w:r>
      <w:r w:rsidRPr="00D20FB3">
        <w:rPr>
          <w:rFonts w:asciiTheme="minorHAnsi" w:eastAsia="Calibri" w:hAnsiTheme="minorHAnsi" w:cstheme="minorHAnsi"/>
          <w:lang w:val="en-GB" w:bidi="lo-LA"/>
        </w:rPr>
        <w:t xml:space="preserve">% in women and </w:t>
      </w:r>
      <w:r w:rsidR="002C674F" w:rsidRPr="00D20FB3">
        <w:rPr>
          <w:rFonts w:asciiTheme="minorHAnsi" w:eastAsia="Calibri" w:hAnsiTheme="minorHAnsi" w:cstheme="minorHAnsi"/>
          <w:lang w:val="en-GB" w:bidi="lo-LA"/>
        </w:rPr>
        <w:t>1</w:t>
      </w:r>
      <w:r w:rsidR="00D20FB3" w:rsidRPr="00D20FB3">
        <w:rPr>
          <w:rFonts w:asciiTheme="minorHAnsi" w:eastAsia="Calibri" w:hAnsiTheme="minorHAnsi" w:cstheme="minorHAnsi"/>
          <w:lang w:val="en-GB" w:bidi="lo-LA"/>
        </w:rPr>
        <w:t>84</w:t>
      </w:r>
      <w:r w:rsidRPr="00D20FB3">
        <w:rPr>
          <w:rFonts w:asciiTheme="minorHAnsi" w:eastAsia="Calibri" w:hAnsiTheme="minorHAnsi" w:cstheme="minorHAnsi"/>
          <w:lang w:val="en-GB" w:bidi="lo-LA"/>
        </w:rPr>
        <w:t xml:space="preserve">% in men) due to the </w:t>
      </w:r>
      <w:r w:rsidR="0029175E" w:rsidRPr="00D20FB3">
        <w:rPr>
          <w:rFonts w:asciiTheme="minorHAnsi" w:eastAsia="Calibri" w:hAnsiTheme="minorHAnsi" w:cstheme="minorHAnsi"/>
          <w:lang w:val="en-GB" w:bidi="lo-LA"/>
        </w:rPr>
        <w:t>longer life expectancy in women</w:t>
      </w:r>
      <w:r w:rsidRPr="00D20FB3">
        <w:rPr>
          <w:rFonts w:asciiTheme="minorHAnsi" w:eastAsia="Calibri" w:hAnsiTheme="minorHAnsi" w:cstheme="minorHAnsi"/>
          <w:lang w:val="en-GB" w:bidi="lo-LA"/>
        </w:rPr>
        <w:t>.</w:t>
      </w:r>
    </w:p>
    <w:p w14:paraId="6D02B9AB" w14:textId="77777777" w:rsidR="00710E1B" w:rsidRPr="005A1AF9" w:rsidRDefault="00710E1B" w:rsidP="0030661D">
      <w:pPr>
        <w:spacing w:line="276" w:lineRule="auto"/>
        <w:ind w:left="567" w:right="1275"/>
        <w:rPr>
          <w:rFonts w:asciiTheme="minorHAnsi" w:eastAsia="Calibri" w:hAnsiTheme="minorHAnsi" w:cstheme="minorHAnsi"/>
          <w:color w:val="FF0000"/>
          <w:lang w:val="en-GB" w:bidi="lo-LA"/>
        </w:rPr>
      </w:pPr>
    </w:p>
    <w:p w14:paraId="1DC1F0D8" w14:textId="13EE5908" w:rsidR="00A61146" w:rsidRPr="00AB419C" w:rsidRDefault="00A61146" w:rsidP="007A247A">
      <w:pPr>
        <w:ind w:left="567" w:right="1700"/>
        <w:rPr>
          <w:rFonts w:ascii="Calibri" w:eastAsia="Calibri" w:hAnsi="Calibri"/>
          <w:sz w:val="20"/>
          <w:szCs w:val="20"/>
          <w:lang w:val="en-GB" w:eastAsia="en-US"/>
        </w:rPr>
      </w:pPr>
      <w:r w:rsidRPr="00AB419C">
        <w:rPr>
          <w:rFonts w:ascii="Calibri" w:eastAsia="Calibri" w:hAnsi="Calibri"/>
          <w:b/>
          <w:sz w:val="20"/>
          <w:szCs w:val="20"/>
          <w:lang w:val="en-GB" w:eastAsia="en-US"/>
        </w:rPr>
        <w:t xml:space="preserve">Table </w:t>
      </w:r>
      <w:r w:rsidR="001D774B" w:rsidRPr="00AB419C">
        <w:rPr>
          <w:rFonts w:ascii="Calibri" w:eastAsia="Calibri" w:hAnsi="Calibri"/>
          <w:b/>
          <w:sz w:val="20"/>
          <w:szCs w:val="20"/>
          <w:lang w:val="en-GB" w:eastAsia="en-US"/>
        </w:rPr>
        <w:t xml:space="preserve">2 </w:t>
      </w:r>
      <w:r w:rsidRPr="00AB419C">
        <w:rPr>
          <w:rFonts w:ascii="Calibri" w:eastAsia="Calibri" w:hAnsi="Calibri"/>
          <w:sz w:val="20"/>
          <w:szCs w:val="20"/>
          <w:lang w:val="en-GB" w:eastAsia="en-US"/>
        </w:rPr>
        <w:t xml:space="preserve">Estimated total number of hip fractures </w:t>
      </w:r>
      <w:r w:rsidR="000D3FE1" w:rsidRPr="00AB419C">
        <w:rPr>
          <w:rFonts w:ascii="Calibri" w:eastAsia="Calibri" w:hAnsi="Calibri"/>
          <w:sz w:val="20"/>
          <w:szCs w:val="20"/>
          <w:lang w:val="en-GB" w:eastAsia="en-US"/>
        </w:rPr>
        <w:t xml:space="preserve">(ICD-10 codes S72.0, S72.1, S72.2) </w:t>
      </w:r>
      <w:r w:rsidRPr="00AB419C">
        <w:rPr>
          <w:rFonts w:ascii="Calibri" w:eastAsia="Calibri" w:hAnsi="Calibri"/>
          <w:sz w:val="20"/>
          <w:szCs w:val="20"/>
          <w:lang w:val="en-GB" w:eastAsia="en-US"/>
        </w:rPr>
        <w:t xml:space="preserve">in men and in women age 50 years and older in 2015 projected up to 2050 in </w:t>
      </w:r>
      <w:r w:rsidR="005A1AF9" w:rsidRPr="00AB419C">
        <w:rPr>
          <w:rFonts w:ascii="Calibri" w:eastAsia="Calibri" w:hAnsi="Calibri"/>
          <w:sz w:val="20"/>
          <w:szCs w:val="20"/>
          <w:lang w:val="en-GB" w:eastAsia="en-US"/>
        </w:rPr>
        <w:t>Pakistan</w:t>
      </w:r>
      <w:r w:rsidRPr="00AB419C">
        <w:rPr>
          <w:rFonts w:ascii="Calibri" w:eastAsia="Calibri" w:hAnsi="Calibri"/>
          <w:sz w:val="20"/>
          <w:szCs w:val="20"/>
          <w:lang w:val="en-GB" w:eastAsia="en-US"/>
        </w:rPr>
        <w:t xml:space="preserve">. </w:t>
      </w:r>
    </w:p>
    <w:tbl>
      <w:tblPr>
        <w:tblStyle w:val="TableGrid2"/>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48"/>
        <w:gridCol w:w="1191"/>
        <w:gridCol w:w="1191"/>
        <w:gridCol w:w="1191"/>
        <w:gridCol w:w="1191"/>
      </w:tblGrid>
      <w:tr w:rsidR="00AB419C" w:rsidRPr="00AB419C" w14:paraId="0AC39C12" w14:textId="77777777" w:rsidTr="007A247A">
        <w:tc>
          <w:tcPr>
            <w:tcW w:w="1980" w:type="dxa"/>
          </w:tcPr>
          <w:p w14:paraId="3441628A" w14:textId="77777777" w:rsidR="00A61146" w:rsidRPr="00AB419C" w:rsidRDefault="00A61146" w:rsidP="007A2E9B">
            <w:pPr>
              <w:spacing w:line="360" w:lineRule="auto"/>
              <w:rPr>
                <w:rFonts w:ascii="Calibri" w:eastAsia="Calibri" w:hAnsi="Calibri"/>
                <w:sz w:val="22"/>
                <w:szCs w:val="22"/>
                <w:highlight w:val="yellow"/>
                <w:lang w:eastAsia="en-US"/>
              </w:rPr>
            </w:pPr>
          </w:p>
        </w:tc>
        <w:tc>
          <w:tcPr>
            <w:tcW w:w="1048" w:type="dxa"/>
            <w:tcBorders>
              <w:top w:val="single" w:sz="4" w:space="0" w:color="auto"/>
              <w:bottom w:val="single" w:sz="4" w:space="0" w:color="auto"/>
            </w:tcBorders>
            <w:hideMark/>
          </w:tcPr>
          <w:p w14:paraId="4B6E1A54" w14:textId="77777777" w:rsidR="00A61146" w:rsidRPr="00AB419C" w:rsidRDefault="00A61146" w:rsidP="007A2E9B">
            <w:pPr>
              <w:spacing w:line="360" w:lineRule="auto"/>
              <w:jc w:val="center"/>
              <w:rPr>
                <w:rFonts w:ascii="Calibri" w:eastAsia="Calibri" w:hAnsi="Calibri"/>
                <w:sz w:val="22"/>
                <w:szCs w:val="22"/>
                <w:lang w:eastAsia="en-US"/>
              </w:rPr>
            </w:pPr>
            <w:r w:rsidRPr="00AB419C">
              <w:rPr>
                <w:rFonts w:ascii="Calibri" w:eastAsia="Calibri" w:hAnsi="Calibri"/>
                <w:sz w:val="22"/>
                <w:szCs w:val="22"/>
                <w:lang w:eastAsia="en-US"/>
              </w:rPr>
              <w:t>2015</w:t>
            </w:r>
          </w:p>
        </w:tc>
        <w:tc>
          <w:tcPr>
            <w:tcW w:w="1191" w:type="dxa"/>
            <w:tcBorders>
              <w:top w:val="single" w:sz="4" w:space="0" w:color="auto"/>
              <w:bottom w:val="single" w:sz="4" w:space="0" w:color="auto"/>
            </w:tcBorders>
            <w:hideMark/>
          </w:tcPr>
          <w:p w14:paraId="59F4EC52" w14:textId="77777777" w:rsidR="00A61146" w:rsidRPr="00AB419C" w:rsidRDefault="00A61146" w:rsidP="007A2E9B">
            <w:pPr>
              <w:spacing w:line="360" w:lineRule="auto"/>
              <w:jc w:val="center"/>
              <w:rPr>
                <w:rFonts w:ascii="Calibri" w:eastAsia="Calibri" w:hAnsi="Calibri"/>
                <w:sz w:val="22"/>
                <w:szCs w:val="22"/>
                <w:lang w:eastAsia="en-US"/>
              </w:rPr>
            </w:pPr>
            <w:r w:rsidRPr="00AB419C">
              <w:rPr>
                <w:rFonts w:ascii="Calibri" w:eastAsia="Calibri" w:hAnsi="Calibri"/>
                <w:sz w:val="22"/>
                <w:szCs w:val="22"/>
                <w:lang w:eastAsia="en-US"/>
              </w:rPr>
              <w:t>2020</w:t>
            </w:r>
          </w:p>
        </w:tc>
        <w:tc>
          <w:tcPr>
            <w:tcW w:w="1191" w:type="dxa"/>
            <w:tcBorders>
              <w:top w:val="single" w:sz="4" w:space="0" w:color="auto"/>
              <w:bottom w:val="single" w:sz="4" w:space="0" w:color="auto"/>
            </w:tcBorders>
            <w:hideMark/>
          </w:tcPr>
          <w:p w14:paraId="241ADD88" w14:textId="77777777" w:rsidR="00A61146" w:rsidRPr="00AB419C" w:rsidRDefault="00A61146" w:rsidP="007A2E9B">
            <w:pPr>
              <w:spacing w:line="360" w:lineRule="auto"/>
              <w:jc w:val="center"/>
              <w:rPr>
                <w:rFonts w:ascii="Calibri" w:eastAsia="Calibri" w:hAnsi="Calibri"/>
                <w:sz w:val="22"/>
                <w:szCs w:val="22"/>
                <w:lang w:eastAsia="en-US"/>
              </w:rPr>
            </w:pPr>
            <w:r w:rsidRPr="00AB419C">
              <w:rPr>
                <w:rFonts w:ascii="Calibri" w:eastAsia="Calibri" w:hAnsi="Calibri"/>
                <w:sz w:val="22"/>
                <w:szCs w:val="22"/>
                <w:lang w:eastAsia="en-US"/>
              </w:rPr>
              <w:t>2030</w:t>
            </w:r>
          </w:p>
        </w:tc>
        <w:tc>
          <w:tcPr>
            <w:tcW w:w="1191" w:type="dxa"/>
            <w:tcBorders>
              <w:top w:val="single" w:sz="4" w:space="0" w:color="auto"/>
              <w:bottom w:val="single" w:sz="4" w:space="0" w:color="auto"/>
            </w:tcBorders>
            <w:hideMark/>
          </w:tcPr>
          <w:p w14:paraId="35B178C8" w14:textId="77777777" w:rsidR="00A61146" w:rsidRPr="00AB419C" w:rsidRDefault="00A61146" w:rsidP="007A2E9B">
            <w:pPr>
              <w:spacing w:line="360" w:lineRule="auto"/>
              <w:jc w:val="center"/>
              <w:rPr>
                <w:rFonts w:ascii="Calibri" w:eastAsia="Calibri" w:hAnsi="Calibri"/>
                <w:sz w:val="22"/>
                <w:szCs w:val="22"/>
                <w:lang w:eastAsia="en-US"/>
              </w:rPr>
            </w:pPr>
            <w:r w:rsidRPr="00AB419C">
              <w:rPr>
                <w:rFonts w:ascii="Calibri" w:eastAsia="Calibri" w:hAnsi="Calibri"/>
                <w:sz w:val="22"/>
                <w:szCs w:val="22"/>
                <w:lang w:eastAsia="en-US"/>
              </w:rPr>
              <w:t>2040</w:t>
            </w:r>
          </w:p>
        </w:tc>
        <w:tc>
          <w:tcPr>
            <w:tcW w:w="1191" w:type="dxa"/>
            <w:tcBorders>
              <w:top w:val="single" w:sz="4" w:space="0" w:color="auto"/>
              <w:bottom w:val="single" w:sz="4" w:space="0" w:color="auto"/>
            </w:tcBorders>
            <w:hideMark/>
          </w:tcPr>
          <w:p w14:paraId="74736A58" w14:textId="77777777" w:rsidR="00A61146" w:rsidRPr="00AB419C" w:rsidRDefault="00A61146" w:rsidP="007A2E9B">
            <w:pPr>
              <w:spacing w:line="360" w:lineRule="auto"/>
              <w:jc w:val="center"/>
              <w:rPr>
                <w:rFonts w:ascii="Calibri" w:eastAsia="Calibri" w:hAnsi="Calibri"/>
                <w:sz w:val="22"/>
                <w:szCs w:val="22"/>
                <w:lang w:eastAsia="en-US"/>
              </w:rPr>
            </w:pPr>
            <w:r w:rsidRPr="00AB419C">
              <w:rPr>
                <w:rFonts w:ascii="Calibri" w:eastAsia="Calibri" w:hAnsi="Calibri"/>
                <w:sz w:val="22"/>
                <w:szCs w:val="22"/>
                <w:lang w:eastAsia="en-US"/>
              </w:rPr>
              <w:t>2050</w:t>
            </w:r>
          </w:p>
        </w:tc>
      </w:tr>
      <w:tr w:rsidR="00D20FB3" w:rsidRPr="00D20FB3" w14:paraId="10440F49" w14:textId="77777777" w:rsidTr="007A247A">
        <w:tc>
          <w:tcPr>
            <w:tcW w:w="1980" w:type="dxa"/>
            <w:hideMark/>
          </w:tcPr>
          <w:p w14:paraId="0A52FB42" w14:textId="77777777" w:rsidR="006E5F88" w:rsidRPr="00D20FB3" w:rsidRDefault="006E5F88" w:rsidP="006E5F88">
            <w:pPr>
              <w:spacing w:line="360" w:lineRule="auto"/>
              <w:rPr>
                <w:rFonts w:ascii="Calibri" w:eastAsia="Calibri" w:hAnsi="Calibri"/>
                <w:sz w:val="22"/>
                <w:szCs w:val="22"/>
                <w:lang w:eastAsia="en-US"/>
              </w:rPr>
            </w:pPr>
            <w:r w:rsidRPr="00D20FB3">
              <w:rPr>
                <w:rFonts w:ascii="Calibri" w:eastAsia="Calibri" w:hAnsi="Calibri"/>
                <w:sz w:val="22"/>
                <w:szCs w:val="22"/>
                <w:lang w:eastAsia="en-US"/>
              </w:rPr>
              <w:t>Men</w:t>
            </w:r>
          </w:p>
        </w:tc>
        <w:tc>
          <w:tcPr>
            <w:tcW w:w="1048" w:type="dxa"/>
            <w:tcBorders>
              <w:top w:val="single" w:sz="4" w:space="0" w:color="auto"/>
            </w:tcBorders>
            <w:hideMark/>
          </w:tcPr>
          <w:p w14:paraId="2C7DD690" w14:textId="264A50D1" w:rsidR="006E5F88" w:rsidRPr="00D20FB3" w:rsidRDefault="00AB419C"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12 902</w:t>
            </w:r>
          </w:p>
        </w:tc>
        <w:tc>
          <w:tcPr>
            <w:tcW w:w="1191" w:type="dxa"/>
            <w:tcBorders>
              <w:top w:val="single" w:sz="4" w:space="0" w:color="auto"/>
            </w:tcBorders>
            <w:hideMark/>
          </w:tcPr>
          <w:p w14:paraId="729D2601" w14:textId="19BBBE77" w:rsidR="006E5F88" w:rsidRPr="00D20FB3" w:rsidRDefault="00AB419C"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14 885</w:t>
            </w:r>
          </w:p>
        </w:tc>
        <w:tc>
          <w:tcPr>
            <w:tcW w:w="1191" w:type="dxa"/>
            <w:tcBorders>
              <w:top w:val="single" w:sz="4" w:space="0" w:color="auto"/>
            </w:tcBorders>
            <w:hideMark/>
          </w:tcPr>
          <w:p w14:paraId="11C7F073" w14:textId="37CBE56A" w:rsidR="006E5F88" w:rsidRPr="00D20FB3" w:rsidRDefault="00AB419C"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19 699</w:t>
            </w:r>
          </w:p>
        </w:tc>
        <w:tc>
          <w:tcPr>
            <w:tcW w:w="1191" w:type="dxa"/>
            <w:tcBorders>
              <w:top w:val="single" w:sz="4" w:space="0" w:color="auto"/>
            </w:tcBorders>
            <w:hideMark/>
          </w:tcPr>
          <w:p w14:paraId="3E601776" w14:textId="4977F9A0" w:rsidR="006E5F88" w:rsidRPr="00D20FB3" w:rsidRDefault="004A01CA"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2</w:t>
            </w:r>
            <w:r w:rsidR="00AB419C" w:rsidRPr="00D20FB3">
              <w:rPr>
                <w:rFonts w:ascii="Calibri" w:eastAsia="Calibri" w:hAnsi="Calibri"/>
                <w:sz w:val="22"/>
                <w:szCs w:val="22"/>
                <w:lang w:eastAsia="en-US"/>
              </w:rPr>
              <w:t>6 943</w:t>
            </w:r>
          </w:p>
        </w:tc>
        <w:tc>
          <w:tcPr>
            <w:tcW w:w="1191" w:type="dxa"/>
            <w:tcBorders>
              <w:top w:val="single" w:sz="4" w:space="0" w:color="auto"/>
            </w:tcBorders>
            <w:hideMark/>
          </w:tcPr>
          <w:p w14:paraId="0770DFBD" w14:textId="4300DD82" w:rsidR="006E5F88" w:rsidRPr="00D20FB3" w:rsidRDefault="00AB419C"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36 587</w:t>
            </w:r>
          </w:p>
        </w:tc>
      </w:tr>
      <w:tr w:rsidR="00D20FB3" w:rsidRPr="00D20FB3" w14:paraId="65DC1DF8" w14:textId="77777777" w:rsidTr="007A247A">
        <w:tc>
          <w:tcPr>
            <w:tcW w:w="1980" w:type="dxa"/>
            <w:hideMark/>
          </w:tcPr>
          <w:p w14:paraId="1E0B0AC9" w14:textId="77777777" w:rsidR="006E5F88" w:rsidRPr="00D20FB3" w:rsidRDefault="006E5F88" w:rsidP="006E5F88">
            <w:pPr>
              <w:spacing w:line="360" w:lineRule="auto"/>
              <w:rPr>
                <w:rFonts w:ascii="Calibri" w:eastAsia="Calibri" w:hAnsi="Calibri"/>
                <w:sz w:val="22"/>
                <w:szCs w:val="22"/>
                <w:lang w:eastAsia="en-US"/>
              </w:rPr>
            </w:pPr>
            <w:r w:rsidRPr="00D20FB3">
              <w:rPr>
                <w:rFonts w:ascii="Calibri" w:eastAsia="Calibri" w:hAnsi="Calibri"/>
                <w:sz w:val="22"/>
                <w:szCs w:val="22"/>
                <w:lang w:eastAsia="en-US"/>
              </w:rPr>
              <w:t>Women</w:t>
            </w:r>
          </w:p>
        </w:tc>
        <w:tc>
          <w:tcPr>
            <w:tcW w:w="1048" w:type="dxa"/>
            <w:hideMark/>
          </w:tcPr>
          <w:p w14:paraId="28A97B64" w14:textId="3574CB02"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23 622</w:t>
            </w:r>
          </w:p>
        </w:tc>
        <w:tc>
          <w:tcPr>
            <w:tcW w:w="1191" w:type="dxa"/>
            <w:hideMark/>
          </w:tcPr>
          <w:p w14:paraId="08EF71EA" w14:textId="79045D63"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27 364</w:t>
            </w:r>
          </w:p>
        </w:tc>
        <w:tc>
          <w:tcPr>
            <w:tcW w:w="1191" w:type="dxa"/>
            <w:hideMark/>
          </w:tcPr>
          <w:p w14:paraId="64F1D587" w14:textId="5168D89A"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37 948</w:t>
            </w:r>
          </w:p>
        </w:tc>
        <w:tc>
          <w:tcPr>
            <w:tcW w:w="1191" w:type="dxa"/>
            <w:hideMark/>
          </w:tcPr>
          <w:p w14:paraId="2C998CBD" w14:textId="5D71F64D"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54 840</w:t>
            </w:r>
          </w:p>
        </w:tc>
        <w:tc>
          <w:tcPr>
            <w:tcW w:w="1191" w:type="dxa"/>
            <w:hideMark/>
          </w:tcPr>
          <w:p w14:paraId="19B8E955" w14:textId="17788127"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78 233</w:t>
            </w:r>
          </w:p>
        </w:tc>
      </w:tr>
      <w:tr w:rsidR="00D20FB3" w:rsidRPr="00D20FB3" w14:paraId="181FB108" w14:textId="77777777" w:rsidTr="007A247A">
        <w:tc>
          <w:tcPr>
            <w:tcW w:w="1980" w:type="dxa"/>
          </w:tcPr>
          <w:p w14:paraId="4876A6DC" w14:textId="77777777" w:rsidR="006E5F88" w:rsidRPr="00D20FB3" w:rsidRDefault="006E5F88" w:rsidP="006E5F88">
            <w:pPr>
              <w:spacing w:line="360" w:lineRule="auto"/>
              <w:rPr>
                <w:rFonts w:ascii="Calibri" w:eastAsia="Calibri" w:hAnsi="Calibri"/>
                <w:sz w:val="22"/>
                <w:szCs w:val="22"/>
                <w:lang w:eastAsia="en-US"/>
              </w:rPr>
            </w:pPr>
            <w:r w:rsidRPr="00D20FB3">
              <w:rPr>
                <w:rFonts w:ascii="Calibri" w:eastAsia="Calibri" w:hAnsi="Calibri"/>
                <w:sz w:val="22"/>
                <w:szCs w:val="22"/>
                <w:lang w:eastAsia="en-US"/>
              </w:rPr>
              <w:t>Total</w:t>
            </w:r>
          </w:p>
        </w:tc>
        <w:tc>
          <w:tcPr>
            <w:tcW w:w="1048" w:type="dxa"/>
          </w:tcPr>
          <w:p w14:paraId="0AEC11C1" w14:textId="39BB7B25"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36 524</w:t>
            </w:r>
          </w:p>
        </w:tc>
        <w:tc>
          <w:tcPr>
            <w:tcW w:w="1191" w:type="dxa"/>
          </w:tcPr>
          <w:p w14:paraId="1D71C5B3" w14:textId="18AD985E"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42 249</w:t>
            </w:r>
          </w:p>
        </w:tc>
        <w:tc>
          <w:tcPr>
            <w:tcW w:w="1191" w:type="dxa"/>
          </w:tcPr>
          <w:p w14:paraId="30BA1A6D" w14:textId="24B6FC49"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57 647</w:t>
            </w:r>
          </w:p>
        </w:tc>
        <w:tc>
          <w:tcPr>
            <w:tcW w:w="1191" w:type="dxa"/>
          </w:tcPr>
          <w:p w14:paraId="6E949C7D" w14:textId="05490E92"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81 783</w:t>
            </w:r>
          </w:p>
        </w:tc>
        <w:tc>
          <w:tcPr>
            <w:tcW w:w="1191" w:type="dxa"/>
          </w:tcPr>
          <w:p w14:paraId="56445FE5" w14:textId="4CD71A83" w:rsidR="006E5F88" w:rsidRPr="00D20FB3" w:rsidRDefault="00D20FB3"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114 820</w:t>
            </w:r>
          </w:p>
        </w:tc>
      </w:tr>
      <w:tr w:rsidR="00D20FB3" w:rsidRPr="00D20FB3" w14:paraId="21B0F0FD" w14:textId="77777777" w:rsidTr="007A247A">
        <w:tc>
          <w:tcPr>
            <w:tcW w:w="1980" w:type="dxa"/>
          </w:tcPr>
          <w:p w14:paraId="12D73568" w14:textId="77777777" w:rsidR="006E5F88" w:rsidRPr="00D20FB3" w:rsidRDefault="006E5F88" w:rsidP="006E5F88">
            <w:pPr>
              <w:spacing w:line="360" w:lineRule="auto"/>
              <w:rPr>
                <w:rFonts w:ascii="Calibri" w:eastAsia="Calibri" w:hAnsi="Calibri"/>
                <w:sz w:val="22"/>
                <w:szCs w:val="22"/>
                <w:lang w:eastAsia="en-US"/>
              </w:rPr>
            </w:pPr>
            <w:r w:rsidRPr="00D20FB3">
              <w:rPr>
                <w:rFonts w:ascii="Calibri" w:eastAsia="Calibri" w:hAnsi="Calibri"/>
                <w:sz w:val="22"/>
                <w:szCs w:val="22"/>
                <w:lang w:eastAsia="en-US"/>
              </w:rPr>
              <w:t>Increase (%)</w:t>
            </w:r>
          </w:p>
        </w:tc>
        <w:tc>
          <w:tcPr>
            <w:tcW w:w="1048" w:type="dxa"/>
          </w:tcPr>
          <w:p w14:paraId="6528A4C8" w14:textId="4EEEFC1E" w:rsidR="006E5F88" w:rsidRPr="00D20FB3" w:rsidRDefault="006E5F88"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w:t>
            </w:r>
          </w:p>
        </w:tc>
        <w:tc>
          <w:tcPr>
            <w:tcW w:w="1191" w:type="dxa"/>
          </w:tcPr>
          <w:p w14:paraId="634669DD" w14:textId="4F7B3B11" w:rsidR="006E5F88" w:rsidRPr="00D20FB3" w:rsidRDefault="004A01CA" w:rsidP="00794EDA">
            <w:pPr>
              <w:tabs>
                <w:tab w:val="left" w:pos="345"/>
                <w:tab w:val="center" w:pos="502"/>
              </w:tabs>
              <w:spacing w:line="360" w:lineRule="auto"/>
              <w:rPr>
                <w:rFonts w:ascii="Calibri" w:eastAsia="Calibri" w:hAnsi="Calibri"/>
                <w:sz w:val="22"/>
                <w:szCs w:val="22"/>
                <w:highlight w:val="yellow"/>
                <w:lang w:eastAsia="en-US"/>
              </w:rPr>
            </w:pPr>
            <w:r w:rsidRPr="00D20FB3">
              <w:rPr>
                <w:rFonts w:ascii="Calibri" w:eastAsia="Calibri" w:hAnsi="Calibri"/>
                <w:sz w:val="22"/>
                <w:szCs w:val="22"/>
                <w:lang w:eastAsia="en-US"/>
              </w:rPr>
              <w:tab/>
            </w:r>
            <w:r w:rsidRPr="00D20FB3">
              <w:rPr>
                <w:rFonts w:ascii="Calibri" w:eastAsia="Calibri" w:hAnsi="Calibri"/>
                <w:sz w:val="22"/>
                <w:szCs w:val="22"/>
                <w:lang w:eastAsia="en-US"/>
              </w:rPr>
              <w:tab/>
            </w:r>
            <w:r w:rsidR="006E5F88" w:rsidRPr="00D20FB3">
              <w:rPr>
                <w:rFonts w:ascii="Calibri" w:eastAsia="Calibri" w:hAnsi="Calibri"/>
                <w:sz w:val="22"/>
                <w:szCs w:val="22"/>
                <w:lang w:eastAsia="en-US"/>
              </w:rPr>
              <w:t>1</w:t>
            </w:r>
            <w:r w:rsidR="00D20FB3" w:rsidRPr="00D20FB3">
              <w:rPr>
                <w:rFonts w:ascii="Calibri" w:eastAsia="Calibri" w:hAnsi="Calibri"/>
                <w:sz w:val="22"/>
                <w:szCs w:val="22"/>
                <w:lang w:eastAsia="en-US"/>
              </w:rPr>
              <w:t>6</w:t>
            </w:r>
          </w:p>
        </w:tc>
        <w:tc>
          <w:tcPr>
            <w:tcW w:w="1191" w:type="dxa"/>
          </w:tcPr>
          <w:p w14:paraId="1F5841FE" w14:textId="1FE04EB7" w:rsidR="006E5F88" w:rsidRPr="00D20FB3" w:rsidRDefault="004A01CA"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5</w:t>
            </w:r>
            <w:r w:rsidR="00D20FB3" w:rsidRPr="00D20FB3">
              <w:rPr>
                <w:rFonts w:ascii="Calibri" w:eastAsia="Calibri" w:hAnsi="Calibri"/>
                <w:sz w:val="22"/>
                <w:szCs w:val="22"/>
                <w:lang w:eastAsia="en-US"/>
              </w:rPr>
              <w:t>8</w:t>
            </w:r>
          </w:p>
        </w:tc>
        <w:tc>
          <w:tcPr>
            <w:tcW w:w="1191" w:type="dxa"/>
          </w:tcPr>
          <w:p w14:paraId="17E866AC" w14:textId="763BDF93" w:rsidR="006E5F88" w:rsidRPr="00D20FB3" w:rsidRDefault="006E5F88"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1</w:t>
            </w:r>
            <w:r w:rsidR="00D20FB3" w:rsidRPr="00D20FB3">
              <w:rPr>
                <w:rFonts w:ascii="Calibri" w:eastAsia="Calibri" w:hAnsi="Calibri"/>
                <w:sz w:val="22"/>
                <w:szCs w:val="22"/>
                <w:lang w:eastAsia="en-US"/>
              </w:rPr>
              <w:t>23</w:t>
            </w:r>
          </w:p>
        </w:tc>
        <w:tc>
          <w:tcPr>
            <w:tcW w:w="1191" w:type="dxa"/>
          </w:tcPr>
          <w:p w14:paraId="49B78D34" w14:textId="0E0B07E3" w:rsidR="006E5F88" w:rsidRPr="00D20FB3" w:rsidRDefault="006E5F88" w:rsidP="006E5F88">
            <w:pPr>
              <w:spacing w:line="360" w:lineRule="auto"/>
              <w:jc w:val="center"/>
              <w:rPr>
                <w:rFonts w:ascii="Calibri" w:eastAsia="Calibri" w:hAnsi="Calibri"/>
                <w:sz w:val="22"/>
                <w:szCs w:val="22"/>
                <w:highlight w:val="yellow"/>
                <w:lang w:eastAsia="en-US"/>
              </w:rPr>
            </w:pPr>
            <w:r w:rsidRPr="00D20FB3">
              <w:rPr>
                <w:rFonts w:ascii="Calibri" w:eastAsia="Calibri" w:hAnsi="Calibri"/>
                <w:sz w:val="22"/>
                <w:szCs w:val="22"/>
                <w:lang w:eastAsia="en-US"/>
              </w:rPr>
              <w:t>2</w:t>
            </w:r>
            <w:r w:rsidR="00D20FB3" w:rsidRPr="00D20FB3">
              <w:rPr>
                <w:rFonts w:ascii="Calibri" w:eastAsia="Calibri" w:hAnsi="Calibri"/>
                <w:sz w:val="22"/>
                <w:szCs w:val="22"/>
                <w:lang w:eastAsia="en-US"/>
              </w:rPr>
              <w:t>14</w:t>
            </w:r>
          </w:p>
        </w:tc>
      </w:tr>
    </w:tbl>
    <w:p w14:paraId="08EE0FA3" w14:textId="77777777" w:rsidR="00A61146" w:rsidRPr="005A1AF9" w:rsidRDefault="00A61146" w:rsidP="00045C87">
      <w:pPr>
        <w:ind w:right="1275"/>
        <w:rPr>
          <w:rFonts w:ascii="Calibri" w:eastAsia="Calibri" w:hAnsi="Calibri"/>
          <w:b/>
          <w:color w:val="FF0000"/>
          <w:sz w:val="20"/>
          <w:szCs w:val="20"/>
          <w:highlight w:val="yellow"/>
          <w:lang w:val="en-GB" w:eastAsia="en-US"/>
        </w:rPr>
      </w:pPr>
    </w:p>
    <w:p w14:paraId="4A8473A0" w14:textId="6BA905CA" w:rsidR="00BD6A1A" w:rsidRPr="00A32260" w:rsidRDefault="00BD6A1A" w:rsidP="009B7358">
      <w:pPr>
        <w:pStyle w:val="Heading1"/>
        <w:spacing w:line="276" w:lineRule="auto"/>
        <w:ind w:left="567" w:right="567" w:firstLine="0"/>
        <w:jc w:val="left"/>
        <w:rPr>
          <w:rFonts w:asciiTheme="minorHAnsi" w:hAnsiTheme="minorHAnsi" w:cstheme="minorHAnsi"/>
          <w:b/>
          <w:color w:val="auto"/>
          <w:sz w:val="24"/>
          <w:szCs w:val="24"/>
          <w:lang w:val="en-GB"/>
        </w:rPr>
      </w:pPr>
      <w:r w:rsidRPr="00A32260">
        <w:rPr>
          <w:rFonts w:asciiTheme="minorHAnsi" w:hAnsiTheme="minorHAnsi" w:cstheme="minorHAnsi"/>
          <w:b/>
          <w:color w:val="auto"/>
          <w:sz w:val="24"/>
          <w:szCs w:val="24"/>
          <w:lang w:val="en-GB"/>
        </w:rPr>
        <w:t xml:space="preserve">Discussion </w:t>
      </w:r>
    </w:p>
    <w:p w14:paraId="4E500FFE" w14:textId="77777777" w:rsidR="00D1174C" w:rsidRPr="00A32260" w:rsidRDefault="00D1174C" w:rsidP="009B7358">
      <w:pPr>
        <w:spacing w:line="276" w:lineRule="auto"/>
        <w:ind w:left="567" w:right="567"/>
        <w:rPr>
          <w:rFonts w:eastAsia="Calibri"/>
          <w:highlight w:val="yellow"/>
          <w:lang w:val="en-GB" w:eastAsia="en-US"/>
        </w:rPr>
      </w:pPr>
    </w:p>
    <w:p w14:paraId="3A113CEF" w14:textId="21EFD556" w:rsidR="009A792E" w:rsidRPr="007A6F77" w:rsidRDefault="009A792E" w:rsidP="009B7358">
      <w:pPr>
        <w:spacing w:line="276" w:lineRule="auto"/>
        <w:ind w:left="567" w:right="567"/>
        <w:rPr>
          <w:rFonts w:asciiTheme="minorHAnsi" w:hAnsiTheme="minorHAnsi" w:cstheme="minorHAnsi"/>
          <w:lang w:val="en-GB"/>
        </w:rPr>
      </w:pPr>
      <w:r w:rsidRPr="00A32260">
        <w:rPr>
          <w:rFonts w:asciiTheme="minorHAnsi" w:hAnsiTheme="minorHAnsi" w:cstheme="minorHAnsi"/>
          <w:lang w:val="en-GB"/>
        </w:rPr>
        <w:t>Th</w:t>
      </w:r>
      <w:r w:rsidR="00BF74C8">
        <w:rPr>
          <w:rFonts w:asciiTheme="minorHAnsi" w:hAnsiTheme="minorHAnsi" w:cstheme="minorHAnsi"/>
          <w:lang w:val="en-GB"/>
        </w:rPr>
        <w:t>is paper describes the development of a surrogate FRAX model for Pakistan, utilising hip fracture rates from the ethnic Indian population of Singapore and mortality data from Pakistan.  T</w:t>
      </w:r>
      <w:r w:rsidRPr="00A32260">
        <w:rPr>
          <w:rFonts w:asciiTheme="minorHAnsi" w:hAnsiTheme="minorHAnsi" w:cstheme="minorHAnsi"/>
          <w:lang w:val="en-GB"/>
        </w:rPr>
        <w:t xml:space="preserve">he </w:t>
      </w:r>
      <w:r w:rsidR="00146845" w:rsidRPr="00A32260">
        <w:rPr>
          <w:rFonts w:asciiTheme="minorHAnsi" w:hAnsiTheme="minorHAnsi" w:cstheme="minorHAnsi"/>
          <w:lang w:val="en-GB"/>
        </w:rPr>
        <w:t>surrogate</w:t>
      </w:r>
      <w:r w:rsidRPr="00A32260">
        <w:rPr>
          <w:rFonts w:asciiTheme="minorHAnsi" w:hAnsiTheme="minorHAnsi" w:cstheme="minorHAnsi"/>
          <w:lang w:val="en-GB"/>
        </w:rPr>
        <w:t xml:space="preserve"> </w:t>
      </w:r>
      <w:r w:rsidR="00BF74C8">
        <w:rPr>
          <w:rFonts w:asciiTheme="minorHAnsi" w:hAnsiTheme="minorHAnsi" w:cstheme="minorHAnsi"/>
          <w:lang w:val="en-GB"/>
        </w:rPr>
        <w:t xml:space="preserve">model </w:t>
      </w:r>
      <w:r w:rsidRPr="00A32260">
        <w:rPr>
          <w:rFonts w:asciiTheme="minorHAnsi" w:hAnsiTheme="minorHAnsi" w:cstheme="minorHAnsi"/>
          <w:lang w:val="en-GB"/>
        </w:rPr>
        <w:t xml:space="preserve">provided </w:t>
      </w:r>
      <w:r w:rsidR="00A32260" w:rsidRPr="00A32260">
        <w:rPr>
          <w:rFonts w:asciiTheme="minorHAnsi" w:hAnsiTheme="minorHAnsi" w:cstheme="minorHAnsi"/>
          <w:lang w:val="en-GB"/>
        </w:rPr>
        <w:t>lower</w:t>
      </w:r>
      <w:r w:rsidRPr="00A32260">
        <w:rPr>
          <w:rFonts w:asciiTheme="minorHAnsi" w:hAnsiTheme="minorHAnsi" w:cstheme="minorHAnsi"/>
          <w:lang w:val="en-GB"/>
        </w:rPr>
        <w:t xml:space="preserve"> estimates of fracture probability</w:t>
      </w:r>
      <w:r w:rsidR="00BF74C8">
        <w:rPr>
          <w:rFonts w:asciiTheme="minorHAnsi" w:hAnsiTheme="minorHAnsi" w:cstheme="minorHAnsi"/>
          <w:lang w:val="en-GB"/>
        </w:rPr>
        <w:t xml:space="preserve"> for both major osteoporotic and hip fractures </w:t>
      </w:r>
      <w:r w:rsidR="00B75057" w:rsidRPr="00A32260">
        <w:rPr>
          <w:rFonts w:asciiTheme="minorHAnsi" w:hAnsiTheme="minorHAnsi" w:cstheme="minorHAnsi"/>
          <w:lang w:val="en-GB"/>
        </w:rPr>
        <w:t>in men</w:t>
      </w:r>
      <w:r w:rsidRPr="00A32260">
        <w:rPr>
          <w:rFonts w:asciiTheme="minorHAnsi" w:hAnsiTheme="minorHAnsi" w:cstheme="minorHAnsi"/>
          <w:lang w:val="en-GB"/>
        </w:rPr>
        <w:t xml:space="preserve"> and </w:t>
      </w:r>
      <w:r w:rsidR="00A32260" w:rsidRPr="00A32260">
        <w:rPr>
          <w:rFonts w:asciiTheme="minorHAnsi" w:hAnsiTheme="minorHAnsi" w:cstheme="minorHAnsi"/>
          <w:lang w:val="en-GB"/>
        </w:rPr>
        <w:t>women</w:t>
      </w:r>
      <w:r w:rsidRPr="00A32260">
        <w:rPr>
          <w:rFonts w:asciiTheme="minorHAnsi" w:hAnsiTheme="minorHAnsi" w:cstheme="minorHAnsi"/>
          <w:lang w:val="en-GB"/>
        </w:rPr>
        <w:t xml:space="preserve"> </w:t>
      </w:r>
      <w:r w:rsidR="00BF74C8">
        <w:rPr>
          <w:rFonts w:asciiTheme="minorHAnsi" w:hAnsiTheme="minorHAnsi" w:cstheme="minorHAnsi"/>
          <w:lang w:val="en-GB"/>
        </w:rPr>
        <w:t xml:space="preserve">in Pakistan </w:t>
      </w:r>
      <w:r w:rsidR="00B54CB9" w:rsidRPr="00A32260">
        <w:rPr>
          <w:rFonts w:asciiTheme="minorHAnsi" w:hAnsiTheme="minorHAnsi" w:cstheme="minorHAnsi"/>
          <w:lang w:val="en-GB"/>
        </w:rPr>
        <w:t xml:space="preserve">compared with the </w:t>
      </w:r>
      <w:r w:rsidR="00A32260" w:rsidRPr="00A32260">
        <w:rPr>
          <w:rFonts w:asciiTheme="minorHAnsi" w:hAnsiTheme="minorHAnsi" w:cstheme="minorHAnsi"/>
          <w:lang w:val="en-GB"/>
        </w:rPr>
        <w:t>Singapore</w:t>
      </w:r>
      <w:r w:rsidR="00BF74C8">
        <w:rPr>
          <w:rFonts w:asciiTheme="minorHAnsi" w:hAnsiTheme="minorHAnsi" w:cstheme="minorHAnsi"/>
          <w:lang w:val="en-GB"/>
        </w:rPr>
        <w:t xml:space="preserve"> Indi</w:t>
      </w:r>
      <w:r w:rsidR="00A42370">
        <w:rPr>
          <w:rFonts w:asciiTheme="minorHAnsi" w:hAnsiTheme="minorHAnsi" w:cstheme="minorHAnsi"/>
          <w:lang w:val="en-GB"/>
        </w:rPr>
        <w:t>an</w:t>
      </w:r>
      <w:r w:rsidR="00A32260" w:rsidRPr="00A32260">
        <w:rPr>
          <w:rFonts w:asciiTheme="minorHAnsi" w:hAnsiTheme="minorHAnsi" w:cstheme="minorHAnsi"/>
          <w:lang w:val="en-GB"/>
        </w:rPr>
        <w:t xml:space="preserve"> </w:t>
      </w:r>
      <w:r w:rsidR="00F5246F" w:rsidRPr="00A32260">
        <w:rPr>
          <w:rFonts w:asciiTheme="minorHAnsi" w:hAnsiTheme="minorHAnsi" w:cstheme="minorHAnsi"/>
          <w:lang w:val="en-GB"/>
        </w:rPr>
        <w:t>model</w:t>
      </w:r>
      <w:r w:rsidRPr="00A32260">
        <w:rPr>
          <w:rFonts w:asciiTheme="minorHAnsi" w:hAnsiTheme="minorHAnsi" w:cstheme="minorHAnsi"/>
          <w:lang w:val="en-GB"/>
        </w:rPr>
        <w:t xml:space="preserve">. </w:t>
      </w:r>
      <w:r w:rsidR="00E37AB7" w:rsidRPr="00A32260">
        <w:rPr>
          <w:rFonts w:asciiTheme="minorHAnsi" w:hAnsiTheme="minorHAnsi" w:cstheme="minorHAnsi"/>
          <w:lang w:val="en-GB"/>
        </w:rPr>
        <w:t>The</w:t>
      </w:r>
      <w:r w:rsidR="00BF74C8">
        <w:rPr>
          <w:rFonts w:asciiTheme="minorHAnsi" w:hAnsiTheme="minorHAnsi" w:cstheme="minorHAnsi"/>
          <w:lang w:val="en-GB"/>
        </w:rPr>
        <w:t xml:space="preserve"> lower probabilities </w:t>
      </w:r>
      <w:r w:rsidR="005D3ED6">
        <w:rPr>
          <w:rFonts w:asciiTheme="minorHAnsi" w:hAnsiTheme="minorHAnsi" w:cstheme="minorHAnsi"/>
          <w:lang w:val="en-GB"/>
        </w:rPr>
        <w:t>in Pakistan</w:t>
      </w:r>
      <w:r w:rsidR="00D8588F">
        <w:rPr>
          <w:rFonts w:asciiTheme="minorHAnsi" w:hAnsiTheme="minorHAnsi" w:cstheme="minorHAnsi"/>
          <w:lang w:val="en-GB"/>
        </w:rPr>
        <w:t xml:space="preserve"> </w:t>
      </w:r>
      <w:r w:rsidR="00910989" w:rsidRPr="00A32260">
        <w:rPr>
          <w:rFonts w:asciiTheme="minorHAnsi" w:hAnsiTheme="minorHAnsi" w:cstheme="minorHAnsi"/>
          <w:lang w:val="en-GB"/>
        </w:rPr>
        <w:t xml:space="preserve">reflect </w:t>
      </w:r>
      <w:r w:rsidR="00A32260" w:rsidRPr="00A32260">
        <w:rPr>
          <w:rFonts w:asciiTheme="minorHAnsi" w:hAnsiTheme="minorHAnsi" w:cstheme="minorHAnsi"/>
          <w:lang w:val="en-GB"/>
        </w:rPr>
        <w:t>difference</w:t>
      </w:r>
      <w:r w:rsidR="00BF74C8">
        <w:rPr>
          <w:rFonts w:asciiTheme="minorHAnsi" w:hAnsiTheme="minorHAnsi" w:cstheme="minorHAnsi"/>
          <w:lang w:val="en-GB"/>
        </w:rPr>
        <w:t>s</w:t>
      </w:r>
      <w:r w:rsidR="00B63D2B" w:rsidRPr="00A32260">
        <w:rPr>
          <w:rFonts w:asciiTheme="minorHAnsi" w:hAnsiTheme="minorHAnsi" w:cstheme="minorHAnsi"/>
          <w:lang w:val="en-GB"/>
        </w:rPr>
        <w:t xml:space="preserve"> in </w:t>
      </w:r>
      <w:r w:rsidR="00BF74C8">
        <w:rPr>
          <w:rFonts w:asciiTheme="minorHAnsi" w:hAnsiTheme="minorHAnsi" w:cstheme="minorHAnsi"/>
          <w:lang w:val="en-GB"/>
        </w:rPr>
        <w:t xml:space="preserve">age-specific </w:t>
      </w:r>
      <w:r w:rsidR="00B63D2B" w:rsidRPr="00A32260">
        <w:rPr>
          <w:rFonts w:asciiTheme="minorHAnsi" w:hAnsiTheme="minorHAnsi" w:cstheme="minorHAnsi"/>
          <w:lang w:val="en-GB"/>
        </w:rPr>
        <w:t>mortality be</w:t>
      </w:r>
      <w:r w:rsidR="000E3BFE" w:rsidRPr="00A32260">
        <w:rPr>
          <w:rFonts w:asciiTheme="minorHAnsi" w:hAnsiTheme="minorHAnsi" w:cstheme="minorHAnsi"/>
          <w:lang w:val="en-GB"/>
        </w:rPr>
        <w:t>t</w:t>
      </w:r>
      <w:r w:rsidR="00B63D2B" w:rsidRPr="00A32260">
        <w:rPr>
          <w:rFonts w:asciiTheme="minorHAnsi" w:hAnsiTheme="minorHAnsi" w:cstheme="minorHAnsi"/>
          <w:lang w:val="en-GB"/>
        </w:rPr>
        <w:t>wee</w:t>
      </w:r>
      <w:r w:rsidR="000E3BFE" w:rsidRPr="00A32260">
        <w:rPr>
          <w:rFonts w:asciiTheme="minorHAnsi" w:hAnsiTheme="minorHAnsi" w:cstheme="minorHAnsi"/>
          <w:lang w:val="en-GB"/>
        </w:rPr>
        <w:t>n</w:t>
      </w:r>
      <w:r w:rsidR="00B63D2B" w:rsidRPr="00A32260">
        <w:rPr>
          <w:rFonts w:asciiTheme="minorHAnsi" w:hAnsiTheme="minorHAnsi" w:cstheme="minorHAnsi"/>
          <w:lang w:val="en-GB"/>
        </w:rPr>
        <w:t xml:space="preserve"> the two countries.</w:t>
      </w:r>
      <w:r w:rsidR="001E38AD" w:rsidRPr="00A32260">
        <w:rPr>
          <w:rFonts w:asciiTheme="minorHAnsi" w:hAnsiTheme="minorHAnsi" w:cstheme="minorHAnsi"/>
          <w:lang w:val="en-GB"/>
        </w:rPr>
        <w:t xml:space="preserve">  </w:t>
      </w:r>
      <w:r w:rsidRPr="00A32260">
        <w:rPr>
          <w:rFonts w:asciiTheme="minorHAnsi" w:hAnsiTheme="minorHAnsi" w:cstheme="minorHAnsi"/>
          <w:lang w:val="en-GB"/>
        </w:rPr>
        <w:t xml:space="preserve">Importantly, the </w:t>
      </w:r>
      <w:r w:rsidR="00D72E48" w:rsidRPr="00A32260">
        <w:rPr>
          <w:rFonts w:asciiTheme="minorHAnsi" w:hAnsiTheme="minorHAnsi" w:cstheme="minorHAnsi"/>
          <w:lang w:val="en-GB"/>
        </w:rPr>
        <w:t>differences</w:t>
      </w:r>
      <w:r w:rsidRPr="00A32260">
        <w:rPr>
          <w:rFonts w:asciiTheme="minorHAnsi" w:hAnsiTheme="minorHAnsi" w:cstheme="minorHAnsi"/>
          <w:lang w:val="en-GB"/>
        </w:rPr>
        <w:t xml:space="preserve"> had little impact on the </w:t>
      </w:r>
      <w:r w:rsidR="00BF74C8">
        <w:rPr>
          <w:rFonts w:asciiTheme="minorHAnsi" w:hAnsiTheme="minorHAnsi" w:cstheme="minorHAnsi"/>
          <w:lang w:val="en-GB"/>
        </w:rPr>
        <w:t>stratification</w:t>
      </w:r>
      <w:r w:rsidR="00BF74C8" w:rsidRPr="00A32260">
        <w:rPr>
          <w:rFonts w:asciiTheme="minorHAnsi" w:hAnsiTheme="minorHAnsi" w:cstheme="minorHAnsi"/>
          <w:lang w:val="en-GB"/>
        </w:rPr>
        <w:t xml:space="preserve"> </w:t>
      </w:r>
      <w:r w:rsidRPr="00A32260">
        <w:rPr>
          <w:rFonts w:asciiTheme="minorHAnsi" w:hAnsiTheme="minorHAnsi" w:cstheme="minorHAnsi"/>
          <w:lang w:val="en-GB"/>
        </w:rPr>
        <w:t xml:space="preserve">of </w:t>
      </w:r>
      <w:proofErr w:type="gramStart"/>
      <w:r w:rsidRPr="00A32260">
        <w:rPr>
          <w:rFonts w:asciiTheme="minorHAnsi" w:hAnsiTheme="minorHAnsi" w:cstheme="minorHAnsi"/>
          <w:lang w:val="en-GB"/>
        </w:rPr>
        <w:t>risk, since</w:t>
      </w:r>
      <w:proofErr w:type="gramEnd"/>
      <w:r w:rsidRPr="00A32260">
        <w:rPr>
          <w:rFonts w:asciiTheme="minorHAnsi" w:hAnsiTheme="minorHAnsi" w:cstheme="minorHAnsi"/>
          <w:lang w:val="en-GB"/>
        </w:rPr>
        <w:t xml:space="preserve"> the</w:t>
      </w:r>
      <w:r w:rsidR="000E3BFE" w:rsidRPr="00A32260">
        <w:rPr>
          <w:rFonts w:asciiTheme="minorHAnsi" w:hAnsiTheme="minorHAnsi" w:cstheme="minorHAnsi"/>
          <w:lang w:val="en-GB"/>
        </w:rPr>
        <w:t>re</w:t>
      </w:r>
      <w:r w:rsidRPr="00A32260">
        <w:rPr>
          <w:rFonts w:asciiTheme="minorHAnsi" w:hAnsiTheme="minorHAnsi" w:cstheme="minorHAnsi"/>
          <w:lang w:val="en-GB"/>
        </w:rPr>
        <w:t xml:space="preserve"> </w:t>
      </w:r>
      <w:r w:rsidR="000E3BFE" w:rsidRPr="00A32260">
        <w:rPr>
          <w:rFonts w:asciiTheme="minorHAnsi" w:hAnsiTheme="minorHAnsi" w:cstheme="minorHAnsi"/>
          <w:lang w:val="en-GB"/>
        </w:rPr>
        <w:t>was</w:t>
      </w:r>
      <w:r w:rsidR="0076669B" w:rsidRPr="00A32260">
        <w:rPr>
          <w:rFonts w:asciiTheme="minorHAnsi" w:hAnsiTheme="minorHAnsi" w:cstheme="minorHAnsi"/>
          <w:lang w:val="en-GB"/>
        </w:rPr>
        <w:t xml:space="preserve"> little or no</w:t>
      </w:r>
      <w:r w:rsidRPr="00A32260">
        <w:rPr>
          <w:rFonts w:asciiTheme="minorHAnsi" w:hAnsiTheme="minorHAnsi" w:cstheme="minorHAnsi"/>
          <w:lang w:val="en-GB"/>
        </w:rPr>
        <w:t xml:space="preserve"> change </w:t>
      </w:r>
      <w:r w:rsidR="00BF74C8">
        <w:rPr>
          <w:rFonts w:asciiTheme="minorHAnsi" w:hAnsiTheme="minorHAnsi" w:cstheme="minorHAnsi"/>
          <w:lang w:val="en-GB"/>
        </w:rPr>
        <w:t xml:space="preserve">in </w:t>
      </w:r>
      <w:r w:rsidRPr="00A32260">
        <w:rPr>
          <w:rFonts w:asciiTheme="minorHAnsi" w:hAnsiTheme="minorHAnsi" w:cstheme="minorHAnsi"/>
          <w:lang w:val="en-GB"/>
        </w:rPr>
        <w:t>the rank order of fracture probability</w:t>
      </w:r>
      <w:r w:rsidR="005D3ED6">
        <w:rPr>
          <w:rFonts w:asciiTheme="minorHAnsi" w:hAnsiTheme="minorHAnsi" w:cstheme="minorHAnsi"/>
          <w:lang w:val="en-GB"/>
        </w:rPr>
        <w:t xml:space="preserve"> and </w:t>
      </w:r>
      <w:r w:rsidRPr="00A32260">
        <w:rPr>
          <w:rFonts w:asciiTheme="minorHAnsi" w:hAnsiTheme="minorHAnsi" w:cstheme="minorHAnsi"/>
          <w:lang w:val="en-GB"/>
        </w:rPr>
        <w:t xml:space="preserve">the correlation coefficients between surrogate and </w:t>
      </w:r>
      <w:r w:rsidR="00A32260" w:rsidRPr="00A32260">
        <w:rPr>
          <w:rFonts w:asciiTheme="minorHAnsi" w:hAnsiTheme="minorHAnsi" w:cstheme="minorHAnsi"/>
          <w:lang w:val="en-GB"/>
        </w:rPr>
        <w:t xml:space="preserve">Singapore </w:t>
      </w:r>
      <w:proofErr w:type="spellStart"/>
      <w:r w:rsidR="00A32260" w:rsidRPr="00A32260">
        <w:rPr>
          <w:rFonts w:asciiTheme="minorHAnsi" w:hAnsiTheme="minorHAnsi" w:cstheme="minorHAnsi"/>
          <w:lang w:val="en-GB"/>
        </w:rPr>
        <w:t>indian</w:t>
      </w:r>
      <w:proofErr w:type="spellEnd"/>
      <w:r w:rsidRPr="00A32260">
        <w:rPr>
          <w:rFonts w:asciiTheme="minorHAnsi" w:hAnsiTheme="minorHAnsi" w:cstheme="minorHAnsi"/>
          <w:lang w:val="en-GB"/>
        </w:rPr>
        <w:t xml:space="preserve"> versions </w:t>
      </w:r>
      <w:r w:rsidR="007D2814" w:rsidRPr="00A32260">
        <w:rPr>
          <w:rFonts w:asciiTheme="minorHAnsi" w:hAnsiTheme="minorHAnsi" w:cstheme="minorHAnsi"/>
          <w:lang w:val="en-GB"/>
        </w:rPr>
        <w:t xml:space="preserve">were </w:t>
      </w:r>
      <w:r w:rsidR="00C32363">
        <w:rPr>
          <w:rFonts w:asciiTheme="minorHAnsi" w:hAnsiTheme="minorHAnsi" w:cstheme="minorHAnsi"/>
          <w:lang w:val="en-GB"/>
        </w:rPr>
        <w:t>close to unity</w:t>
      </w:r>
      <w:r w:rsidR="005D3ED6">
        <w:rPr>
          <w:rFonts w:asciiTheme="minorHAnsi" w:hAnsiTheme="minorHAnsi" w:cstheme="minorHAnsi"/>
          <w:lang w:val="en-GB"/>
        </w:rPr>
        <w:t xml:space="preserve">.  Thus, </w:t>
      </w:r>
      <w:r w:rsidRPr="00A32260">
        <w:rPr>
          <w:rFonts w:asciiTheme="minorHAnsi" w:hAnsiTheme="minorHAnsi" w:cstheme="minorHAnsi"/>
          <w:lang w:val="en-GB"/>
        </w:rPr>
        <w:t>an individual at the 90</w:t>
      </w:r>
      <w:r w:rsidRPr="00BF7944">
        <w:rPr>
          <w:rFonts w:asciiTheme="minorHAnsi" w:hAnsiTheme="minorHAnsi" w:cstheme="minorHAnsi"/>
          <w:vertAlign w:val="superscript"/>
          <w:lang w:val="en-GB"/>
        </w:rPr>
        <w:t>th</w:t>
      </w:r>
      <w:r w:rsidR="00C32363">
        <w:rPr>
          <w:rFonts w:asciiTheme="minorHAnsi" w:hAnsiTheme="minorHAnsi" w:cstheme="minorHAnsi"/>
          <w:lang w:val="en-GB"/>
        </w:rPr>
        <w:t xml:space="preserve"> </w:t>
      </w:r>
      <w:r w:rsidRPr="00A32260">
        <w:rPr>
          <w:rFonts w:asciiTheme="minorHAnsi" w:hAnsiTheme="minorHAnsi" w:cstheme="minorHAnsi"/>
          <w:lang w:val="en-GB"/>
        </w:rPr>
        <w:t xml:space="preserve">percentile of risk </w:t>
      </w:r>
      <w:r w:rsidR="005D3ED6">
        <w:rPr>
          <w:rFonts w:asciiTheme="minorHAnsi" w:hAnsiTheme="minorHAnsi" w:cstheme="minorHAnsi"/>
          <w:lang w:val="en-GB"/>
        </w:rPr>
        <w:t xml:space="preserve">in Singapore </w:t>
      </w:r>
      <w:r w:rsidRPr="00A32260">
        <w:rPr>
          <w:rFonts w:asciiTheme="minorHAnsi" w:hAnsiTheme="minorHAnsi" w:cstheme="minorHAnsi"/>
          <w:lang w:val="en-GB"/>
        </w:rPr>
        <w:t>would still be at the 90</w:t>
      </w:r>
      <w:r w:rsidRPr="00BF7944">
        <w:rPr>
          <w:rFonts w:asciiTheme="minorHAnsi" w:hAnsiTheme="minorHAnsi" w:cstheme="minorHAnsi"/>
          <w:vertAlign w:val="superscript"/>
          <w:lang w:val="en-GB"/>
        </w:rPr>
        <w:t>th</w:t>
      </w:r>
      <w:r w:rsidR="00FD419B">
        <w:rPr>
          <w:rFonts w:asciiTheme="minorHAnsi" w:hAnsiTheme="minorHAnsi" w:cstheme="minorHAnsi"/>
          <w:lang w:val="en-GB"/>
        </w:rPr>
        <w:t xml:space="preserve"> </w:t>
      </w:r>
      <w:r w:rsidRPr="00A32260">
        <w:rPr>
          <w:rFonts w:asciiTheme="minorHAnsi" w:hAnsiTheme="minorHAnsi" w:cstheme="minorHAnsi"/>
          <w:lang w:val="en-GB"/>
        </w:rPr>
        <w:t xml:space="preserve">percentile of risk using the </w:t>
      </w:r>
      <w:r w:rsidR="00524EDE" w:rsidRPr="00A32260">
        <w:rPr>
          <w:rFonts w:asciiTheme="minorHAnsi" w:hAnsiTheme="minorHAnsi" w:cstheme="minorHAnsi"/>
          <w:lang w:val="en-GB"/>
        </w:rPr>
        <w:t>surrogate</w:t>
      </w:r>
      <w:r w:rsidRPr="00A32260">
        <w:rPr>
          <w:rFonts w:asciiTheme="minorHAnsi" w:hAnsiTheme="minorHAnsi" w:cstheme="minorHAnsi"/>
          <w:lang w:val="en-GB"/>
        </w:rPr>
        <w:t xml:space="preserve"> FRAX tool. </w:t>
      </w:r>
      <w:r w:rsidR="00DD5A96">
        <w:rPr>
          <w:rFonts w:asciiTheme="minorHAnsi" w:hAnsiTheme="minorHAnsi" w:cstheme="minorHAnsi"/>
          <w:lang w:val="en-GB"/>
        </w:rPr>
        <w:t xml:space="preserve"> The lower absolute values of probability would, however, become important in the setting of intervention thresholds and in health economic analysis to inform practice guidelines.  For example, the use of thresholds derived for Singapore within Pakistan guidelines would have an important impact on the proportion of the population eligible for treatment.  </w:t>
      </w:r>
    </w:p>
    <w:p w14:paraId="7D0E7FB5" w14:textId="304645F4" w:rsidR="00306030" w:rsidRPr="007A6F77" w:rsidRDefault="00306030" w:rsidP="009B7358">
      <w:pPr>
        <w:spacing w:line="276" w:lineRule="auto"/>
        <w:ind w:left="567" w:right="567"/>
        <w:rPr>
          <w:rFonts w:asciiTheme="minorHAnsi" w:hAnsiTheme="minorHAnsi" w:cstheme="minorHAnsi"/>
          <w:lang w:val="en-GB"/>
        </w:rPr>
      </w:pPr>
    </w:p>
    <w:p w14:paraId="6885481E" w14:textId="496A696C" w:rsidR="003118DA" w:rsidRDefault="00DD5A96" w:rsidP="00C6687F">
      <w:pPr>
        <w:spacing w:line="276" w:lineRule="auto"/>
        <w:ind w:left="567" w:right="567"/>
        <w:rPr>
          <w:rFonts w:asciiTheme="minorHAnsi" w:hAnsiTheme="minorHAnsi" w:cstheme="minorHAnsi"/>
          <w:lang w:val="en-GB"/>
        </w:rPr>
      </w:pPr>
      <w:r>
        <w:rPr>
          <w:rFonts w:asciiTheme="minorHAnsi" w:hAnsiTheme="minorHAnsi" w:cstheme="minorHAnsi"/>
          <w:lang w:val="en-GB"/>
        </w:rPr>
        <w:lastRenderedPageBreak/>
        <w:t>An</w:t>
      </w:r>
      <w:r w:rsidR="00306030" w:rsidRPr="007A6F77">
        <w:rPr>
          <w:rFonts w:asciiTheme="minorHAnsi" w:hAnsiTheme="minorHAnsi" w:cstheme="minorHAnsi"/>
          <w:lang w:val="en-GB"/>
        </w:rPr>
        <w:t xml:space="preserve"> o</w:t>
      </w:r>
      <w:r w:rsidR="00096825" w:rsidRPr="007A6F77">
        <w:rPr>
          <w:rFonts w:asciiTheme="minorHAnsi" w:hAnsiTheme="minorHAnsi" w:cstheme="minorHAnsi"/>
          <w:lang w:val="en-GB"/>
        </w:rPr>
        <w:t xml:space="preserve">bvious limitation </w:t>
      </w:r>
      <w:r>
        <w:rPr>
          <w:rFonts w:asciiTheme="minorHAnsi" w:hAnsiTheme="minorHAnsi" w:cstheme="minorHAnsi"/>
          <w:lang w:val="en-GB"/>
        </w:rPr>
        <w:t>of</w:t>
      </w:r>
      <w:r w:rsidRPr="007A6F77">
        <w:rPr>
          <w:rFonts w:asciiTheme="minorHAnsi" w:hAnsiTheme="minorHAnsi" w:cstheme="minorHAnsi"/>
          <w:lang w:val="en-GB"/>
        </w:rPr>
        <w:t xml:space="preserve"> </w:t>
      </w:r>
      <w:r w:rsidR="00096825" w:rsidRPr="007A6F77">
        <w:rPr>
          <w:rFonts w:asciiTheme="minorHAnsi" w:hAnsiTheme="minorHAnsi" w:cstheme="minorHAnsi"/>
          <w:lang w:val="en-GB"/>
        </w:rPr>
        <w:t xml:space="preserve">this study </w:t>
      </w:r>
      <w:r>
        <w:rPr>
          <w:rFonts w:asciiTheme="minorHAnsi" w:hAnsiTheme="minorHAnsi" w:cstheme="minorHAnsi"/>
          <w:lang w:val="en-GB"/>
        </w:rPr>
        <w:t>is</w:t>
      </w:r>
      <w:r w:rsidRPr="007A6F77">
        <w:rPr>
          <w:rFonts w:asciiTheme="minorHAnsi" w:hAnsiTheme="minorHAnsi" w:cstheme="minorHAnsi"/>
          <w:lang w:val="en-GB"/>
        </w:rPr>
        <w:t xml:space="preserve"> </w:t>
      </w:r>
      <w:r w:rsidR="00CD75F6" w:rsidRPr="007A6F77">
        <w:rPr>
          <w:rFonts w:asciiTheme="minorHAnsi" w:hAnsiTheme="minorHAnsi" w:cstheme="minorHAnsi"/>
          <w:lang w:val="en-GB"/>
        </w:rPr>
        <w:t xml:space="preserve">the assumption that the fracture rates in </w:t>
      </w:r>
      <w:r w:rsidR="005A1AF9" w:rsidRPr="007A6F77">
        <w:rPr>
          <w:rFonts w:asciiTheme="minorHAnsi" w:hAnsiTheme="minorHAnsi" w:cstheme="minorHAnsi"/>
          <w:lang w:val="en-GB"/>
        </w:rPr>
        <w:t>Pakistan</w:t>
      </w:r>
      <w:r w:rsidR="00CD75F6" w:rsidRPr="007A6F77">
        <w:rPr>
          <w:rFonts w:asciiTheme="minorHAnsi" w:hAnsiTheme="minorHAnsi" w:cstheme="minorHAnsi"/>
          <w:lang w:val="en-GB"/>
        </w:rPr>
        <w:t xml:space="preserve"> are similar to </w:t>
      </w:r>
      <w:r w:rsidR="00853741">
        <w:rPr>
          <w:rFonts w:asciiTheme="minorHAnsi" w:hAnsiTheme="minorHAnsi" w:cstheme="minorHAnsi"/>
          <w:lang w:val="en-GB"/>
        </w:rPr>
        <w:t>Indians living</w:t>
      </w:r>
      <w:r w:rsidR="00853741" w:rsidRPr="007A6F77">
        <w:rPr>
          <w:rFonts w:asciiTheme="minorHAnsi" w:hAnsiTheme="minorHAnsi" w:cstheme="minorHAnsi"/>
          <w:lang w:val="en-GB"/>
        </w:rPr>
        <w:t xml:space="preserve"> </w:t>
      </w:r>
      <w:r w:rsidR="00CD75F6" w:rsidRPr="007A6F77">
        <w:rPr>
          <w:rFonts w:asciiTheme="minorHAnsi" w:hAnsiTheme="minorHAnsi" w:cstheme="minorHAnsi"/>
          <w:lang w:val="en-GB"/>
        </w:rPr>
        <w:t>i</w:t>
      </w:r>
      <w:r w:rsidR="002F5463" w:rsidRPr="007A6F77">
        <w:rPr>
          <w:rFonts w:asciiTheme="minorHAnsi" w:hAnsiTheme="minorHAnsi" w:cstheme="minorHAnsi"/>
          <w:lang w:val="en-GB"/>
        </w:rPr>
        <w:t xml:space="preserve">n </w:t>
      </w:r>
      <w:r w:rsidR="005A1AF9" w:rsidRPr="007A6F77">
        <w:rPr>
          <w:rFonts w:asciiTheme="minorHAnsi" w:hAnsiTheme="minorHAnsi" w:cstheme="minorHAnsi"/>
          <w:lang w:val="en-GB"/>
        </w:rPr>
        <w:t>Singapore</w:t>
      </w:r>
      <w:r w:rsidR="002F5463" w:rsidRPr="007A6F77">
        <w:rPr>
          <w:rFonts w:asciiTheme="minorHAnsi" w:hAnsiTheme="minorHAnsi" w:cstheme="minorHAnsi"/>
          <w:lang w:val="en-GB"/>
        </w:rPr>
        <w:t xml:space="preserve">. </w:t>
      </w:r>
      <w:r w:rsidR="00C6687F">
        <w:rPr>
          <w:rFonts w:asciiTheme="minorHAnsi" w:hAnsiTheme="minorHAnsi" w:cstheme="minorHAnsi"/>
          <w:lang w:val="en-GB"/>
        </w:rPr>
        <w:t xml:space="preserve"> This assumption cannot be tested, and d</w:t>
      </w:r>
      <w:r w:rsidR="004350F9">
        <w:rPr>
          <w:rFonts w:asciiTheme="minorHAnsi" w:hAnsiTheme="minorHAnsi" w:cstheme="minorHAnsi"/>
          <w:lang w:val="en-GB"/>
        </w:rPr>
        <w:t xml:space="preserve">ifferences between the two </w:t>
      </w:r>
      <w:r w:rsidR="004350F9" w:rsidRPr="00C6687F">
        <w:rPr>
          <w:rFonts w:asciiTheme="minorHAnsi" w:hAnsiTheme="minorHAnsi" w:cstheme="minorHAnsi"/>
          <w:lang w:val="en-GB"/>
        </w:rPr>
        <w:t xml:space="preserve">populations might impact on this assumption.  </w:t>
      </w:r>
      <w:r w:rsidR="00F61928" w:rsidRPr="00F61928">
        <w:rPr>
          <w:rFonts w:asciiTheme="minorHAnsi" w:hAnsiTheme="minorHAnsi" w:cstheme="minorHAnsi"/>
          <w:lang w:val="en-GB"/>
        </w:rPr>
        <w:t>In addition to ethnic-specific differences [</w:t>
      </w:r>
      <w:r w:rsidR="00A3177B">
        <w:rPr>
          <w:rFonts w:asciiTheme="minorHAnsi" w:hAnsiTheme="minorHAnsi" w:cstheme="minorHAnsi"/>
          <w:lang w:val="en-GB"/>
        </w:rPr>
        <w:t>19]</w:t>
      </w:r>
      <w:r w:rsidR="00F61928" w:rsidRPr="00F61928">
        <w:rPr>
          <w:rFonts w:asciiTheme="minorHAnsi" w:hAnsiTheme="minorHAnsi" w:cstheme="minorHAnsi"/>
          <w:lang w:val="en-GB"/>
        </w:rPr>
        <w:t>, up to two-fold differences in hip fracture incidence have been reported using common methodology with the higher rates in urban communities including Croatia [</w:t>
      </w:r>
      <w:r w:rsidR="00A3177B">
        <w:rPr>
          <w:rFonts w:asciiTheme="minorHAnsi" w:hAnsiTheme="minorHAnsi" w:cstheme="minorHAnsi"/>
          <w:lang w:val="en-GB"/>
        </w:rPr>
        <w:t>20]</w:t>
      </w:r>
      <w:r w:rsidR="004802C7">
        <w:rPr>
          <w:rFonts w:asciiTheme="minorHAnsi" w:hAnsiTheme="minorHAnsi" w:cstheme="minorHAnsi"/>
          <w:lang w:val="en-GB"/>
        </w:rPr>
        <w:t>,</w:t>
      </w:r>
      <w:r w:rsidR="00A3177B">
        <w:rPr>
          <w:rFonts w:asciiTheme="minorHAnsi" w:hAnsiTheme="minorHAnsi" w:cstheme="minorHAnsi"/>
          <w:lang w:val="en-GB"/>
        </w:rPr>
        <w:t xml:space="preserve"> </w:t>
      </w:r>
      <w:r w:rsidR="00F61928" w:rsidRPr="00F61928">
        <w:rPr>
          <w:rFonts w:asciiTheme="minorHAnsi" w:hAnsiTheme="minorHAnsi" w:cstheme="minorHAnsi"/>
          <w:lang w:val="en-GB"/>
        </w:rPr>
        <w:t>Switzerland [</w:t>
      </w:r>
      <w:r w:rsidR="00D10766">
        <w:rPr>
          <w:rFonts w:asciiTheme="minorHAnsi" w:hAnsiTheme="minorHAnsi" w:cstheme="minorHAnsi"/>
          <w:lang w:val="en-GB"/>
        </w:rPr>
        <w:t>21</w:t>
      </w:r>
      <w:r w:rsidR="00F61928" w:rsidRPr="00F61928">
        <w:rPr>
          <w:rFonts w:asciiTheme="minorHAnsi" w:hAnsiTheme="minorHAnsi" w:cstheme="minorHAnsi"/>
          <w:lang w:val="en-GB"/>
        </w:rPr>
        <w:t>], Norway [</w:t>
      </w:r>
      <w:r w:rsidR="00633AF7">
        <w:rPr>
          <w:rFonts w:asciiTheme="minorHAnsi" w:hAnsiTheme="minorHAnsi" w:cstheme="minorHAnsi"/>
          <w:lang w:val="en-GB"/>
        </w:rPr>
        <w:t>22</w:t>
      </w:r>
      <w:r w:rsidR="00F61928" w:rsidRPr="00F61928">
        <w:rPr>
          <w:rFonts w:asciiTheme="minorHAnsi" w:hAnsiTheme="minorHAnsi" w:cstheme="minorHAnsi"/>
          <w:lang w:val="en-GB"/>
        </w:rPr>
        <w:t>], Argentina [</w:t>
      </w:r>
      <w:r w:rsidR="00633AF7">
        <w:rPr>
          <w:rFonts w:asciiTheme="minorHAnsi" w:hAnsiTheme="minorHAnsi" w:cstheme="minorHAnsi"/>
          <w:lang w:val="en-GB"/>
        </w:rPr>
        <w:t>23</w:t>
      </w:r>
      <w:r w:rsidR="00F61928" w:rsidRPr="00F61928">
        <w:rPr>
          <w:rFonts w:asciiTheme="minorHAnsi" w:hAnsiTheme="minorHAnsi" w:cstheme="minorHAnsi"/>
          <w:lang w:val="en-GB"/>
        </w:rPr>
        <w:t>] and Turkey [</w:t>
      </w:r>
      <w:r w:rsidR="00633AF7">
        <w:rPr>
          <w:rFonts w:asciiTheme="minorHAnsi" w:hAnsiTheme="minorHAnsi" w:cstheme="minorHAnsi"/>
          <w:lang w:val="en-GB"/>
        </w:rPr>
        <w:t>24</w:t>
      </w:r>
      <w:r w:rsidR="00F61928" w:rsidRPr="00F61928">
        <w:rPr>
          <w:rFonts w:asciiTheme="minorHAnsi" w:hAnsiTheme="minorHAnsi" w:cstheme="minorHAnsi"/>
          <w:lang w:val="en-GB"/>
        </w:rPr>
        <w:t>].</w:t>
      </w:r>
      <w:r w:rsidR="00C6687F">
        <w:rPr>
          <w:rFonts w:asciiTheme="minorHAnsi" w:eastAsiaTheme="minorHAnsi" w:hAnsiTheme="minorHAnsi" w:cstheme="minorHAnsi"/>
          <w:color w:val="131413"/>
          <w:lang w:val="en-GB" w:eastAsia="en-US"/>
        </w:rPr>
        <w:t xml:space="preserve">  Nonetheless, </w:t>
      </w:r>
      <w:r w:rsidR="009D53C9" w:rsidRPr="00C6687F">
        <w:rPr>
          <w:rFonts w:asciiTheme="minorHAnsi" w:hAnsiTheme="minorHAnsi" w:cstheme="minorHAnsi"/>
          <w:lang w:val="en-GB"/>
        </w:rPr>
        <w:t xml:space="preserve">it is of interest that the incidence of </w:t>
      </w:r>
      <w:r w:rsidR="00924788" w:rsidRPr="001C3334">
        <w:rPr>
          <w:rFonts w:asciiTheme="minorHAnsi" w:hAnsiTheme="minorHAnsi" w:cstheme="minorHAnsi"/>
          <w:lang w:val="en-GB"/>
        </w:rPr>
        <w:t>hip fracture of Indians in South Africa</w:t>
      </w:r>
      <w:r w:rsidR="00924788">
        <w:rPr>
          <w:rFonts w:asciiTheme="minorHAnsi" w:hAnsiTheme="minorHAnsi" w:cstheme="minorHAnsi"/>
          <w:lang w:val="en-GB"/>
        </w:rPr>
        <w:t xml:space="preserve"> is very </w:t>
      </w:r>
      <w:r w:rsidR="00E253C4">
        <w:rPr>
          <w:rFonts w:asciiTheme="minorHAnsi" w:hAnsiTheme="minorHAnsi" w:cstheme="minorHAnsi"/>
          <w:lang w:val="en-GB"/>
        </w:rPr>
        <w:t xml:space="preserve">similar to that for Indians living in </w:t>
      </w:r>
      <w:r w:rsidR="00E253C4" w:rsidRPr="00F37046">
        <w:rPr>
          <w:rFonts w:asciiTheme="minorHAnsi" w:hAnsiTheme="minorHAnsi" w:cstheme="minorHAnsi"/>
          <w:lang w:val="en-GB"/>
        </w:rPr>
        <w:t>Singapore [</w:t>
      </w:r>
      <w:r w:rsidR="00633AF7">
        <w:rPr>
          <w:rFonts w:asciiTheme="minorHAnsi" w:hAnsiTheme="minorHAnsi" w:cstheme="minorHAnsi"/>
          <w:lang w:val="en-GB"/>
        </w:rPr>
        <w:t>25]</w:t>
      </w:r>
      <w:r w:rsidR="002D5411">
        <w:rPr>
          <w:rFonts w:asciiTheme="minorHAnsi" w:hAnsiTheme="minorHAnsi" w:cstheme="minorHAnsi"/>
          <w:lang w:val="en-GB"/>
        </w:rPr>
        <w:t>,</w:t>
      </w:r>
      <w:r w:rsidR="00D31AE9" w:rsidRPr="00F37046">
        <w:rPr>
          <w:rFonts w:asciiTheme="minorHAnsi" w:hAnsiTheme="minorHAnsi" w:cstheme="minorHAnsi"/>
          <w:lang w:val="en-GB"/>
        </w:rPr>
        <w:t xml:space="preserve"> which </w:t>
      </w:r>
      <w:r w:rsidR="001C3334">
        <w:rPr>
          <w:rFonts w:asciiTheme="minorHAnsi" w:hAnsiTheme="minorHAnsi" w:cstheme="minorHAnsi"/>
          <w:lang w:val="en-GB"/>
        </w:rPr>
        <w:t>suggests the assumption may not be without credence.</w:t>
      </w:r>
      <w:r w:rsidR="001819B7" w:rsidRPr="00F37046">
        <w:rPr>
          <w:rFonts w:asciiTheme="minorHAnsi" w:hAnsiTheme="minorHAnsi" w:cstheme="minorHAnsi"/>
          <w:lang w:val="en-GB"/>
        </w:rPr>
        <w:t xml:space="preserve"> </w:t>
      </w:r>
    </w:p>
    <w:p w14:paraId="656E62F4" w14:textId="77777777" w:rsidR="00DD5A96" w:rsidRDefault="00DD5A96" w:rsidP="00EB15BB">
      <w:pPr>
        <w:spacing w:line="276" w:lineRule="auto"/>
        <w:ind w:left="567" w:right="567"/>
        <w:rPr>
          <w:rFonts w:asciiTheme="minorHAnsi" w:hAnsiTheme="minorHAnsi" w:cstheme="minorHAnsi"/>
          <w:lang w:val="en-GB"/>
        </w:rPr>
      </w:pPr>
    </w:p>
    <w:p w14:paraId="00B6B1B5" w14:textId="519E4292" w:rsidR="00862852" w:rsidRPr="00F37046" w:rsidRDefault="00CD6704" w:rsidP="00EB15BB">
      <w:pPr>
        <w:spacing w:line="276" w:lineRule="auto"/>
        <w:ind w:left="567" w:right="567"/>
        <w:rPr>
          <w:rFonts w:asciiTheme="minorHAnsi" w:eastAsia="Calibri" w:hAnsiTheme="minorHAnsi" w:cstheme="minorHAnsi"/>
          <w:lang w:val="en-GB" w:bidi="lo-LA"/>
        </w:rPr>
      </w:pPr>
      <w:r w:rsidRPr="00F37046">
        <w:rPr>
          <w:rFonts w:asciiTheme="minorHAnsi" w:hAnsiTheme="minorHAnsi" w:cstheme="minorHAnsi"/>
          <w:lang w:val="en-GB"/>
        </w:rPr>
        <w:t>A further limitation</w:t>
      </w:r>
      <w:r w:rsidR="005E40B1">
        <w:rPr>
          <w:rFonts w:asciiTheme="minorHAnsi" w:hAnsiTheme="minorHAnsi" w:cstheme="minorHAnsi"/>
          <w:lang w:val="en-GB"/>
        </w:rPr>
        <w:t>, though one shared with the majority of current FRAX models,</w:t>
      </w:r>
      <w:r w:rsidRPr="00F37046">
        <w:rPr>
          <w:rFonts w:asciiTheme="minorHAnsi" w:hAnsiTheme="minorHAnsi" w:cstheme="minorHAnsi"/>
          <w:lang w:val="en-GB"/>
        </w:rPr>
        <w:t xml:space="preserve"> is that </w:t>
      </w:r>
      <w:r w:rsidR="00497EDB" w:rsidRPr="00F37046">
        <w:rPr>
          <w:rFonts w:asciiTheme="minorHAnsi" w:hAnsiTheme="minorHAnsi" w:cstheme="minorHAnsi"/>
          <w:lang w:val="en-GB"/>
        </w:rPr>
        <w:t xml:space="preserve">the model </w:t>
      </w:r>
      <w:r w:rsidR="005E40B1">
        <w:rPr>
          <w:rFonts w:asciiTheme="minorHAnsi" w:hAnsiTheme="minorHAnsi" w:cstheme="minorHAnsi"/>
          <w:lang w:val="en-GB"/>
        </w:rPr>
        <w:t>was constructed using</w:t>
      </w:r>
      <w:r w:rsidR="005E40B1" w:rsidRPr="00F37046">
        <w:rPr>
          <w:rFonts w:asciiTheme="minorHAnsi" w:hAnsiTheme="minorHAnsi" w:cstheme="minorHAnsi"/>
          <w:lang w:val="en-GB"/>
        </w:rPr>
        <w:t xml:space="preserve"> </w:t>
      </w:r>
      <w:r w:rsidR="005E40B1">
        <w:rPr>
          <w:rFonts w:asciiTheme="minorHAnsi" w:hAnsiTheme="minorHAnsi" w:cstheme="minorHAnsi"/>
          <w:lang w:val="en-GB"/>
        </w:rPr>
        <w:t xml:space="preserve">incidence </w:t>
      </w:r>
      <w:r w:rsidR="00497EDB" w:rsidRPr="00F37046">
        <w:rPr>
          <w:rFonts w:asciiTheme="minorHAnsi" w:hAnsiTheme="minorHAnsi" w:cstheme="minorHAnsi"/>
          <w:lang w:val="en-GB"/>
        </w:rPr>
        <w:t>data on hip fracture only</w:t>
      </w:r>
      <w:r w:rsidR="00987493" w:rsidRPr="00F37046">
        <w:rPr>
          <w:rFonts w:asciiTheme="minorHAnsi" w:hAnsiTheme="minorHAnsi" w:cstheme="minorHAnsi"/>
          <w:lang w:val="en-GB"/>
        </w:rPr>
        <w:t>,</w:t>
      </w:r>
      <w:r w:rsidR="00497EDB" w:rsidRPr="00F37046">
        <w:rPr>
          <w:rFonts w:asciiTheme="minorHAnsi" w:hAnsiTheme="minorHAnsi" w:cstheme="minorHAnsi"/>
          <w:lang w:val="en-GB"/>
        </w:rPr>
        <w:t xml:space="preserve"> </w:t>
      </w:r>
      <w:r w:rsidR="00987493" w:rsidRPr="00F37046">
        <w:rPr>
          <w:rFonts w:asciiTheme="minorHAnsi" w:hAnsiTheme="minorHAnsi" w:cstheme="minorHAnsi"/>
          <w:lang w:val="en-GB"/>
        </w:rPr>
        <w:t>r</w:t>
      </w:r>
      <w:r w:rsidR="00497EDB" w:rsidRPr="00F37046">
        <w:rPr>
          <w:rFonts w:asciiTheme="minorHAnsi" w:hAnsiTheme="minorHAnsi" w:cstheme="minorHAnsi"/>
          <w:lang w:val="en-GB"/>
        </w:rPr>
        <w:t>ather than all major osteoporotic fractures</w:t>
      </w:r>
      <w:r w:rsidR="00987493" w:rsidRPr="00F37046">
        <w:rPr>
          <w:rFonts w:asciiTheme="minorHAnsi" w:hAnsiTheme="minorHAnsi" w:cstheme="minorHAnsi"/>
          <w:lang w:val="en-GB"/>
        </w:rPr>
        <w:t xml:space="preserve">. </w:t>
      </w:r>
      <w:r w:rsidR="005E40B1">
        <w:rPr>
          <w:rFonts w:asciiTheme="minorHAnsi" w:hAnsiTheme="minorHAnsi" w:cstheme="minorHAnsi"/>
          <w:lang w:val="en-GB"/>
        </w:rPr>
        <w:t xml:space="preserve">The latter are calculated from the hip fracture incidence on the basis </w:t>
      </w:r>
      <w:proofErr w:type="gramStart"/>
      <w:r w:rsidR="005E40B1">
        <w:rPr>
          <w:rFonts w:asciiTheme="minorHAnsi" w:hAnsiTheme="minorHAnsi" w:cstheme="minorHAnsi"/>
          <w:lang w:val="en-GB"/>
        </w:rPr>
        <w:t xml:space="preserve">that </w:t>
      </w:r>
      <w:r w:rsidR="00987493" w:rsidRPr="00F37046">
        <w:rPr>
          <w:rFonts w:asciiTheme="minorHAnsi" w:hAnsiTheme="minorHAnsi" w:cstheme="minorHAnsi"/>
          <w:lang w:val="en-GB"/>
        </w:rPr>
        <w:t xml:space="preserve"> </w:t>
      </w:r>
      <w:r w:rsidR="00300CA3" w:rsidRPr="00F37046">
        <w:rPr>
          <w:rFonts w:asciiTheme="minorHAnsi" w:eastAsia="Calibri" w:hAnsiTheme="minorHAnsi" w:cstheme="minorHAnsi"/>
          <w:lang w:val="en-GB" w:bidi="lo-LA"/>
        </w:rPr>
        <w:t>the</w:t>
      </w:r>
      <w:proofErr w:type="gramEnd"/>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age-</w:t>
      </w:r>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and</w:t>
      </w:r>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sex-specific</w:t>
      </w:r>
      <w:r w:rsidR="009A6CFB" w:rsidRPr="00F37046">
        <w:rPr>
          <w:rFonts w:asciiTheme="minorHAnsi" w:eastAsia="Calibri" w:hAnsiTheme="minorHAnsi" w:cstheme="minorHAnsi"/>
          <w:lang w:val="en-GB" w:bidi="lo-LA"/>
        </w:rPr>
        <w:t xml:space="preserve"> </w:t>
      </w:r>
      <w:r w:rsidR="005E40B1">
        <w:rPr>
          <w:rFonts w:asciiTheme="minorHAnsi" w:eastAsia="Calibri" w:hAnsiTheme="minorHAnsi" w:cstheme="minorHAnsi"/>
          <w:lang w:val="en-GB" w:bidi="lo-LA"/>
        </w:rPr>
        <w:t>relationship between these fractures and hip fractures</w:t>
      </w:r>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is</w:t>
      </w:r>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similar</w:t>
      </w:r>
      <w:r w:rsidR="009A6CFB" w:rsidRPr="00F37046">
        <w:rPr>
          <w:rFonts w:asciiTheme="minorHAnsi" w:eastAsia="Calibri" w:hAnsiTheme="minorHAnsi" w:cstheme="minorHAnsi"/>
          <w:lang w:val="en-GB" w:bidi="lo-LA"/>
        </w:rPr>
        <w:t xml:space="preserve"> </w:t>
      </w:r>
      <w:r w:rsidR="00300CA3" w:rsidRPr="00F37046">
        <w:rPr>
          <w:rFonts w:asciiTheme="minorHAnsi" w:eastAsia="Calibri" w:hAnsiTheme="minorHAnsi" w:cstheme="minorHAnsi"/>
          <w:lang w:val="en-GB" w:bidi="lo-LA"/>
        </w:rPr>
        <w:t xml:space="preserve">to that </w:t>
      </w:r>
      <w:r w:rsidR="005E40B1" w:rsidRPr="005E40B1">
        <w:rPr>
          <w:rFonts w:asciiTheme="minorHAnsi" w:eastAsia="Calibri" w:hAnsiTheme="minorHAnsi" w:cstheme="minorHAnsi"/>
          <w:lang w:val="en-GB" w:bidi="lo-LA"/>
        </w:rPr>
        <w:t xml:space="preserve">reported </w:t>
      </w:r>
      <w:r w:rsidR="00300CA3" w:rsidRPr="005E40B1">
        <w:rPr>
          <w:rFonts w:asciiTheme="minorHAnsi" w:eastAsia="Calibri" w:hAnsiTheme="minorHAnsi" w:cstheme="minorHAnsi"/>
          <w:lang w:val="en-GB" w:bidi="lo-LA"/>
        </w:rPr>
        <w:t>in</w:t>
      </w:r>
      <w:r w:rsidR="00D34C1C" w:rsidRPr="005E40B1">
        <w:rPr>
          <w:rFonts w:asciiTheme="minorHAnsi" w:eastAsia="Calibri" w:hAnsiTheme="minorHAnsi" w:cstheme="minorHAnsi"/>
          <w:lang w:val="en-GB" w:bidi="lo-LA"/>
        </w:rPr>
        <w:t xml:space="preserve"> Malmo</w:t>
      </w:r>
      <w:r w:rsidR="00415079" w:rsidRPr="005E40B1">
        <w:rPr>
          <w:rFonts w:asciiTheme="minorHAnsi" w:eastAsia="Calibri" w:hAnsiTheme="minorHAnsi" w:cstheme="minorHAnsi"/>
          <w:lang w:val="en-GB" w:bidi="lo-LA"/>
        </w:rPr>
        <w:t>, Sweden</w:t>
      </w:r>
      <w:r w:rsidR="000B1D9B" w:rsidRPr="005E40B1">
        <w:rPr>
          <w:rFonts w:asciiTheme="minorHAnsi" w:eastAsia="Calibri" w:hAnsiTheme="minorHAnsi" w:cstheme="minorHAnsi"/>
          <w:lang w:val="en-GB" w:bidi="lo-LA"/>
        </w:rPr>
        <w:t xml:space="preserve"> </w:t>
      </w:r>
      <w:r w:rsidR="008523A0">
        <w:rPr>
          <w:rFonts w:asciiTheme="minorHAnsi" w:eastAsia="Calibri" w:hAnsiTheme="minorHAnsi" w:cstheme="minorHAnsi"/>
          <w:lang w:val="en-GB" w:bidi="lo-LA"/>
        </w:rPr>
        <w:t>[12</w:t>
      </w:r>
      <w:r w:rsidR="00055E51" w:rsidRPr="005E40B1">
        <w:rPr>
          <w:rFonts w:asciiTheme="minorHAnsi" w:eastAsia="Calibri" w:hAnsiTheme="minorHAnsi" w:cstheme="minorHAnsi"/>
          <w:lang w:val="en-GB" w:bidi="lo-LA"/>
        </w:rPr>
        <w:t>]</w:t>
      </w:r>
      <w:r w:rsidR="00300CA3" w:rsidRPr="005E40B1">
        <w:rPr>
          <w:rFonts w:asciiTheme="minorHAnsi" w:eastAsia="Calibri" w:hAnsiTheme="minorHAnsi" w:cstheme="minorHAnsi"/>
          <w:lang w:val="en-GB" w:bidi="lo-LA"/>
        </w:rPr>
        <w:t>.</w:t>
      </w:r>
      <w:r w:rsidR="00590C33" w:rsidRPr="00F25B53">
        <w:rPr>
          <w:rFonts w:asciiTheme="minorHAnsi" w:hAnsiTheme="minorHAnsi" w:cstheme="minorHAnsi"/>
        </w:rPr>
        <w:t xml:space="preserve"> </w:t>
      </w:r>
      <w:r w:rsidR="005E40B1">
        <w:rPr>
          <w:rFonts w:asciiTheme="minorHAnsi" w:hAnsiTheme="minorHAnsi" w:cstheme="minorHAnsi"/>
          <w:lang w:val="en-GB"/>
        </w:rPr>
        <w:t xml:space="preserve"> Importantly, t</w:t>
      </w:r>
      <w:r w:rsidR="005E40B1" w:rsidRPr="005E40B1">
        <w:rPr>
          <w:rFonts w:asciiTheme="minorHAnsi" w:eastAsia="Calibri" w:hAnsiTheme="minorHAnsi" w:cstheme="minorHAnsi"/>
          <w:lang w:val="en-GB" w:bidi="lo-LA"/>
        </w:rPr>
        <w:t>his commonality of pattern</w:t>
      </w:r>
      <w:r w:rsidR="005E40B1" w:rsidRPr="00F25B53">
        <w:rPr>
          <w:rFonts w:asciiTheme="minorHAnsi" w:hAnsiTheme="minorHAnsi" w:cstheme="minorHAnsi"/>
          <w:lang w:val="en-GB"/>
        </w:rPr>
        <w:t xml:space="preserve"> has been </w:t>
      </w:r>
      <w:r w:rsidR="005E40B1">
        <w:rPr>
          <w:rFonts w:asciiTheme="minorHAnsi" w:hAnsiTheme="minorHAnsi" w:cstheme="minorHAnsi"/>
          <w:lang w:val="en-GB"/>
        </w:rPr>
        <w:t xml:space="preserve">observed in other studies where data has allowed its assessment </w:t>
      </w:r>
      <w:r w:rsidR="00541D6D">
        <w:rPr>
          <w:rFonts w:asciiTheme="minorHAnsi" w:hAnsiTheme="minorHAnsi" w:cstheme="minorHAnsi"/>
          <w:lang w:val="en-GB"/>
        </w:rPr>
        <w:t>[</w:t>
      </w:r>
      <w:r w:rsidR="008523A0">
        <w:rPr>
          <w:rFonts w:asciiTheme="minorHAnsi" w:hAnsiTheme="minorHAnsi" w:cstheme="minorHAnsi"/>
          <w:lang w:val="en-GB"/>
        </w:rPr>
        <w:t>13, 14</w:t>
      </w:r>
      <w:r w:rsidR="00767B15">
        <w:rPr>
          <w:rFonts w:asciiTheme="minorHAnsi" w:hAnsiTheme="minorHAnsi" w:cstheme="minorHAnsi"/>
          <w:lang w:val="en-GB"/>
        </w:rPr>
        <w:t>,</w:t>
      </w:r>
      <w:r w:rsidR="003B3564">
        <w:rPr>
          <w:rFonts w:asciiTheme="minorHAnsi" w:hAnsiTheme="minorHAnsi" w:cstheme="minorHAnsi"/>
          <w:lang w:val="en-GB"/>
        </w:rPr>
        <w:t xml:space="preserve"> 15, </w:t>
      </w:r>
      <w:r w:rsidR="00172CB5">
        <w:rPr>
          <w:rFonts w:asciiTheme="minorHAnsi" w:hAnsiTheme="minorHAnsi" w:cstheme="minorHAnsi"/>
          <w:lang w:val="en-GB"/>
        </w:rPr>
        <w:t xml:space="preserve">26, </w:t>
      </w:r>
      <w:r w:rsidR="003B3564">
        <w:rPr>
          <w:rFonts w:asciiTheme="minorHAnsi" w:hAnsiTheme="minorHAnsi" w:cstheme="minorHAnsi"/>
          <w:lang w:val="en-GB"/>
        </w:rPr>
        <w:t>27, 28</w:t>
      </w:r>
      <w:r w:rsidR="00541D6D">
        <w:rPr>
          <w:rFonts w:asciiTheme="minorHAnsi" w:eastAsia="Calibri" w:hAnsiTheme="minorHAnsi" w:cstheme="minorHAnsi"/>
          <w:lang w:val="en-GB" w:bidi="lo-LA"/>
        </w:rPr>
        <w:t>]</w:t>
      </w:r>
      <w:r w:rsidR="00785B01">
        <w:rPr>
          <w:rFonts w:asciiTheme="minorHAnsi" w:eastAsia="Calibri" w:hAnsiTheme="minorHAnsi" w:cstheme="minorHAnsi"/>
          <w:lang w:val="en-GB" w:bidi="lo-LA"/>
        </w:rPr>
        <w:t xml:space="preserve">.  </w:t>
      </w:r>
    </w:p>
    <w:p w14:paraId="59E1A974" w14:textId="142C4098" w:rsidR="00457562" w:rsidRPr="00F37046" w:rsidRDefault="002918B3" w:rsidP="00EB15BB">
      <w:pPr>
        <w:spacing w:line="276" w:lineRule="auto"/>
        <w:ind w:left="567" w:right="567"/>
        <w:rPr>
          <w:rFonts w:asciiTheme="minorHAnsi" w:eastAsia="Calibri" w:hAnsiTheme="minorHAnsi" w:cstheme="minorHAnsi"/>
          <w:lang w:val="en-GB" w:bidi="lo-LA"/>
        </w:rPr>
      </w:pPr>
      <w:r w:rsidRPr="00F37046">
        <w:rPr>
          <w:rFonts w:asciiTheme="minorHAnsi" w:eastAsia="Calibri" w:hAnsiTheme="minorHAnsi" w:cstheme="minorHAnsi"/>
          <w:lang w:val="en-GB" w:bidi="lo-LA"/>
        </w:rPr>
        <w:t xml:space="preserve"> </w:t>
      </w:r>
    </w:p>
    <w:p w14:paraId="1B96F31A" w14:textId="3F6CB76D" w:rsidR="00785B01" w:rsidRPr="00B344FE" w:rsidRDefault="00F33E11" w:rsidP="00785B01">
      <w:pPr>
        <w:tabs>
          <w:tab w:val="left" w:pos="7371"/>
        </w:tabs>
        <w:spacing w:after="200" w:line="276" w:lineRule="auto"/>
        <w:ind w:left="567" w:right="425"/>
        <w:rPr>
          <w:rFonts w:asciiTheme="minorHAnsi" w:eastAsia="Calibri" w:hAnsiTheme="minorHAnsi" w:cstheme="minorHAnsi"/>
          <w:lang w:val="en-GB" w:bidi="lo-LA"/>
        </w:rPr>
      </w:pPr>
      <w:r w:rsidRPr="007A6F77">
        <w:rPr>
          <w:rFonts w:asciiTheme="minorHAnsi" w:hAnsiTheme="minorHAnsi" w:cstheme="minorHAnsi"/>
          <w:lang w:val="en-GB"/>
        </w:rPr>
        <w:t xml:space="preserve">In summary, </w:t>
      </w:r>
      <w:r w:rsidR="0009472B" w:rsidRPr="007A6F77">
        <w:rPr>
          <w:rFonts w:asciiTheme="minorHAnsi" w:hAnsiTheme="minorHAnsi" w:cstheme="minorHAnsi"/>
          <w:lang w:val="en-GB"/>
        </w:rPr>
        <w:t>a</w:t>
      </w:r>
      <w:r w:rsidRPr="007A6F77">
        <w:rPr>
          <w:rFonts w:asciiTheme="minorHAnsi" w:hAnsiTheme="minorHAnsi" w:cstheme="minorHAnsi"/>
          <w:lang w:val="en-GB"/>
        </w:rPr>
        <w:t xml:space="preserve"> </w:t>
      </w:r>
      <w:r w:rsidR="00D93165" w:rsidRPr="007A6F77">
        <w:rPr>
          <w:rFonts w:asciiTheme="minorHAnsi" w:hAnsiTheme="minorHAnsi" w:cstheme="minorHAnsi"/>
          <w:lang w:val="en-GB"/>
        </w:rPr>
        <w:t xml:space="preserve">surrogate </w:t>
      </w:r>
      <w:r w:rsidRPr="007A6F77">
        <w:rPr>
          <w:rFonts w:asciiTheme="minorHAnsi" w:hAnsiTheme="minorHAnsi" w:cstheme="minorHAnsi"/>
          <w:lang w:val="en-GB"/>
        </w:rPr>
        <w:t>FRAX model has been created</w:t>
      </w:r>
      <w:r w:rsidR="002D79C4" w:rsidRPr="007A6F77">
        <w:rPr>
          <w:rFonts w:asciiTheme="minorHAnsi" w:hAnsiTheme="minorHAnsi" w:cstheme="minorHAnsi"/>
          <w:lang w:val="en-GB"/>
        </w:rPr>
        <w:t xml:space="preserve"> </w:t>
      </w:r>
      <w:r w:rsidRPr="007A6F77">
        <w:rPr>
          <w:rFonts w:asciiTheme="minorHAnsi" w:hAnsiTheme="minorHAnsi" w:cstheme="minorHAnsi"/>
          <w:lang w:val="en-GB"/>
        </w:rPr>
        <w:t xml:space="preserve">for </w:t>
      </w:r>
      <w:r w:rsidR="005A1AF9" w:rsidRPr="007A6F77">
        <w:rPr>
          <w:rFonts w:asciiTheme="minorHAnsi" w:hAnsiTheme="minorHAnsi" w:cstheme="minorHAnsi"/>
          <w:lang w:val="en-GB"/>
        </w:rPr>
        <w:t>Pakistan</w:t>
      </w:r>
      <w:r w:rsidRPr="007A6F77">
        <w:rPr>
          <w:rFonts w:asciiTheme="minorHAnsi" w:hAnsiTheme="minorHAnsi" w:cstheme="minorHAnsi"/>
          <w:lang w:val="en-GB"/>
        </w:rPr>
        <w:t>. Th</w:t>
      </w:r>
      <w:r w:rsidR="00A8718A" w:rsidRPr="007A6F77">
        <w:rPr>
          <w:rFonts w:asciiTheme="minorHAnsi" w:hAnsiTheme="minorHAnsi" w:cstheme="minorHAnsi"/>
          <w:lang w:val="en-GB"/>
        </w:rPr>
        <w:t>e</w:t>
      </w:r>
      <w:r w:rsidRPr="007A6F77">
        <w:rPr>
          <w:rFonts w:asciiTheme="minorHAnsi" w:hAnsiTheme="minorHAnsi" w:cstheme="minorHAnsi"/>
          <w:lang w:val="en-GB"/>
        </w:rPr>
        <w:t xml:space="preserve"> model </w:t>
      </w:r>
      <w:r w:rsidR="003D019A" w:rsidRPr="007A6F77">
        <w:rPr>
          <w:rFonts w:asciiTheme="minorHAnsi" w:hAnsiTheme="minorHAnsi" w:cstheme="minorHAnsi"/>
          <w:lang w:val="en-GB"/>
        </w:rPr>
        <w:t>can provide the opportunity</w:t>
      </w:r>
      <w:r w:rsidRPr="007A6F77">
        <w:rPr>
          <w:rFonts w:asciiTheme="minorHAnsi" w:hAnsiTheme="minorHAnsi" w:cstheme="minorHAnsi"/>
          <w:lang w:val="en-GB"/>
        </w:rPr>
        <w:t xml:space="preserve"> </w:t>
      </w:r>
      <w:r w:rsidR="003D019A" w:rsidRPr="007A6F77">
        <w:rPr>
          <w:rFonts w:asciiTheme="minorHAnsi" w:hAnsiTheme="minorHAnsi" w:cstheme="minorHAnsi"/>
          <w:lang w:val="en-GB"/>
        </w:rPr>
        <w:t xml:space="preserve">to </w:t>
      </w:r>
      <w:r w:rsidRPr="007A6F77">
        <w:rPr>
          <w:rFonts w:asciiTheme="minorHAnsi" w:hAnsiTheme="minorHAnsi" w:cstheme="minorHAnsi"/>
          <w:lang w:val="en-GB"/>
        </w:rPr>
        <w:t>determin</w:t>
      </w:r>
      <w:r w:rsidR="003D019A" w:rsidRPr="007A6F77">
        <w:rPr>
          <w:rFonts w:asciiTheme="minorHAnsi" w:hAnsiTheme="minorHAnsi" w:cstheme="minorHAnsi"/>
          <w:lang w:val="en-GB"/>
        </w:rPr>
        <w:t>e</w:t>
      </w:r>
      <w:r w:rsidRPr="007A6F77">
        <w:rPr>
          <w:rFonts w:asciiTheme="minorHAnsi" w:hAnsiTheme="minorHAnsi" w:cstheme="minorHAnsi"/>
          <w:lang w:val="en-GB"/>
        </w:rPr>
        <w:t xml:space="preserve"> fracture probability among the population</w:t>
      </w:r>
      <w:r w:rsidR="00A73A8E">
        <w:rPr>
          <w:rFonts w:asciiTheme="minorHAnsi" w:hAnsiTheme="minorHAnsi" w:cstheme="minorHAnsi"/>
          <w:lang w:val="en-GB"/>
        </w:rPr>
        <w:t xml:space="preserve"> of Pakistan</w:t>
      </w:r>
      <w:r w:rsidRPr="007A6F77">
        <w:rPr>
          <w:rFonts w:asciiTheme="minorHAnsi" w:hAnsiTheme="minorHAnsi" w:cstheme="minorHAnsi"/>
          <w:lang w:val="en-GB"/>
        </w:rPr>
        <w:t xml:space="preserve"> and help guide decisions about treatment.</w:t>
      </w:r>
      <w:r w:rsidR="002D79C4" w:rsidRPr="007A6F77">
        <w:rPr>
          <w:rFonts w:asciiTheme="minorHAnsi" w:hAnsiTheme="minorHAnsi" w:cstheme="minorHAnsi"/>
          <w:shd w:val="clear" w:color="auto" w:fill="FFFFFF"/>
          <w:lang w:val="en-GB"/>
        </w:rPr>
        <w:t xml:space="preserve"> </w:t>
      </w:r>
      <w:r w:rsidR="00785B01">
        <w:rPr>
          <w:rFonts w:asciiTheme="minorHAnsi" w:hAnsiTheme="minorHAnsi" w:cstheme="minorHAnsi"/>
          <w:shd w:val="clear" w:color="auto" w:fill="FFFFFF"/>
          <w:lang w:val="en-GB"/>
        </w:rPr>
        <w:t xml:space="preserve"> </w:t>
      </w:r>
      <w:r w:rsidR="00785B01" w:rsidRPr="00F37046">
        <w:rPr>
          <w:rFonts w:asciiTheme="minorHAnsi" w:eastAsia="Calibri" w:hAnsiTheme="minorHAnsi" w:cstheme="minorHAnsi"/>
          <w:lang w:val="en-GB" w:bidi="lo-LA"/>
        </w:rPr>
        <w:t xml:space="preserve">The </w:t>
      </w:r>
      <w:r w:rsidR="00785B01">
        <w:rPr>
          <w:rFonts w:asciiTheme="minorHAnsi" w:eastAsia="Calibri" w:hAnsiTheme="minorHAnsi" w:cstheme="minorHAnsi"/>
          <w:lang w:val="en-GB" w:bidi="lo-LA"/>
        </w:rPr>
        <w:t xml:space="preserve">latter will require the development of assessment and intervention thresholds.  Several approaches have been undertaken to this across </w:t>
      </w:r>
      <w:r w:rsidR="00785B01" w:rsidRPr="00F37046">
        <w:rPr>
          <w:rFonts w:asciiTheme="minorHAnsi" w:eastAsia="Calibri" w:hAnsiTheme="minorHAnsi" w:cstheme="minorHAnsi"/>
          <w:lang w:val="en-GB" w:bidi="lo-LA"/>
        </w:rPr>
        <w:t>practice guidelines worldwide [</w:t>
      </w:r>
      <w:r w:rsidR="00D6624C">
        <w:rPr>
          <w:rFonts w:asciiTheme="minorHAnsi" w:eastAsia="Calibri" w:hAnsiTheme="minorHAnsi" w:cstheme="minorHAnsi"/>
          <w:lang w:val="en-GB" w:bidi="lo-LA"/>
        </w:rPr>
        <w:t>29</w:t>
      </w:r>
      <w:r w:rsidR="00785B01" w:rsidRPr="00F37046">
        <w:rPr>
          <w:rFonts w:asciiTheme="minorHAnsi" w:eastAsia="Calibri" w:hAnsiTheme="minorHAnsi" w:cstheme="minorHAnsi"/>
          <w:lang w:val="en-GB" w:bidi="lo-LA"/>
        </w:rPr>
        <w:t xml:space="preserve">]. </w:t>
      </w:r>
      <w:r w:rsidR="00785B01">
        <w:rPr>
          <w:rFonts w:asciiTheme="minorHAnsi" w:eastAsia="Calibri" w:hAnsiTheme="minorHAnsi" w:cstheme="minorHAnsi"/>
          <w:lang w:val="en-GB" w:bidi="lo-LA"/>
        </w:rPr>
        <w:t>One such approach, used in more than 30 countries worldwide, bases t</w:t>
      </w:r>
      <w:r w:rsidR="00785B01" w:rsidRPr="00F37046">
        <w:rPr>
          <w:rFonts w:asciiTheme="minorHAnsi" w:eastAsia="Calibri" w:hAnsiTheme="minorHAnsi" w:cstheme="minorHAnsi"/>
          <w:lang w:val="en-GB" w:bidi="lo-LA"/>
        </w:rPr>
        <w:t xml:space="preserve">he </w:t>
      </w:r>
      <w:r w:rsidR="00785B01">
        <w:rPr>
          <w:rFonts w:asciiTheme="minorHAnsi" w:eastAsia="Calibri" w:hAnsiTheme="minorHAnsi" w:cstheme="minorHAnsi"/>
          <w:lang w:val="en-GB" w:bidi="lo-LA"/>
        </w:rPr>
        <w:t xml:space="preserve">intervention threshold on the </w:t>
      </w:r>
      <w:r w:rsidR="00785B01" w:rsidRPr="00F37046">
        <w:rPr>
          <w:rFonts w:asciiTheme="minorHAnsi" w:eastAsia="Calibri" w:hAnsiTheme="minorHAnsi" w:cstheme="minorHAnsi"/>
          <w:lang w:val="en-GB" w:bidi="lo-LA"/>
        </w:rPr>
        <w:t>fracture</w:t>
      </w:r>
      <w:r w:rsidR="00785B01" w:rsidRPr="00B344FE">
        <w:rPr>
          <w:rFonts w:asciiTheme="minorHAnsi" w:eastAsia="Calibri" w:hAnsiTheme="minorHAnsi" w:cstheme="minorHAnsi"/>
          <w:lang w:val="en-GB" w:bidi="lo-LA"/>
        </w:rPr>
        <w:t xml:space="preserve"> probability equivalent to a woman with a prior fracture</w:t>
      </w:r>
      <w:r w:rsidR="00785B01">
        <w:rPr>
          <w:rFonts w:asciiTheme="minorHAnsi" w:eastAsia="Calibri" w:hAnsiTheme="minorHAnsi" w:cstheme="minorHAnsi"/>
          <w:lang w:val="en-GB" w:bidi="lo-LA"/>
        </w:rPr>
        <w:t xml:space="preserve">, and is therefore age-dependent.  </w:t>
      </w:r>
      <w:r w:rsidR="00785B01" w:rsidRPr="00B344FE">
        <w:rPr>
          <w:rFonts w:asciiTheme="minorHAnsi" w:eastAsia="Calibri" w:hAnsiTheme="minorHAnsi" w:cstheme="minorHAnsi"/>
          <w:lang w:val="en-GB" w:bidi="lo-LA"/>
        </w:rPr>
        <w:t>If applied to Pakistan, then intervention would be recommended with a probability of a major fracture that varied between 2.1 and 17 % depending on age. The impact of such thresholds or alternative thresholds will require further study.</w:t>
      </w:r>
    </w:p>
    <w:p w14:paraId="03AF833A" w14:textId="7C49DBFD" w:rsidR="00A71745" w:rsidRPr="007A6F77" w:rsidRDefault="00A71745" w:rsidP="002371C1">
      <w:pPr>
        <w:tabs>
          <w:tab w:val="left" w:pos="7371"/>
        </w:tabs>
        <w:spacing w:after="200" w:line="276" w:lineRule="auto"/>
        <w:ind w:left="567" w:right="425"/>
        <w:rPr>
          <w:rFonts w:asciiTheme="minorHAnsi" w:hAnsiTheme="minorHAnsi" w:cstheme="minorHAnsi"/>
          <w:shd w:val="clear" w:color="auto" w:fill="FFFFFF"/>
          <w:lang w:val="en-GB"/>
        </w:rPr>
      </w:pPr>
    </w:p>
    <w:p w14:paraId="4D2E85E2" w14:textId="77777777" w:rsidR="00C239B2" w:rsidRPr="007A6F77" w:rsidRDefault="00C239B2" w:rsidP="002371C1">
      <w:pPr>
        <w:keepNext/>
        <w:keepLines/>
        <w:tabs>
          <w:tab w:val="left" w:pos="7371"/>
        </w:tabs>
        <w:spacing w:before="200" w:line="276" w:lineRule="auto"/>
        <w:ind w:left="567" w:right="425"/>
        <w:outlineLvl w:val="1"/>
        <w:rPr>
          <w:rFonts w:asciiTheme="minorHAnsi" w:hAnsiTheme="minorHAnsi" w:cstheme="minorHAnsi"/>
          <w:b/>
          <w:bCs/>
          <w:lang w:val="en-GB"/>
        </w:rPr>
      </w:pPr>
      <w:r w:rsidRPr="007A6F77">
        <w:rPr>
          <w:rFonts w:asciiTheme="minorHAnsi" w:hAnsiTheme="minorHAnsi" w:cstheme="minorHAnsi"/>
          <w:b/>
          <w:bCs/>
          <w:lang w:val="en-GB"/>
        </w:rPr>
        <w:t>Compliance with ethical standards</w:t>
      </w:r>
    </w:p>
    <w:p w14:paraId="0CD2FDC8" w14:textId="77777777" w:rsidR="00C239B2" w:rsidRPr="00B27F1B" w:rsidRDefault="00C239B2" w:rsidP="002371C1">
      <w:pPr>
        <w:tabs>
          <w:tab w:val="left" w:pos="7371"/>
        </w:tabs>
        <w:spacing w:line="276" w:lineRule="auto"/>
        <w:ind w:left="567" w:right="425"/>
        <w:rPr>
          <w:rFonts w:asciiTheme="minorHAnsi" w:hAnsiTheme="minorHAnsi" w:cstheme="minorHAnsi"/>
          <w:b/>
          <w:bCs/>
          <w:lang w:val="en-GB"/>
        </w:rPr>
      </w:pPr>
      <w:r w:rsidRPr="00B27F1B">
        <w:rPr>
          <w:rFonts w:asciiTheme="minorHAnsi" w:hAnsiTheme="minorHAnsi" w:cstheme="minorHAnsi"/>
          <w:shd w:val="clear" w:color="auto" w:fill="FFFFFF"/>
          <w:lang w:val="en-GB"/>
        </w:rPr>
        <w:t>All procedures performed in studies involving human participants were conducted in accordance with the ethical standards of the institutional and national research committee and with the 1964 Helsinki Declaration and its later amendments or compatible ethical standards.</w:t>
      </w:r>
    </w:p>
    <w:p w14:paraId="155E8A7F" w14:textId="2A75B29F" w:rsidR="00C239B2" w:rsidRPr="00B27F1B" w:rsidRDefault="00C239B2" w:rsidP="002371C1">
      <w:pPr>
        <w:keepNext/>
        <w:keepLines/>
        <w:tabs>
          <w:tab w:val="left" w:pos="7371"/>
        </w:tabs>
        <w:spacing w:before="200" w:line="276" w:lineRule="auto"/>
        <w:ind w:left="567" w:right="425"/>
        <w:outlineLvl w:val="1"/>
        <w:rPr>
          <w:rFonts w:asciiTheme="minorHAnsi" w:hAnsiTheme="minorHAnsi" w:cstheme="minorHAnsi"/>
          <w:b/>
          <w:bCs/>
          <w:lang w:val="en-GB"/>
        </w:rPr>
      </w:pPr>
      <w:r w:rsidRPr="00B27F1B">
        <w:rPr>
          <w:rFonts w:asciiTheme="minorHAnsi" w:hAnsiTheme="minorHAnsi" w:cstheme="minorHAnsi"/>
          <w:b/>
          <w:bCs/>
          <w:lang w:val="en-GB"/>
        </w:rPr>
        <w:t>Conflict of Interest</w:t>
      </w:r>
      <w:r w:rsidR="002F4825" w:rsidRPr="00B27F1B">
        <w:rPr>
          <w:rFonts w:asciiTheme="minorHAnsi" w:hAnsiTheme="minorHAnsi" w:cstheme="minorHAnsi"/>
          <w:b/>
          <w:bCs/>
          <w:lang w:val="en-GB"/>
        </w:rPr>
        <w:t xml:space="preserve"> </w:t>
      </w:r>
    </w:p>
    <w:p w14:paraId="66F3DD63" w14:textId="6F459FA7" w:rsidR="00C239B2" w:rsidRPr="00B27F1B" w:rsidRDefault="00B27F1B" w:rsidP="002371C1">
      <w:pPr>
        <w:keepNext/>
        <w:keepLines/>
        <w:tabs>
          <w:tab w:val="left" w:pos="7371"/>
        </w:tabs>
        <w:spacing w:before="200" w:line="276" w:lineRule="auto"/>
        <w:ind w:left="567" w:right="425"/>
        <w:outlineLvl w:val="1"/>
        <w:rPr>
          <w:rFonts w:asciiTheme="minorHAnsi" w:hAnsiTheme="minorHAnsi" w:cstheme="minorHAnsi"/>
          <w:lang w:val="en-GB"/>
        </w:rPr>
      </w:pPr>
      <w:r w:rsidRPr="00B27F1B">
        <w:rPr>
          <w:rFonts w:asciiTheme="minorHAnsi" w:hAnsiTheme="minorHAnsi" w:cstheme="minorHAnsi"/>
          <w:lang w:val="en-GB"/>
        </w:rPr>
        <w:t xml:space="preserve">G </w:t>
      </w:r>
      <w:proofErr w:type="spellStart"/>
      <w:r w:rsidRPr="00B27F1B">
        <w:rPr>
          <w:rFonts w:asciiTheme="minorHAnsi" w:hAnsiTheme="minorHAnsi" w:cstheme="minorHAnsi"/>
          <w:lang w:val="en-GB"/>
        </w:rPr>
        <w:t>Naureen</w:t>
      </w:r>
      <w:proofErr w:type="spellEnd"/>
      <w:r w:rsidR="00C53BDD" w:rsidRPr="00B27F1B">
        <w:rPr>
          <w:rFonts w:asciiTheme="minorHAnsi" w:hAnsiTheme="minorHAnsi" w:cstheme="minorHAnsi"/>
          <w:lang w:val="en-GB"/>
        </w:rPr>
        <w:t>, H</w:t>
      </w:r>
      <w:r w:rsidR="00172DA0">
        <w:rPr>
          <w:rFonts w:asciiTheme="minorHAnsi" w:hAnsiTheme="minorHAnsi" w:cstheme="minorHAnsi"/>
          <w:lang w:val="en-GB"/>
        </w:rPr>
        <w:t xml:space="preserve"> </w:t>
      </w:r>
      <w:r w:rsidR="00C53BDD" w:rsidRPr="00B27F1B">
        <w:rPr>
          <w:rFonts w:asciiTheme="minorHAnsi" w:hAnsiTheme="minorHAnsi" w:cstheme="minorHAnsi"/>
          <w:lang w:val="en-GB"/>
        </w:rPr>
        <w:t xml:space="preserve">Johansson, E Liu, </w:t>
      </w:r>
      <w:r w:rsidRPr="00B27F1B">
        <w:rPr>
          <w:rFonts w:asciiTheme="minorHAnsi" w:hAnsiTheme="minorHAnsi" w:cstheme="minorHAnsi"/>
          <w:lang w:val="en-GB"/>
        </w:rPr>
        <w:t xml:space="preserve">L </w:t>
      </w:r>
      <w:proofErr w:type="spellStart"/>
      <w:r w:rsidRPr="00B27F1B">
        <w:rPr>
          <w:rFonts w:asciiTheme="minorHAnsi" w:hAnsiTheme="minorHAnsi" w:cstheme="minorHAnsi"/>
          <w:lang w:val="en-GB"/>
        </w:rPr>
        <w:t>Vandenput</w:t>
      </w:r>
      <w:proofErr w:type="spellEnd"/>
      <w:r w:rsidRPr="00B27F1B">
        <w:rPr>
          <w:rFonts w:asciiTheme="minorHAnsi" w:hAnsiTheme="minorHAnsi" w:cstheme="minorHAnsi"/>
          <w:lang w:val="en-GB"/>
        </w:rPr>
        <w:t xml:space="preserve">, </w:t>
      </w:r>
      <w:r w:rsidR="00C53BDD" w:rsidRPr="00B27F1B">
        <w:rPr>
          <w:rFonts w:asciiTheme="minorHAnsi" w:hAnsiTheme="minorHAnsi" w:cstheme="minorHAnsi"/>
          <w:lang w:val="en-GB"/>
        </w:rPr>
        <w:t>M Lorentzon, NC Harvey, E. McCloskey</w:t>
      </w:r>
      <w:r w:rsidR="0067328A" w:rsidRPr="00B27F1B">
        <w:rPr>
          <w:rFonts w:asciiTheme="minorHAnsi" w:hAnsiTheme="minorHAnsi" w:cstheme="minorHAnsi"/>
          <w:lang w:val="en-GB"/>
        </w:rPr>
        <w:t xml:space="preserve"> and </w:t>
      </w:r>
      <w:r w:rsidR="00C53BDD" w:rsidRPr="00B27F1B">
        <w:rPr>
          <w:rFonts w:asciiTheme="minorHAnsi" w:hAnsiTheme="minorHAnsi" w:cstheme="minorHAnsi"/>
          <w:lang w:val="en-GB"/>
        </w:rPr>
        <w:t>JA Kanis</w:t>
      </w:r>
      <w:r w:rsidR="00D33935" w:rsidRPr="00B27F1B">
        <w:rPr>
          <w:rFonts w:asciiTheme="minorHAnsi" w:hAnsiTheme="minorHAnsi" w:cstheme="minorHAnsi"/>
          <w:lang w:val="en-GB"/>
        </w:rPr>
        <w:t xml:space="preserve"> </w:t>
      </w:r>
      <w:r w:rsidR="00C239B2" w:rsidRPr="00B27F1B">
        <w:rPr>
          <w:rFonts w:asciiTheme="minorHAnsi" w:hAnsiTheme="minorHAnsi" w:cstheme="minorHAnsi"/>
          <w:lang w:val="en-GB"/>
        </w:rPr>
        <w:t>declare that they have no competing interests in relation to this paper. HJ, EM, NCH</w:t>
      </w:r>
      <w:r w:rsidR="000A26D6" w:rsidRPr="00B27F1B">
        <w:rPr>
          <w:rFonts w:asciiTheme="minorHAnsi" w:hAnsiTheme="minorHAnsi" w:cstheme="minorHAnsi"/>
          <w:lang w:val="en-GB"/>
        </w:rPr>
        <w:t>, and</w:t>
      </w:r>
      <w:r w:rsidR="00C239B2" w:rsidRPr="00B27F1B">
        <w:rPr>
          <w:rFonts w:asciiTheme="minorHAnsi" w:hAnsiTheme="minorHAnsi" w:cstheme="minorHAnsi"/>
          <w:lang w:val="en-GB"/>
        </w:rPr>
        <w:t xml:space="preserve"> JAK are the architects of FRAX </w:t>
      </w:r>
      <w:r w:rsidR="008C19E8" w:rsidRPr="00B27F1B">
        <w:rPr>
          <w:rFonts w:asciiTheme="minorHAnsi" w:hAnsiTheme="minorHAnsi" w:cstheme="minorHAnsi"/>
          <w:lang w:val="en-GB"/>
        </w:rPr>
        <w:t>in which they</w:t>
      </w:r>
      <w:r w:rsidR="00C239B2" w:rsidRPr="00B27F1B">
        <w:rPr>
          <w:rFonts w:asciiTheme="minorHAnsi" w:hAnsiTheme="minorHAnsi" w:cstheme="minorHAnsi"/>
          <w:lang w:val="en-GB"/>
        </w:rPr>
        <w:t xml:space="preserve"> have no financial interest.</w:t>
      </w:r>
    </w:p>
    <w:p w14:paraId="34810219" w14:textId="2E494C15" w:rsidR="00C239B2" w:rsidRPr="009368F0" w:rsidRDefault="00C239B2" w:rsidP="002371C1">
      <w:pPr>
        <w:keepNext/>
        <w:keepLines/>
        <w:tabs>
          <w:tab w:val="left" w:pos="7371"/>
        </w:tabs>
        <w:spacing w:before="200" w:line="276" w:lineRule="auto"/>
        <w:ind w:left="567" w:right="425"/>
        <w:outlineLvl w:val="1"/>
        <w:rPr>
          <w:rFonts w:asciiTheme="minorHAnsi" w:hAnsiTheme="minorHAnsi" w:cstheme="minorHAnsi"/>
          <w:b/>
          <w:bCs/>
          <w:lang w:val="en-GB"/>
        </w:rPr>
      </w:pPr>
      <w:r w:rsidRPr="009368F0">
        <w:rPr>
          <w:rFonts w:asciiTheme="minorHAnsi" w:hAnsiTheme="minorHAnsi" w:cstheme="minorHAnsi"/>
          <w:b/>
          <w:bCs/>
          <w:lang w:val="en-GB"/>
        </w:rPr>
        <w:t>Funding sources</w:t>
      </w:r>
    </w:p>
    <w:p w14:paraId="5CBD873C" w14:textId="35818222" w:rsidR="001B58B1" w:rsidRDefault="00C239B2" w:rsidP="002371C1">
      <w:pPr>
        <w:tabs>
          <w:tab w:val="left" w:pos="7371"/>
        </w:tabs>
        <w:spacing w:line="276" w:lineRule="auto"/>
        <w:ind w:left="567" w:right="425"/>
        <w:rPr>
          <w:rFonts w:asciiTheme="minorHAnsi" w:hAnsiTheme="minorHAnsi" w:cstheme="minorHAnsi"/>
          <w:lang w:val="en-GB"/>
        </w:rPr>
      </w:pPr>
      <w:r w:rsidRPr="009368F0">
        <w:rPr>
          <w:rFonts w:asciiTheme="minorHAnsi" w:hAnsiTheme="minorHAnsi" w:cstheme="minorHAnsi"/>
          <w:lang w:val="en-GB"/>
        </w:rPr>
        <w:t xml:space="preserve">The project did not receive specific funding. </w:t>
      </w:r>
    </w:p>
    <w:p w14:paraId="4FCA3FA7" w14:textId="0D9B0341" w:rsidR="00391935" w:rsidRDefault="00391935" w:rsidP="00391935">
      <w:pPr>
        <w:spacing w:line="276" w:lineRule="auto"/>
        <w:ind w:left="567" w:right="1275"/>
        <w:rPr>
          <w:rFonts w:asciiTheme="minorHAnsi" w:hAnsiTheme="minorHAnsi" w:cstheme="minorHAnsi"/>
          <w:b/>
          <w:lang w:val="en-GB"/>
        </w:rPr>
      </w:pPr>
      <w:r w:rsidRPr="00A81361">
        <w:rPr>
          <w:rFonts w:asciiTheme="minorHAnsi" w:hAnsiTheme="minorHAnsi" w:cstheme="minorHAnsi"/>
          <w:b/>
          <w:lang w:val="en-GB"/>
        </w:rPr>
        <w:lastRenderedPageBreak/>
        <w:t>References</w:t>
      </w:r>
    </w:p>
    <w:p w14:paraId="1CF8B739" w14:textId="77777777" w:rsidR="00391935" w:rsidRPr="00A81361" w:rsidRDefault="00391935" w:rsidP="00391935">
      <w:pPr>
        <w:spacing w:line="276" w:lineRule="auto"/>
        <w:ind w:left="567" w:right="1275"/>
        <w:rPr>
          <w:rFonts w:asciiTheme="minorHAnsi" w:hAnsiTheme="minorHAnsi" w:cstheme="minorHAnsi"/>
          <w:b/>
          <w:lang w:val="en-GB"/>
        </w:rPr>
      </w:pPr>
    </w:p>
    <w:tbl>
      <w:tblPr>
        <w:tblStyle w:val="TableGrid4"/>
        <w:tblW w:w="8165"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598"/>
      </w:tblGrid>
      <w:tr w:rsidR="008C42B8" w:rsidRPr="00D10C97" w14:paraId="0FF5CBF4" w14:textId="77777777" w:rsidTr="003368C2">
        <w:tc>
          <w:tcPr>
            <w:tcW w:w="567" w:type="dxa"/>
          </w:tcPr>
          <w:p w14:paraId="4D74BEC7" w14:textId="77777777" w:rsidR="008C42B8" w:rsidRPr="001B479B"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w:t>
            </w:r>
          </w:p>
        </w:tc>
        <w:tc>
          <w:tcPr>
            <w:tcW w:w="7598" w:type="dxa"/>
            <w:shd w:val="clear" w:color="auto" w:fill="auto"/>
          </w:tcPr>
          <w:p w14:paraId="12C7A446"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 xml:space="preserve">Kanis JA on behalf </w:t>
            </w:r>
            <w:r w:rsidRPr="007A3D87">
              <w:rPr>
                <w:rFonts w:ascii="Calibri" w:eastAsia="Calibri" w:hAnsi="Calibri"/>
                <w:sz w:val="22"/>
                <w:szCs w:val="22"/>
                <w:lang w:eastAsia="en-US"/>
              </w:rPr>
              <w:t>of the World Health Organization Scientific Group (2008a) Assessment of osteoporosis at the primary healthcare level. Technical Report. WHO Collaborating Centre, University of Sheffield, UK. Available at ttp://www.shef.ac.uk/FRAX/index.htm. Accessed 26 Feb 2012</w:t>
            </w:r>
          </w:p>
        </w:tc>
      </w:tr>
      <w:tr w:rsidR="008C42B8" w:rsidRPr="00D10C97" w14:paraId="090CC732" w14:textId="77777777" w:rsidTr="003368C2">
        <w:tc>
          <w:tcPr>
            <w:tcW w:w="567" w:type="dxa"/>
          </w:tcPr>
          <w:p w14:paraId="639DFDCB" w14:textId="77777777" w:rsidR="008C42B8" w:rsidRPr="001B479B" w:rsidRDefault="008C42B8" w:rsidP="00DD7030">
            <w:pPr>
              <w:spacing w:after="240"/>
              <w:jc w:val="right"/>
              <w:rPr>
                <w:rFonts w:ascii="Calibri" w:eastAsia="Calibri" w:hAnsi="Calibri"/>
                <w:sz w:val="22"/>
                <w:szCs w:val="22"/>
                <w:lang w:eastAsia="en-US"/>
              </w:rPr>
            </w:pPr>
            <w:r>
              <w:rPr>
                <w:rFonts w:ascii="Calibri" w:eastAsia="Calibri" w:hAnsi="Calibri"/>
                <w:sz w:val="22"/>
                <w:szCs w:val="22"/>
                <w:lang w:eastAsia="en-US"/>
              </w:rPr>
              <w:t>2.</w:t>
            </w:r>
          </w:p>
        </w:tc>
        <w:tc>
          <w:tcPr>
            <w:tcW w:w="7598" w:type="dxa"/>
            <w:shd w:val="clear" w:color="auto" w:fill="auto"/>
          </w:tcPr>
          <w:p w14:paraId="3F1E50C1" w14:textId="77777777" w:rsidR="008C42B8" w:rsidRPr="007A3D87" w:rsidRDefault="008C42B8" w:rsidP="00DD7030">
            <w:pPr>
              <w:spacing w:after="240"/>
              <w:rPr>
                <w:rFonts w:ascii="Calibri" w:eastAsia="Calibri" w:hAnsi="Calibri"/>
                <w:sz w:val="22"/>
                <w:szCs w:val="22"/>
                <w:lang w:eastAsia="en-US"/>
              </w:rPr>
            </w:pPr>
            <w:r w:rsidRPr="00423FBC">
              <w:rPr>
                <w:rFonts w:ascii="Calibri" w:eastAsia="Calibri" w:hAnsi="Calibri"/>
                <w:sz w:val="22"/>
                <w:szCs w:val="22"/>
                <w:lang w:val="en-US" w:eastAsia="en-US"/>
              </w:rPr>
              <w:t>Kanis</w:t>
            </w:r>
            <w:r w:rsidRPr="007A3D87">
              <w:rPr>
                <w:rFonts w:ascii="Calibri" w:eastAsia="Calibri" w:hAnsi="Calibri"/>
                <w:sz w:val="22"/>
                <w:szCs w:val="22"/>
                <w:lang w:val="en-US" w:eastAsia="en-US"/>
              </w:rPr>
              <w:t xml:space="preserve"> JA, </w:t>
            </w:r>
            <w:proofErr w:type="spellStart"/>
            <w:r w:rsidRPr="007A3D87">
              <w:rPr>
                <w:rFonts w:ascii="Calibri" w:eastAsia="Calibri" w:hAnsi="Calibri"/>
                <w:sz w:val="22"/>
                <w:szCs w:val="22"/>
                <w:lang w:val="en-US" w:eastAsia="en-US"/>
              </w:rPr>
              <w:t>Johnell</w:t>
            </w:r>
            <w:proofErr w:type="spellEnd"/>
            <w:r w:rsidRPr="007A3D87">
              <w:rPr>
                <w:rFonts w:ascii="Calibri" w:eastAsia="Calibri" w:hAnsi="Calibri"/>
                <w:sz w:val="22"/>
                <w:szCs w:val="22"/>
                <w:lang w:val="en-US" w:eastAsia="en-US"/>
              </w:rPr>
              <w:t xml:space="preserve"> O, Oden A, Johansson H, McCloskey EV (2008b</w:t>
            </w:r>
            <w:r w:rsidRPr="00423FBC">
              <w:rPr>
                <w:rFonts w:ascii="Calibri" w:eastAsia="Calibri" w:hAnsi="Calibri"/>
                <w:sz w:val="22"/>
                <w:szCs w:val="22"/>
                <w:lang w:val="en-US" w:eastAsia="en-US"/>
              </w:rPr>
              <w:t>) FRAX™ and the assessment of fracture probability in men and women from the UK. Osteoporos Int 19: 385–397</w:t>
            </w:r>
          </w:p>
        </w:tc>
      </w:tr>
      <w:tr w:rsidR="008C42B8" w:rsidRPr="00D10C97" w14:paraId="48F6516C" w14:textId="77777777" w:rsidTr="003368C2">
        <w:tc>
          <w:tcPr>
            <w:tcW w:w="567" w:type="dxa"/>
          </w:tcPr>
          <w:p w14:paraId="4A427CCA" w14:textId="77777777" w:rsidR="008C42B8" w:rsidRDefault="008C42B8" w:rsidP="00CD2CAE">
            <w:pPr>
              <w:spacing w:after="240"/>
              <w:jc w:val="right"/>
              <w:rPr>
                <w:rFonts w:ascii="Calibri" w:eastAsia="Calibri" w:hAnsi="Calibri"/>
                <w:sz w:val="22"/>
                <w:szCs w:val="22"/>
                <w:lang w:eastAsia="en-US"/>
              </w:rPr>
            </w:pPr>
            <w:r>
              <w:rPr>
                <w:rFonts w:ascii="Calibri" w:eastAsia="Calibri" w:hAnsi="Calibri"/>
                <w:sz w:val="22"/>
                <w:szCs w:val="22"/>
                <w:lang w:eastAsia="en-US"/>
              </w:rPr>
              <w:t>3.</w:t>
            </w:r>
          </w:p>
        </w:tc>
        <w:tc>
          <w:tcPr>
            <w:tcW w:w="7598" w:type="dxa"/>
            <w:shd w:val="clear" w:color="auto" w:fill="auto"/>
          </w:tcPr>
          <w:p w14:paraId="73BA30FD" w14:textId="77777777" w:rsidR="008C42B8" w:rsidRPr="007A3D87" w:rsidRDefault="008C42B8" w:rsidP="00CD2CAE">
            <w:pPr>
              <w:spacing w:after="240"/>
              <w:rPr>
                <w:rFonts w:ascii="Calibri" w:eastAsia="Calibri" w:hAnsi="Calibri"/>
                <w:sz w:val="22"/>
                <w:szCs w:val="22"/>
                <w:lang w:val="en-US" w:eastAsia="en-US"/>
              </w:rPr>
            </w:pPr>
            <w:r w:rsidRPr="007A3D87">
              <w:rPr>
                <w:rFonts w:ascii="Calibri" w:hAnsi="Calibri"/>
                <w:bCs/>
                <w:sz w:val="22"/>
                <w:szCs w:val="22"/>
                <w:lang w:eastAsia="en-US"/>
              </w:rPr>
              <w:t>Kanis J</w:t>
            </w:r>
            <w:r w:rsidRPr="00423FBC">
              <w:rPr>
                <w:rFonts w:ascii="Calibri" w:hAnsi="Calibri"/>
                <w:bCs/>
                <w:sz w:val="22"/>
                <w:szCs w:val="22"/>
                <w:lang w:eastAsia="en-US"/>
              </w:rPr>
              <w:t>A</w:t>
            </w:r>
            <w:r w:rsidRPr="007A3D87">
              <w:rPr>
                <w:rFonts w:ascii="Calibri" w:hAnsi="Calibri"/>
                <w:sz w:val="22"/>
                <w:szCs w:val="22"/>
                <w:lang w:eastAsia="en-US"/>
              </w:rPr>
              <w:t>, Odén A, McCloskey EV, Johansson H, Wahl D, Cyrus Cooper C on behalf of the IOF Working Group on Epidemiology and Quality of Life (2012</w:t>
            </w:r>
            <w:r w:rsidRPr="00423FBC">
              <w:rPr>
                <w:rFonts w:ascii="Calibri" w:hAnsi="Calibri"/>
                <w:sz w:val="22"/>
                <w:szCs w:val="22"/>
                <w:lang w:eastAsia="en-US"/>
              </w:rPr>
              <w:t>) A systematic review of hip fracture incidence and probability of fracture worldwide. Osteoporosis International 23: 2239-2256.</w:t>
            </w:r>
          </w:p>
        </w:tc>
      </w:tr>
      <w:tr w:rsidR="008C42B8" w:rsidRPr="00D10C97" w14:paraId="4AFCB889" w14:textId="77777777" w:rsidTr="003368C2">
        <w:tc>
          <w:tcPr>
            <w:tcW w:w="567" w:type="dxa"/>
          </w:tcPr>
          <w:p w14:paraId="2C9E6B49"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4.</w:t>
            </w:r>
          </w:p>
        </w:tc>
        <w:tc>
          <w:tcPr>
            <w:tcW w:w="7598" w:type="dxa"/>
            <w:shd w:val="clear" w:color="auto" w:fill="auto"/>
          </w:tcPr>
          <w:p w14:paraId="54869B32" w14:textId="77777777" w:rsidR="008C42B8" w:rsidRPr="007A3D87" w:rsidRDefault="008C42B8" w:rsidP="00FD530F">
            <w:pPr>
              <w:spacing w:after="240"/>
              <w:rPr>
                <w:rFonts w:ascii="Calibri" w:hAnsi="Calibri"/>
                <w:bCs/>
                <w:sz w:val="22"/>
                <w:szCs w:val="22"/>
                <w:lang w:eastAsia="en-US"/>
              </w:rPr>
            </w:pPr>
            <w:r w:rsidRPr="00423FBC">
              <w:rPr>
                <w:rFonts w:ascii="Calibri" w:hAnsi="Calibri"/>
                <w:bCs/>
                <w:sz w:val="22"/>
                <w:szCs w:val="22"/>
                <w:lang w:eastAsia="en-US"/>
              </w:rPr>
              <w:t>Kanis JA</w:t>
            </w:r>
            <w:r w:rsidRPr="007A3D87">
              <w:rPr>
                <w:rFonts w:ascii="Calibri" w:hAnsi="Calibri"/>
                <w:bCs/>
                <w:sz w:val="22"/>
                <w:szCs w:val="22"/>
                <w:lang w:eastAsia="en-US"/>
              </w:rPr>
              <w:t>, Johansson H, Harvey NC and McCloskey EV (2018</w:t>
            </w:r>
            <w:r w:rsidRPr="00423FBC">
              <w:rPr>
                <w:rFonts w:ascii="Calibri" w:hAnsi="Calibri"/>
                <w:bCs/>
                <w:sz w:val="22"/>
                <w:szCs w:val="22"/>
                <w:lang w:eastAsia="en-US"/>
              </w:rPr>
              <w:t>) A brief history of FRAX. Arch Osteoporos, 13: 118. DOI: 10.1007/s11657-018-0510-0.</w:t>
            </w:r>
          </w:p>
        </w:tc>
      </w:tr>
      <w:tr w:rsidR="008C42B8" w:rsidRPr="00753DF0" w14:paraId="65299611" w14:textId="77777777" w:rsidTr="003368C2">
        <w:tc>
          <w:tcPr>
            <w:tcW w:w="567" w:type="dxa"/>
          </w:tcPr>
          <w:p w14:paraId="5C4044C5"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5.</w:t>
            </w:r>
          </w:p>
        </w:tc>
        <w:tc>
          <w:tcPr>
            <w:tcW w:w="7598" w:type="dxa"/>
          </w:tcPr>
          <w:p w14:paraId="289B3413"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Cauley JA, El-Hajj Fuleihan G, Arabi A, et al. (2011) Official Positions for FRAX clinical regarding in</w:t>
            </w:r>
            <w:r w:rsidRPr="007A3D87">
              <w:rPr>
                <w:rFonts w:ascii="Calibri" w:eastAsia="Calibri" w:hAnsi="Calibri"/>
                <w:sz w:val="22"/>
                <w:szCs w:val="22"/>
                <w:lang w:eastAsia="en-US"/>
              </w:rPr>
              <w:t xml:space="preserve">ternational differences from Joint Official Positions Development Conference of the International Society for Clinical Densitometry and International Osteoporosis Foundation on FRAX. J Clin </w:t>
            </w:r>
            <w:proofErr w:type="spellStart"/>
            <w:r w:rsidRPr="007A3D87">
              <w:rPr>
                <w:rFonts w:ascii="Calibri" w:eastAsia="Calibri" w:hAnsi="Calibri"/>
                <w:sz w:val="22"/>
                <w:szCs w:val="22"/>
                <w:lang w:eastAsia="en-US"/>
              </w:rPr>
              <w:t>Densitom</w:t>
            </w:r>
            <w:proofErr w:type="spellEnd"/>
            <w:r w:rsidRPr="007A3D87">
              <w:rPr>
                <w:rFonts w:ascii="Calibri" w:eastAsia="Calibri" w:hAnsi="Calibri"/>
                <w:sz w:val="22"/>
                <w:szCs w:val="22"/>
                <w:lang w:eastAsia="en-US"/>
              </w:rPr>
              <w:t xml:space="preserve"> 14(3):240e262.</w:t>
            </w:r>
          </w:p>
        </w:tc>
      </w:tr>
      <w:tr w:rsidR="008C42B8" w:rsidRPr="00D10C97" w14:paraId="56ACCB7C" w14:textId="77777777" w:rsidTr="003368C2">
        <w:tc>
          <w:tcPr>
            <w:tcW w:w="567" w:type="dxa"/>
          </w:tcPr>
          <w:p w14:paraId="076EE9DD"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6.</w:t>
            </w:r>
          </w:p>
        </w:tc>
        <w:tc>
          <w:tcPr>
            <w:tcW w:w="7598" w:type="dxa"/>
            <w:shd w:val="clear" w:color="auto" w:fill="auto"/>
          </w:tcPr>
          <w:p w14:paraId="450E750A" w14:textId="77777777" w:rsidR="008C42B8" w:rsidRPr="004853ED" w:rsidRDefault="008C42B8" w:rsidP="00F60EAF">
            <w:pPr>
              <w:spacing w:after="240"/>
              <w:rPr>
                <w:rFonts w:ascii="Calibri" w:hAnsi="Calibri"/>
                <w:bCs/>
                <w:sz w:val="22"/>
                <w:szCs w:val="22"/>
                <w:lang w:eastAsia="en-US"/>
              </w:rPr>
            </w:pPr>
            <w:r w:rsidRPr="00C85601">
              <w:rPr>
                <w:rFonts w:ascii="Calibri" w:hAnsi="Calibri"/>
                <w:bCs/>
                <w:sz w:val="22"/>
                <w:szCs w:val="22"/>
                <w:lang w:eastAsia="en-US"/>
              </w:rPr>
              <w:t xml:space="preserve">Khan AH, Jafri L, Ahmed S, </w:t>
            </w:r>
            <w:proofErr w:type="spellStart"/>
            <w:r w:rsidRPr="00C85601">
              <w:rPr>
                <w:rFonts w:ascii="Calibri" w:hAnsi="Calibri"/>
                <w:bCs/>
                <w:sz w:val="22"/>
                <w:szCs w:val="22"/>
                <w:lang w:eastAsia="en-US"/>
              </w:rPr>
              <w:t>Noordin</w:t>
            </w:r>
            <w:proofErr w:type="spellEnd"/>
            <w:r w:rsidRPr="00C85601">
              <w:rPr>
                <w:rFonts w:ascii="Calibri" w:hAnsi="Calibri"/>
                <w:bCs/>
                <w:sz w:val="22"/>
                <w:szCs w:val="22"/>
                <w:lang w:eastAsia="en-US"/>
              </w:rPr>
              <w:t xml:space="preserve"> S</w:t>
            </w:r>
            <w:r>
              <w:rPr>
                <w:rFonts w:ascii="Calibri" w:hAnsi="Calibri"/>
                <w:bCs/>
                <w:sz w:val="22"/>
                <w:szCs w:val="22"/>
                <w:lang w:eastAsia="en-US"/>
              </w:rPr>
              <w:t xml:space="preserve"> (2018) </w:t>
            </w:r>
            <w:r w:rsidRPr="00C85601">
              <w:rPr>
                <w:rFonts w:ascii="Calibri" w:hAnsi="Calibri"/>
                <w:bCs/>
                <w:sz w:val="22"/>
                <w:szCs w:val="22"/>
                <w:lang w:eastAsia="en-US"/>
              </w:rPr>
              <w:t>Osteoporosis and its perspective in Pakistan: A review of evidence and issues for addressing fragility fractures. Ann Med Surg (</w:t>
            </w:r>
            <w:proofErr w:type="spellStart"/>
            <w:r w:rsidRPr="00C85601">
              <w:rPr>
                <w:rFonts w:ascii="Calibri" w:hAnsi="Calibri"/>
                <w:bCs/>
                <w:sz w:val="22"/>
                <w:szCs w:val="22"/>
                <w:lang w:eastAsia="en-US"/>
              </w:rPr>
              <w:t>Lond</w:t>
            </w:r>
            <w:proofErr w:type="spellEnd"/>
            <w:r w:rsidRPr="00C85601">
              <w:rPr>
                <w:rFonts w:ascii="Calibri" w:hAnsi="Calibri"/>
                <w:bCs/>
                <w:sz w:val="22"/>
                <w:szCs w:val="22"/>
                <w:lang w:eastAsia="en-US"/>
              </w:rPr>
              <w:t>)</w:t>
            </w:r>
            <w:r>
              <w:rPr>
                <w:rFonts w:ascii="Calibri" w:hAnsi="Calibri"/>
                <w:bCs/>
                <w:sz w:val="22"/>
                <w:szCs w:val="22"/>
                <w:lang w:eastAsia="en-US"/>
              </w:rPr>
              <w:t xml:space="preserve"> </w:t>
            </w:r>
            <w:r w:rsidRPr="00C85601">
              <w:rPr>
                <w:rFonts w:ascii="Calibri" w:hAnsi="Calibri"/>
                <w:bCs/>
                <w:sz w:val="22"/>
                <w:szCs w:val="22"/>
                <w:lang w:eastAsia="en-US"/>
              </w:rPr>
              <w:t>29:</w:t>
            </w:r>
            <w:r>
              <w:rPr>
                <w:rFonts w:ascii="Calibri" w:hAnsi="Calibri"/>
                <w:bCs/>
                <w:sz w:val="22"/>
                <w:szCs w:val="22"/>
                <w:lang w:eastAsia="en-US"/>
              </w:rPr>
              <w:t xml:space="preserve"> </w:t>
            </w:r>
            <w:r w:rsidRPr="00C85601">
              <w:rPr>
                <w:rFonts w:ascii="Calibri" w:hAnsi="Calibri"/>
                <w:bCs/>
                <w:sz w:val="22"/>
                <w:szCs w:val="22"/>
                <w:lang w:eastAsia="en-US"/>
              </w:rPr>
              <w:t>19-25.</w:t>
            </w:r>
          </w:p>
        </w:tc>
      </w:tr>
      <w:tr w:rsidR="008C42B8" w:rsidRPr="00D10C97" w14:paraId="3C585F69" w14:textId="77777777" w:rsidTr="003368C2">
        <w:tc>
          <w:tcPr>
            <w:tcW w:w="567" w:type="dxa"/>
          </w:tcPr>
          <w:p w14:paraId="3E073F7F"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7.</w:t>
            </w:r>
          </w:p>
        </w:tc>
        <w:tc>
          <w:tcPr>
            <w:tcW w:w="7598" w:type="dxa"/>
          </w:tcPr>
          <w:p w14:paraId="371BB0BF" w14:textId="77777777" w:rsidR="008C42B8" w:rsidRPr="007A3D87" w:rsidRDefault="008C42B8" w:rsidP="00FD530F">
            <w:pPr>
              <w:spacing w:after="240"/>
              <w:rPr>
                <w:rFonts w:ascii="Calibri" w:eastAsia="Calibri" w:hAnsi="Calibri"/>
                <w:sz w:val="22"/>
                <w:szCs w:val="22"/>
                <w:lang w:eastAsia="en-US"/>
              </w:rPr>
            </w:pPr>
            <w:bookmarkStart w:id="6" w:name="_Hlk53834146"/>
            <w:r w:rsidRPr="007A3D87">
              <w:rPr>
                <w:rFonts w:ascii="Calibri" w:eastAsia="Calibri" w:hAnsi="Calibri"/>
                <w:sz w:val="22"/>
                <w:szCs w:val="22"/>
                <w:lang w:eastAsia="en-US"/>
              </w:rPr>
              <w:t>Pakistan Bureau</w:t>
            </w:r>
            <w:r w:rsidRPr="00423FBC">
              <w:rPr>
                <w:rFonts w:ascii="Calibri" w:eastAsia="Calibri" w:hAnsi="Calibri"/>
                <w:sz w:val="22"/>
                <w:szCs w:val="22"/>
                <w:lang w:eastAsia="en-US"/>
              </w:rPr>
              <w:t xml:space="preserve"> </w:t>
            </w:r>
            <w:bookmarkEnd w:id="6"/>
            <w:r w:rsidRPr="00423FBC">
              <w:rPr>
                <w:rFonts w:ascii="Calibri" w:eastAsia="Calibri" w:hAnsi="Calibri"/>
                <w:sz w:val="22"/>
                <w:szCs w:val="22"/>
                <w:lang w:eastAsia="en-US"/>
              </w:rPr>
              <w:t>of Statistics (2017) Provisional Summary Results of</w:t>
            </w:r>
            <w:r w:rsidRPr="007A3D87">
              <w:rPr>
                <w:rFonts w:ascii="Calibri" w:eastAsia="Calibri" w:hAnsi="Calibri"/>
                <w:sz w:val="22"/>
                <w:szCs w:val="22"/>
                <w:lang w:eastAsia="en-US"/>
              </w:rPr>
              <w:t xml:space="preserve"> 6th Population and Housing Census – 2017.  http://www.pbs.gov.pk/content/provisional-summary-results-6th-population-and-housing-census-2017-0. Accessed 28 January 2020  </w:t>
            </w:r>
          </w:p>
        </w:tc>
      </w:tr>
      <w:tr w:rsidR="008C42B8" w:rsidRPr="00753DF0" w14:paraId="58DD8F2B" w14:textId="77777777" w:rsidTr="003368C2">
        <w:tc>
          <w:tcPr>
            <w:tcW w:w="567" w:type="dxa"/>
          </w:tcPr>
          <w:p w14:paraId="255118B0"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8.</w:t>
            </w:r>
          </w:p>
        </w:tc>
        <w:tc>
          <w:tcPr>
            <w:tcW w:w="7598" w:type="dxa"/>
            <w:shd w:val="clear" w:color="auto" w:fill="auto"/>
          </w:tcPr>
          <w:p w14:paraId="332CCDBD"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United Nations</w:t>
            </w:r>
            <w:r w:rsidRPr="007A3D87">
              <w:rPr>
                <w:rFonts w:ascii="Calibri" w:eastAsia="Calibri" w:hAnsi="Calibri"/>
                <w:sz w:val="22"/>
                <w:szCs w:val="22"/>
                <w:lang w:eastAsia="en-US"/>
              </w:rPr>
              <w:t xml:space="preserve"> (2019) World Population Prospects 2019. Department of Economic and Social Affairs Population Dynamics. </w:t>
            </w:r>
            <w:hyperlink r:id="rId10" w:history="1">
              <w:r w:rsidRPr="007A3D87">
                <w:rPr>
                  <w:rStyle w:val="Hyperlink"/>
                  <w:rFonts w:ascii="Calibri" w:eastAsia="Calibri" w:hAnsi="Calibri"/>
                  <w:sz w:val="22"/>
                  <w:szCs w:val="22"/>
                  <w:lang w:eastAsia="en-US"/>
                </w:rPr>
                <w:t>https://population.un.org/wpp/Download/Standard/Population/</w:t>
              </w:r>
            </w:hyperlink>
            <w:r w:rsidRPr="00423FBC">
              <w:rPr>
                <w:rFonts w:ascii="Calibri" w:eastAsia="Calibri" w:hAnsi="Calibri"/>
                <w:sz w:val="22"/>
                <w:szCs w:val="22"/>
                <w:lang w:eastAsia="en-US"/>
              </w:rPr>
              <w:t xml:space="preserve"> Accessed 4 Jan 2020</w:t>
            </w:r>
          </w:p>
        </w:tc>
      </w:tr>
      <w:tr w:rsidR="008C42B8" w:rsidRPr="00D10C97" w14:paraId="4D781AAD" w14:textId="77777777" w:rsidTr="003368C2">
        <w:tc>
          <w:tcPr>
            <w:tcW w:w="567" w:type="dxa"/>
          </w:tcPr>
          <w:p w14:paraId="46CA57B6"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9.</w:t>
            </w:r>
          </w:p>
        </w:tc>
        <w:tc>
          <w:tcPr>
            <w:tcW w:w="7598" w:type="dxa"/>
          </w:tcPr>
          <w:p w14:paraId="5B93BAF4" w14:textId="77777777" w:rsidR="008C42B8" w:rsidRPr="00423FBC" w:rsidRDefault="008C42B8" w:rsidP="00FD530F">
            <w:pPr>
              <w:spacing w:after="240"/>
              <w:rPr>
                <w:rFonts w:ascii="Calibri" w:eastAsia="Calibri" w:hAnsi="Calibri"/>
                <w:sz w:val="22"/>
                <w:szCs w:val="22"/>
                <w:lang w:eastAsia="en-US"/>
              </w:rPr>
            </w:pPr>
            <w:r w:rsidRPr="006530FB">
              <w:rPr>
                <w:rFonts w:ascii="Calibri" w:eastAsia="Calibri" w:hAnsi="Calibri"/>
                <w:sz w:val="22"/>
                <w:szCs w:val="22"/>
                <w:lang w:eastAsia="en-US"/>
              </w:rPr>
              <w:t xml:space="preserve">Office for National Statistics (2020) Population estimates for the UK, England and Wales, </w:t>
            </w:r>
            <w:proofErr w:type="gramStart"/>
            <w:r w:rsidRPr="006530FB">
              <w:rPr>
                <w:rFonts w:ascii="Calibri" w:eastAsia="Calibri" w:hAnsi="Calibri"/>
                <w:sz w:val="22"/>
                <w:szCs w:val="22"/>
                <w:lang w:eastAsia="en-US"/>
              </w:rPr>
              <w:t>Scotland</w:t>
            </w:r>
            <w:proofErr w:type="gramEnd"/>
            <w:r w:rsidRPr="006530FB">
              <w:rPr>
                <w:rFonts w:ascii="Calibri" w:eastAsia="Calibri" w:hAnsi="Calibri"/>
                <w:sz w:val="22"/>
                <w:szCs w:val="22"/>
                <w:lang w:eastAsia="en-US"/>
              </w:rPr>
              <w:t xml:space="preserve"> and Northern Ireland: mid-2019. National and subnational mid-year population estimates for the UK and its constituent countries by administrative area, </w:t>
            </w:r>
            <w:proofErr w:type="gramStart"/>
            <w:r w:rsidRPr="006530FB">
              <w:rPr>
                <w:rFonts w:ascii="Calibri" w:eastAsia="Calibri" w:hAnsi="Calibri"/>
                <w:sz w:val="22"/>
                <w:szCs w:val="22"/>
                <w:lang w:eastAsia="en-US"/>
              </w:rPr>
              <w:t>age</w:t>
            </w:r>
            <w:proofErr w:type="gramEnd"/>
            <w:r w:rsidRPr="006530FB">
              <w:rPr>
                <w:rFonts w:ascii="Calibri" w:eastAsia="Calibri" w:hAnsi="Calibri"/>
                <w:sz w:val="22"/>
                <w:szCs w:val="22"/>
                <w:lang w:eastAsia="en-US"/>
              </w:rPr>
              <w:t xml:space="preserve"> and sex. </w:t>
            </w:r>
            <w:hyperlink r:id="rId11" w:anchor=":~:text=The%20average%20age%20in%20England%20reaches%2040%20years%20old&amp;text=In%20mid%2D2019%2C%20the%20median,40.0%20years%20to%2040.1%20years" w:history="1">
              <w:r w:rsidRPr="00571ADE">
                <w:rPr>
                  <w:rStyle w:val="Hyperlink"/>
                  <w:rFonts w:ascii="Calibri" w:eastAsia="Calibri" w:hAnsi="Calibri"/>
                  <w:sz w:val="22"/>
                  <w:szCs w:val="22"/>
                  <w:lang w:eastAsia="en-US"/>
                </w:rPr>
                <w:t>https://www.ons.gov.uk/peoplepopulationandcommunity/populationandmigration/populationestimates/bulletins/annualmidyearpopulationestimates/mid2019estimates#:~:text=The%20average%20age%20in%20England%20reaches%2040%20years%20old&amp;text=In%20mid%2D2019%2C%20the%20median,40.0%20years%20to%2040.1%20years</w:t>
              </w:r>
            </w:hyperlink>
            <w:r>
              <w:rPr>
                <w:rFonts w:ascii="Calibri" w:eastAsia="Calibri" w:hAnsi="Calibri"/>
                <w:sz w:val="22"/>
                <w:szCs w:val="22"/>
                <w:lang w:eastAsia="en-US"/>
              </w:rPr>
              <w:t xml:space="preserve"> </w:t>
            </w:r>
            <w:r w:rsidRPr="006530FB">
              <w:rPr>
                <w:rFonts w:ascii="Calibri" w:eastAsia="Calibri" w:hAnsi="Calibri"/>
                <w:sz w:val="22"/>
                <w:szCs w:val="22"/>
                <w:lang w:eastAsia="en-US"/>
              </w:rPr>
              <w:t xml:space="preserve"> Accessed 19 November 2020</w:t>
            </w:r>
          </w:p>
        </w:tc>
      </w:tr>
      <w:tr w:rsidR="008C42B8" w:rsidRPr="00753DF0" w14:paraId="254883B8" w14:textId="77777777" w:rsidTr="003368C2">
        <w:tc>
          <w:tcPr>
            <w:tcW w:w="567" w:type="dxa"/>
            <w:shd w:val="clear" w:color="auto" w:fill="auto"/>
          </w:tcPr>
          <w:p w14:paraId="13A4383D"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10.</w:t>
            </w:r>
          </w:p>
        </w:tc>
        <w:tc>
          <w:tcPr>
            <w:tcW w:w="7598" w:type="dxa"/>
          </w:tcPr>
          <w:p w14:paraId="1E0E4A63"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Cherian KE, Kapoor N, Paul TV</w:t>
            </w:r>
            <w:r w:rsidRPr="007A3D87">
              <w:rPr>
                <w:rFonts w:ascii="Calibri" w:eastAsia="Calibri" w:hAnsi="Calibri"/>
                <w:sz w:val="22"/>
                <w:szCs w:val="22"/>
                <w:lang w:eastAsia="en-US"/>
              </w:rPr>
              <w:t xml:space="preserve"> (2019) Utility of FRAX (fracture risk assessment tool) in primary care and family practice setting in India. J Family Med Prim Care. 2019 Jun;8(6):1824-1827.</w:t>
            </w:r>
          </w:p>
        </w:tc>
      </w:tr>
      <w:tr w:rsidR="008C42B8" w:rsidRPr="00D10C97" w14:paraId="2B401E81" w14:textId="77777777" w:rsidTr="003368C2">
        <w:tc>
          <w:tcPr>
            <w:tcW w:w="567" w:type="dxa"/>
          </w:tcPr>
          <w:p w14:paraId="69F1F5D2"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lastRenderedPageBreak/>
              <w:t>11.</w:t>
            </w:r>
          </w:p>
        </w:tc>
        <w:tc>
          <w:tcPr>
            <w:tcW w:w="7598" w:type="dxa"/>
            <w:shd w:val="clear" w:color="auto" w:fill="auto"/>
          </w:tcPr>
          <w:p w14:paraId="02705A2D" w14:textId="77777777" w:rsidR="008C42B8" w:rsidRPr="007A3D87" w:rsidRDefault="008C42B8" w:rsidP="00F60EAF">
            <w:pPr>
              <w:spacing w:after="240"/>
              <w:rPr>
                <w:rFonts w:ascii="Calibri" w:hAnsi="Calibri"/>
                <w:bCs/>
                <w:sz w:val="22"/>
                <w:szCs w:val="22"/>
                <w:lang w:eastAsia="en-US"/>
              </w:rPr>
            </w:pPr>
            <w:r w:rsidRPr="007A3D87">
              <w:rPr>
                <w:rFonts w:ascii="Calibri" w:hAnsi="Calibri"/>
                <w:bCs/>
                <w:sz w:val="22"/>
                <w:szCs w:val="22"/>
                <w:lang w:eastAsia="en-US"/>
              </w:rPr>
              <w:t>Kanis JA</w:t>
            </w:r>
            <w:r w:rsidRPr="00423FBC">
              <w:rPr>
                <w:rFonts w:ascii="Calibri" w:hAnsi="Calibri"/>
                <w:bCs/>
                <w:sz w:val="22"/>
                <w:szCs w:val="22"/>
                <w:lang w:eastAsia="en-US"/>
              </w:rPr>
              <w:t xml:space="preserve">, Chandran M, </w:t>
            </w:r>
            <w:proofErr w:type="spellStart"/>
            <w:r w:rsidRPr="00423FBC">
              <w:rPr>
                <w:rFonts w:ascii="Calibri" w:hAnsi="Calibri"/>
                <w:bCs/>
                <w:sz w:val="22"/>
                <w:szCs w:val="22"/>
                <w:lang w:eastAsia="en-US"/>
              </w:rPr>
              <w:t>Chionh</w:t>
            </w:r>
            <w:proofErr w:type="spellEnd"/>
            <w:r w:rsidRPr="00423FBC">
              <w:rPr>
                <w:rFonts w:ascii="Calibri" w:hAnsi="Calibri"/>
                <w:bCs/>
                <w:sz w:val="22"/>
                <w:szCs w:val="22"/>
                <w:lang w:eastAsia="en-US"/>
              </w:rPr>
              <w:t xml:space="preserve"> SB, </w:t>
            </w:r>
            <w:proofErr w:type="spellStart"/>
            <w:r w:rsidRPr="00423FBC">
              <w:rPr>
                <w:rFonts w:ascii="Calibri" w:hAnsi="Calibri"/>
                <w:bCs/>
                <w:sz w:val="22"/>
                <w:szCs w:val="22"/>
                <w:lang w:eastAsia="en-US"/>
              </w:rPr>
              <w:t>Ganeson</w:t>
            </w:r>
            <w:proofErr w:type="spellEnd"/>
            <w:r w:rsidRPr="00423FBC">
              <w:rPr>
                <w:rFonts w:ascii="Calibri" w:hAnsi="Calibri"/>
                <w:bCs/>
                <w:sz w:val="22"/>
                <w:szCs w:val="22"/>
                <w:lang w:eastAsia="en-US"/>
              </w:rPr>
              <w:t xml:space="preserve"> G, Harvey NC, Koh WP, Kwok T, Lau TC, Liu E, Lorentzon M, McCloskey EV, Tan KB, </w:t>
            </w:r>
            <w:proofErr w:type="spellStart"/>
            <w:r w:rsidRPr="00423FBC">
              <w:rPr>
                <w:rFonts w:ascii="Calibri" w:hAnsi="Calibri"/>
                <w:bCs/>
                <w:sz w:val="22"/>
                <w:szCs w:val="22"/>
                <w:lang w:eastAsia="en-US"/>
              </w:rPr>
              <w:t>Vandenput</w:t>
            </w:r>
            <w:proofErr w:type="spellEnd"/>
            <w:r w:rsidRPr="00423FBC">
              <w:rPr>
                <w:rFonts w:ascii="Calibri" w:hAnsi="Calibri"/>
                <w:bCs/>
                <w:sz w:val="22"/>
                <w:szCs w:val="22"/>
                <w:lang w:eastAsia="en-US"/>
              </w:rPr>
              <w:t xml:space="preserve"> L, Johansson H</w:t>
            </w:r>
            <w:r w:rsidRPr="007A3D87">
              <w:rPr>
                <w:rFonts w:ascii="Calibri" w:hAnsi="Calibri"/>
                <w:bCs/>
                <w:sz w:val="22"/>
                <w:szCs w:val="22"/>
                <w:lang w:eastAsia="en-US"/>
              </w:rPr>
              <w:t xml:space="preserve"> (2020</w:t>
            </w:r>
            <w:r w:rsidRPr="00423FBC">
              <w:rPr>
                <w:rFonts w:ascii="Calibri" w:hAnsi="Calibri"/>
                <w:bCs/>
                <w:sz w:val="22"/>
                <w:szCs w:val="22"/>
                <w:lang w:eastAsia="en-US"/>
              </w:rPr>
              <w:t xml:space="preserve">) </w:t>
            </w:r>
            <w:r w:rsidRPr="007A3D87">
              <w:rPr>
                <w:rFonts w:ascii="Calibri" w:hAnsi="Calibri"/>
                <w:bCs/>
                <w:sz w:val="22"/>
                <w:szCs w:val="22"/>
                <w:lang w:eastAsia="en-US"/>
              </w:rPr>
              <w:t xml:space="preserve">Use of age-dependent FRAX-based intervention thresholds for Singapore. Arch Osteoporos;15(1):104. </w:t>
            </w:r>
            <w:proofErr w:type="spellStart"/>
            <w:r w:rsidRPr="007A3D87">
              <w:rPr>
                <w:rFonts w:ascii="Calibri" w:hAnsi="Calibri"/>
                <w:bCs/>
                <w:sz w:val="22"/>
                <w:szCs w:val="22"/>
                <w:lang w:eastAsia="en-US"/>
              </w:rPr>
              <w:t>doi</w:t>
            </w:r>
            <w:proofErr w:type="spellEnd"/>
            <w:r w:rsidRPr="007A3D87">
              <w:rPr>
                <w:rFonts w:ascii="Calibri" w:hAnsi="Calibri"/>
                <w:bCs/>
                <w:sz w:val="22"/>
                <w:szCs w:val="22"/>
                <w:lang w:eastAsia="en-US"/>
              </w:rPr>
              <w:t>: 10.1007/s11657-020-00782-9.</w:t>
            </w:r>
          </w:p>
        </w:tc>
      </w:tr>
      <w:tr w:rsidR="008C42B8" w:rsidRPr="00D10C97" w14:paraId="4E9C009F" w14:textId="77777777" w:rsidTr="003368C2">
        <w:tc>
          <w:tcPr>
            <w:tcW w:w="567" w:type="dxa"/>
          </w:tcPr>
          <w:p w14:paraId="55DF1082" w14:textId="77777777" w:rsidR="008C42B8" w:rsidRDefault="008C42B8" w:rsidP="00EF44D1">
            <w:pPr>
              <w:spacing w:after="240"/>
              <w:jc w:val="right"/>
              <w:rPr>
                <w:rFonts w:ascii="Calibri" w:eastAsia="Calibri" w:hAnsi="Calibri"/>
                <w:sz w:val="22"/>
                <w:szCs w:val="22"/>
                <w:lang w:eastAsia="en-US"/>
              </w:rPr>
            </w:pPr>
            <w:r>
              <w:rPr>
                <w:rFonts w:ascii="Calibri" w:eastAsia="Calibri" w:hAnsi="Calibri"/>
                <w:sz w:val="22"/>
                <w:szCs w:val="22"/>
                <w:lang w:eastAsia="en-US"/>
              </w:rPr>
              <w:t>12.</w:t>
            </w:r>
          </w:p>
        </w:tc>
        <w:tc>
          <w:tcPr>
            <w:tcW w:w="7598" w:type="dxa"/>
          </w:tcPr>
          <w:p w14:paraId="69892D4E" w14:textId="77777777" w:rsidR="008C42B8" w:rsidRPr="007A3D87" w:rsidRDefault="008C42B8" w:rsidP="00EF44D1">
            <w:pPr>
              <w:spacing w:after="240"/>
              <w:rPr>
                <w:rFonts w:ascii="Calibri" w:eastAsia="Calibri" w:hAnsi="Calibri"/>
                <w:sz w:val="22"/>
                <w:szCs w:val="22"/>
                <w:lang w:eastAsia="en-US"/>
              </w:rPr>
            </w:pPr>
            <w:r w:rsidRPr="00423FBC">
              <w:rPr>
                <w:rFonts w:ascii="Calibri" w:eastAsia="Calibri" w:hAnsi="Calibri"/>
                <w:sz w:val="22"/>
                <w:szCs w:val="22"/>
                <w:lang w:eastAsia="en-US"/>
              </w:rPr>
              <w:t xml:space="preserve">Kanis JA, Oden A, </w:t>
            </w:r>
            <w:proofErr w:type="spellStart"/>
            <w:r w:rsidRPr="00423FBC">
              <w:rPr>
                <w:rFonts w:ascii="Calibri" w:eastAsia="Calibri" w:hAnsi="Calibri"/>
                <w:sz w:val="22"/>
                <w:szCs w:val="22"/>
                <w:lang w:eastAsia="en-US"/>
              </w:rPr>
              <w:t>Johnell</w:t>
            </w:r>
            <w:proofErr w:type="spellEnd"/>
            <w:r w:rsidRPr="00423FBC">
              <w:rPr>
                <w:rFonts w:ascii="Calibri" w:eastAsia="Calibri" w:hAnsi="Calibri"/>
                <w:sz w:val="22"/>
                <w:szCs w:val="22"/>
                <w:lang w:eastAsia="en-US"/>
              </w:rPr>
              <w:t xml:space="preserve"> O, Jonsson B, de </w:t>
            </w:r>
            <w:proofErr w:type="spellStart"/>
            <w:r w:rsidRPr="00423FBC">
              <w:rPr>
                <w:rFonts w:ascii="Calibri" w:eastAsia="Calibri" w:hAnsi="Calibri"/>
                <w:sz w:val="22"/>
                <w:szCs w:val="22"/>
                <w:lang w:eastAsia="en-US"/>
              </w:rPr>
              <w:t>Laet</w:t>
            </w:r>
            <w:proofErr w:type="spellEnd"/>
            <w:r w:rsidRPr="00423FBC">
              <w:rPr>
                <w:rFonts w:ascii="Calibri" w:eastAsia="Calibri" w:hAnsi="Calibri"/>
                <w:sz w:val="22"/>
                <w:szCs w:val="22"/>
                <w:lang w:eastAsia="en-US"/>
              </w:rPr>
              <w:t xml:space="preserve"> C, Dawson A (</w:t>
            </w:r>
            <w:r w:rsidRPr="007A3D87">
              <w:rPr>
                <w:rFonts w:ascii="Calibri" w:eastAsia="Calibri" w:hAnsi="Calibri"/>
                <w:sz w:val="22"/>
                <w:szCs w:val="22"/>
                <w:lang w:eastAsia="en-US"/>
              </w:rPr>
              <w:t>2001</w:t>
            </w:r>
            <w:r w:rsidRPr="00423FBC">
              <w:rPr>
                <w:rFonts w:ascii="Calibri" w:eastAsia="Calibri" w:hAnsi="Calibri"/>
                <w:sz w:val="22"/>
                <w:szCs w:val="22"/>
                <w:lang w:eastAsia="en-US"/>
              </w:rPr>
              <w:t>) The burden of osteoporotic fractures: a method for setting intervention thresholds. Osteoporos Int 12:417–427</w:t>
            </w:r>
          </w:p>
        </w:tc>
      </w:tr>
      <w:tr w:rsidR="008C42B8" w:rsidRPr="00D10C97" w14:paraId="12F1F32B" w14:textId="77777777" w:rsidTr="003368C2">
        <w:tc>
          <w:tcPr>
            <w:tcW w:w="567" w:type="dxa"/>
          </w:tcPr>
          <w:p w14:paraId="51D0B432"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13.</w:t>
            </w:r>
          </w:p>
        </w:tc>
        <w:tc>
          <w:tcPr>
            <w:tcW w:w="7598" w:type="dxa"/>
          </w:tcPr>
          <w:p w14:paraId="4E9DB33C"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Lam A</w:t>
            </w:r>
            <w:r w:rsidRPr="007A3D87">
              <w:rPr>
                <w:rFonts w:ascii="Calibri" w:eastAsia="Calibri" w:hAnsi="Calibri"/>
                <w:sz w:val="22"/>
                <w:szCs w:val="22"/>
                <w:lang w:eastAsia="en-US"/>
              </w:rPr>
              <w:t xml:space="preserve">, </w:t>
            </w:r>
            <w:proofErr w:type="spellStart"/>
            <w:r w:rsidRPr="007A3D87">
              <w:rPr>
                <w:rFonts w:ascii="Calibri" w:eastAsia="Calibri" w:hAnsi="Calibri"/>
                <w:sz w:val="22"/>
                <w:szCs w:val="22"/>
                <w:lang w:eastAsia="en-US"/>
              </w:rPr>
              <w:t>LeslieWD</w:t>
            </w:r>
            <w:proofErr w:type="spellEnd"/>
            <w:r w:rsidRPr="007A3D87">
              <w:rPr>
                <w:rFonts w:ascii="Calibri" w:eastAsia="Calibri" w:hAnsi="Calibri"/>
                <w:sz w:val="22"/>
                <w:szCs w:val="22"/>
                <w:lang w:eastAsia="en-US"/>
              </w:rPr>
              <w:t xml:space="preserve">, </w:t>
            </w:r>
            <w:proofErr w:type="spellStart"/>
            <w:r w:rsidRPr="007A3D87">
              <w:rPr>
                <w:rFonts w:ascii="Calibri" w:eastAsia="Calibri" w:hAnsi="Calibri"/>
                <w:sz w:val="22"/>
                <w:szCs w:val="22"/>
                <w:lang w:eastAsia="en-US"/>
              </w:rPr>
              <w:t>Lix</w:t>
            </w:r>
            <w:proofErr w:type="spellEnd"/>
            <w:r w:rsidRPr="007A3D87">
              <w:rPr>
                <w:rFonts w:ascii="Calibri" w:eastAsia="Calibri" w:hAnsi="Calibri"/>
                <w:sz w:val="22"/>
                <w:szCs w:val="22"/>
                <w:lang w:eastAsia="en-US"/>
              </w:rPr>
              <w:t xml:space="preserve"> LM, </w:t>
            </w:r>
            <w:proofErr w:type="spellStart"/>
            <w:r w:rsidRPr="007A3D87">
              <w:rPr>
                <w:rFonts w:ascii="Calibri" w:eastAsia="Calibri" w:hAnsi="Calibri"/>
                <w:sz w:val="22"/>
                <w:szCs w:val="22"/>
                <w:lang w:eastAsia="en-US"/>
              </w:rPr>
              <w:t>Yogendran</w:t>
            </w:r>
            <w:proofErr w:type="spellEnd"/>
            <w:r w:rsidRPr="007A3D87">
              <w:rPr>
                <w:rFonts w:ascii="Calibri" w:eastAsia="Calibri" w:hAnsi="Calibri"/>
                <w:sz w:val="22"/>
                <w:szCs w:val="22"/>
                <w:lang w:eastAsia="en-US"/>
              </w:rPr>
              <w:t xml:space="preserve"> M, Morin SN, Majumdar SR (2014) Major osteoporotic to hip fracture ratios in Canadian men and women with Swedish comparisons: a population-based analysis. J Bone Miner Res 29:1067–1073</w:t>
            </w:r>
          </w:p>
        </w:tc>
      </w:tr>
      <w:tr w:rsidR="008C42B8" w:rsidRPr="00D10C97" w14:paraId="56DCC457" w14:textId="77777777" w:rsidTr="003368C2">
        <w:tc>
          <w:tcPr>
            <w:tcW w:w="567" w:type="dxa"/>
          </w:tcPr>
          <w:p w14:paraId="670A8173"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14.</w:t>
            </w:r>
          </w:p>
        </w:tc>
        <w:tc>
          <w:tcPr>
            <w:tcW w:w="7598" w:type="dxa"/>
          </w:tcPr>
          <w:p w14:paraId="191507E6" w14:textId="77777777" w:rsidR="008C42B8" w:rsidRPr="007A3D87" w:rsidRDefault="008C42B8" w:rsidP="00FD530F">
            <w:pPr>
              <w:spacing w:after="240"/>
              <w:rPr>
                <w:rFonts w:ascii="Calibri" w:eastAsia="Calibri" w:hAnsi="Calibri"/>
                <w:sz w:val="22"/>
                <w:szCs w:val="22"/>
                <w:lang w:eastAsia="en-US"/>
              </w:rPr>
            </w:pPr>
            <w:bookmarkStart w:id="7" w:name="_Hlk10454855"/>
            <w:bookmarkStart w:id="8" w:name="_Hlk11806024"/>
            <w:proofErr w:type="spellStart"/>
            <w:r w:rsidRPr="00423FBC">
              <w:rPr>
                <w:rFonts w:ascii="Calibri" w:eastAsia="Calibri" w:hAnsi="Calibri"/>
                <w:sz w:val="22"/>
                <w:szCs w:val="22"/>
                <w:lang w:eastAsia="en-US"/>
              </w:rPr>
              <w:t>Siggeirsdottir</w:t>
            </w:r>
            <w:bookmarkEnd w:id="7"/>
            <w:proofErr w:type="spellEnd"/>
            <w:r w:rsidRPr="007A3D87">
              <w:rPr>
                <w:rFonts w:ascii="Calibri" w:eastAsia="Calibri" w:hAnsi="Calibri"/>
                <w:sz w:val="22"/>
                <w:szCs w:val="22"/>
                <w:lang w:eastAsia="en-US"/>
              </w:rPr>
              <w:t xml:space="preserve"> </w:t>
            </w:r>
            <w:bookmarkEnd w:id="8"/>
            <w:r w:rsidRPr="007A3D87">
              <w:rPr>
                <w:rFonts w:ascii="Calibri" w:eastAsia="Calibri" w:hAnsi="Calibri"/>
                <w:sz w:val="22"/>
                <w:szCs w:val="22"/>
                <w:lang w:eastAsia="en-US"/>
              </w:rPr>
              <w:t xml:space="preserve">K, </w:t>
            </w:r>
            <w:proofErr w:type="spellStart"/>
            <w:r w:rsidRPr="007A3D87">
              <w:rPr>
                <w:rFonts w:ascii="Calibri" w:eastAsia="Calibri" w:hAnsi="Calibri"/>
                <w:sz w:val="22"/>
                <w:szCs w:val="22"/>
                <w:lang w:eastAsia="en-US"/>
              </w:rPr>
              <w:t>Aspelund</w:t>
            </w:r>
            <w:proofErr w:type="spellEnd"/>
            <w:r w:rsidRPr="007A3D87">
              <w:rPr>
                <w:rFonts w:ascii="Calibri" w:eastAsia="Calibri" w:hAnsi="Calibri"/>
                <w:sz w:val="22"/>
                <w:szCs w:val="22"/>
                <w:lang w:eastAsia="en-US"/>
              </w:rPr>
              <w:t xml:space="preserve"> T, Johansson H, Gudmundsson EF, </w:t>
            </w:r>
            <w:proofErr w:type="spellStart"/>
            <w:r w:rsidRPr="007A3D87">
              <w:rPr>
                <w:rFonts w:ascii="Calibri" w:eastAsia="Calibri" w:hAnsi="Calibri"/>
                <w:sz w:val="22"/>
                <w:szCs w:val="22"/>
                <w:lang w:eastAsia="en-US"/>
              </w:rPr>
              <w:t>Mogensen</w:t>
            </w:r>
            <w:proofErr w:type="spellEnd"/>
            <w:r w:rsidRPr="007A3D87">
              <w:rPr>
                <w:rFonts w:ascii="Calibri" w:eastAsia="Calibri" w:hAnsi="Calibri"/>
                <w:sz w:val="22"/>
                <w:szCs w:val="22"/>
                <w:lang w:eastAsia="en-US"/>
              </w:rPr>
              <w:t xml:space="preserve"> B, Jonsson BY, </w:t>
            </w:r>
            <w:proofErr w:type="spellStart"/>
            <w:r w:rsidRPr="007A3D87">
              <w:rPr>
                <w:rFonts w:ascii="Calibri" w:eastAsia="Calibri" w:hAnsi="Calibri"/>
                <w:sz w:val="22"/>
                <w:szCs w:val="22"/>
                <w:lang w:eastAsia="en-US"/>
              </w:rPr>
              <w:t>Gudnason</w:t>
            </w:r>
            <w:proofErr w:type="spellEnd"/>
            <w:r w:rsidRPr="007A3D87">
              <w:rPr>
                <w:rFonts w:ascii="Calibri" w:eastAsia="Calibri" w:hAnsi="Calibri"/>
                <w:sz w:val="22"/>
                <w:szCs w:val="22"/>
                <w:lang w:eastAsia="en-US"/>
              </w:rPr>
              <w:t xml:space="preserve"> V, McCloskey E, Oden A, Sigurdsson G, Kanis JA (2014) The incidence of a first major osteoporotic fracture in Iceland and implications for FRAX. Osteoporos Int 25:2445–2451</w:t>
            </w:r>
          </w:p>
        </w:tc>
      </w:tr>
      <w:tr w:rsidR="008C42B8" w:rsidRPr="003659B2" w14:paraId="4EC2D2B5" w14:textId="77777777" w:rsidTr="003368C2">
        <w:tc>
          <w:tcPr>
            <w:tcW w:w="567" w:type="dxa"/>
          </w:tcPr>
          <w:p w14:paraId="6E6529E0"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15.</w:t>
            </w:r>
          </w:p>
        </w:tc>
        <w:tc>
          <w:tcPr>
            <w:tcW w:w="7598" w:type="dxa"/>
          </w:tcPr>
          <w:p w14:paraId="3A046246" w14:textId="77777777" w:rsidR="008C42B8" w:rsidRPr="007A3D87" w:rsidRDefault="008C42B8" w:rsidP="00FD530F">
            <w:pPr>
              <w:shd w:val="clear" w:color="auto" w:fill="FFFFFF"/>
              <w:rPr>
                <w:rFonts w:ascii="Calibri" w:hAnsi="Calibri" w:cs="Arial"/>
                <w:color w:val="000000"/>
                <w:sz w:val="22"/>
                <w:szCs w:val="22"/>
                <w:lang w:val="en-US"/>
              </w:rPr>
            </w:pPr>
            <w:proofErr w:type="spellStart"/>
            <w:r w:rsidRPr="00423FBC">
              <w:rPr>
                <w:rFonts w:ascii="Calibri" w:eastAsia="Calibri" w:hAnsi="Calibri"/>
                <w:sz w:val="22"/>
                <w:szCs w:val="22"/>
                <w:lang w:eastAsia="en-US"/>
              </w:rPr>
              <w:t>Zakroyeva</w:t>
            </w:r>
            <w:proofErr w:type="spellEnd"/>
            <w:r w:rsidRPr="007A3D87">
              <w:rPr>
                <w:rFonts w:ascii="Calibri" w:eastAsia="Calibri" w:hAnsi="Calibri"/>
                <w:sz w:val="22"/>
                <w:szCs w:val="22"/>
                <w:lang w:eastAsia="en-US"/>
              </w:rPr>
              <w:t xml:space="preserve"> A, </w:t>
            </w:r>
            <w:proofErr w:type="spellStart"/>
            <w:r w:rsidRPr="007A3D87">
              <w:rPr>
                <w:rFonts w:ascii="Calibri" w:eastAsia="Calibri" w:hAnsi="Calibri"/>
                <w:sz w:val="22"/>
                <w:szCs w:val="22"/>
                <w:lang w:eastAsia="en-US"/>
              </w:rPr>
              <w:t>Lesnyak</w:t>
            </w:r>
            <w:proofErr w:type="spellEnd"/>
            <w:r w:rsidRPr="007A3D87">
              <w:rPr>
                <w:rFonts w:ascii="Calibri" w:eastAsia="Calibri" w:hAnsi="Calibri"/>
                <w:sz w:val="22"/>
                <w:szCs w:val="22"/>
                <w:lang w:eastAsia="en-US"/>
              </w:rPr>
              <w:t xml:space="preserve"> O, </w:t>
            </w:r>
            <w:proofErr w:type="spellStart"/>
            <w:r w:rsidRPr="007A3D87">
              <w:rPr>
                <w:rFonts w:ascii="Calibri" w:eastAsia="Calibri" w:hAnsi="Calibri"/>
                <w:sz w:val="22"/>
                <w:szCs w:val="22"/>
                <w:lang w:eastAsia="en-US"/>
              </w:rPr>
              <w:t>Cazac</w:t>
            </w:r>
            <w:proofErr w:type="spellEnd"/>
            <w:r w:rsidRPr="007A3D87">
              <w:rPr>
                <w:rFonts w:ascii="Calibri" w:eastAsia="Calibri" w:hAnsi="Calibri"/>
                <w:sz w:val="22"/>
                <w:szCs w:val="22"/>
                <w:lang w:eastAsia="en-US"/>
              </w:rPr>
              <w:t xml:space="preserve"> V, </w:t>
            </w:r>
            <w:proofErr w:type="spellStart"/>
            <w:r w:rsidRPr="007A3D87">
              <w:rPr>
                <w:rFonts w:ascii="Calibri" w:eastAsia="Calibri" w:hAnsi="Calibri"/>
                <w:sz w:val="22"/>
                <w:szCs w:val="22"/>
                <w:lang w:eastAsia="en-US"/>
              </w:rPr>
              <w:t>Groppa</w:t>
            </w:r>
            <w:proofErr w:type="spellEnd"/>
            <w:r w:rsidRPr="007A3D87">
              <w:rPr>
                <w:rFonts w:ascii="Calibri" w:eastAsia="Calibri" w:hAnsi="Calibri"/>
                <w:sz w:val="22"/>
                <w:szCs w:val="22"/>
                <w:lang w:eastAsia="en-US"/>
              </w:rPr>
              <w:t xml:space="preserve"> L, </w:t>
            </w:r>
            <w:proofErr w:type="spellStart"/>
            <w:r w:rsidRPr="007A3D87">
              <w:rPr>
                <w:rFonts w:ascii="Calibri" w:eastAsia="Calibri" w:hAnsi="Calibri"/>
                <w:sz w:val="22"/>
                <w:szCs w:val="22"/>
                <w:lang w:eastAsia="en-US"/>
              </w:rPr>
              <w:t>Russu</w:t>
            </w:r>
            <w:proofErr w:type="spellEnd"/>
            <w:r w:rsidRPr="007A3D87">
              <w:rPr>
                <w:rFonts w:ascii="Calibri" w:eastAsia="Calibri" w:hAnsi="Calibri"/>
                <w:sz w:val="22"/>
                <w:szCs w:val="22"/>
                <w:lang w:eastAsia="en-US"/>
              </w:rPr>
              <w:t xml:space="preserve"> E, </w:t>
            </w:r>
            <w:proofErr w:type="spellStart"/>
            <w:r w:rsidRPr="007A3D87">
              <w:rPr>
                <w:rFonts w:ascii="Calibri" w:eastAsia="Calibri" w:hAnsi="Calibri"/>
                <w:sz w:val="22"/>
                <w:szCs w:val="22"/>
                <w:lang w:eastAsia="en-US"/>
              </w:rPr>
              <w:t>Chislari</w:t>
            </w:r>
            <w:proofErr w:type="spellEnd"/>
            <w:r w:rsidRPr="007A3D87">
              <w:rPr>
                <w:rFonts w:ascii="Calibri" w:eastAsia="Calibri" w:hAnsi="Calibri"/>
                <w:sz w:val="22"/>
                <w:szCs w:val="22"/>
                <w:lang w:eastAsia="en-US"/>
              </w:rPr>
              <w:t xml:space="preserve"> L, </w:t>
            </w:r>
            <w:proofErr w:type="spellStart"/>
            <w:r w:rsidRPr="007A3D87">
              <w:rPr>
                <w:rFonts w:ascii="Calibri" w:eastAsia="Calibri" w:hAnsi="Calibri"/>
                <w:sz w:val="22"/>
                <w:szCs w:val="22"/>
                <w:lang w:eastAsia="en-US"/>
              </w:rPr>
              <w:t>Rotaru</w:t>
            </w:r>
            <w:proofErr w:type="spellEnd"/>
            <w:r w:rsidRPr="007A3D87">
              <w:rPr>
                <w:rFonts w:ascii="Calibri" w:eastAsia="Calibri" w:hAnsi="Calibri"/>
                <w:sz w:val="22"/>
                <w:szCs w:val="22"/>
                <w:lang w:eastAsia="en-US"/>
              </w:rPr>
              <w:t xml:space="preserve"> L, Johansson H, Harvey NC, McCloskey E, Kanis JA (2020) Epidemiology of osteoporotic fracture in Moldova and development of a country specific FRAX model.  Arch Osteoporos.</w:t>
            </w:r>
            <w:r w:rsidRPr="007A3D87">
              <w:rPr>
                <w:rFonts w:ascii="Calibri" w:hAnsi="Calibri" w:cs="Arial"/>
                <w:color w:val="000000"/>
                <w:sz w:val="22"/>
                <w:szCs w:val="22"/>
                <w:lang w:val="en-US"/>
              </w:rPr>
              <w:t xml:space="preserve"> 15(1):13. </w:t>
            </w:r>
            <w:proofErr w:type="spellStart"/>
            <w:r w:rsidRPr="007A3D87">
              <w:rPr>
                <w:rFonts w:ascii="Calibri" w:hAnsi="Calibri" w:cs="Arial"/>
                <w:color w:val="000000"/>
                <w:sz w:val="22"/>
                <w:szCs w:val="22"/>
                <w:lang w:val="en-US"/>
              </w:rPr>
              <w:t>doi</w:t>
            </w:r>
            <w:proofErr w:type="spellEnd"/>
            <w:r w:rsidRPr="007A3D87">
              <w:rPr>
                <w:rFonts w:ascii="Calibri" w:hAnsi="Calibri" w:cs="Arial"/>
                <w:color w:val="000000"/>
                <w:sz w:val="22"/>
                <w:szCs w:val="22"/>
                <w:lang w:val="en-US"/>
              </w:rPr>
              <w:t>: 10.1007/s11657-019-0669-z.</w:t>
            </w:r>
          </w:p>
          <w:p w14:paraId="553AE07C" w14:textId="77777777" w:rsidR="008C42B8" w:rsidRPr="007A3D87" w:rsidRDefault="008C42B8" w:rsidP="00FD530F">
            <w:pPr>
              <w:spacing w:after="240"/>
              <w:rPr>
                <w:rFonts w:ascii="Calibri" w:eastAsia="Calibri" w:hAnsi="Calibri"/>
                <w:sz w:val="22"/>
                <w:szCs w:val="22"/>
                <w:lang w:eastAsia="en-US"/>
              </w:rPr>
            </w:pPr>
          </w:p>
        </w:tc>
      </w:tr>
      <w:tr w:rsidR="008C42B8" w:rsidRPr="00753DF0" w14:paraId="62E9985F" w14:textId="77777777" w:rsidTr="003368C2">
        <w:tc>
          <w:tcPr>
            <w:tcW w:w="567" w:type="dxa"/>
          </w:tcPr>
          <w:p w14:paraId="231A458B"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16</w:t>
            </w:r>
          </w:p>
        </w:tc>
        <w:tc>
          <w:tcPr>
            <w:tcW w:w="7598" w:type="dxa"/>
          </w:tcPr>
          <w:p w14:paraId="41EAAC87"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World Health</w:t>
            </w:r>
            <w:r w:rsidRPr="007A3D87">
              <w:rPr>
                <w:rFonts w:ascii="Calibri" w:eastAsia="Calibri" w:hAnsi="Calibri"/>
                <w:sz w:val="22"/>
                <w:szCs w:val="22"/>
                <w:lang w:eastAsia="en-US"/>
              </w:rPr>
              <w:t xml:space="preserve"> Organization (2018) Health statistics and information systems: </w:t>
            </w:r>
            <w:hyperlink r:id="rId12" w:history="1">
              <w:r w:rsidRPr="007A3D87">
                <w:rPr>
                  <w:rStyle w:val="Hyperlink"/>
                  <w:rFonts w:ascii="Calibri" w:eastAsia="Calibri" w:hAnsi="Calibri"/>
                  <w:sz w:val="22"/>
                  <w:szCs w:val="22"/>
                  <w:lang w:eastAsia="en-US"/>
                </w:rPr>
                <w:t>http://www.who.int/healthinfo/statistics/mortality_rawdata/en/</w:t>
              </w:r>
            </w:hyperlink>
            <w:r w:rsidRPr="00423FBC">
              <w:rPr>
                <w:rFonts w:ascii="Calibri" w:eastAsia="Calibri" w:hAnsi="Calibri"/>
                <w:sz w:val="22"/>
                <w:szCs w:val="22"/>
                <w:lang w:eastAsia="en-US"/>
              </w:rPr>
              <w:t xml:space="preserve"> Accessed 17</w:t>
            </w:r>
            <w:r w:rsidRPr="007A3D87">
              <w:rPr>
                <w:rFonts w:ascii="Calibri" w:eastAsia="Calibri" w:hAnsi="Calibri"/>
                <w:sz w:val="22"/>
                <w:szCs w:val="22"/>
                <w:vertAlign w:val="superscript"/>
                <w:lang w:eastAsia="en-US"/>
              </w:rPr>
              <w:t>th</w:t>
            </w:r>
            <w:r w:rsidRPr="007A3D87">
              <w:rPr>
                <w:rFonts w:ascii="Calibri" w:eastAsia="Calibri" w:hAnsi="Calibri"/>
                <w:sz w:val="22"/>
                <w:szCs w:val="22"/>
                <w:lang w:eastAsia="en-US"/>
              </w:rPr>
              <w:t xml:space="preserve"> June 2019</w:t>
            </w:r>
          </w:p>
        </w:tc>
      </w:tr>
      <w:tr w:rsidR="008C42B8" w:rsidRPr="00D10C97" w14:paraId="0A02F44B" w14:textId="77777777" w:rsidTr="003368C2">
        <w:tc>
          <w:tcPr>
            <w:tcW w:w="567" w:type="dxa"/>
          </w:tcPr>
          <w:p w14:paraId="368772D7" w14:textId="77777777" w:rsidR="008C42B8" w:rsidRDefault="008C42B8" w:rsidP="00DD7030">
            <w:pPr>
              <w:spacing w:after="240"/>
              <w:jc w:val="right"/>
              <w:rPr>
                <w:rFonts w:ascii="Calibri" w:eastAsia="Calibri" w:hAnsi="Calibri"/>
                <w:sz w:val="22"/>
                <w:szCs w:val="22"/>
                <w:lang w:eastAsia="en-US"/>
              </w:rPr>
            </w:pPr>
            <w:r>
              <w:rPr>
                <w:rFonts w:ascii="Calibri" w:eastAsia="Calibri" w:hAnsi="Calibri"/>
                <w:sz w:val="22"/>
                <w:szCs w:val="22"/>
                <w:lang w:eastAsia="en-US"/>
              </w:rPr>
              <w:t>17.</w:t>
            </w:r>
          </w:p>
        </w:tc>
        <w:tc>
          <w:tcPr>
            <w:tcW w:w="7598" w:type="dxa"/>
            <w:shd w:val="clear" w:color="auto" w:fill="auto"/>
          </w:tcPr>
          <w:p w14:paraId="054D8564" w14:textId="77777777" w:rsidR="008C42B8" w:rsidRPr="007A3D87" w:rsidRDefault="008C42B8" w:rsidP="00DD7030">
            <w:pPr>
              <w:spacing w:after="240"/>
              <w:rPr>
                <w:rFonts w:ascii="Calibri" w:eastAsia="Calibri" w:hAnsi="Calibri"/>
                <w:sz w:val="22"/>
                <w:szCs w:val="22"/>
                <w:lang w:val="en-US" w:eastAsia="en-US"/>
              </w:rPr>
            </w:pPr>
            <w:r w:rsidRPr="00423FBC">
              <w:rPr>
                <w:rFonts w:ascii="Calibri" w:eastAsia="Calibri" w:hAnsi="Calibri"/>
                <w:sz w:val="22"/>
                <w:szCs w:val="22"/>
                <w:lang w:val="en-US" w:eastAsia="en-US"/>
              </w:rPr>
              <w:t>Kanis JA</w:t>
            </w:r>
            <w:r w:rsidRPr="007A3D87">
              <w:rPr>
                <w:rFonts w:ascii="Calibri" w:eastAsia="Calibri" w:hAnsi="Calibri"/>
                <w:sz w:val="22"/>
                <w:szCs w:val="22"/>
                <w:lang w:val="en-US" w:eastAsia="en-US"/>
              </w:rPr>
              <w:t>, Johansson H, Oden A, Dawson-Hughes B, Melton LJ 3rd, McCloskey EV (2010</w:t>
            </w:r>
            <w:r w:rsidRPr="00423FBC">
              <w:rPr>
                <w:rFonts w:ascii="Calibri" w:eastAsia="Calibri" w:hAnsi="Calibri"/>
                <w:sz w:val="22"/>
                <w:szCs w:val="22"/>
                <w:lang w:val="en-US" w:eastAsia="en-US"/>
              </w:rPr>
              <w:t>) The effects of a FRAX((R)) revision for the USA. Osteoporos Int 21: 35-40.</w:t>
            </w:r>
          </w:p>
        </w:tc>
      </w:tr>
      <w:tr w:rsidR="008C42B8" w:rsidRPr="00D10C97" w14:paraId="0BDEDDC4" w14:textId="77777777" w:rsidTr="003368C2">
        <w:tc>
          <w:tcPr>
            <w:tcW w:w="567" w:type="dxa"/>
          </w:tcPr>
          <w:p w14:paraId="2E62A61B"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18.</w:t>
            </w:r>
          </w:p>
        </w:tc>
        <w:tc>
          <w:tcPr>
            <w:tcW w:w="7598" w:type="dxa"/>
          </w:tcPr>
          <w:p w14:paraId="198B30E1" w14:textId="77777777" w:rsidR="008C42B8" w:rsidRPr="007A3D87" w:rsidRDefault="008C42B8" w:rsidP="00FD530F">
            <w:pPr>
              <w:spacing w:after="240"/>
              <w:rPr>
                <w:rFonts w:ascii="Calibri" w:eastAsia="Calibri" w:hAnsi="Calibri"/>
                <w:sz w:val="22"/>
                <w:szCs w:val="22"/>
                <w:lang w:eastAsia="en-US"/>
              </w:rPr>
            </w:pPr>
            <w:proofErr w:type="spellStart"/>
            <w:r w:rsidRPr="00423FBC">
              <w:rPr>
                <w:rFonts w:ascii="Calibri" w:eastAsia="Calibri" w:hAnsi="Calibri"/>
                <w:sz w:val="22"/>
                <w:szCs w:val="22"/>
                <w:lang w:eastAsia="en-US"/>
              </w:rPr>
              <w:t>Lesnyak</w:t>
            </w:r>
            <w:proofErr w:type="spellEnd"/>
            <w:r w:rsidRPr="007A3D87">
              <w:rPr>
                <w:rFonts w:ascii="Calibri" w:eastAsia="Calibri" w:hAnsi="Calibri"/>
                <w:sz w:val="22"/>
                <w:szCs w:val="22"/>
                <w:lang w:eastAsia="en-US"/>
              </w:rPr>
              <w:t xml:space="preserve"> O, </w:t>
            </w:r>
            <w:proofErr w:type="spellStart"/>
            <w:r w:rsidRPr="007A3D87">
              <w:rPr>
                <w:rFonts w:ascii="Calibri" w:eastAsia="Calibri" w:hAnsi="Calibri"/>
                <w:sz w:val="22"/>
                <w:szCs w:val="22"/>
                <w:lang w:eastAsia="en-US"/>
              </w:rPr>
              <w:t>Zakroyeva</w:t>
            </w:r>
            <w:proofErr w:type="spellEnd"/>
            <w:r w:rsidRPr="007A3D87">
              <w:rPr>
                <w:rFonts w:ascii="Calibri" w:eastAsia="Calibri" w:hAnsi="Calibri"/>
                <w:sz w:val="22"/>
                <w:szCs w:val="22"/>
                <w:lang w:eastAsia="en-US"/>
              </w:rPr>
              <w:t xml:space="preserve"> A, </w:t>
            </w:r>
            <w:proofErr w:type="spellStart"/>
            <w:r w:rsidRPr="007A3D87">
              <w:rPr>
                <w:rFonts w:ascii="Calibri" w:eastAsia="Calibri" w:hAnsi="Calibri"/>
                <w:sz w:val="22"/>
                <w:szCs w:val="22"/>
                <w:lang w:eastAsia="en-US"/>
              </w:rPr>
              <w:t>Lobanchenko</w:t>
            </w:r>
            <w:proofErr w:type="spellEnd"/>
            <w:r w:rsidRPr="007A3D87">
              <w:rPr>
                <w:rFonts w:ascii="Calibri" w:eastAsia="Calibri" w:hAnsi="Calibri"/>
                <w:sz w:val="22"/>
                <w:szCs w:val="22"/>
                <w:lang w:eastAsia="en-US"/>
              </w:rPr>
              <w:t xml:space="preserve"> O, Johansson H, Liu E, Lorentzon M, Harvey NC, McCloskey E, Kanis JA (2020) A surrogate FRAX model for the Kyrgyz Republic.  Archives of Osteoporosis 15:68. doi.org/10.1007/s11657-020-00743-2</w:t>
            </w:r>
          </w:p>
        </w:tc>
      </w:tr>
      <w:tr w:rsidR="008C42B8" w:rsidRPr="00D10C97" w14:paraId="5F4222A4" w14:textId="77777777" w:rsidTr="003368C2">
        <w:tc>
          <w:tcPr>
            <w:tcW w:w="567" w:type="dxa"/>
          </w:tcPr>
          <w:p w14:paraId="7FEE5A40"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19.</w:t>
            </w:r>
          </w:p>
        </w:tc>
        <w:tc>
          <w:tcPr>
            <w:tcW w:w="7598" w:type="dxa"/>
            <w:shd w:val="clear" w:color="auto" w:fill="auto"/>
          </w:tcPr>
          <w:p w14:paraId="76095656" w14:textId="77777777" w:rsidR="008C42B8" w:rsidRPr="007A3D87" w:rsidRDefault="008C42B8" w:rsidP="00F60EAF">
            <w:pPr>
              <w:spacing w:after="240"/>
              <w:rPr>
                <w:rFonts w:ascii="Calibri" w:hAnsi="Calibri"/>
                <w:bCs/>
                <w:sz w:val="22"/>
                <w:szCs w:val="22"/>
                <w:lang w:eastAsia="en-US"/>
              </w:rPr>
            </w:pPr>
            <w:r w:rsidRPr="00947531">
              <w:rPr>
                <w:rFonts w:ascii="Calibri" w:hAnsi="Calibri"/>
                <w:bCs/>
                <w:sz w:val="22"/>
                <w:szCs w:val="22"/>
                <w:lang w:eastAsia="en-US"/>
              </w:rPr>
              <w:t>Kanis JA, Cooper C, Dawson-Hughes B, Harvey NC, Johansson H, Lorentzon M, McCloskey EV, Reginster J-Y, Rizzoli R (2020</w:t>
            </w:r>
            <w:r>
              <w:rPr>
                <w:rFonts w:ascii="Calibri" w:hAnsi="Calibri"/>
                <w:bCs/>
                <w:sz w:val="22"/>
                <w:szCs w:val="22"/>
                <w:lang w:eastAsia="en-US"/>
              </w:rPr>
              <w:t>b</w:t>
            </w:r>
            <w:r w:rsidRPr="00947531">
              <w:rPr>
                <w:rFonts w:ascii="Calibri" w:hAnsi="Calibri"/>
                <w:bCs/>
                <w:sz w:val="22"/>
                <w:szCs w:val="22"/>
                <w:lang w:eastAsia="en-US"/>
              </w:rPr>
              <w:t>) FRAX and ethnicity. Osteoporosis International 31: 2063-2067.</w:t>
            </w:r>
          </w:p>
        </w:tc>
      </w:tr>
      <w:tr w:rsidR="008C42B8" w:rsidRPr="00D10C97" w14:paraId="689A5FF6" w14:textId="77777777" w:rsidTr="003368C2">
        <w:tc>
          <w:tcPr>
            <w:tcW w:w="567" w:type="dxa"/>
          </w:tcPr>
          <w:p w14:paraId="0737E218"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20.</w:t>
            </w:r>
          </w:p>
        </w:tc>
        <w:tc>
          <w:tcPr>
            <w:tcW w:w="7598" w:type="dxa"/>
            <w:shd w:val="clear" w:color="auto" w:fill="auto"/>
          </w:tcPr>
          <w:p w14:paraId="05E97782" w14:textId="77777777" w:rsidR="008C42B8" w:rsidRPr="00947531" w:rsidRDefault="008C42B8" w:rsidP="00F60EAF">
            <w:pPr>
              <w:spacing w:after="240"/>
              <w:rPr>
                <w:rFonts w:ascii="Calibri" w:hAnsi="Calibri"/>
                <w:bCs/>
                <w:sz w:val="22"/>
                <w:szCs w:val="22"/>
                <w:lang w:eastAsia="en-US"/>
              </w:rPr>
            </w:pPr>
            <w:proofErr w:type="spellStart"/>
            <w:r w:rsidRPr="004853ED">
              <w:rPr>
                <w:rFonts w:ascii="Calibri" w:hAnsi="Calibri"/>
                <w:bCs/>
                <w:sz w:val="22"/>
                <w:szCs w:val="22"/>
                <w:lang w:eastAsia="en-US"/>
              </w:rPr>
              <w:t>Karacić</w:t>
            </w:r>
            <w:proofErr w:type="spellEnd"/>
            <w:r w:rsidRPr="004853ED">
              <w:rPr>
                <w:rFonts w:ascii="Calibri" w:hAnsi="Calibri"/>
                <w:bCs/>
                <w:sz w:val="22"/>
                <w:szCs w:val="22"/>
                <w:lang w:eastAsia="en-US"/>
              </w:rPr>
              <w:t xml:space="preserve"> TP, </w:t>
            </w:r>
            <w:proofErr w:type="spellStart"/>
            <w:r w:rsidRPr="004853ED">
              <w:rPr>
                <w:rFonts w:ascii="Calibri" w:hAnsi="Calibri"/>
                <w:bCs/>
                <w:sz w:val="22"/>
                <w:szCs w:val="22"/>
                <w:lang w:eastAsia="en-US"/>
              </w:rPr>
              <w:t>Kopjar</w:t>
            </w:r>
            <w:proofErr w:type="spellEnd"/>
            <w:r w:rsidRPr="004853ED">
              <w:rPr>
                <w:rFonts w:ascii="Calibri" w:hAnsi="Calibri"/>
                <w:bCs/>
                <w:sz w:val="22"/>
                <w:szCs w:val="22"/>
                <w:lang w:eastAsia="en-US"/>
              </w:rPr>
              <w:t xml:space="preserve"> B (2009). Hip fracture incidence in Croatia in patients aged 65 years and more. </w:t>
            </w:r>
            <w:proofErr w:type="spellStart"/>
            <w:r w:rsidRPr="004853ED">
              <w:rPr>
                <w:rFonts w:ascii="Calibri" w:hAnsi="Calibri"/>
                <w:bCs/>
                <w:sz w:val="22"/>
                <w:szCs w:val="22"/>
                <w:lang w:eastAsia="en-US"/>
              </w:rPr>
              <w:t>Lijec</w:t>
            </w:r>
            <w:proofErr w:type="spellEnd"/>
            <w:r w:rsidRPr="004853ED">
              <w:rPr>
                <w:rFonts w:ascii="Calibri" w:hAnsi="Calibri"/>
                <w:bCs/>
                <w:sz w:val="22"/>
                <w:szCs w:val="22"/>
                <w:lang w:eastAsia="en-US"/>
              </w:rPr>
              <w:t xml:space="preserve"> </w:t>
            </w:r>
            <w:proofErr w:type="spellStart"/>
            <w:r w:rsidRPr="004853ED">
              <w:rPr>
                <w:rFonts w:ascii="Calibri" w:hAnsi="Calibri"/>
                <w:bCs/>
                <w:sz w:val="22"/>
                <w:szCs w:val="22"/>
                <w:lang w:eastAsia="en-US"/>
              </w:rPr>
              <w:t>Vjesn</w:t>
            </w:r>
            <w:proofErr w:type="spellEnd"/>
            <w:r w:rsidRPr="004853ED">
              <w:rPr>
                <w:rFonts w:ascii="Calibri" w:hAnsi="Calibri"/>
                <w:bCs/>
                <w:sz w:val="22"/>
                <w:szCs w:val="22"/>
                <w:lang w:eastAsia="en-US"/>
              </w:rPr>
              <w:t xml:space="preserve"> 131: 9-13</w:t>
            </w:r>
          </w:p>
        </w:tc>
      </w:tr>
      <w:tr w:rsidR="008C42B8" w:rsidRPr="00D10C97" w14:paraId="666131C1" w14:textId="77777777" w:rsidTr="003368C2">
        <w:tc>
          <w:tcPr>
            <w:tcW w:w="567" w:type="dxa"/>
          </w:tcPr>
          <w:p w14:paraId="056040E1"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21.</w:t>
            </w:r>
          </w:p>
        </w:tc>
        <w:tc>
          <w:tcPr>
            <w:tcW w:w="7598" w:type="dxa"/>
          </w:tcPr>
          <w:p w14:paraId="58A5A96A" w14:textId="77777777" w:rsidR="008C42B8" w:rsidRPr="00423FBC" w:rsidRDefault="008C42B8" w:rsidP="00FD530F">
            <w:pPr>
              <w:spacing w:after="240"/>
              <w:rPr>
                <w:rFonts w:ascii="Calibri" w:eastAsia="Calibri" w:hAnsi="Calibri"/>
                <w:sz w:val="22"/>
                <w:szCs w:val="22"/>
                <w:lang w:eastAsia="en-US"/>
              </w:rPr>
            </w:pPr>
            <w:proofErr w:type="spellStart"/>
            <w:r w:rsidRPr="00C03A65">
              <w:rPr>
                <w:rFonts w:ascii="Calibri" w:eastAsia="Calibri" w:hAnsi="Calibri"/>
                <w:sz w:val="22"/>
                <w:szCs w:val="22"/>
                <w:lang w:eastAsia="en-US"/>
              </w:rPr>
              <w:t>Lippuner</w:t>
            </w:r>
            <w:proofErr w:type="spellEnd"/>
            <w:r w:rsidRPr="00C03A65">
              <w:rPr>
                <w:rFonts w:ascii="Calibri" w:eastAsia="Calibri" w:hAnsi="Calibri"/>
                <w:sz w:val="22"/>
                <w:szCs w:val="22"/>
                <w:lang w:eastAsia="en-US"/>
              </w:rPr>
              <w:t xml:space="preserve"> K, Johansson H, Kanis JA, Rizzoli R (2010) FRAX assessment of osteoporotic fracture probability in Switzerland. Osteoporos Int 21: 381-9</w:t>
            </w:r>
          </w:p>
        </w:tc>
      </w:tr>
      <w:tr w:rsidR="008C42B8" w:rsidRPr="00753DF0" w14:paraId="32C406BF" w14:textId="77777777" w:rsidTr="003368C2">
        <w:tc>
          <w:tcPr>
            <w:tcW w:w="567" w:type="dxa"/>
            <w:shd w:val="clear" w:color="auto" w:fill="auto"/>
          </w:tcPr>
          <w:p w14:paraId="39BEA8AF"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22.</w:t>
            </w:r>
          </w:p>
        </w:tc>
        <w:tc>
          <w:tcPr>
            <w:tcW w:w="7598" w:type="dxa"/>
          </w:tcPr>
          <w:p w14:paraId="625A06CE" w14:textId="77777777" w:rsidR="008C42B8" w:rsidRPr="00423FBC" w:rsidRDefault="008C42B8" w:rsidP="00FD530F">
            <w:pPr>
              <w:spacing w:after="240"/>
              <w:rPr>
                <w:rFonts w:ascii="Calibri" w:eastAsia="Calibri" w:hAnsi="Calibri"/>
                <w:sz w:val="22"/>
                <w:szCs w:val="22"/>
                <w:lang w:eastAsia="en-US"/>
              </w:rPr>
            </w:pPr>
            <w:proofErr w:type="spellStart"/>
            <w:r w:rsidRPr="00FD6974">
              <w:rPr>
                <w:rFonts w:ascii="Calibri" w:eastAsia="Calibri" w:hAnsi="Calibri"/>
                <w:sz w:val="22"/>
                <w:szCs w:val="22"/>
                <w:lang w:eastAsia="en-US"/>
              </w:rPr>
              <w:t>Emaus</w:t>
            </w:r>
            <w:proofErr w:type="spellEnd"/>
            <w:r w:rsidRPr="00FD6974">
              <w:rPr>
                <w:rFonts w:ascii="Calibri" w:eastAsia="Calibri" w:hAnsi="Calibri"/>
                <w:sz w:val="22"/>
                <w:szCs w:val="22"/>
                <w:lang w:eastAsia="en-US"/>
              </w:rPr>
              <w:t xml:space="preserve"> N, Olsen LR, Ahmed LA, </w:t>
            </w:r>
            <w:proofErr w:type="spellStart"/>
            <w:r w:rsidRPr="00FD6974">
              <w:rPr>
                <w:rFonts w:ascii="Calibri" w:eastAsia="Calibri" w:hAnsi="Calibri"/>
                <w:sz w:val="22"/>
                <w:szCs w:val="22"/>
                <w:lang w:eastAsia="en-US"/>
              </w:rPr>
              <w:t>Balteskard</w:t>
            </w:r>
            <w:proofErr w:type="spellEnd"/>
            <w:r w:rsidRPr="00FD6974">
              <w:rPr>
                <w:rFonts w:ascii="Calibri" w:eastAsia="Calibri" w:hAnsi="Calibri"/>
                <w:sz w:val="22"/>
                <w:szCs w:val="22"/>
                <w:lang w:eastAsia="en-US"/>
              </w:rPr>
              <w:t xml:space="preserve"> L, Jacobsen BK, Magnus T, </w:t>
            </w:r>
            <w:proofErr w:type="spellStart"/>
            <w:r w:rsidRPr="00FD6974">
              <w:rPr>
                <w:rFonts w:ascii="Calibri" w:eastAsia="Calibri" w:hAnsi="Calibri"/>
                <w:sz w:val="22"/>
                <w:szCs w:val="22"/>
                <w:lang w:eastAsia="en-US"/>
              </w:rPr>
              <w:t>Ytterstad</w:t>
            </w:r>
            <w:proofErr w:type="spellEnd"/>
            <w:r w:rsidRPr="00FD6974">
              <w:rPr>
                <w:rFonts w:ascii="Calibri" w:eastAsia="Calibri" w:hAnsi="Calibri"/>
                <w:sz w:val="22"/>
                <w:szCs w:val="22"/>
                <w:lang w:eastAsia="en-US"/>
              </w:rPr>
              <w:t xml:space="preserve"> B (2011) Hip fractures in a city in Northern Norway over 15 years: time trends, seasonal </w:t>
            </w:r>
            <w:proofErr w:type="gramStart"/>
            <w:r w:rsidRPr="00FD6974">
              <w:rPr>
                <w:rFonts w:ascii="Calibri" w:eastAsia="Calibri" w:hAnsi="Calibri"/>
                <w:sz w:val="22"/>
                <w:szCs w:val="22"/>
                <w:lang w:eastAsia="en-US"/>
              </w:rPr>
              <w:t>variation</w:t>
            </w:r>
            <w:proofErr w:type="gramEnd"/>
            <w:r w:rsidRPr="00FD6974">
              <w:rPr>
                <w:rFonts w:ascii="Calibri" w:eastAsia="Calibri" w:hAnsi="Calibri"/>
                <w:sz w:val="22"/>
                <w:szCs w:val="22"/>
                <w:lang w:eastAsia="en-US"/>
              </w:rPr>
              <w:t xml:space="preserve"> and mortality: the </w:t>
            </w:r>
            <w:proofErr w:type="spellStart"/>
            <w:r w:rsidRPr="00FD6974">
              <w:rPr>
                <w:rFonts w:ascii="Calibri" w:eastAsia="Calibri" w:hAnsi="Calibri"/>
                <w:sz w:val="22"/>
                <w:szCs w:val="22"/>
                <w:lang w:eastAsia="en-US"/>
              </w:rPr>
              <w:t>Harstad</w:t>
            </w:r>
            <w:proofErr w:type="spellEnd"/>
            <w:r w:rsidRPr="00FD6974">
              <w:rPr>
                <w:rFonts w:ascii="Calibri" w:eastAsia="Calibri" w:hAnsi="Calibri"/>
                <w:sz w:val="22"/>
                <w:szCs w:val="22"/>
                <w:lang w:eastAsia="en-US"/>
              </w:rPr>
              <w:t xml:space="preserve"> Injury Prevention Study. Osteoporos Int 22: 2603–2610</w:t>
            </w:r>
          </w:p>
        </w:tc>
      </w:tr>
      <w:tr w:rsidR="008C42B8" w:rsidRPr="00D10C97" w14:paraId="2064FBC4" w14:textId="77777777" w:rsidTr="003368C2">
        <w:tc>
          <w:tcPr>
            <w:tcW w:w="567" w:type="dxa"/>
          </w:tcPr>
          <w:p w14:paraId="2543952C"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23.</w:t>
            </w:r>
          </w:p>
        </w:tc>
        <w:tc>
          <w:tcPr>
            <w:tcW w:w="7598" w:type="dxa"/>
          </w:tcPr>
          <w:p w14:paraId="2CBE6CE9" w14:textId="77777777" w:rsidR="008C42B8" w:rsidRPr="00423FBC" w:rsidRDefault="008C42B8" w:rsidP="00FD530F">
            <w:pPr>
              <w:spacing w:after="240"/>
              <w:rPr>
                <w:rFonts w:ascii="Calibri" w:eastAsia="Calibri" w:hAnsi="Calibri"/>
                <w:sz w:val="22"/>
                <w:szCs w:val="22"/>
                <w:lang w:eastAsia="en-US"/>
              </w:rPr>
            </w:pPr>
            <w:proofErr w:type="spellStart"/>
            <w:r w:rsidRPr="00957F6A">
              <w:rPr>
                <w:rFonts w:ascii="Calibri" w:eastAsia="Calibri" w:hAnsi="Calibri"/>
                <w:sz w:val="22"/>
                <w:szCs w:val="22"/>
                <w:lang w:eastAsia="en-US"/>
              </w:rPr>
              <w:t>Morosano</w:t>
            </w:r>
            <w:proofErr w:type="spellEnd"/>
            <w:r w:rsidRPr="00957F6A">
              <w:rPr>
                <w:rFonts w:ascii="Calibri" w:eastAsia="Calibri" w:hAnsi="Calibri"/>
                <w:sz w:val="22"/>
                <w:szCs w:val="22"/>
                <w:lang w:eastAsia="en-US"/>
              </w:rPr>
              <w:t xml:space="preserve"> M, </w:t>
            </w:r>
            <w:proofErr w:type="spellStart"/>
            <w:r w:rsidRPr="00957F6A">
              <w:rPr>
                <w:rFonts w:ascii="Calibri" w:eastAsia="Calibri" w:hAnsi="Calibri"/>
                <w:sz w:val="22"/>
                <w:szCs w:val="22"/>
                <w:lang w:eastAsia="en-US"/>
              </w:rPr>
              <w:t>Masoni</w:t>
            </w:r>
            <w:proofErr w:type="spellEnd"/>
            <w:r w:rsidRPr="00957F6A">
              <w:rPr>
                <w:rFonts w:ascii="Calibri" w:eastAsia="Calibri" w:hAnsi="Calibri"/>
                <w:sz w:val="22"/>
                <w:szCs w:val="22"/>
                <w:lang w:eastAsia="en-US"/>
              </w:rPr>
              <w:t xml:space="preserve"> A, Sánchez A (2005) Incidence of hip fractures in the city of Rosario, Argentina: Osteoporos Int 16: 1339–1344</w:t>
            </w:r>
          </w:p>
        </w:tc>
      </w:tr>
      <w:tr w:rsidR="008C42B8" w:rsidRPr="00753DF0" w14:paraId="46F3613F" w14:textId="77777777" w:rsidTr="003368C2">
        <w:tc>
          <w:tcPr>
            <w:tcW w:w="567" w:type="dxa"/>
            <w:shd w:val="clear" w:color="auto" w:fill="auto"/>
          </w:tcPr>
          <w:p w14:paraId="5D1B4EDD"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24.</w:t>
            </w:r>
          </w:p>
        </w:tc>
        <w:tc>
          <w:tcPr>
            <w:tcW w:w="7598" w:type="dxa"/>
          </w:tcPr>
          <w:p w14:paraId="7BAD6B1E" w14:textId="77777777" w:rsidR="008C42B8" w:rsidRPr="00423FBC" w:rsidRDefault="008C42B8" w:rsidP="00FD530F">
            <w:pPr>
              <w:spacing w:after="240"/>
              <w:rPr>
                <w:rFonts w:ascii="Calibri" w:eastAsia="Calibri" w:hAnsi="Calibri"/>
                <w:sz w:val="22"/>
                <w:szCs w:val="22"/>
                <w:lang w:eastAsia="en-US"/>
              </w:rPr>
            </w:pPr>
            <w:proofErr w:type="spellStart"/>
            <w:r w:rsidRPr="00FA76BB">
              <w:rPr>
                <w:rFonts w:ascii="Calibri" w:eastAsia="Calibri" w:hAnsi="Calibri"/>
                <w:sz w:val="22"/>
                <w:szCs w:val="22"/>
                <w:lang w:eastAsia="en-US"/>
              </w:rPr>
              <w:t>Elffors</w:t>
            </w:r>
            <w:proofErr w:type="spellEnd"/>
            <w:r w:rsidRPr="00FA76BB">
              <w:rPr>
                <w:rFonts w:ascii="Calibri" w:eastAsia="Calibri" w:hAnsi="Calibri"/>
                <w:sz w:val="22"/>
                <w:szCs w:val="22"/>
                <w:lang w:eastAsia="en-US"/>
              </w:rPr>
              <w:t xml:space="preserve"> L, </w:t>
            </w:r>
            <w:proofErr w:type="spellStart"/>
            <w:r w:rsidRPr="00FA76BB">
              <w:rPr>
                <w:rFonts w:ascii="Calibri" w:eastAsia="Calibri" w:hAnsi="Calibri"/>
                <w:sz w:val="22"/>
                <w:szCs w:val="22"/>
                <w:lang w:eastAsia="en-US"/>
              </w:rPr>
              <w:t>Allander</w:t>
            </w:r>
            <w:proofErr w:type="spellEnd"/>
            <w:r w:rsidRPr="00FA76BB">
              <w:rPr>
                <w:rFonts w:ascii="Calibri" w:eastAsia="Calibri" w:hAnsi="Calibri"/>
                <w:sz w:val="22"/>
                <w:szCs w:val="22"/>
                <w:lang w:eastAsia="en-US"/>
              </w:rPr>
              <w:t xml:space="preserve"> E, Kanis JA, </w:t>
            </w:r>
            <w:proofErr w:type="spellStart"/>
            <w:r w:rsidRPr="00FA76BB">
              <w:rPr>
                <w:rFonts w:ascii="Calibri" w:eastAsia="Calibri" w:hAnsi="Calibri"/>
                <w:sz w:val="22"/>
                <w:szCs w:val="22"/>
                <w:lang w:eastAsia="en-US"/>
              </w:rPr>
              <w:t>Gullberg</w:t>
            </w:r>
            <w:proofErr w:type="spellEnd"/>
            <w:r w:rsidRPr="00FA76BB">
              <w:rPr>
                <w:rFonts w:ascii="Calibri" w:eastAsia="Calibri" w:hAnsi="Calibri"/>
                <w:sz w:val="22"/>
                <w:szCs w:val="22"/>
                <w:lang w:eastAsia="en-US"/>
              </w:rPr>
              <w:t xml:space="preserve"> B, </w:t>
            </w:r>
            <w:proofErr w:type="spellStart"/>
            <w:r w:rsidRPr="00FA76BB">
              <w:rPr>
                <w:rFonts w:ascii="Calibri" w:eastAsia="Calibri" w:hAnsi="Calibri"/>
                <w:sz w:val="22"/>
                <w:szCs w:val="22"/>
                <w:lang w:eastAsia="en-US"/>
              </w:rPr>
              <w:t>Johnell</w:t>
            </w:r>
            <w:proofErr w:type="spellEnd"/>
            <w:r w:rsidRPr="00FA76BB">
              <w:rPr>
                <w:rFonts w:ascii="Calibri" w:eastAsia="Calibri" w:hAnsi="Calibri"/>
                <w:sz w:val="22"/>
                <w:szCs w:val="22"/>
                <w:lang w:eastAsia="en-US"/>
              </w:rPr>
              <w:t xml:space="preserve"> O, </w:t>
            </w:r>
            <w:proofErr w:type="spellStart"/>
            <w:r w:rsidRPr="00FA76BB">
              <w:rPr>
                <w:rFonts w:ascii="Calibri" w:eastAsia="Calibri" w:hAnsi="Calibri"/>
                <w:sz w:val="22"/>
                <w:szCs w:val="22"/>
                <w:lang w:eastAsia="en-US"/>
              </w:rPr>
              <w:t>Dequeker</w:t>
            </w:r>
            <w:proofErr w:type="spellEnd"/>
            <w:r w:rsidRPr="00FA76BB">
              <w:rPr>
                <w:rFonts w:ascii="Calibri" w:eastAsia="Calibri" w:hAnsi="Calibri"/>
                <w:sz w:val="22"/>
                <w:szCs w:val="22"/>
                <w:lang w:eastAsia="en-US"/>
              </w:rPr>
              <w:t xml:space="preserve"> J, </w:t>
            </w:r>
            <w:proofErr w:type="spellStart"/>
            <w:r w:rsidRPr="00FA76BB">
              <w:rPr>
                <w:rFonts w:ascii="Calibri" w:eastAsia="Calibri" w:hAnsi="Calibri"/>
                <w:sz w:val="22"/>
                <w:szCs w:val="22"/>
                <w:lang w:eastAsia="en-US"/>
              </w:rPr>
              <w:t>Dilzen</w:t>
            </w:r>
            <w:proofErr w:type="spellEnd"/>
            <w:r w:rsidRPr="00FA76BB">
              <w:rPr>
                <w:rFonts w:ascii="Calibri" w:eastAsia="Calibri" w:hAnsi="Calibri"/>
                <w:sz w:val="22"/>
                <w:szCs w:val="22"/>
                <w:lang w:eastAsia="en-US"/>
              </w:rPr>
              <w:t xml:space="preserve"> G, Gennari C, Lopez-</w:t>
            </w:r>
            <w:proofErr w:type="spellStart"/>
            <w:r w:rsidRPr="00FA76BB">
              <w:rPr>
                <w:rFonts w:ascii="Calibri" w:eastAsia="Calibri" w:hAnsi="Calibri"/>
                <w:sz w:val="22"/>
                <w:szCs w:val="22"/>
                <w:lang w:eastAsia="en-US"/>
              </w:rPr>
              <w:t>Vaz</w:t>
            </w:r>
            <w:proofErr w:type="spellEnd"/>
            <w:r w:rsidRPr="00FA76BB">
              <w:rPr>
                <w:rFonts w:ascii="Calibri" w:eastAsia="Calibri" w:hAnsi="Calibri"/>
                <w:sz w:val="22"/>
                <w:szCs w:val="22"/>
                <w:lang w:eastAsia="en-US"/>
              </w:rPr>
              <w:t xml:space="preserve"> AA, </w:t>
            </w:r>
            <w:proofErr w:type="spellStart"/>
            <w:r w:rsidRPr="00FA76BB">
              <w:rPr>
                <w:rFonts w:ascii="Calibri" w:eastAsia="Calibri" w:hAnsi="Calibri"/>
                <w:sz w:val="22"/>
                <w:szCs w:val="22"/>
                <w:lang w:eastAsia="en-US"/>
              </w:rPr>
              <w:t>Lyritis</w:t>
            </w:r>
            <w:proofErr w:type="spellEnd"/>
            <w:r w:rsidRPr="00FA76BB">
              <w:rPr>
                <w:rFonts w:ascii="Calibri" w:eastAsia="Calibri" w:hAnsi="Calibri"/>
                <w:sz w:val="22"/>
                <w:szCs w:val="22"/>
                <w:lang w:eastAsia="en-US"/>
              </w:rPr>
              <w:t xml:space="preserve"> G, </w:t>
            </w:r>
            <w:proofErr w:type="spellStart"/>
            <w:r w:rsidRPr="00FA76BB">
              <w:rPr>
                <w:rFonts w:ascii="Calibri" w:eastAsia="Calibri" w:hAnsi="Calibri"/>
                <w:sz w:val="22"/>
                <w:szCs w:val="22"/>
                <w:lang w:eastAsia="en-US"/>
              </w:rPr>
              <w:t>Mazzuoli</w:t>
            </w:r>
            <w:proofErr w:type="spellEnd"/>
            <w:r w:rsidRPr="00FA76BB">
              <w:rPr>
                <w:rFonts w:ascii="Calibri" w:eastAsia="Calibri" w:hAnsi="Calibri"/>
                <w:sz w:val="22"/>
                <w:szCs w:val="22"/>
                <w:lang w:eastAsia="en-US"/>
              </w:rPr>
              <w:t xml:space="preserve"> GF, </w:t>
            </w:r>
            <w:proofErr w:type="spellStart"/>
            <w:r w:rsidRPr="00FA76BB">
              <w:rPr>
                <w:rFonts w:ascii="Calibri" w:eastAsia="Calibri" w:hAnsi="Calibri"/>
                <w:sz w:val="22"/>
                <w:szCs w:val="22"/>
                <w:lang w:eastAsia="en-US"/>
              </w:rPr>
              <w:t>Miravet</w:t>
            </w:r>
            <w:proofErr w:type="spellEnd"/>
            <w:r w:rsidRPr="00FA76BB">
              <w:rPr>
                <w:rFonts w:ascii="Calibri" w:eastAsia="Calibri" w:hAnsi="Calibri"/>
                <w:sz w:val="22"/>
                <w:szCs w:val="22"/>
                <w:lang w:eastAsia="en-US"/>
              </w:rPr>
              <w:t xml:space="preserve"> L, </w:t>
            </w:r>
            <w:proofErr w:type="spellStart"/>
            <w:r w:rsidRPr="00FA76BB">
              <w:rPr>
                <w:rFonts w:ascii="Calibri" w:eastAsia="Calibri" w:hAnsi="Calibri"/>
                <w:sz w:val="22"/>
                <w:szCs w:val="22"/>
                <w:lang w:eastAsia="en-US"/>
              </w:rPr>
              <w:t>Passeri</w:t>
            </w:r>
            <w:proofErr w:type="spellEnd"/>
            <w:r w:rsidRPr="00FA76BB">
              <w:rPr>
                <w:rFonts w:ascii="Calibri" w:eastAsia="Calibri" w:hAnsi="Calibri"/>
                <w:sz w:val="22"/>
                <w:szCs w:val="22"/>
                <w:lang w:eastAsia="en-US"/>
              </w:rPr>
              <w:t xml:space="preserve"> M, Perez Cano R, </w:t>
            </w:r>
            <w:proofErr w:type="spellStart"/>
            <w:r w:rsidRPr="00FA76BB">
              <w:rPr>
                <w:rFonts w:ascii="Calibri" w:eastAsia="Calibri" w:hAnsi="Calibri"/>
                <w:sz w:val="22"/>
                <w:szCs w:val="22"/>
                <w:lang w:eastAsia="en-US"/>
              </w:rPr>
              <w:lastRenderedPageBreak/>
              <w:t>Rapado</w:t>
            </w:r>
            <w:proofErr w:type="spellEnd"/>
            <w:r w:rsidRPr="00FA76BB">
              <w:rPr>
                <w:rFonts w:ascii="Calibri" w:eastAsia="Calibri" w:hAnsi="Calibri"/>
                <w:sz w:val="22"/>
                <w:szCs w:val="22"/>
                <w:lang w:eastAsia="en-US"/>
              </w:rPr>
              <w:t xml:space="preserve"> A, </w:t>
            </w:r>
            <w:proofErr w:type="spellStart"/>
            <w:r w:rsidRPr="00FA76BB">
              <w:rPr>
                <w:rFonts w:ascii="Calibri" w:eastAsia="Calibri" w:hAnsi="Calibri"/>
                <w:sz w:val="22"/>
                <w:szCs w:val="22"/>
                <w:lang w:eastAsia="en-US"/>
              </w:rPr>
              <w:t>Ribot</w:t>
            </w:r>
            <w:proofErr w:type="spellEnd"/>
            <w:r w:rsidRPr="00FA76BB">
              <w:rPr>
                <w:rFonts w:ascii="Calibri" w:eastAsia="Calibri" w:hAnsi="Calibri"/>
                <w:sz w:val="22"/>
                <w:szCs w:val="22"/>
                <w:lang w:eastAsia="en-US"/>
              </w:rPr>
              <w:t xml:space="preserve"> C (1994) The variable incidence of hip fracture in Southern Europe.  The MEDOS Study. Osteoporos Int 4: 253-263</w:t>
            </w:r>
          </w:p>
        </w:tc>
      </w:tr>
      <w:tr w:rsidR="008C42B8" w:rsidRPr="00753DF0" w14:paraId="1AABF485" w14:textId="77777777" w:rsidTr="003368C2">
        <w:tc>
          <w:tcPr>
            <w:tcW w:w="567" w:type="dxa"/>
            <w:shd w:val="clear" w:color="auto" w:fill="auto"/>
          </w:tcPr>
          <w:p w14:paraId="01E697C4"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lastRenderedPageBreak/>
              <w:t>25.</w:t>
            </w:r>
          </w:p>
        </w:tc>
        <w:tc>
          <w:tcPr>
            <w:tcW w:w="7598" w:type="dxa"/>
          </w:tcPr>
          <w:p w14:paraId="0658E092"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 xml:space="preserve">Dela SS, </w:t>
            </w:r>
            <w:proofErr w:type="spellStart"/>
            <w:r w:rsidRPr="00423FBC">
              <w:rPr>
                <w:rFonts w:ascii="Calibri" w:eastAsia="Calibri" w:hAnsi="Calibri"/>
                <w:sz w:val="22"/>
                <w:szCs w:val="22"/>
                <w:lang w:eastAsia="en-US"/>
              </w:rPr>
              <w:t>Paruk</w:t>
            </w:r>
            <w:proofErr w:type="spellEnd"/>
            <w:r w:rsidRPr="00423FBC">
              <w:rPr>
                <w:rFonts w:ascii="Calibri" w:eastAsia="Calibri" w:hAnsi="Calibri"/>
                <w:sz w:val="22"/>
                <w:szCs w:val="22"/>
                <w:lang w:eastAsia="en-US"/>
              </w:rPr>
              <w:t xml:space="preserve"> F, Brown SL, </w:t>
            </w:r>
            <w:proofErr w:type="spellStart"/>
            <w:r w:rsidRPr="00423FBC">
              <w:rPr>
                <w:rFonts w:ascii="Calibri" w:eastAsia="Calibri" w:hAnsi="Calibri"/>
                <w:sz w:val="22"/>
                <w:szCs w:val="22"/>
                <w:lang w:eastAsia="en-US"/>
              </w:rPr>
              <w:t>Lukhele</w:t>
            </w:r>
            <w:proofErr w:type="spellEnd"/>
            <w:r w:rsidRPr="00423FBC">
              <w:rPr>
                <w:rFonts w:ascii="Calibri" w:eastAsia="Calibri" w:hAnsi="Calibri"/>
                <w:sz w:val="22"/>
                <w:szCs w:val="22"/>
                <w:lang w:eastAsia="en-US"/>
              </w:rPr>
              <w:t xml:space="preserve"> M, </w:t>
            </w:r>
            <w:proofErr w:type="spellStart"/>
            <w:r w:rsidRPr="00423FBC">
              <w:rPr>
                <w:rFonts w:ascii="Calibri" w:eastAsia="Calibri" w:hAnsi="Calibri"/>
                <w:sz w:val="22"/>
                <w:szCs w:val="22"/>
                <w:lang w:eastAsia="en-US"/>
              </w:rPr>
              <w:t>Kalla</w:t>
            </w:r>
            <w:proofErr w:type="spellEnd"/>
            <w:r w:rsidRPr="00423FBC">
              <w:rPr>
                <w:rFonts w:ascii="Calibri" w:eastAsia="Calibri" w:hAnsi="Calibri"/>
                <w:sz w:val="22"/>
                <w:szCs w:val="22"/>
                <w:lang w:eastAsia="en-US"/>
              </w:rPr>
              <w:t xml:space="preserve"> AA, </w:t>
            </w:r>
            <w:proofErr w:type="spellStart"/>
            <w:r w:rsidRPr="00423FBC">
              <w:rPr>
                <w:rFonts w:ascii="Calibri" w:eastAsia="Calibri" w:hAnsi="Calibri"/>
                <w:sz w:val="22"/>
                <w:szCs w:val="22"/>
                <w:lang w:eastAsia="en-US"/>
              </w:rPr>
              <w:t>Jordaan</w:t>
            </w:r>
            <w:proofErr w:type="spellEnd"/>
            <w:r w:rsidRPr="00423FBC">
              <w:rPr>
                <w:rFonts w:ascii="Calibri" w:eastAsia="Calibri" w:hAnsi="Calibri"/>
                <w:sz w:val="22"/>
                <w:szCs w:val="22"/>
                <w:lang w:eastAsia="en-US"/>
              </w:rPr>
              <w:t xml:space="preserve"> JD, Conradie M, Mohamed O, </w:t>
            </w:r>
            <w:proofErr w:type="spellStart"/>
            <w:r w:rsidRPr="00423FBC">
              <w:rPr>
                <w:rFonts w:ascii="Calibri" w:eastAsia="Calibri" w:hAnsi="Calibri"/>
                <w:sz w:val="22"/>
                <w:szCs w:val="22"/>
                <w:lang w:eastAsia="en-US"/>
              </w:rPr>
              <w:t>Chutterpaul</w:t>
            </w:r>
            <w:proofErr w:type="spellEnd"/>
            <w:r w:rsidRPr="00423FBC">
              <w:rPr>
                <w:rFonts w:ascii="Calibri" w:eastAsia="Calibri" w:hAnsi="Calibri"/>
                <w:sz w:val="22"/>
                <w:szCs w:val="22"/>
                <w:lang w:eastAsia="en-US"/>
              </w:rPr>
              <w:t xml:space="preserve"> P, </w:t>
            </w:r>
            <w:proofErr w:type="spellStart"/>
            <w:r w:rsidRPr="00423FBC">
              <w:rPr>
                <w:rFonts w:ascii="Calibri" w:eastAsia="Calibri" w:hAnsi="Calibri"/>
                <w:sz w:val="22"/>
                <w:szCs w:val="22"/>
                <w:lang w:eastAsia="en-US"/>
              </w:rPr>
              <w:t>Cassim</w:t>
            </w:r>
            <w:proofErr w:type="spellEnd"/>
            <w:r w:rsidRPr="00423FBC">
              <w:rPr>
                <w:rFonts w:ascii="Calibri" w:eastAsia="Calibri" w:hAnsi="Calibri"/>
                <w:sz w:val="22"/>
                <w:szCs w:val="22"/>
                <w:lang w:eastAsia="en-US"/>
              </w:rPr>
              <w:t xml:space="preserve"> B (2020) Ethnic and gender-specific incidence rates for hip fractures in South Africa: A multi-centre study. Bone 133:115253. doi:10.1016/j.bone.2020.</w:t>
            </w:r>
            <w:r w:rsidRPr="007A3D87">
              <w:rPr>
                <w:rFonts w:ascii="Calibri" w:eastAsia="Calibri" w:hAnsi="Calibri"/>
                <w:sz w:val="22"/>
                <w:szCs w:val="22"/>
                <w:lang w:eastAsia="en-US"/>
              </w:rPr>
              <w:t>115253</w:t>
            </w:r>
          </w:p>
        </w:tc>
      </w:tr>
      <w:tr w:rsidR="008C42B8" w:rsidRPr="00D10C97" w14:paraId="1C04AD66" w14:textId="77777777" w:rsidTr="003368C2">
        <w:tc>
          <w:tcPr>
            <w:tcW w:w="567" w:type="dxa"/>
          </w:tcPr>
          <w:p w14:paraId="51D0549E"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26.</w:t>
            </w:r>
          </w:p>
        </w:tc>
        <w:tc>
          <w:tcPr>
            <w:tcW w:w="7598" w:type="dxa"/>
          </w:tcPr>
          <w:p w14:paraId="404B18D6"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Melton</w:t>
            </w:r>
            <w:r w:rsidRPr="007A3D87">
              <w:rPr>
                <w:rFonts w:ascii="Calibri" w:eastAsia="Calibri" w:hAnsi="Calibri"/>
                <w:sz w:val="22"/>
                <w:szCs w:val="22"/>
                <w:lang w:eastAsia="en-US"/>
              </w:rPr>
              <w:t xml:space="preserve"> LJ, Crowson CS, O’Fallon WM (1999) Fracture incidence in Olmsted County, Minnesota: comparison of urban and with rural rates and changes in urban rates over time. Osteoporos </w:t>
            </w:r>
            <w:proofErr w:type="gramStart"/>
            <w:r w:rsidRPr="007A3D87">
              <w:rPr>
                <w:rFonts w:ascii="Calibri" w:eastAsia="Calibri" w:hAnsi="Calibri"/>
                <w:sz w:val="22"/>
                <w:szCs w:val="22"/>
                <w:lang w:eastAsia="en-US"/>
              </w:rPr>
              <w:t>Int  9</w:t>
            </w:r>
            <w:proofErr w:type="gramEnd"/>
            <w:r w:rsidRPr="007A3D87">
              <w:rPr>
                <w:rFonts w:ascii="Calibri" w:eastAsia="Calibri" w:hAnsi="Calibri"/>
                <w:sz w:val="22"/>
                <w:szCs w:val="22"/>
                <w:lang w:eastAsia="en-US"/>
              </w:rPr>
              <w:t>: 29–37.</w:t>
            </w:r>
          </w:p>
        </w:tc>
      </w:tr>
      <w:tr w:rsidR="008C42B8" w:rsidRPr="00753DF0" w14:paraId="01ECE014" w14:textId="77777777" w:rsidTr="003368C2">
        <w:tc>
          <w:tcPr>
            <w:tcW w:w="567" w:type="dxa"/>
          </w:tcPr>
          <w:p w14:paraId="7A7CEBDB"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27.</w:t>
            </w:r>
          </w:p>
        </w:tc>
        <w:tc>
          <w:tcPr>
            <w:tcW w:w="7598" w:type="dxa"/>
          </w:tcPr>
          <w:p w14:paraId="25712D8A"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Singer B</w:t>
            </w:r>
            <w:r w:rsidRPr="007A3D87">
              <w:rPr>
                <w:rFonts w:ascii="Calibri" w:eastAsia="Calibri" w:hAnsi="Calibri"/>
                <w:sz w:val="22"/>
                <w:szCs w:val="22"/>
                <w:lang w:eastAsia="en-US"/>
              </w:rPr>
              <w:t xml:space="preserve">R, </w:t>
            </w:r>
            <w:proofErr w:type="spellStart"/>
            <w:r w:rsidRPr="007A3D87">
              <w:rPr>
                <w:rFonts w:ascii="Calibri" w:eastAsia="Calibri" w:hAnsi="Calibri"/>
                <w:sz w:val="22"/>
                <w:szCs w:val="22"/>
                <w:lang w:eastAsia="en-US"/>
              </w:rPr>
              <w:t>McLauchlan</w:t>
            </w:r>
            <w:proofErr w:type="spellEnd"/>
            <w:r w:rsidRPr="007A3D87">
              <w:rPr>
                <w:rFonts w:ascii="Calibri" w:eastAsia="Calibri" w:hAnsi="Calibri"/>
                <w:sz w:val="22"/>
                <w:szCs w:val="22"/>
                <w:lang w:eastAsia="en-US"/>
              </w:rPr>
              <w:t xml:space="preserve"> CJ, Robinson CM, Christie J (1998) Epidemiology of fracture in 15.000 adults. The influence of age and gender. J Bone Joint Surg 80B: 234–8</w:t>
            </w:r>
          </w:p>
        </w:tc>
      </w:tr>
      <w:tr w:rsidR="008C42B8" w:rsidRPr="00D10C97" w14:paraId="61377D08" w14:textId="77777777" w:rsidTr="003368C2">
        <w:tc>
          <w:tcPr>
            <w:tcW w:w="567" w:type="dxa"/>
          </w:tcPr>
          <w:p w14:paraId="775D03AD"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28.</w:t>
            </w:r>
          </w:p>
        </w:tc>
        <w:tc>
          <w:tcPr>
            <w:tcW w:w="7598" w:type="dxa"/>
          </w:tcPr>
          <w:p w14:paraId="46630EB1"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Sanders</w:t>
            </w:r>
            <w:r w:rsidRPr="007A3D87">
              <w:rPr>
                <w:rFonts w:ascii="Calibri" w:eastAsia="Calibri" w:hAnsi="Calibri"/>
                <w:sz w:val="22"/>
                <w:szCs w:val="22"/>
                <w:lang w:eastAsia="en-US"/>
              </w:rPr>
              <w:t xml:space="preserve"> KM, Seeman E, </w:t>
            </w:r>
            <w:proofErr w:type="spellStart"/>
            <w:r w:rsidRPr="007A3D87">
              <w:rPr>
                <w:rFonts w:ascii="Calibri" w:eastAsia="Calibri" w:hAnsi="Calibri"/>
                <w:sz w:val="22"/>
                <w:szCs w:val="22"/>
                <w:lang w:eastAsia="en-US"/>
              </w:rPr>
              <w:t>Ugoni</w:t>
            </w:r>
            <w:proofErr w:type="spellEnd"/>
            <w:r w:rsidRPr="007A3D87">
              <w:rPr>
                <w:rFonts w:ascii="Calibri" w:eastAsia="Calibri" w:hAnsi="Calibri"/>
                <w:sz w:val="22"/>
                <w:szCs w:val="22"/>
                <w:lang w:eastAsia="en-US"/>
              </w:rPr>
              <w:t xml:space="preserve"> AM, Pasco JA, Martin TJ, </w:t>
            </w:r>
            <w:proofErr w:type="spellStart"/>
            <w:r w:rsidRPr="007A3D87">
              <w:rPr>
                <w:rFonts w:ascii="Calibri" w:eastAsia="Calibri" w:hAnsi="Calibri"/>
                <w:sz w:val="22"/>
                <w:szCs w:val="22"/>
                <w:lang w:eastAsia="en-US"/>
              </w:rPr>
              <w:t>Skoric</w:t>
            </w:r>
            <w:proofErr w:type="spellEnd"/>
            <w:r w:rsidRPr="007A3D87">
              <w:rPr>
                <w:rFonts w:ascii="Calibri" w:eastAsia="Calibri" w:hAnsi="Calibri"/>
                <w:sz w:val="22"/>
                <w:szCs w:val="22"/>
                <w:lang w:eastAsia="en-US"/>
              </w:rPr>
              <w:t xml:space="preserve"> B, Nicholson GC, </w:t>
            </w:r>
            <w:proofErr w:type="spellStart"/>
            <w:r w:rsidRPr="007A3D87">
              <w:rPr>
                <w:rFonts w:ascii="Calibri" w:eastAsia="Calibri" w:hAnsi="Calibri"/>
                <w:sz w:val="22"/>
                <w:szCs w:val="22"/>
                <w:lang w:eastAsia="en-US"/>
              </w:rPr>
              <w:t>Kotowicz</w:t>
            </w:r>
            <w:proofErr w:type="spellEnd"/>
            <w:r w:rsidRPr="007A3D87">
              <w:rPr>
                <w:rFonts w:ascii="Calibri" w:eastAsia="Calibri" w:hAnsi="Calibri"/>
                <w:sz w:val="22"/>
                <w:szCs w:val="22"/>
                <w:lang w:eastAsia="en-US"/>
              </w:rPr>
              <w:t xml:space="preserve"> MA (1999) Age- and gender speciﬁc rate of fractures in Australia: a population-based study. Osteoporos Int 10:2 40–7.</w:t>
            </w:r>
          </w:p>
        </w:tc>
      </w:tr>
      <w:tr w:rsidR="008C42B8" w:rsidRPr="00D10C97" w14:paraId="4FA77CF5" w14:textId="77777777" w:rsidTr="003368C2">
        <w:tc>
          <w:tcPr>
            <w:tcW w:w="567" w:type="dxa"/>
          </w:tcPr>
          <w:p w14:paraId="28C488DB" w14:textId="77777777" w:rsidR="008C42B8" w:rsidRDefault="008C42B8" w:rsidP="00FD530F">
            <w:pPr>
              <w:spacing w:after="240"/>
              <w:jc w:val="right"/>
              <w:rPr>
                <w:rFonts w:ascii="Calibri" w:eastAsia="Calibri" w:hAnsi="Calibri"/>
                <w:sz w:val="22"/>
                <w:szCs w:val="22"/>
                <w:lang w:eastAsia="en-US"/>
              </w:rPr>
            </w:pPr>
            <w:r>
              <w:rPr>
                <w:rFonts w:ascii="Calibri" w:eastAsia="Calibri" w:hAnsi="Calibri"/>
                <w:sz w:val="22"/>
                <w:szCs w:val="22"/>
                <w:lang w:eastAsia="en-US"/>
              </w:rPr>
              <w:t>29.</w:t>
            </w:r>
          </w:p>
        </w:tc>
        <w:tc>
          <w:tcPr>
            <w:tcW w:w="7598" w:type="dxa"/>
          </w:tcPr>
          <w:p w14:paraId="16C2F115" w14:textId="77777777" w:rsidR="008C42B8" w:rsidRPr="007A3D87" w:rsidRDefault="008C42B8" w:rsidP="00FD530F">
            <w:pPr>
              <w:spacing w:after="240"/>
              <w:rPr>
                <w:rFonts w:ascii="Calibri" w:eastAsia="Calibri" w:hAnsi="Calibri"/>
                <w:sz w:val="22"/>
                <w:szCs w:val="22"/>
                <w:lang w:eastAsia="en-US"/>
              </w:rPr>
            </w:pPr>
            <w:r w:rsidRPr="00423FBC">
              <w:rPr>
                <w:rFonts w:ascii="Calibri" w:eastAsia="Calibri" w:hAnsi="Calibri"/>
                <w:sz w:val="22"/>
                <w:szCs w:val="22"/>
                <w:lang w:eastAsia="en-US"/>
              </w:rPr>
              <w:t>Kanis J</w:t>
            </w:r>
            <w:r w:rsidRPr="007A3D87">
              <w:rPr>
                <w:rFonts w:ascii="Calibri" w:eastAsia="Calibri" w:hAnsi="Calibri"/>
                <w:sz w:val="22"/>
                <w:szCs w:val="22"/>
                <w:lang w:eastAsia="en-US"/>
              </w:rPr>
              <w:t>A, Harvey NC, Cyrus Cooper C, Johansson H, Odén A, McCloskey EV, the Advisory Board of the National Osteoporosis Guideline Group (2016</w:t>
            </w:r>
            <w:r w:rsidRPr="00423FBC">
              <w:rPr>
                <w:rFonts w:ascii="Calibri" w:eastAsia="Calibri" w:hAnsi="Calibri"/>
                <w:sz w:val="22"/>
                <w:szCs w:val="22"/>
                <w:lang w:eastAsia="en-US"/>
              </w:rPr>
              <w:t>) A systematic review of intervention thresholds based on FRAX. A report prepared for the National Osteoporosis Guideline Group and the International Osteoporosis Foundation. Arch Osteop</w:t>
            </w:r>
            <w:r w:rsidRPr="007A3D87">
              <w:rPr>
                <w:rFonts w:ascii="Calibri" w:eastAsia="Calibri" w:hAnsi="Calibri"/>
                <w:sz w:val="22"/>
                <w:szCs w:val="22"/>
                <w:lang w:eastAsia="en-US"/>
              </w:rPr>
              <w:t>oros 11:25.</w:t>
            </w:r>
          </w:p>
        </w:tc>
      </w:tr>
    </w:tbl>
    <w:p w14:paraId="272B9078" w14:textId="77777777" w:rsidR="00391935" w:rsidRPr="00A81361" w:rsidRDefault="00391935" w:rsidP="00391935">
      <w:pPr>
        <w:spacing w:line="276" w:lineRule="auto"/>
        <w:ind w:left="567" w:right="1275"/>
        <w:rPr>
          <w:rFonts w:asciiTheme="minorHAnsi" w:hAnsiTheme="minorHAnsi" w:cstheme="minorHAnsi"/>
          <w:b/>
          <w:lang w:val="en-GB"/>
        </w:rPr>
      </w:pPr>
    </w:p>
    <w:p w14:paraId="6B4439D9" w14:textId="336C34A4" w:rsidR="001C5287" w:rsidRPr="005A1AF9" w:rsidRDefault="001C5287" w:rsidP="0030661D">
      <w:pPr>
        <w:spacing w:line="276" w:lineRule="auto"/>
        <w:ind w:left="567" w:right="1275"/>
        <w:rPr>
          <w:rFonts w:asciiTheme="minorHAnsi" w:hAnsiTheme="minorHAnsi" w:cstheme="minorHAnsi"/>
          <w:b/>
          <w:color w:val="FF0000"/>
          <w:lang w:val="en-GB"/>
        </w:rPr>
      </w:pPr>
    </w:p>
    <w:sectPr w:rsidR="001C5287" w:rsidRPr="005A1AF9" w:rsidSect="009306BA">
      <w:footerReference w:type="default" r:id="rId13"/>
      <w:type w:val="continuous"/>
      <w:pgSz w:w="11906" w:h="16838"/>
      <w:pgMar w:top="1134"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19138" w14:textId="77777777" w:rsidR="00055897" w:rsidRDefault="00055897" w:rsidP="00B56470">
      <w:r>
        <w:separator/>
      </w:r>
    </w:p>
  </w:endnote>
  <w:endnote w:type="continuationSeparator" w:id="0">
    <w:p w14:paraId="139C3465" w14:textId="77777777" w:rsidR="00055897" w:rsidRDefault="00055897" w:rsidP="00B56470">
      <w:r>
        <w:continuationSeparator/>
      </w:r>
    </w:p>
  </w:endnote>
  <w:endnote w:type="continuationNotice" w:id="1">
    <w:p w14:paraId="1A3652B6" w14:textId="77777777" w:rsidR="00055897" w:rsidRDefault="0005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b8864ccf.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546227"/>
      <w:docPartObj>
        <w:docPartGallery w:val="Page Numbers (Bottom of Page)"/>
        <w:docPartUnique/>
      </w:docPartObj>
    </w:sdtPr>
    <w:sdtEndPr>
      <w:rPr>
        <w:noProof/>
      </w:rPr>
    </w:sdtEndPr>
    <w:sdtContent>
      <w:p w14:paraId="4F4F0992" w14:textId="5262F122" w:rsidR="00EA6518" w:rsidRDefault="00EA651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4E13F1E" w14:textId="77777777" w:rsidR="00EA6518" w:rsidRDefault="00EA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E8618" w14:textId="77777777" w:rsidR="00055897" w:rsidRDefault="00055897" w:rsidP="00B56470">
      <w:r>
        <w:separator/>
      </w:r>
    </w:p>
  </w:footnote>
  <w:footnote w:type="continuationSeparator" w:id="0">
    <w:p w14:paraId="4C3D91E9" w14:textId="77777777" w:rsidR="00055897" w:rsidRDefault="00055897" w:rsidP="00B56470">
      <w:r>
        <w:continuationSeparator/>
      </w:r>
    </w:p>
  </w:footnote>
  <w:footnote w:type="continuationNotice" w:id="1">
    <w:p w14:paraId="156ACBE4" w14:textId="77777777" w:rsidR="00055897" w:rsidRDefault="000558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7C0"/>
    <w:multiLevelType w:val="hybridMultilevel"/>
    <w:tmpl w:val="1EAABCDC"/>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528"/>
    <w:multiLevelType w:val="hybridMultilevel"/>
    <w:tmpl w:val="C8C47BF4"/>
    <w:lvl w:ilvl="0" w:tplc="BADAE77A">
      <w:numFmt w:val="bullet"/>
      <w:lvlText w:val=""/>
      <w:lvlJc w:val="left"/>
      <w:pPr>
        <w:ind w:left="927" w:hanging="360"/>
      </w:pPr>
      <w:rPr>
        <w:rFonts w:ascii="Symbol" w:eastAsia="MS Mincho" w:hAnsi="Symbol"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25694"/>
    <w:multiLevelType w:val="hybridMultilevel"/>
    <w:tmpl w:val="620CD69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BC004F"/>
    <w:multiLevelType w:val="hybridMultilevel"/>
    <w:tmpl w:val="04B290C2"/>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FA4850"/>
    <w:multiLevelType w:val="hybridMultilevel"/>
    <w:tmpl w:val="E11C98BE"/>
    <w:lvl w:ilvl="0" w:tplc="92F65FE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647EA6"/>
    <w:multiLevelType w:val="multilevel"/>
    <w:tmpl w:val="118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44992"/>
    <w:multiLevelType w:val="hybridMultilevel"/>
    <w:tmpl w:val="0A64FCAE"/>
    <w:lvl w:ilvl="0" w:tplc="DF80E04C">
      <w:start w:val="1"/>
      <w:numFmt w:val="decimal"/>
      <w:lvlText w:val="%1."/>
      <w:lvlJc w:val="left"/>
      <w:pPr>
        <w:ind w:left="7023" w:hanging="360"/>
      </w:pPr>
      <w:rPr>
        <w:rFonts w:hint="default"/>
      </w:rPr>
    </w:lvl>
    <w:lvl w:ilvl="1" w:tplc="04190019" w:tentative="1">
      <w:start w:val="1"/>
      <w:numFmt w:val="lowerLetter"/>
      <w:lvlText w:val="%2."/>
      <w:lvlJc w:val="left"/>
      <w:pPr>
        <w:ind w:left="7536" w:hanging="360"/>
      </w:pPr>
    </w:lvl>
    <w:lvl w:ilvl="2" w:tplc="0419001B" w:tentative="1">
      <w:start w:val="1"/>
      <w:numFmt w:val="lowerRoman"/>
      <w:lvlText w:val="%3."/>
      <w:lvlJc w:val="right"/>
      <w:pPr>
        <w:ind w:left="8256" w:hanging="180"/>
      </w:pPr>
    </w:lvl>
    <w:lvl w:ilvl="3" w:tplc="0419000F" w:tentative="1">
      <w:start w:val="1"/>
      <w:numFmt w:val="decimal"/>
      <w:lvlText w:val="%4."/>
      <w:lvlJc w:val="left"/>
      <w:pPr>
        <w:ind w:left="8976" w:hanging="360"/>
      </w:pPr>
    </w:lvl>
    <w:lvl w:ilvl="4" w:tplc="04190019" w:tentative="1">
      <w:start w:val="1"/>
      <w:numFmt w:val="lowerLetter"/>
      <w:lvlText w:val="%5."/>
      <w:lvlJc w:val="left"/>
      <w:pPr>
        <w:ind w:left="9696" w:hanging="360"/>
      </w:pPr>
    </w:lvl>
    <w:lvl w:ilvl="5" w:tplc="0419001B" w:tentative="1">
      <w:start w:val="1"/>
      <w:numFmt w:val="lowerRoman"/>
      <w:lvlText w:val="%6."/>
      <w:lvlJc w:val="right"/>
      <w:pPr>
        <w:ind w:left="10416" w:hanging="180"/>
      </w:pPr>
    </w:lvl>
    <w:lvl w:ilvl="6" w:tplc="0419000F" w:tentative="1">
      <w:start w:val="1"/>
      <w:numFmt w:val="decimal"/>
      <w:lvlText w:val="%7."/>
      <w:lvlJc w:val="left"/>
      <w:pPr>
        <w:ind w:left="11136" w:hanging="360"/>
      </w:pPr>
    </w:lvl>
    <w:lvl w:ilvl="7" w:tplc="04190019" w:tentative="1">
      <w:start w:val="1"/>
      <w:numFmt w:val="lowerLetter"/>
      <w:lvlText w:val="%8."/>
      <w:lvlJc w:val="left"/>
      <w:pPr>
        <w:ind w:left="11856" w:hanging="360"/>
      </w:pPr>
    </w:lvl>
    <w:lvl w:ilvl="8" w:tplc="0419001B" w:tentative="1">
      <w:start w:val="1"/>
      <w:numFmt w:val="lowerRoman"/>
      <w:lvlText w:val="%9."/>
      <w:lvlJc w:val="right"/>
      <w:pPr>
        <w:ind w:left="12576" w:hanging="180"/>
      </w:pPr>
    </w:lvl>
  </w:abstractNum>
  <w:abstractNum w:abstractNumId="7" w15:restartNumberingAfterBreak="0">
    <w:nsid w:val="356C2DA7"/>
    <w:multiLevelType w:val="hybridMultilevel"/>
    <w:tmpl w:val="A29606BA"/>
    <w:lvl w:ilvl="0" w:tplc="4DA671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70DD8"/>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B3134B"/>
    <w:multiLevelType w:val="hybridMultilevel"/>
    <w:tmpl w:val="D74AE680"/>
    <w:lvl w:ilvl="0" w:tplc="DF044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673AFB"/>
    <w:multiLevelType w:val="hybridMultilevel"/>
    <w:tmpl w:val="C70CD0AA"/>
    <w:lvl w:ilvl="0" w:tplc="DF0449C8">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4B47585"/>
    <w:multiLevelType w:val="hybridMultilevel"/>
    <w:tmpl w:val="7CF68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265E5A"/>
    <w:multiLevelType w:val="hybridMultilevel"/>
    <w:tmpl w:val="0A64FCAE"/>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0DA62B7"/>
    <w:multiLevelType w:val="hybridMultilevel"/>
    <w:tmpl w:val="6706C100"/>
    <w:lvl w:ilvl="0" w:tplc="DF80E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A01F80"/>
    <w:multiLevelType w:val="hybridMultilevel"/>
    <w:tmpl w:val="72F21CB8"/>
    <w:lvl w:ilvl="0" w:tplc="DF80E04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10"/>
  </w:num>
  <w:num w:numId="3">
    <w:abstractNumId w:val="13"/>
  </w:num>
  <w:num w:numId="4">
    <w:abstractNumId w:val="0"/>
  </w:num>
  <w:num w:numId="5">
    <w:abstractNumId w:val="6"/>
  </w:num>
  <w:num w:numId="6">
    <w:abstractNumId w:val="14"/>
  </w:num>
  <w:num w:numId="7">
    <w:abstractNumId w:val="2"/>
  </w:num>
  <w:num w:numId="8">
    <w:abstractNumId w:val="8"/>
  </w:num>
  <w:num w:numId="9">
    <w:abstractNumId w:val="11"/>
  </w:num>
  <w:num w:numId="10">
    <w:abstractNumId w:val="7"/>
  </w:num>
  <w:num w:numId="11">
    <w:abstractNumId w:val="12"/>
  </w:num>
  <w:num w:numId="12">
    <w:abstractNumId w:val="3"/>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BA"/>
    <w:rsid w:val="0000000A"/>
    <w:rsid w:val="0000000D"/>
    <w:rsid w:val="000002E1"/>
    <w:rsid w:val="000020C8"/>
    <w:rsid w:val="0000334A"/>
    <w:rsid w:val="00003F34"/>
    <w:rsid w:val="00004A57"/>
    <w:rsid w:val="00004BFE"/>
    <w:rsid w:val="0000536B"/>
    <w:rsid w:val="00006C39"/>
    <w:rsid w:val="00007251"/>
    <w:rsid w:val="00007904"/>
    <w:rsid w:val="000109AA"/>
    <w:rsid w:val="0001101F"/>
    <w:rsid w:val="000127C9"/>
    <w:rsid w:val="000141AE"/>
    <w:rsid w:val="00015350"/>
    <w:rsid w:val="000158D9"/>
    <w:rsid w:val="0001695E"/>
    <w:rsid w:val="000178ED"/>
    <w:rsid w:val="00017F00"/>
    <w:rsid w:val="00020045"/>
    <w:rsid w:val="00022106"/>
    <w:rsid w:val="00022E6B"/>
    <w:rsid w:val="0002341E"/>
    <w:rsid w:val="0002469D"/>
    <w:rsid w:val="00025503"/>
    <w:rsid w:val="000261C0"/>
    <w:rsid w:val="000261F2"/>
    <w:rsid w:val="000263E5"/>
    <w:rsid w:val="000265AB"/>
    <w:rsid w:val="00030253"/>
    <w:rsid w:val="00030EE0"/>
    <w:rsid w:val="00031126"/>
    <w:rsid w:val="00031460"/>
    <w:rsid w:val="000329BD"/>
    <w:rsid w:val="00032C64"/>
    <w:rsid w:val="00033E6D"/>
    <w:rsid w:val="00035E91"/>
    <w:rsid w:val="000360B5"/>
    <w:rsid w:val="00036619"/>
    <w:rsid w:val="00037B26"/>
    <w:rsid w:val="000405A5"/>
    <w:rsid w:val="000411F6"/>
    <w:rsid w:val="00043201"/>
    <w:rsid w:val="0004349A"/>
    <w:rsid w:val="00044D22"/>
    <w:rsid w:val="00045C87"/>
    <w:rsid w:val="00046F45"/>
    <w:rsid w:val="00047E7E"/>
    <w:rsid w:val="00047F60"/>
    <w:rsid w:val="00050738"/>
    <w:rsid w:val="0005097C"/>
    <w:rsid w:val="000509B5"/>
    <w:rsid w:val="00051FAD"/>
    <w:rsid w:val="0005235C"/>
    <w:rsid w:val="000525CA"/>
    <w:rsid w:val="00053151"/>
    <w:rsid w:val="00054828"/>
    <w:rsid w:val="00055897"/>
    <w:rsid w:val="00055DD8"/>
    <w:rsid w:val="00055E51"/>
    <w:rsid w:val="00056285"/>
    <w:rsid w:val="000574B4"/>
    <w:rsid w:val="000578AF"/>
    <w:rsid w:val="00057BD7"/>
    <w:rsid w:val="00060D35"/>
    <w:rsid w:val="000610D6"/>
    <w:rsid w:val="00061D43"/>
    <w:rsid w:val="000622BD"/>
    <w:rsid w:val="000630DA"/>
    <w:rsid w:val="0006536B"/>
    <w:rsid w:val="00065418"/>
    <w:rsid w:val="00065759"/>
    <w:rsid w:val="000660EC"/>
    <w:rsid w:val="000664C6"/>
    <w:rsid w:val="0006672B"/>
    <w:rsid w:val="00067752"/>
    <w:rsid w:val="000711A8"/>
    <w:rsid w:val="000719E4"/>
    <w:rsid w:val="00072323"/>
    <w:rsid w:val="00072DDC"/>
    <w:rsid w:val="00074DC7"/>
    <w:rsid w:val="000755B7"/>
    <w:rsid w:val="00075C04"/>
    <w:rsid w:val="00075F39"/>
    <w:rsid w:val="000767E6"/>
    <w:rsid w:val="00077019"/>
    <w:rsid w:val="00077304"/>
    <w:rsid w:val="00077672"/>
    <w:rsid w:val="00077812"/>
    <w:rsid w:val="000804D2"/>
    <w:rsid w:val="00081823"/>
    <w:rsid w:val="00082D99"/>
    <w:rsid w:val="00082DBE"/>
    <w:rsid w:val="00082F0C"/>
    <w:rsid w:val="00083443"/>
    <w:rsid w:val="000848A0"/>
    <w:rsid w:val="00084D6F"/>
    <w:rsid w:val="00085483"/>
    <w:rsid w:val="00085BCA"/>
    <w:rsid w:val="00091967"/>
    <w:rsid w:val="0009209F"/>
    <w:rsid w:val="00092535"/>
    <w:rsid w:val="0009304D"/>
    <w:rsid w:val="000931D2"/>
    <w:rsid w:val="00093D17"/>
    <w:rsid w:val="0009472B"/>
    <w:rsid w:val="000949F4"/>
    <w:rsid w:val="000957FF"/>
    <w:rsid w:val="000958C9"/>
    <w:rsid w:val="00096825"/>
    <w:rsid w:val="000975D6"/>
    <w:rsid w:val="000A02EF"/>
    <w:rsid w:val="000A11C4"/>
    <w:rsid w:val="000A1293"/>
    <w:rsid w:val="000A13A2"/>
    <w:rsid w:val="000A1C4A"/>
    <w:rsid w:val="000A26D6"/>
    <w:rsid w:val="000A28CE"/>
    <w:rsid w:val="000A389F"/>
    <w:rsid w:val="000A4550"/>
    <w:rsid w:val="000A4A7F"/>
    <w:rsid w:val="000A4CF1"/>
    <w:rsid w:val="000A5885"/>
    <w:rsid w:val="000A62C6"/>
    <w:rsid w:val="000A6CA4"/>
    <w:rsid w:val="000B1281"/>
    <w:rsid w:val="000B1D9B"/>
    <w:rsid w:val="000B27DE"/>
    <w:rsid w:val="000B2984"/>
    <w:rsid w:val="000B3200"/>
    <w:rsid w:val="000B42A1"/>
    <w:rsid w:val="000B484B"/>
    <w:rsid w:val="000B4BD3"/>
    <w:rsid w:val="000B5F0B"/>
    <w:rsid w:val="000B63FD"/>
    <w:rsid w:val="000B6D4C"/>
    <w:rsid w:val="000C04D1"/>
    <w:rsid w:val="000C060C"/>
    <w:rsid w:val="000C0EA4"/>
    <w:rsid w:val="000C0ECF"/>
    <w:rsid w:val="000C3606"/>
    <w:rsid w:val="000C388A"/>
    <w:rsid w:val="000C434D"/>
    <w:rsid w:val="000C475B"/>
    <w:rsid w:val="000C4F4B"/>
    <w:rsid w:val="000C5340"/>
    <w:rsid w:val="000C6623"/>
    <w:rsid w:val="000C7CC8"/>
    <w:rsid w:val="000D0DE5"/>
    <w:rsid w:val="000D14BE"/>
    <w:rsid w:val="000D29FE"/>
    <w:rsid w:val="000D3FE1"/>
    <w:rsid w:val="000D4015"/>
    <w:rsid w:val="000D4097"/>
    <w:rsid w:val="000D4671"/>
    <w:rsid w:val="000D607F"/>
    <w:rsid w:val="000D62D3"/>
    <w:rsid w:val="000D6575"/>
    <w:rsid w:val="000D68DF"/>
    <w:rsid w:val="000D6C42"/>
    <w:rsid w:val="000E01CF"/>
    <w:rsid w:val="000E0380"/>
    <w:rsid w:val="000E0E43"/>
    <w:rsid w:val="000E0ED6"/>
    <w:rsid w:val="000E1BE8"/>
    <w:rsid w:val="000E317A"/>
    <w:rsid w:val="000E3BFE"/>
    <w:rsid w:val="000E3E2A"/>
    <w:rsid w:val="000E4406"/>
    <w:rsid w:val="000E4920"/>
    <w:rsid w:val="000E4CC0"/>
    <w:rsid w:val="000E50FB"/>
    <w:rsid w:val="000E51CA"/>
    <w:rsid w:val="000F0EBA"/>
    <w:rsid w:val="000F3657"/>
    <w:rsid w:val="000F36B0"/>
    <w:rsid w:val="000F4C12"/>
    <w:rsid w:val="000F5A87"/>
    <w:rsid w:val="000F63B9"/>
    <w:rsid w:val="000F6E45"/>
    <w:rsid w:val="0010041D"/>
    <w:rsid w:val="0010120F"/>
    <w:rsid w:val="0010326B"/>
    <w:rsid w:val="00103E00"/>
    <w:rsid w:val="00104FC8"/>
    <w:rsid w:val="00105DED"/>
    <w:rsid w:val="001079FC"/>
    <w:rsid w:val="00107C3C"/>
    <w:rsid w:val="00107F88"/>
    <w:rsid w:val="001102B7"/>
    <w:rsid w:val="001103E6"/>
    <w:rsid w:val="001104CA"/>
    <w:rsid w:val="00110FAC"/>
    <w:rsid w:val="00111B77"/>
    <w:rsid w:val="00112816"/>
    <w:rsid w:val="00113395"/>
    <w:rsid w:val="00113B77"/>
    <w:rsid w:val="00113E92"/>
    <w:rsid w:val="00115BA1"/>
    <w:rsid w:val="0011696E"/>
    <w:rsid w:val="00116E0F"/>
    <w:rsid w:val="00117EEF"/>
    <w:rsid w:val="0012066E"/>
    <w:rsid w:val="00120C48"/>
    <w:rsid w:val="001211B2"/>
    <w:rsid w:val="00121E9D"/>
    <w:rsid w:val="00122144"/>
    <w:rsid w:val="00122582"/>
    <w:rsid w:val="00122D6B"/>
    <w:rsid w:val="001242B8"/>
    <w:rsid w:val="00124B91"/>
    <w:rsid w:val="001255E0"/>
    <w:rsid w:val="00126970"/>
    <w:rsid w:val="00127138"/>
    <w:rsid w:val="00127579"/>
    <w:rsid w:val="001302D4"/>
    <w:rsid w:val="00130314"/>
    <w:rsid w:val="0013040E"/>
    <w:rsid w:val="00130D68"/>
    <w:rsid w:val="001317CB"/>
    <w:rsid w:val="00131DB0"/>
    <w:rsid w:val="00131F9B"/>
    <w:rsid w:val="00132515"/>
    <w:rsid w:val="001325C2"/>
    <w:rsid w:val="00132A16"/>
    <w:rsid w:val="00132BFE"/>
    <w:rsid w:val="00132E14"/>
    <w:rsid w:val="00132E47"/>
    <w:rsid w:val="00133070"/>
    <w:rsid w:val="001330B6"/>
    <w:rsid w:val="00135FDA"/>
    <w:rsid w:val="00136236"/>
    <w:rsid w:val="001368C7"/>
    <w:rsid w:val="00136B5F"/>
    <w:rsid w:val="00136B74"/>
    <w:rsid w:val="00137389"/>
    <w:rsid w:val="00137612"/>
    <w:rsid w:val="00137A86"/>
    <w:rsid w:val="00137C62"/>
    <w:rsid w:val="001404DF"/>
    <w:rsid w:val="00140F40"/>
    <w:rsid w:val="001419A2"/>
    <w:rsid w:val="00141D9F"/>
    <w:rsid w:val="00142BD0"/>
    <w:rsid w:val="001442E3"/>
    <w:rsid w:val="0014455A"/>
    <w:rsid w:val="00144A9F"/>
    <w:rsid w:val="0014548F"/>
    <w:rsid w:val="00146564"/>
    <w:rsid w:val="00146696"/>
    <w:rsid w:val="00146845"/>
    <w:rsid w:val="001473CB"/>
    <w:rsid w:val="00147509"/>
    <w:rsid w:val="00147523"/>
    <w:rsid w:val="00150323"/>
    <w:rsid w:val="00151021"/>
    <w:rsid w:val="00152848"/>
    <w:rsid w:val="001534AD"/>
    <w:rsid w:val="001547DF"/>
    <w:rsid w:val="00154AB4"/>
    <w:rsid w:val="00154F7F"/>
    <w:rsid w:val="00155AE8"/>
    <w:rsid w:val="00156AC7"/>
    <w:rsid w:val="0015787D"/>
    <w:rsid w:val="0016214C"/>
    <w:rsid w:val="001633D5"/>
    <w:rsid w:val="00163BA9"/>
    <w:rsid w:val="0016486A"/>
    <w:rsid w:val="001659B9"/>
    <w:rsid w:val="001669DF"/>
    <w:rsid w:val="00167462"/>
    <w:rsid w:val="00167763"/>
    <w:rsid w:val="001709A2"/>
    <w:rsid w:val="00170A36"/>
    <w:rsid w:val="00170CF2"/>
    <w:rsid w:val="00172C64"/>
    <w:rsid w:val="00172CB5"/>
    <w:rsid w:val="00172DA0"/>
    <w:rsid w:val="00173D60"/>
    <w:rsid w:val="00173FAB"/>
    <w:rsid w:val="00174103"/>
    <w:rsid w:val="00174398"/>
    <w:rsid w:val="001758CD"/>
    <w:rsid w:val="0017643A"/>
    <w:rsid w:val="001770D9"/>
    <w:rsid w:val="00177E99"/>
    <w:rsid w:val="0018021E"/>
    <w:rsid w:val="00181873"/>
    <w:rsid w:val="001819B7"/>
    <w:rsid w:val="00183EFC"/>
    <w:rsid w:val="00184F7D"/>
    <w:rsid w:val="00185557"/>
    <w:rsid w:val="001859CF"/>
    <w:rsid w:val="00185C74"/>
    <w:rsid w:val="0018604E"/>
    <w:rsid w:val="00186CA3"/>
    <w:rsid w:val="00187528"/>
    <w:rsid w:val="001875EC"/>
    <w:rsid w:val="00187B64"/>
    <w:rsid w:val="0019046B"/>
    <w:rsid w:val="00190923"/>
    <w:rsid w:val="0019186E"/>
    <w:rsid w:val="00191F22"/>
    <w:rsid w:val="00192058"/>
    <w:rsid w:val="00194F68"/>
    <w:rsid w:val="00195114"/>
    <w:rsid w:val="001951FD"/>
    <w:rsid w:val="001952CE"/>
    <w:rsid w:val="0019580C"/>
    <w:rsid w:val="00196DAE"/>
    <w:rsid w:val="00196E9E"/>
    <w:rsid w:val="001A00A2"/>
    <w:rsid w:val="001A2D16"/>
    <w:rsid w:val="001A3C47"/>
    <w:rsid w:val="001A4106"/>
    <w:rsid w:val="001A46B5"/>
    <w:rsid w:val="001A4936"/>
    <w:rsid w:val="001A4A6C"/>
    <w:rsid w:val="001A4BAD"/>
    <w:rsid w:val="001A530F"/>
    <w:rsid w:val="001A5DCC"/>
    <w:rsid w:val="001A5F7F"/>
    <w:rsid w:val="001A630E"/>
    <w:rsid w:val="001A7443"/>
    <w:rsid w:val="001A74A9"/>
    <w:rsid w:val="001B0EBC"/>
    <w:rsid w:val="001B14C3"/>
    <w:rsid w:val="001B198B"/>
    <w:rsid w:val="001B1D77"/>
    <w:rsid w:val="001B26CD"/>
    <w:rsid w:val="001B36F0"/>
    <w:rsid w:val="001B428B"/>
    <w:rsid w:val="001B479B"/>
    <w:rsid w:val="001B4A9C"/>
    <w:rsid w:val="001B58B1"/>
    <w:rsid w:val="001B5BCA"/>
    <w:rsid w:val="001B632A"/>
    <w:rsid w:val="001B63AD"/>
    <w:rsid w:val="001B6554"/>
    <w:rsid w:val="001B668B"/>
    <w:rsid w:val="001C0101"/>
    <w:rsid w:val="001C028B"/>
    <w:rsid w:val="001C0ADD"/>
    <w:rsid w:val="001C0D4A"/>
    <w:rsid w:val="001C1923"/>
    <w:rsid w:val="001C203F"/>
    <w:rsid w:val="001C2BFE"/>
    <w:rsid w:val="001C3194"/>
    <w:rsid w:val="001C320A"/>
    <w:rsid w:val="001C3334"/>
    <w:rsid w:val="001C3CDB"/>
    <w:rsid w:val="001C3D40"/>
    <w:rsid w:val="001C40EE"/>
    <w:rsid w:val="001C5287"/>
    <w:rsid w:val="001C7BAA"/>
    <w:rsid w:val="001D11B7"/>
    <w:rsid w:val="001D2574"/>
    <w:rsid w:val="001D2C41"/>
    <w:rsid w:val="001D3ED7"/>
    <w:rsid w:val="001D5D96"/>
    <w:rsid w:val="001D60DB"/>
    <w:rsid w:val="001D6647"/>
    <w:rsid w:val="001D68C5"/>
    <w:rsid w:val="001D6D9D"/>
    <w:rsid w:val="001D774B"/>
    <w:rsid w:val="001E0247"/>
    <w:rsid w:val="001E13EE"/>
    <w:rsid w:val="001E241E"/>
    <w:rsid w:val="001E2846"/>
    <w:rsid w:val="001E2CF3"/>
    <w:rsid w:val="001E38AD"/>
    <w:rsid w:val="001E3FB5"/>
    <w:rsid w:val="001E52F2"/>
    <w:rsid w:val="001E5716"/>
    <w:rsid w:val="001E62AE"/>
    <w:rsid w:val="001E793E"/>
    <w:rsid w:val="001F023F"/>
    <w:rsid w:val="001F0251"/>
    <w:rsid w:val="001F06E6"/>
    <w:rsid w:val="001F0DEF"/>
    <w:rsid w:val="001F2016"/>
    <w:rsid w:val="001F2828"/>
    <w:rsid w:val="001F3D2C"/>
    <w:rsid w:val="001F418F"/>
    <w:rsid w:val="001F7A8F"/>
    <w:rsid w:val="001F7FA2"/>
    <w:rsid w:val="00200640"/>
    <w:rsid w:val="00200C74"/>
    <w:rsid w:val="002014E3"/>
    <w:rsid w:val="00203856"/>
    <w:rsid w:val="00203E50"/>
    <w:rsid w:val="002049ED"/>
    <w:rsid w:val="00205865"/>
    <w:rsid w:val="00205EC5"/>
    <w:rsid w:val="00206A0E"/>
    <w:rsid w:val="00206B73"/>
    <w:rsid w:val="00207461"/>
    <w:rsid w:val="00210755"/>
    <w:rsid w:val="00210EE3"/>
    <w:rsid w:val="002117E2"/>
    <w:rsid w:val="00211C7B"/>
    <w:rsid w:val="002123FB"/>
    <w:rsid w:val="0021306C"/>
    <w:rsid w:val="002130B8"/>
    <w:rsid w:val="002132CB"/>
    <w:rsid w:val="0021610E"/>
    <w:rsid w:val="00216C5B"/>
    <w:rsid w:val="00217F70"/>
    <w:rsid w:val="0022297A"/>
    <w:rsid w:val="00223358"/>
    <w:rsid w:val="002239DD"/>
    <w:rsid w:val="00226525"/>
    <w:rsid w:val="002275A7"/>
    <w:rsid w:val="00227D0F"/>
    <w:rsid w:val="00230C2F"/>
    <w:rsid w:val="00230DBD"/>
    <w:rsid w:val="00231589"/>
    <w:rsid w:val="002323E8"/>
    <w:rsid w:val="00233135"/>
    <w:rsid w:val="00233DD3"/>
    <w:rsid w:val="00235002"/>
    <w:rsid w:val="00235078"/>
    <w:rsid w:val="00235BFD"/>
    <w:rsid w:val="002365CF"/>
    <w:rsid w:val="002371C1"/>
    <w:rsid w:val="00237A66"/>
    <w:rsid w:val="00240532"/>
    <w:rsid w:val="00240FAF"/>
    <w:rsid w:val="00241E92"/>
    <w:rsid w:val="00242516"/>
    <w:rsid w:val="00243CD8"/>
    <w:rsid w:val="0024506E"/>
    <w:rsid w:val="002464D9"/>
    <w:rsid w:val="00246AAA"/>
    <w:rsid w:val="002501B5"/>
    <w:rsid w:val="00251802"/>
    <w:rsid w:val="00251D64"/>
    <w:rsid w:val="00251D6B"/>
    <w:rsid w:val="00252D36"/>
    <w:rsid w:val="00253B9D"/>
    <w:rsid w:val="00254263"/>
    <w:rsid w:val="0025492E"/>
    <w:rsid w:val="00255FD4"/>
    <w:rsid w:val="00256297"/>
    <w:rsid w:val="002569A0"/>
    <w:rsid w:val="002619BC"/>
    <w:rsid w:val="00263381"/>
    <w:rsid w:val="00263A89"/>
    <w:rsid w:val="00263AA2"/>
    <w:rsid w:val="0026456C"/>
    <w:rsid w:val="002650E7"/>
    <w:rsid w:val="0026661E"/>
    <w:rsid w:val="002669BA"/>
    <w:rsid w:val="00266A97"/>
    <w:rsid w:val="0026741A"/>
    <w:rsid w:val="00271EBA"/>
    <w:rsid w:val="002722E3"/>
    <w:rsid w:val="00274907"/>
    <w:rsid w:val="0027621B"/>
    <w:rsid w:val="0028135C"/>
    <w:rsid w:val="00281A53"/>
    <w:rsid w:val="00283073"/>
    <w:rsid w:val="00283D8F"/>
    <w:rsid w:val="0028460B"/>
    <w:rsid w:val="0028461C"/>
    <w:rsid w:val="002854D8"/>
    <w:rsid w:val="00285B32"/>
    <w:rsid w:val="00286D3C"/>
    <w:rsid w:val="00290FA9"/>
    <w:rsid w:val="00291000"/>
    <w:rsid w:val="00291189"/>
    <w:rsid w:val="0029175E"/>
    <w:rsid w:val="002918B3"/>
    <w:rsid w:val="00292740"/>
    <w:rsid w:val="00292D94"/>
    <w:rsid w:val="00293B16"/>
    <w:rsid w:val="0029554A"/>
    <w:rsid w:val="00295734"/>
    <w:rsid w:val="00295EFF"/>
    <w:rsid w:val="002A09D5"/>
    <w:rsid w:val="002A375C"/>
    <w:rsid w:val="002A3B9D"/>
    <w:rsid w:val="002A4E2C"/>
    <w:rsid w:val="002A55EC"/>
    <w:rsid w:val="002A5A1C"/>
    <w:rsid w:val="002A5F5F"/>
    <w:rsid w:val="002A7A87"/>
    <w:rsid w:val="002A7FB6"/>
    <w:rsid w:val="002B0949"/>
    <w:rsid w:val="002B1ADD"/>
    <w:rsid w:val="002B1E84"/>
    <w:rsid w:val="002B21D7"/>
    <w:rsid w:val="002B2832"/>
    <w:rsid w:val="002B2DB8"/>
    <w:rsid w:val="002B3677"/>
    <w:rsid w:val="002B37F4"/>
    <w:rsid w:val="002B3C12"/>
    <w:rsid w:val="002B4D78"/>
    <w:rsid w:val="002B4F53"/>
    <w:rsid w:val="002B6751"/>
    <w:rsid w:val="002B68DC"/>
    <w:rsid w:val="002B6FDF"/>
    <w:rsid w:val="002B71DD"/>
    <w:rsid w:val="002C05DD"/>
    <w:rsid w:val="002C1C89"/>
    <w:rsid w:val="002C230A"/>
    <w:rsid w:val="002C345F"/>
    <w:rsid w:val="002C59A2"/>
    <w:rsid w:val="002C674F"/>
    <w:rsid w:val="002C6B08"/>
    <w:rsid w:val="002C6F6D"/>
    <w:rsid w:val="002C7562"/>
    <w:rsid w:val="002C7B73"/>
    <w:rsid w:val="002C7C74"/>
    <w:rsid w:val="002D017C"/>
    <w:rsid w:val="002D0D3F"/>
    <w:rsid w:val="002D0E63"/>
    <w:rsid w:val="002D12D8"/>
    <w:rsid w:val="002D1828"/>
    <w:rsid w:val="002D2804"/>
    <w:rsid w:val="002D3408"/>
    <w:rsid w:val="002D35D1"/>
    <w:rsid w:val="002D5411"/>
    <w:rsid w:val="002D5CC3"/>
    <w:rsid w:val="002D5E5A"/>
    <w:rsid w:val="002D6AAA"/>
    <w:rsid w:val="002D6F98"/>
    <w:rsid w:val="002D79C4"/>
    <w:rsid w:val="002E0BF0"/>
    <w:rsid w:val="002E1DDA"/>
    <w:rsid w:val="002E607E"/>
    <w:rsid w:val="002E7D2C"/>
    <w:rsid w:val="002F045C"/>
    <w:rsid w:val="002F0AEE"/>
    <w:rsid w:val="002F0D1B"/>
    <w:rsid w:val="002F1420"/>
    <w:rsid w:val="002F1C5B"/>
    <w:rsid w:val="002F2F48"/>
    <w:rsid w:val="002F4825"/>
    <w:rsid w:val="002F4C58"/>
    <w:rsid w:val="002F4EF9"/>
    <w:rsid w:val="002F5463"/>
    <w:rsid w:val="002F5464"/>
    <w:rsid w:val="002F7255"/>
    <w:rsid w:val="00300304"/>
    <w:rsid w:val="00300509"/>
    <w:rsid w:val="00300CA3"/>
    <w:rsid w:val="003018B3"/>
    <w:rsid w:val="003020A6"/>
    <w:rsid w:val="0030252F"/>
    <w:rsid w:val="00302B4B"/>
    <w:rsid w:val="0030467B"/>
    <w:rsid w:val="0030469E"/>
    <w:rsid w:val="0030479E"/>
    <w:rsid w:val="0030503C"/>
    <w:rsid w:val="00305B54"/>
    <w:rsid w:val="00306030"/>
    <w:rsid w:val="0030661D"/>
    <w:rsid w:val="00307816"/>
    <w:rsid w:val="00307A63"/>
    <w:rsid w:val="003102DC"/>
    <w:rsid w:val="0031090C"/>
    <w:rsid w:val="003118DA"/>
    <w:rsid w:val="00311B54"/>
    <w:rsid w:val="00312CB6"/>
    <w:rsid w:val="0031337B"/>
    <w:rsid w:val="00313586"/>
    <w:rsid w:val="0031639F"/>
    <w:rsid w:val="0031655C"/>
    <w:rsid w:val="00316840"/>
    <w:rsid w:val="00316CE1"/>
    <w:rsid w:val="003174F6"/>
    <w:rsid w:val="003174F8"/>
    <w:rsid w:val="003176B8"/>
    <w:rsid w:val="00317C73"/>
    <w:rsid w:val="00317D31"/>
    <w:rsid w:val="00320952"/>
    <w:rsid w:val="00320C65"/>
    <w:rsid w:val="00320E36"/>
    <w:rsid w:val="00320E41"/>
    <w:rsid w:val="00322125"/>
    <w:rsid w:val="0032226D"/>
    <w:rsid w:val="00322BF5"/>
    <w:rsid w:val="00322F15"/>
    <w:rsid w:val="00323EC8"/>
    <w:rsid w:val="00323FBB"/>
    <w:rsid w:val="00324075"/>
    <w:rsid w:val="0032501E"/>
    <w:rsid w:val="003267AA"/>
    <w:rsid w:val="00326E47"/>
    <w:rsid w:val="003273F8"/>
    <w:rsid w:val="003307AE"/>
    <w:rsid w:val="0033093D"/>
    <w:rsid w:val="00330C99"/>
    <w:rsid w:val="003313AF"/>
    <w:rsid w:val="003323ED"/>
    <w:rsid w:val="00332E21"/>
    <w:rsid w:val="0033362B"/>
    <w:rsid w:val="0033388D"/>
    <w:rsid w:val="00333EC3"/>
    <w:rsid w:val="003342F9"/>
    <w:rsid w:val="00335334"/>
    <w:rsid w:val="003354EC"/>
    <w:rsid w:val="00335E6A"/>
    <w:rsid w:val="003360DC"/>
    <w:rsid w:val="0033633A"/>
    <w:rsid w:val="003368C2"/>
    <w:rsid w:val="003369FA"/>
    <w:rsid w:val="00336CC8"/>
    <w:rsid w:val="003376A3"/>
    <w:rsid w:val="003376EF"/>
    <w:rsid w:val="003377B1"/>
    <w:rsid w:val="003379A3"/>
    <w:rsid w:val="00337A5A"/>
    <w:rsid w:val="003408B6"/>
    <w:rsid w:val="003410E6"/>
    <w:rsid w:val="003410F1"/>
    <w:rsid w:val="003422B4"/>
    <w:rsid w:val="00343320"/>
    <w:rsid w:val="00343B57"/>
    <w:rsid w:val="0034403C"/>
    <w:rsid w:val="003447DB"/>
    <w:rsid w:val="00344C0C"/>
    <w:rsid w:val="00345024"/>
    <w:rsid w:val="0034550C"/>
    <w:rsid w:val="00346C5B"/>
    <w:rsid w:val="0034760E"/>
    <w:rsid w:val="00347F07"/>
    <w:rsid w:val="00350ADA"/>
    <w:rsid w:val="00352039"/>
    <w:rsid w:val="00352ED0"/>
    <w:rsid w:val="00353B61"/>
    <w:rsid w:val="00353CB4"/>
    <w:rsid w:val="0035476C"/>
    <w:rsid w:val="00354A17"/>
    <w:rsid w:val="00355EB7"/>
    <w:rsid w:val="00356570"/>
    <w:rsid w:val="00356950"/>
    <w:rsid w:val="00357E57"/>
    <w:rsid w:val="00360742"/>
    <w:rsid w:val="003608A6"/>
    <w:rsid w:val="0036172A"/>
    <w:rsid w:val="003635D4"/>
    <w:rsid w:val="0036364D"/>
    <w:rsid w:val="00363BE7"/>
    <w:rsid w:val="00364A2A"/>
    <w:rsid w:val="00367F8E"/>
    <w:rsid w:val="00370510"/>
    <w:rsid w:val="003722FB"/>
    <w:rsid w:val="00372D33"/>
    <w:rsid w:val="0037300E"/>
    <w:rsid w:val="00373D72"/>
    <w:rsid w:val="00375E23"/>
    <w:rsid w:val="00375ED7"/>
    <w:rsid w:val="00376BA6"/>
    <w:rsid w:val="003808C6"/>
    <w:rsid w:val="00380ADC"/>
    <w:rsid w:val="003811BF"/>
    <w:rsid w:val="00381AE1"/>
    <w:rsid w:val="00382DEC"/>
    <w:rsid w:val="00383283"/>
    <w:rsid w:val="0038399D"/>
    <w:rsid w:val="00383ADB"/>
    <w:rsid w:val="00383BA6"/>
    <w:rsid w:val="003846C8"/>
    <w:rsid w:val="00386F3C"/>
    <w:rsid w:val="003907CC"/>
    <w:rsid w:val="00391935"/>
    <w:rsid w:val="00391CF1"/>
    <w:rsid w:val="00392513"/>
    <w:rsid w:val="00393B3C"/>
    <w:rsid w:val="003944DD"/>
    <w:rsid w:val="003945DB"/>
    <w:rsid w:val="003960CF"/>
    <w:rsid w:val="003967DC"/>
    <w:rsid w:val="00396CF6"/>
    <w:rsid w:val="0039725D"/>
    <w:rsid w:val="003973E4"/>
    <w:rsid w:val="0039772C"/>
    <w:rsid w:val="00397F79"/>
    <w:rsid w:val="003A0848"/>
    <w:rsid w:val="003A0FE9"/>
    <w:rsid w:val="003A17B5"/>
    <w:rsid w:val="003A2432"/>
    <w:rsid w:val="003A2B76"/>
    <w:rsid w:val="003A3785"/>
    <w:rsid w:val="003A54BD"/>
    <w:rsid w:val="003A7979"/>
    <w:rsid w:val="003A7C56"/>
    <w:rsid w:val="003B0786"/>
    <w:rsid w:val="003B23E0"/>
    <w:rsid w:val="003B2E76"/>
    <w:rsid w:val="003B3564"/>
    <w:rsid w:val="003B59BB"/>
    <w:rsid w:val="003B5CE6"/>
    <w:rsid w:val="003B5CEA"/>
    <w:rsid w:val="003B5F39"/>
    <w:rsid w:val="003B5FD1"/>
    <w:rsid w:val="003B70F4"/>
    <w:rsid w:val="003C085E"/>
    <w:rsid w:val="003C1B3E"/>
    <w:rsid w:val="003C1FDD"/>
    <w:rsid w:val="003C36CC"/>
    <w:rsid w:val="003C4AA2"/>
    <w:rsid w:val="003C534A"/>
    <w:rsid w:val="003C53D7"/>
    <w:rsid w:val="003C7EA2"/>
    <w:rsid w:val="003D019A"/>
    <w:rsid w:val="003D12ED"/>
    <w:rsid w:val="003D16AA"/>
    <w:rsid w:val="003D16EE"/>
    <w:rsid w:val="003D2965"/>
    <w:rsid w:val="003D30C5"/>
    <w:rsid w:val="003D3CCC"/>
    <w:rsid w:val="003D415A"/>
    <w:rsid w:val="003D41E7"/>
    <w:rsid w:val="003D4B77"/>
    <w:rsid w:val="003D6724"/>
    <w:rsid w:val="003D6CB4"/>
    <w:rsid w:val="003D7335"/>
    <w:rsid w:val="003D7EED"/>
    <w:rsid w:val="003E02E3"/>
    <w:rsid w:val="003E0EA6"/>
    <w:rsid w:val="003E11E9"/>
    <w:rsid w:val="003E17DB"/>
    <w:rsid w:val="003E1EA0"/>
    <w:rsid w:val="003E1EE6"/>
    <w:rsid w:val="003E2A1C"/>
    <w:rsid w:val="003E2A2C"/>
    <w:rsid w:val="003E3E64"/>
    <w:rsid w:val="003E3EF7"/>
    <w:rsid w:val="003E4A7D"/>
    <w:rsid w:val="003E66E9"/>
    <w:rsid w:val="003E74DB"/>
    <w:rsid w:val="003E788A"/>
    <w:rsid w:val="003F025C"/>
    <w:rsid w:val="003F119A"/>
    <w:rsid w:val="003F27AA"/>
    <w:rsid w:val="003F4D91"/>
    <w:rsid w:val="003F4E2B"/>
    <w:rsid w:val="003F501B"/>
    <w:rsid w:val="003F515C"/>
    <w:rsid w:val="003F52BE"/>
    <w:rsid w:val="003F5601"/>
    <w:rsid w:val="003F67A5"/>
    <w:rsid w:val="003F6FCC"/>
    <w:rsid w:val="003F70B2"/>
    <w:rsid w:val="003F747F"/>
    <w:rsid w:val="003F79B1"/>
    <w:rsid w:val="003F7D16"/>
    <w:rsid w:val="00400BCF"/>
    <w:rsid w:val="00403D97"/>
    <w:rsid w:val="00403DEF"/>
    <w:rsid w:val="00404576"/>
    <w:rsid w:val="004047D1"/>
    <w:rsid w:val="00404D3D"/>
    <w:rsid w:val="00405408"/>
    <w:rsid w:val="004059D7"/>
    <w:rsid w:val="00405A1D"/>
    <w:rsid w:val="00405B26"/>
    <w:rsid w:val="00406964"/>
    <w:rsid w:val="00406F03"/>
    <w:rsid w:val="0040716D"/>
    <w:rsid w:val="004101FE"/>
    <w:rsid w:val="0041061F"/>
    <w:rsid w:val="0041076C"/>
    <w:rsid w:val="0041103E"/>
    <w:rsid w:val="00413452"/>
    <w:rsid w:val="004149A9"/>
    <w:rsid w:val="00414FA3"/>
    <w:rsid w:val="00415079"/>
    <w:rsid w:val="0041623A"/>
    <w:rsid w:val="00416C18"/>
    <w:rsid w:val="00416DDB"/>
    <w:rsid w:val="004170DD"/>
    <w:rsid w:val="00417715"/>
    <w:rsid w:val="004207D5"/>
    <w:rsid w:val="0042115D"/>
    <w:rsid w:val="00422C1E"/>
    <w:rsid w:val="00423AE6"/>
    <w:rsid w:val="00423E4D"/>
    <w:rsid w:val="00423FBC"/>
    <w:rsid w:val="00425853"/>
    <w:rsid w:val="00425BA9"/>
    <w:rsid w:val="0042600E"/>
    <w:rsid w:val="00426164"/>
    <w:rsid w:val="004264F1"/>
    <w:rsid w:val="00427068"/>
    <w:rsid w:val="00427630"/>
    <w:rsid w:val="004276FB"/>
    <w:rsid w:val="004316B3"/>
    <w:rsid w:val="00432656"/>
    <w:rsid w:val="0043287C"/>
    <w:rsid w:val="00432894"/>
    <w:rsid w:val="004350BD"/>
    <w:rsid w:val="004350F9"/>
    <w:rsid w:val="00436825"/>
    <w:rsid w:val="004377D4"/>
    <w:rsid w:val="0044014F"/>
    <w:rsid w:val="00440930"/>
    <w:rsid w:val="00441110"/>
    <w:rsid w:val="00441483"/>
    <w:rsid w:val="0044252F"/>
    <w:rsid w:val="004430F0"/>
    <w:rsid w:val="00443B37"/>
    <w:rsid w:val="00443DEC"/>
    <w:rsid w:val="0044579D"/>
    <w:rsid w:val="00446D36"/>
    <w:rsid w:val="00446D9D"/>
    <w:rsid w:val="00447A28"/>
    <w:rsid w:val="00447A94"/>
    <w:rsid w:val="004506DF"/>
    <w:rsid w:val="004507D1"/>
    <w:rsid w:val="0045255C"/>
    <w:rsid w:val="00452AD5"/>
    <w:rsid w:val="00453717"/>
    <w:rsid w:val="00453B89"/>
    <w:rsid w:val="00453D31"/>
    <w:rsid w:val="00454CC2"/>
    <w:rsid w:val="00455087"/>
    <w:rsid w:val="004561C6"/>
    <w:rsid w:val="0045634A"/>
    <w:rsid w:val="00457562"/>
    <w:rsid w:val="00457C32"/>
    <w:rsid w:val="00461A3A"/>
    <w:rsid w:val="00462466"/>
    <w:rsid w:val="00462A5D"/>
    <w:rsid w:val="0046396C"/>
    <w:rsid w:val="00463C49"/>
    <w:rsid w:val="004651FE"/>
    <w:rsid w:val="0046566C"/>
    <w:rsid w:val="004664A1"/>
    <w:rsid w:val="0046752A"/>
    <w:rsid w:val="00470962"/>
    <w:rsid w:val="00470B45"/>
    <w:rsid w:val="00471B2F"/>
    <w:rsid w:val="00472A8C"/>
    <w:rsid w:val="004732D2"/>
    <w:rsid w:val="00473DC5"/>
    <w:rsid w:val="00474D25"/>
    <w:rsid w:val="00474E69"/>
    <w:rsid w:val="004751EA"/>
    <w:rsid w:val="0047660B"/>
    <w:rsid w:val="004778B8"/>
    <w:rsid w:val="004802C7"/>
    <w:rsid w:val="00480896"/>
    <w:rsid w:val="0048249D"/>
    <w:rsid w:val="00482B8A"/>
    <w:rsid w:val="004853ED"/>
    <w:rsid w:val="004862C8"/>
    <w:rsid w:val="004865BB"/>
    <w:rsid w:val="00486B0B"/>
    <w:rsid w:val="00487330"/>
    <w:rsid w:val="004879C0"/>
    <w:rsid w:val="00490211"/>
    <w:rsid w:val="00490CD4"/>
    <w:rsid w:val="004914C0"/>
    <w:rsid w:val="00492702"/>
    <w:rsid w:val="00492869"/>
    <w:rsid w:val="00492893"/>
    <w:rsid w:val="00492F36"/>
    <w:rsid w:val="004949BD"/>
    <w:rsid w:val="00495704"/>
    <w:rsid w:val="00497EDB"/>
    <w:rsid w:val="004A01CA"/>
    <w:rsid w:val="004A0283"/>
    <w:rsid w:val="004A04D0"/>
    <w:rsid w:val="004A1963"/>
    <w:rsid w:val="004A28E7"/>
    <w:rsid w:val="004A32FF"/>
    <w:rsid w:val="004A35DB"/>
    <w:rsid w:val="004A462D"/>
    <w:rsid w:val="004A510E"/>
    <w:rsid w:val="004A5EFB"/>
    <w:rsid w:val="004A628C"/>
    <w:rsid w:val="004A6D0F"/>
    <w:rsid w:val="004A7167"/>
    <w:rsid w:val="004A7312"/>
    <w:rsid w:val="004A7321"/>
    <w:rsid w:val="004A78C4"/>
    <w:rsid w:val="004B0A35"/>
    <w:rsid w:val="004B1461"/>
    <w:rsid w:val="004B1AE3"/>
    <w:rsid w:val="004B4322"/>
    <w:rsid w:val="004B5705"/>
    <w:rsid w:val="004B597D"/>
    <w:rsid w:val="004B6C04"/>
    <w:rsid w:val="004B6CA8"/>
    <w:rsid w:val="004B71B0"/>
    <w:rsid w:val="004B7A41"/>
    <w:rsid w:val="004C021D"/>
    <w:rsid w:val="004C0367"/>
    <w:rsid w:val="004C08D2"/>
    <w:rsid w:val="004C0E62"/>
    <w:rsid w:val="004C3659"/>
    <w:rsid w:val="004C3A40"/>
    <w:rsid w:val="004C502A"/>
    <w:rsid w:val="004C5D5E"/>
    <w:rsid w:val="004C68A5"/>
    <w:rsid w:val="004C7B6A"/>
    <w:rsid w:val="004D0710"/>
    <w:rsid w:val="004D18D8"/>
    <w:rsid w:val="004D1A2C"/>
    <w:rsid w:val="004D3A45"/>
    <w:rsid w:val="004D3FA6"/>
    <w:rsid w:val="004D4275"/>
    <w:rsid w:val="004D4778"/>
    <w:rsid w:val="004D4C56"/>
    <w:rsid w:val="004D602B"/>
    <w:rsid w:val="004D7AE4"/>
    <w:rsid w:val="004E0073"/>
    <w:rsid w:val="004E1276"/>
    <w:rsid w:val="004E17D8"/>
    <w:rsid w:val="004E23CD"/>
    <w:rsid w:val="004E2685"/>
    <w:rsid w:val="004E376A"/>
    <w:rsid w:val="004E4CE3"/>
    <w:rsid w:val="004E4FC0"/>
    <w:rsid w:val="004E5039"/>
    <w:rsid w:val="004E51CA"/>
    <w:rsid w:val="004E5B60"/>
    <w:rsid w:val="004F00C4"/>
    <w:rsid w:val="004F0548"/>
    <w:rsid w:val="004F0694"/>
    <w:rsid w:val="004F0803"/>
    <w:rsid w:val="004F08A9"/>
    <w:rsid w:val="004F0AE1"/>
    <w:rsid w:val="004F1954"/>
    <w:rsid w:val="004F1F44"/>
    <w:rsid w:val="004F2568"/>
    <w:rsid w:val="004F2FFD"/>
    <w:rsid w:val="004F358A"/>
    <w:rsid w:val="004F3FB3"/>
    <w:rsid w:val="004F7C02"/>
    <w:rsid w:val="004F7F4B"/>
    <w:rsid w:val="00500271"/>
    <w:rsid w:val="0050054B"/>
    <w:rsid w:val="0050055A"/>
    <w:rsid w:val="00501803"/>
    <w:rsid w:val="00502567"/>
    <w:rsid w:val="005027F0"/>
    <w:rsid w:val="005038CD"/>
    <w:rsid w:val="00504CAA"/>
    <w:rsid w:val="00505C57"/>
    <w:rsid w:val="0051009A"/>
    <w:rsid w:val="005107C0"/>
    <w:rsid w:val="00511E38"/>
    <w:rsid w:val="00511E60"/>
    <w:rsid w:val="005125AF"/>
    <w:rsid w:val="0051640D"/>
    <w:rsid w:val="00516FFF"/>
    <w:rsid w:val="005171BF"/>
    <w:rsid w:val="00517890"/>
    <w:rsid w:val="00517B89"/>
    <w:rsid w:val="00520346"/>
    <w:rsid w:val="0052050F"/>
    <w:rsid w:val="005211D0"/>
    <w:rsid w:val="00522B40"/>
    <w:rsid w:val="00523F9A"/>
    <w:rsid w:val="00524EDE"/>
    <w:rsid w:val="00525A99"/>
    <w:rsid w:val="00525C8B"/>
    <w:rsid w:val="0053029C"/>
    <w:rsid w:val="00530A30"/>
    <w:rsid w:val="00531828"/>
    <w:rsid w:val="00531DF6"/>
    <w:rsid w:val="00532355"/>
    <w:rsid w:val="005332EB"/>
    <w:rsid w:val="005339EA"/>
    <w:rsid w:val="00534073"/>
    <w:rsid w:val="005341E3"/>
    <w:rsid w:val="00534484"/>
    <w:rsid w:val="0053533F"/>
    <w:rsid w:val="00535A68"/>
    <w:rsid w:val="00536B4A"/>
    <w:rsid w:val="00537287"/>
    <w:rsid w:val="00540A94"/>
    <w:rsid w:val="00541D6D"/>
    <w:rsid w:val="00541F42"/>
    <w:rsid w:val="005432DB"/>
    <w:rsid w:val="00543D52"/>
    <w:rsid w:val="005445BF"/>
    <w:rsid w:val="00544D72"/>
    <w:rsid w:val="005453F9"/>
    <w:rsid w:val="00545DD8"/>
    <w:rsid w:val="00546BF7"/>
    <w:rsid w:val="00546D2E"/>
    <w:rsid w:val="00546EAE"/>
    <w:rsid w:val="0054761F"/>
    <w:rsid w:val="005515CD"/>
    <w:rsid w:val="00551B5D"/>
    <w:rsid w:val="00551E7D"/>
    <w:rsid w:val="005548B5"/>
    <w:rsid w:val="00554B1B"/>
    <w:rsid w:val="005555EC"/>
    <w:rsid w:val="0055770B"/>
    <w:rsid w:val="00557D6F"/>
    <w:rsid w:val="00557D9C"/>
    <w:rsid w:val="00563952"/>
    <w:rsid w:val="0056491D"/>
    <w:rsid w:val="00564B9B"/>
    <w:rsid w:val="005658D6"/>
    <w:rsid w:val="00565C8B"/>
    <w:rsid w:val="00565E64"/>
    <w:rsid w:val="00566ED7"/>
    <w:rsid w:val="005704A7"/>
    <w:rsid w:val="005707C3"/>
    <w:rsid w:val="005709D7"/>
    <w:rsid w:val="00570D07"/>
    <w:rsid w:val="005726AF"/>
    <w:rsid w:val="00572B2D"/>
    <w:rsid w:val="00573401"/>
    <w:rsid w:val="00574E0D"/>
    <w:rsid w:val="005778E1"/>
    <w:rsid w:val="0058064E"/>
    <w:rsid w:val="00581A83"/>
    <w:rsid w:val="00583B4F"/>
    <w:rsid w:val="0058526D"/>
    <w:rsid w:val="00585765"/>
    <w:rsid w:val="0058597B"/>
    <w:rsid w:val="00586380"/>
    <w:rsid w:val="00590C33"/>
    <w:rsid w:val="00591024"/>
    <w:rsid w:val="00592778"/>
    <w:rsid w:val="005942EA"/>
    <w:rsid w:val="00594805"/>
    <w:rsid w:val="0059498C"/>
    <w:rsid w:val="005962CD"/>
    <w:rsid w:val="00596801"/>
    <w:rsid w:val="005973ED"/>
    <w:rsid w:val="00597694"/>
    <w:rsid w:val="00597CCF"/>
    <w:rsid w:val="00597E46"/>
    <w:rsid w:val="005A0D31"/>
    <w:rsid w:val="005A1AF9"/>
    <w:rsid w:val="005A3CBE"/>
    <w:rsid w:val="005A4135"/>
    <w:rsid w:val="005A4DA8"/>
    <w:rsid w:val="005A6340"/>
    <w:rsid w:val="005A6542"/>
    <w:rsid w:val="005A65E0"/>
    <w:rsid w:val="005A738A"/>
    <w:rsid w:val="005A7788"/>
    <w:rsid w:val="005B0515"/>
    <w:rsid w:val="005B072D"/>
    <w:rsid w:val="005B0873"/>
    <w:rsid w:val="005B0931"/>
    <w:rsid w:val="005B0C11"/>
    <w:rsid w:val="005B10A9"/>
    <w:rsid w:val="005B131C"/>
    <w:rsid w:val="005B1448"/>
    <w:rsid w:val="005B1502"/>
    <w:rsid w:val="005B4712"/>
    <w:rsid w:val="005B4CCD"/>
    <w:rsid w:val="005B50D3"/>
    <w:rsid w:val="005B5F17"/>
    <w:rsid w:val="005B61EE"/>
    <w:rsid w:val="005B67D3"/>
    <w:rsid w:val="005C03FB"/>
    <w:rsid w:val="005C077C"/>
    <w:rsid w:val="005C0881"/>
    <w:rsid w:val="005C1352"/>
    <w:rsid w:val="005C17C0"/>
    <w:rsid w:val="005C331E"/>
    <w:rsid w:val="005C43F3"/>
    <w:rsid w:val="005C5005"/>
    <w:rsid w:val="005C57E0"/>
    <w:rsid w:val="005C60E8"/>
    <w:rsid w:val="005C699D"/>
    <w:rsid w:val="005C69EF"/>
    <w:rsid w:val="005C7552"/>
    <w:rsid w:val="005D0F72"/>
    <w:rsid w:val="005D121D"/>
    <w:rsid w:val="005D25B0"/>
    <w:rsid w:val="005D3290"/>
    <w:rsid w:val="005D37D4"/>
    <w:rsid w:val="005D3861"/>
    <w:rsid w:val="005D3ED6"/>
    <w:rsid w:val="005D4366"/>
    <w:rsid w:val="005D448D"/>
    <w:rsid w:val="005D4BC7"/>
    <w:rsid w:val="005D646E"/>
    <w:rsid w:val="005D6AB6"/>
    <w:rsid w:val="005D728E"/>
    <w:rsid w:val="005D78DB"/>
    <w:rsid w:val="005D7B94"/>
    <w:rsid w:val="005E116D"/>
    <w:rsid w:val="005E16E3"/>
    <w:rsid w:val="005E266D"/>
    <w:rsid w:val="005E2A5E"/>
    <w:rsid w:val="005E2E83"/>
    <w:rsid w:val="005E333E"/>
    <w:rsid w:val="005E35FE"/>
    <w:rsid w:val="005E40B1"/>
    <w:rsid w:val="005E450B"/>
    <w:rsid w:val="005E489C"/>
    <w:rsid w:val="005E5D62"/>
    <w:rsid w:val="005E5EA4"/>
    <w:rsid w:val="005F2360"/>
    <w:rsid w:val="005F313A"/>
    <w:rsid w:val="005F32C2"/>
    <w:rsid w:val="005F3A82"/>
    <w:rsid w:val="005F5963"/>
    <w:rsid w:val="005F5C1C"/>
    <w:rsid w:val="005F5C6B"/>
    <w:rsid w:val="005F62CE"/>
    <w:rsid w:val="005F655D"/>
    <w:rsid w:val="005F6A90"/>
    <w:rsid w:val="005F700B"/>
    <w:rsid w:val="005F7115"/>
    <w:rsid w:val="005F7236"/>
    <w:rsid w:val="006001BB"/>
    <w:rsid w:val="006008E7"/>
    <w:rsid w:val="00601D59"/>
    <w:rsid w:val="006025F4"/>
    <w:rsid w:val="00604AB6"/>
    <w:rsid w:val="006055F3"/>
    <w:rsid w:val="00605BEB"/>
    <w:rsid w:val="006065D8"/>
    <w:rsid w:val="00606BB7"/>
    <w:rsid w:val="00606DC6"/>
    <w:rsid w:val="0060734E"/>
    <w:rsid w:val="00607633"/>
    <w:rsid w:val="00607D9C"/>
    <w:rsid w:val="00610E48"/>
    <w:rsid w:val="00611B2C"/>
    <w:rsid w:val="00611F11"/>
    <w:rsid w:val="00612295"/>
    <w:rsid w:val="00612936"/>
    <w:rsid w:val="0061303A"/>
    <w:rsid w:val="0061329B"/>
    <w:rsid w:val="00613FA3"/>
    <w:rsid w:val="006146AB"/>
    <w:rsid w:val="006147EF"/>
    <w:rsid w:val="00614AF8"/>
    <w:rsid w:val="00614F20"/>
    <w:rsid w:val="00615D57"/>
    <w:rsid w:val="00616AB2"/>
    <w:rsid w:val="00616E25"/>
    <w:rsid w:val="00620808"/>
    <w:rsid w:val="006226EF"/>
    <w:rsid w:val="00623090"/>
    <w:rsid w:val="00623625"/>
    <w:rsid w:val="006237FC"/>
    <w:rsid w:val="00624038"/>
    <w:rsid w:val="00627B7A"/>
    <w:rsid w:val="006308AC"/>
    <w:rsid w:val="00630ECC"/>
    <w:rsid w:val="0063337F"/>
    <w:rsid w:val="00633785"/>
    <w:rsid w:val="00633AF7"/>
    <w:rsid w:val="0063424A"/>
    <w:rsid w:val="00636EF3"/>
    <w:rsid w:val="0063715A"/>
    <w:rsid w:val="00637229"/>
    <w:rsid w:val="006405D8"/>
    <w:rsid w:val="00640A1B"/>
    <w:rsid w:val="00641566"/>
    <w:rsid w:val="00641FF7"/>
    <w:rsid w:val="006433D8"/>
    <w:rsid w:val="00643B3F"/>
    <w:rsid w:val="00644A50"/>
    <w:rsid w:val="006450FB"/>
    <w:rsid w:val="00645D80"/>
    <w:rsid w:val="0064618C"/>
    <w:rsid w:val="006463D1"/>
    <w:rsid w:val="00647051"/>
    <w:rsid w:val="00652F4E"/>
    <w:rsid w:val="006530FB"/>
    <w:rsid w:val="0065369B"/>
    <w:rsid w:val="006539BE"/>
    <w:rsid w:val="00654A19"/>
    <w:rsid w:val="00657EB4"/>
    <w:rsid w:val="00660AFC"/>
    <w:rsid w:val="00662167"/>
    <w:rsid w:val="00663BF2"/>
    <w:rsid w:val="00666BC4"/>
    <w:rsid w:val="00670C54"/>
    <w:rsid w:val="006718C5"/>
    <w:rsid w:val="00671FD7"/>
    <w:rsid w:val="006720EC"/>
    <w:rsid w:val="00672B60"/>
    <w:rsid w:val="0067328A"/>
    <w:rsid w:val="00673388"/>
    <w:rsid w:val="00674053"/>
    <w:rsid w:val="00674299"/>
    <w:rsid w:val="00674532"/>
    <w:rsid w:val="00674F3E"/>
    <w:rsid w:val="00674FDB"/>
    <w:rsid w:val="00675ACC"/>
    <w:rsid w:val="006769D1"/>
    <w:rsid w:val="00677079"/>
    <w:rsid w:val="00680744"/>
    <w:rsid w:val="0068178A"/>
    <w:rsid w:val="006817E1"/>
    <w:rsid w:val="00682832"/>
    <w:rsid w:val="006846CD"/>
    <w:rsid w:val="00684C23"/>
    <w:rsid w:val="00684E9E"/>
    <w:rsid w:val="006852B8"/>
    <w:rsid w:val="00685D5C"/>
    <w:rsid w:val="006869B9"/>
    <w:rsid w:val="00686B9D"/>
    <w:rsid w:val="00690158"/>
    <w:rsid w:val="00690E0F"/>
    <w:rsid w:val="00691A76"/>
    <w:rsid w:val="00694924"/>
    <w:rsid w:val="00696182"/>
    <w:rsid w:val="006972DC"/>
    <w:rsid w:val="00697AC5"/>
    <w:rsid w:val="006A1674"/>
    <w:rsid w:val="006A1B89"/>
    <w:rsid w:val="006A1CB1"/>
    <w:rsid w:val="006A225C"/>
    <w:rsid w:val="006A4235"/>
    <w:rsid w:val="006A5CC0"/>
    <w:rsid w:val="006A6E49"/>
    <w:rsid w:val="006A7E96"/>
    <w:rsid w:val="006B031A"/>
    <w:rsid w:val="006B0E92"/>
    <w:rsid w:val="006B1B18"/>
    <w:rsid w:val="006B1D7E"/>
    <w:rsid w:val="006B216B"/>
    <w:rsid w:val="006B46F5"/>
    <w:rsid w:val="006B4969"/>
    <w:rsid w:val="006B49A8"/>
    <w:rsid w:val="006B51C2"/>
    <w:rsid w:val="006B5244"/>
    <w:rsid w:val="006B6614"/>
    <w:rsid w:val="006B682E"/>
    <w:rsid w:val="006B7998"/>
    <w:rsid w:val="006C0275"/>
    <w:rsid w:val="006C059B"/>
    <w:rsid w:val="006C0C45"/>
    <w:rsid w:val="006C2504"/>
    <w:rsid w:val="006C32FC"/>
    <w:rsid w:val="006C4099"/>
    <w:rsid w:val="006C5AB1"/>
    <w:rsid w:val="006C7536"/>
    <w:rsid w:val="006C7585"/>
    <w:rsid w:val="006C7A72"/>
    <w:rsid w:val="006D03B2"/>
    <w:rsid w:val="006D0F6E"/>
    <w:rsid w:val="006D2317"/>
    <w:rsid w:val="006D46A0"/>
    <w:rsid w:val="006D5635"/>
    <w:rsid w:val="006D6107"/>
    <w:rsid w:val="006D633F"/>
    <w:rsid w:val="006D6D6F"/>
    <w:rsid w:val="006D7BA5"/>
    <w:rsid w:val="006D7C21"/>
    <w:rsid w:val="006E0020"/>
    <w:rsid w:val="006E012A"/>
    <w:rsid w:val="006E0B7E"/>
    <w:rsid w:val="006E0C98"/>
    <w:rsid w:val="006E2A50"/>
    <w:rsid w:val="006E2DBE"/>
    <w:rsid w:val="006E2F26"/>
    <w:rsid w:val="006E3867"/>
    <w:rsid w:val="006E405F"/>
    <w:rsid w:val="006E444B"/>
    <w:rsid w:val="006E56B6"/>
    <w:rsid w:val="006E5F88"/>
    <w:rsid w:val="006E6BFF"/>
    <w:rsid w:val="006E7872"/>
    <w:rsid w:val="006E7B52"/>
    <w:rsid w:val="006E7C7B"/>
    <w:rsid w:val="006E7F3D"/>
    <w:rsid w:val="006F0FF8"/>
    <w:rsid w:val="006F1638"/>
    <w:rsid w:val="006F1B8C"/>
    <w:rsid w:val="006F2B1E"/>
    <w:rsid w:val="006F39E6"/>
    <w:rsid w:val="006F3AD8"/>
    <w:rsid w:val="006F4D82"/>
    <w:rsid w:val="006F5A7E"/>
    <w:rsid w:val="006F6EC3"/>
    <w:rsid w:val="006F7F3C"/>
    <w:rsid w:val="00700AFD"/>
    <w:rsid w:val="007011B1"/>
    <w:rsid w:val="00701B1E"/>
    <w:rsid w:val="00701CB7"/>
    <w:rsid w:val="00702308"/>
    <w:rsid w:val="007036AC"/>
    <w:rsid w:val="00704131"/>
    <w:rsid w:val="007042CF"/>
    <w:rsid w:val="00704981"/>
    <w:rsid w:val="0070571D"/>
    <w:rsid w:val="00707667"/>
    <w:rsid w:val="00707866"/>
    <w:rsid w:val="00710841"/>
    <w:rsid w:val="00710E1B"/>
    <w:rsid w:val="00710FB8"/>
    <w:rsid w:val="00714CC9"/>
    <w:rsid w:val="00715E20"/>
    <w:rsid w:val="00716413"/>
    <w:rsid w:val="00716F7B"/>
    <w:rsid w:val="00717323"/>
    <w:rsid w:val="00717523"/>
    <w:rsid w:val="007177E8"/>
    <w:rsid w:val="007202E7"/>
    <w:rsid w:val="00720BE5"/>
    <w:rsid w:val="00721149"/>
    <w:rsid w:val="00721608"/>
    <w:rsid w:val="00721CDE"/>
    <w:rsid w:val="00722CE6"/>
    <w:rsid w:val="00723EE0"/>
    <w:rsid w:val="007249B2"/>
    <w:rsid w:val="00726FDD"/>
    <w:rsid w:val="0072737D"/>
    <w:rsid w:val="00727DF6"/>
    <w:rsid w:val="007305E4"/>
    <w:rsid w:val="007310DD"/>
    <w:rsid w:val="00731980"/>
    <w:rsid w:val="00733676"/>
    <w:rsid w:val="007343AD"/>
    <w:rsid w:val="00734FA7"/>
    <w:rsid w:val="0073552B"/>
    <w:rsid w:val="007355C2"/>
    <w:rsid w:val="00735D8B"/>
    <w:rsid w:val="00735FAA"/>
    <w:rsid w:val="00736F48"/>
    <w:rsid w:val="00737CF4"/>
    <w:rsid w:val="00742927"/>
    <w:rsid w:val="00742DD6"/>
    <w:rsid w:val="007451A3"/>
    <w:rsid w:val="00745E29"/>
    <w:rsid w:val="00747638"/>
    <w:rsid w:val="0075163B"/>
    <w:rsid w:val="00751B8E"/>
    <w:rsid w:val="00752792"/>
    <w:rsid w:val="007529E8"/>
    <w:rsid w:val="007532B2"/>
    <w:rsid w:val="007544A9"/>
    <w:rsid w:val="00754586"/>
    <w:rsid w:val="00754FF8"/>
    <w:rsid w:val="0075574A"/>
    <w:rsid w:val="00755872"/>
    <w:rsid w:val="007559B8"/>
    <w:rsid w:val="00756045"/>
    <w:rsid w:val="007569CD"/>
    <w:rsid w:val="00756AC4"/>
    <w:rsid w:val="00756DF3"/>
    <w:rsid w:val="0075719F"/>
    <w:rsid w:val="00757671"/>
    <w:rsid w:val="00760856"/>
    <w:rsid w:val="007613BB"/>
    <w:rsid w:val="0076286F"/>
    <w:rsid w:val="00765FD7"/>
    <w:rsid w:val="007663A9"/>
    <w:rsid w:val="0076669B"/>
    <w:rsid w:val="00766E38"/>
    <w:rsid w:val="007676E1"/>
    <w:rsid w:val="00767B15"/>
    <w:rsid w:val="00767C19"/>
    <w:rsid w:val="00770655"/>
    <w:rsid w:val="00770F4D"/>
    <w:rsid w:val="00771DDE"/>
    <w:rsid w:val="00772C05"/>
    <w:rsid w:val="00772F20"/>
    <w:rsid w:val="00774C41"/>
    <w:rsid w:val="00774DD1"/>
    <w:rsid w:val="00776071"/>
    <w:rsid w:val="007762DB"/>
    <w:rsid w:val="00777695"/>
    <w:rsid w:val="00777D9E"/>
    <w:rsid w:val="00777DDC"/>
    <w:rsid w:val="00780A05"/>
    <w:rsid w:val="00781050"/>
    <w:rsid w:val="00781272"/>
    <w:rsid w:val="00781C88"/>
    <w:rsid w:val="00782899"/>
    <w:rsid w:val="00783DAF"/>
    <w:rsid w:val="00784739"/>
    <w:rsid w:val="00785B01"/>
    <w:rsid w:val="00785E10"/>
    <w:rsid w:val="00786478"/>
    <w:rsid w:val="00786511"/>
    <w:rsid w:val="00786EF3"/>
    <w:rsid w:val="00787632"/>
    <w:rsid w:val="00787AB5"/>
    <w:rsid w:val="00787BB6"/>
    <w:rsid w:val="007903F4"/>
    <w:rsid w:val="00791431"/>
    <w:rsid w:val="00792535"/>
    <w:rsid w:val="00794841"/>
    <w:rsid w:val="00794A76"/>
    <w:rsid w:val="00794AB2"/>
    <w:rsid w:val="00794EDA"/>
    <w:rsid w:val="00795535"/>
    <w:rsid w:val="007965BA"/>
    <w:rsid w:val="00796691"/>
    <w:rsid w:val="007A247A"/>
    <w:rsid w:val="007A2E9B"/>
    <w:rsid w:val="007A3A42"/>
    <w:rsid w:val="007A3D87"/>
    <w:rsid w:val="007A465B"/>
    <w:rsid w:val="007A589A"/>
    <w:rsid w:val="007A59C9"/>
    <w:rsid w:val="007A6F77"/>
    <w:rsid w:val="007A6FF9"/>
    <w:rsid w:val="007B1959"/>
    <w:rsid w:val="007B2D99"/>
    <w:rsid w:val="007B2E46"/>
    <w:rsid w:val="007B471A"/>
    <w:rsid w:val="007B4D4B"/>
    <w:rsid w:val="007B5448"/>
    <w:rsid w:val="007B601F"/>
    <w:rsid w:val="007B63C6"/>
    <w:rsid w:val="007B6B56"/>
    <w:rsid w:val="007B6BF6"/>
    <w:rsid w:val="007B7193"/>
    <w:rsid w:val="007B792A"/>
    <w:rsid w:val="007C351C"/>
    <w:rsid w:val="007C3B35"/>
    <w:rsid w:val="007C3C30"/>
    <w:rsid w:val="007C4F51"/>
    <w:rsid w:val="007C5486"/>
    <w:rsid w:val="007C5CF6"/>
    <w:rsid w:val="007C5DFE"/>
    <w:rsid w:val="007C5F5A"/>
    <w:rsid w:val="007C6ABB"/>
    <w:rsid w:val="007D0A00"/>
    <w:rsid w:val="007D10BF"/>
    <w:rsid w:val="007D25BB"/>
    <w:rsid w:val="007D273F"/>
    <w:rsid w:val="007D2814"/>
    <w:rsid w:val="007D2914"/>
    <w:rsid w:val="007D3439"/>
    <w:rsid w:val="007D5113"/>
    <w:rsid w:val="007D5649"/>
    <w:rsid w:val="007D6535"/>
    <w:rsid w:val="007E0549"/>
    <w:rsid w:val="007E09FF"/>
    <w:rsid w:val="007E34CC"/>
    <w:rsid w:val="007E35E9"/>
    <w:rsid w:val="007E3C6E"/>
    <w:rsid w:val="007E4752"/>
    <w:rsid w:val="007E49F9"/>
    <w:rsid w:val="007E5997"/>
    <w:rsid w:val="007E66EF"/>
    <w:rsid w:val="007F071C"/>
    <w:rsid w:val="007F07D5"/>
    <w:rsid w:val="007F09AA"/>
    <w:rsid w:val="007F17C5"/>
    <w:rsid w:val="007F25D4"/>
    <w:rsid w:val="007F2708"/>
    <w:rsid w:val="007F2A03"/>
    <w:rsid w:val="007F3393"/>
    <w:rsid w:val="007F351B"/>
    <w:rsid w:val="007F35E9"/>
    <w:rsid w:val="007F36A8"/>
    <w:rsid w:val="007F766B"/>
    <w:rsid w:val="007F786E"/>
    <w:rsid w:val="00800883"/>
    <w:rsid w:val="008010D3"/>
    <w:rsid w:val="00801741"/>
    <w:rsid w:val="00801D30"/>
    <w:rsid w:val="00803825"/>
    <w:rsid w:val="00803F9B"/>
    <w:rsid w:val="00806016"/>
    <w:rsid w:val="00807E9F"/>
    <w:rsid w:val="00810375"/>
    <w:rsid w:val="00810793"/>
    <w:rsid w:val="00810D23"/>
    <w:rsid w:val="00810FC0"/>
    <w:rsid w:val="0081220C"/>
    <w:rsid w:val="0081294E"/>
    <w:rsid w:val="00813576"/>
    <w:rsid w:val="00815041"/>
    <w:rsid w:val="00815AE6"/>
    <w:rsid w:val="00817715"/>
    <w:rsid w:val="008204E5"/>
    <w:rsid w:val="0082070D"/>
    <w:rsid w:val="00820B16"/>
    <w:rsid w:val="00820B2E"/>
    <w:rsid w:val="00821838"/>
    <w:rsid w:val="00821D9A"/>
    <w:rsid w:val="00822437"/>
    <w:rsid w:val="00822978"/>
    <w:rsid w:val="008246A3"/>
    <w:rsid w:val="00824CCF"/>
    <w:rsid w:val="008250F0"/>
    <w:rsid w:val="00826833"/>
    <w:rsid w:val="00827B99"/>
    <w:rsid w:val="00827DE4"/>
    <w:rsid w:val="00830F68"/>
    <w:rsid w:val="008315CD"/>
    <w:rsid w:val="008323C5"/>
    <w:rsid w:val="008325D2"/>
    <w:rsid w:val="00832660"/>
    <w:rsid w:val="0083328A"/>
    <w:rsid w:val="00835D56"/>
    <w:rsid w:val="008362F3"/>
    <w:rsid w:val="008406A0"/>
    <w:rsid w:val="008407D3"/>
    <w:rsid w:val="00840C9A"/>
    <w:rsid w:val="00841604"/>
    <w:rsid w:val="00843604"/>
    <w:rsid w:val="00844567"/>
    <w:rsid w:val="00844B24"/>
    <w:rsid w:val="008456A2"/>
    <w:rsid w:val="008469F6"/>
    <w:rsid w:val="008504C6"/>
    <w:rsid w:val="0085052A"/>
    <w:rsid w:val="0085076B"/>
    <w:rsid w:val="0085084C"/>
    <w:rsid w:val="00850C6A"/>
    <w:rsid w:val="00852062"/>
    <w:rsid w:val="00852305"/>
    <w:rsid w:val="008523A0"/>
    <w:rsid w:val="0085273D"/>
    <w:rsid w:val="00853549"/>
    <w:rsid w:val="00853741"/>
    <w:rsid w:val="00853CE9"/>
    <w:rsid w:val="00854029"/>
    <w:rsid w:val="00855320"/>
    <w:rsid w:val="008556D5"/>
    <w:rsid w:val="00855F32"/>
    <w:rsid w:val="00856E94"/>
    <w:rsid w:val="00860DC6"/>
    <w:rsid w:val="00861EB3"/>
    <w:rsid w:val="00862852"/>
    <w:rsid w:val="00864F37"/>
    <w:rsid w:val="0086510F"/>
    <w:rsid w:val="008666F0"/>
    <w:rsid w:val="00866C79"/>
    <w:rsid w:val="00866CAE"/>
    <w:rsid w:val="00871FFA"/>
    <w:rsid w:val="00872421"/>
    <w:rsid w:val="008724AF"/>
    <w:rsid w:val="008739FC"/>
    <w:rsid w:val="00873ADD"/>
    <w:rsid w:val="00874053"/>
    <w:rsid w:val="0087474E"/>
    <w:rsid w:val="0087565B"/>
    <w:rsid w:val="00876294"/>
    <w:rsid w:val="008775BA"/>
    <w:rsid w:val="00877D91"/>
    <w:rsid w:val="00880B75"/>
    <w:rsid w:val="00880D65"/>
    <w:rsid w:val="00881E1C"/>
    <w:rsid w:val="00882DAB"/>
    <w:rsid w:val="00884E6A"/>
    <w:rsid w:val="008870A9"/>
    <w:rsid w:val="008872F3"/>
    <w:rsid w:val="00887407"/>
    <w:rsid w:val="00887412"/>
    <w:rsid w:val="00887DD7"/>
    <w:rsid w:val="0089015C"/>
    <w:rsid w:val="00893C4C"/>
    <w:rsid w:val="00893DE6"/>
    <w:rsid w:val="008944F4"/>
    <w:rsid w:val="0089476A"/>
    <w:rsid w:val="00894BD4"/>
    <w:rsid w:val="0089541E"/>
    <w:rsid w:val="008955FE"/>
    <w:rsid w:val="008963C4"/>
    <w:rsid w:val="0089676E"/>
    <w:rsid w:val="0089741F"/>
    <w:rsid w:val="00897EC1"/>
    <w:rsid w:val="008A0C0B"/>
    <w:rsid w:val="008A2600"/>
    <w:rsid w:val="008A2C18"/>
    <w:rsid w:val="008A3678"/>
    <w:rsid w:val="008A3AD6"/>
    <w:rsid w:val="008A5B03"/>
    <w:rsid w:val="008A65AE"/>
    <w:rsid w:val="008A7E68"/>
    <w:rsid w:val="008B0C10"/>
    <w:rsid w:val="008B1C1D"/>
    <w:rsid w:val="008B2D05"/>
    <w:rsid w:val="008B31F5"/>
    <w:rsid w:val="008B3727"/>
    <w:rsid w:val="008B474B"/>
    <w:rsid w:val="008B56AD"/>
    <w:rsid w:val="008B6487"/>
    <w:rsid w:val="008B6E87"/>
    <w:rsid w:val="008B7AD2"/>
    <w:rsid w:val="008C02FA"/>
    <w:rsid w:val="008C19E8"/>
    <w:rsid w:val="008C42B8"/>
    <w:rsid w:val="008C496A"/>
    <w:rsid w:val="008C4F53"/>
    <w:rsid w:val="008C5329"/>
    <w:rsid w:val="008C57DC"/>
    <w:rsid w:val="008D04D1"/>
    <w:rsid w:val="008D04E0"/>
    <w:rsid w:val="008D0E7F"/>
    <w:rsid w:val="008D109A"/>
    <w:rsid w:val="008D124D"/>
    <w:rsid w:val="008D3A96"/>
    <w:rsid w:val="008D3EF9"/>
    <w:rsid w:val="008D3F5E"/>
    <w:rsid w:val="008D413A"/>
    <w:rsid w:val="008D5359"/>
    <w:rsid w:val="008D53F0"/>
    <w:rsid w:val="008D642D"/>
    <w:rsid w:val="008D70C0"/>
    <w:rsid w:val="008D7BAE"/>
    <w:rsid w:val="008D7E31"/>
    <w:rsid w:val="008E0186"/>
    <w:rsid w:val="008E0328"/>
    <w:rsid w:val="008E03B2"/>
    <w:rsid w:val="008E1410"/>
    <w:rsid w:val="008E17E1"/>
    <w:rsid w:val="008E28BB"/>
    <w:rsid w:val="008E2A29"/>
    <w:rsid w:val="008E3385"/>
    <w:rsid w:val="008E3E10"/>
    <w:rsid w:val="008E4CC4"/>
    <w:rsid w:val="008E4F29"/>
    <w:rsid w:val="008E5286"/>
    <w:rsid w:val="008E53DA"/>
    <w:rsid w:val="008E56E5"/>
    <w:rsid w:val="008E5C27"/>
    <w:rsid w:val="008E6DBC"/>
    <w:rsid w:val="008E7960"/>
    <w:rsid w:val="008F0F1C"/>
    <w:rsid w:val="008F1907"/>
    <w:rsid w:val="008F2B50"/>
    <w:rsid w:val="008F2C24"/>
    <w:rsid w:val="008F2F5E"/>
    <w:rsid w:val="008F301C"/>
    <w:rsid w:val="008F37BA"/>
    <w:rsid w:val="008F3865"/>
    <w:rsid w:val="008F3932"/>
    <w:rsid w:val="008F4E24"/>
    <w:rsid w:val="008F51DB"/>
    <w:rsid w:val="008F5CAA"/>
    <w:rsid w:val="008F6139"/>
    <w:rsid w:val="008F6A8A"/>
    <w:rsid w:val="009002E9"/>
    <w:rsid w:val="00900423"/>
    <w:rsid w:val="009004FA"/>
    <w:rsid w:val="009009B9"/>
    <w:rsid w:val="0090100D"/>
    <w:rsid w:val="0090152B"/>
    <w:rsid w:val="00901900"/>
    <w:rsid w:val="00901F66"/>
    <w:rsid w:val="009021E9"/>
    <w:rsid w:val="009024F5"/>
    <w:rsid w:val="00902992"/>
    <w:rsid w:val="0090372F"/>
    <w:rsid w:val="009040A7"/>
    <w:rsid w:val="00904C40"/>
    <w:rsid w:val="00904F00"/>
    <w:rsid w:val="00905311"/>
    <w:rsid w:val="00905AE0"/>
    <w:rsid w:val="0090630F"/>
    <w:rsid w:val="009100A6"/>
    <w:rsid w:val="00910989"/>
    <w:rsid w:val="009118D2"/>
    <w:rsid w:val="00912AD6"/>
    <w:rsid w:val="009138B2"/>
    <w:rsid w:val="00913AB2"/>
    <w:rsid w:val="00914455"/>
    <w:rsid w:val="00914DAC"/>
    <w:rsid w:val="00914E2C"/>
    <w:rsid w:val="00915A0B"/>
    <w:rsid w:val="00915ADE"/>
    <w:rsid w:val="00916565"/>
    <w:rsid w:val="00917F68"/>
    <w:rsid w:val="00920294"/>
    <w:rsid w:val="00920D1E"/>
    <w:rsid w:val="009216B8"/>
    <w:rsid w:val="009222BD"/>
    <w:rsid w:val="00922525"/>
    <w:rsid w:val="009232E7"/>
    <w:rsid w:val="00924750"/>
    <w:rsid w:val="00924788"/>
    <w:rsid w:val="00925B8F"/>
    <w:rsid w:val="00925E89"/>
    <w:rsid w:val="009306BA"/>
    <w:rsid w:val="00930F4B"/>
    <w:rsid w:val="0093106C"/>
    <w:rsid w:val="00932B47"/>
    <w:rsid w:val="0093335F"/>
    <w:rsid w:val="00934B3E"/>
    <w:rsid w:val="00934C1F"/>
    <w:rsid w:val="009368F0"/>
    <w:rsid w:val="00936AFC"/>
    <w:rsid w:val="0093722C"/>
    <w:rsid w:val="0093729A"/>
    <w:rsid w:val="00937697"/>
    <w:rsid w:val="00940F76"/>
    <w:rsid w:val="00941EE6"/>
    <w:rsid w:val="009440F8"/>
    <w:rsid w:val="009454D6"/>
    <w:rsid w:val="00946DD7"/>
    <w:rsid w:val="00946FA0"/>
    <w:rsid w:val="00947531"/>
    <w:rsid w:val="0095025E"/>
    <w:rsid w:val="009508BF"/>
    <w:rsid w:val="00950C83"/>
    <w:rsid w:val="009510E4"/>
    <w:rsid w:val="00951456"/>
    <w:rsid w:val="009514D8"/>
    <w:rsid w:val="00952945"/>
    <w:rsid w:val="00952E2C"/>
    <w:rsid w:val="00953314"/>
    <w:rsid w:val="00953E51"/>
    <w:rsid w:val="009546BB"/>
    <w:rsid w:val="00954B7A"/>
    <w:rsid w:val="00954E1E"/>
    <w:rsid w:val="009566D4"/>
    <w:rsid w:val="00956B6A"/>
    <w:rsid w:val="00956E9E"/>
    <w:rsid w:val="00957F6A"/>
    <w:rsid w:val="0096013C"/>
    <w:rsid w:val="00960FEA"/>
    <w:rsid w:val="00961275"/>
    <w:rsid w:val="009616D1"/>
    <w:rsid w:val="009617A8"/>
    <w:rsid w:val="00962186"/>
    <w:rsid w:val="00962615"/>
    <w:rsid w:val="00962934"/>
    <w:rsid w:val="00962BD7"/>
    <w:rsid w:val="00962FF0"/>
    <w:rsid w:val="00963C07"/>
    <w:rsid w:val="0096453F"/>
    <w:rsid w:val="00966197"/>
    <w:rsid w:val="00966213"/>
    <w:rsid w:val="0096632E"/>
    <w:rsid w:val="00970E00"/>
    <w:rsid w:val="0097117A"/>
    <w:rsid w:val="0097141A"/>
    <w:rsid w:val="00972024"/>
    <w:rsid w:val="00972AC4"/>
    <w:rsid w:val="009743B1"/>
    <w:rsid w:val="0097511C"/>
    <w:rsid w:val="00975398"/>
    <w:rsid w:val="0097544F"/>
    <w:rsid w:val="00975711"/>
    <w:rsid w:val="00976382"/>
    <w:rsid w:val="009767CD"/>
    <w:rsid w:val="009768F9"/>
    <w:rsid w:val="00977641"/>
    <w:rsid w:val="00981868"/>
    <w:rsid w:val="009843C5"/>
    <w:rsid w:val="00984D5E"/>
    <w:rsid w:val="009850FE"/>
    <w:rsid w:val="0098513E"/>
    <w:rsid w:val="009853A5"/>
    <w:rsid w:val="0098591E"/>
    <w:rsid w:val="00985D04"/>
    <w:rsid w:val="009863B5"/>
    <w:rsid w:val="00986E55"/>
    <w:rsid w:val="00987493"/>
    <w:rsid w:val="00987608"/>
    <w:rsid w:val="009903BB"/>
    <w:rsid w:val="00990A5F"/>
    <w:rsid w:val="009918B5"/>
    <w:rsid w:val="00991FC5"/>
    <w:rsid w:val="0099275B"/>
    <w:rsid w:val="00992FD8"/>
    <w:rsid w:val="009938C7"/>
    <w:rsid w:val="00994094"/>
    <w:rsid w:val="00994ABE"/>
    <w:rsid w:val="0099611D"/>
    <w:rsid w:val="0099710D"/>
    <w:rsid w:val="009A0B0D"/>
    <w:rsid w:val="009A0D11"/>
    <w:rsid w:val="009A1792"/>
    <w:rsid w:val="009A1948"/>
    <w:rsid w:val="009A1BF3"/>
    <w:rsid w:val="009A252E"/>
    <w:rsid w:val="009A3D15"/>
    <w:rsid w:val="009A3F82"/>
    <w:rsid w:val="009A5C1C"/>
    <w:rsid w:val="009A6689"/>
    <w:rsid w:val="009A6CFB"/>
    <w:rsid w:val="009A7762"/>
    <w:rsid w:val="009A792E"/>
    <w:rsid w:val="009A7A89"/>
    <w:rsid w:val="009B0AE0"/>
    <w:rsid w:val="009B11E2"/>
    <w:rsid w:val="009B176E"/>
    <w:rsid w:val="009B22FE"/>
    <w:rsid w:val="009B3156"/>
    <w:rsid w:val="009B33BD"/>
    <w:rsid w:val="009B3702"/>
    <w:rsid w:val="009B511E"/>
    <w:rsid w:val="009B5AFD"/>
    <w:rsid w:val="009B5BBB"/>
    <w:rsid w:val="009B5E64"/>
    <w:rsid w:val="009B5EA5"/>
    <w:rsid w:val="009B7358"/>
    <w:rsid w:val="009B7480"/>
    <w:rsid w:val="009B749D"/>
    <w:rsid w:val="009B7C1F"/>
    <w:rsid w:val="009B7D41"/>
    <w:rsid w:val="009C1449"/>
    <w:rsid w:val="009C1D7F"/>
    <w:rsid w:val="009C50D9"/>
    <w:rsid w:val="009C52A3"/>
    <w:rsid w:val="009C5B66"/>
    <w:rsid w:val="009C5BF9"/>
    <w:rsid w:val="009C61B9"/>
    <w:rsid w:val="009C6519"/>
    <w:rsid w:val="009C71ED"/>
    <w:rsid w:val="009D1BF8"/>
    <w:rsid w:val="009D1F43"/>
    <w:rsid w:val="009D44EB"/>
    <w:rsid w:val="009D4770"/>
    <w:rsid w:val="009D48B2"/>
    <w:rsid w:val="009D4A3E"/>
    <w:rsid w:val="009D53C9"/>
    <w:rsid w:val="009D5892"/>
    <w:rsid w:val="009D63BA"/>
    <w:rsid w:val="009D6775"/>
    <w:rsid w:val="009D763F"/>
    <w:rsid w:val="009D7F43"/>
    <w:rsid w:val="009E08DF"/>
    <w:rsid w:val="009E204B"/>
    <w:rsid w:val="009E249E"/>
    <w:rsid w:val="009E24CE"/>
    <w:rsid w:val="009E354D"/>
    <w:rsid w:val="009E3CCB"/>
    <w:rsid w:val="009E400F"/>
    <w:rsid w:val="009E4D5B"/>
    <w:rsid w:val="009E565F"/>
    <w:rsid w:val="009E56F6"/>
    <w:rsid w:val="009E57DF"/>
    <w:rsid w:val="009E5D00"/>
    <w:rsid w:val="009E657D"/>
    <w:rsid w:val="009E6FA6"/>
    <w:rsid w:val="009F289F"/>
    <w:rsid w:val="009F3923"/>
    <w:rsid w:val="009F3D41"/>
    <w:rsid w:val="009F6149"/>
    <w:rsid w:val="009F7028"/>
    <w:rsid w:val="009F7055"/>
    <w:rsid w:val="009F736E"/>
    <w:rsid w:val="00A002BE"/>
    <w:rsid w:val="00A004CD"/>
    <w:rsid w:val="00A0073A"/>
    <w:rsid w:val="00A010F8"/>
    <w:rsid w:val="00A02154"/>
    <w:rsid w:val="00A0215C"/>
    <w:rsid w:val="00A02717"/>
    <w:rsid w:val="00A03B57"/>
    <w:rsid w:val="00A044E3"/>
    <w:rsid w:val="00A04623"/>
    <w:rsid w:val="00A04F24"/>
    <w:rsid w:val="00A0503E"/>
    <w:rsid w:val="00A06048"/>
    <w:rsid w:val="00A0622C"/>
    <w:rsid w:val="00A069BF"/>
    <w:rsid w:val="00A070A7"/>
    <w:rsid w:val="00A07416"/>
    <w:rsid w:val="00A0746A"/>
    <w:rsid w:val="00A10FB5"/>
    <w:rsid w:val="00A110D3"/>
    <w:rsid w:val="00A11636"/>
    <w:rsid w:val="00A11A03"/>
    <w:rsid w:val="00A127C5"/>
    <w:rsid w:val="00A1284A"/>
    <w:rsid w:val="00A13441"/>
    <w:rsid w:val="00A14B89"/>
    <w:rsid w:val="00A16358"/>
    <w:rsid w:val="00A16BB3"/>
    <w:rsid w:val="00A2003A"/>
    <w:rsid w:val="00A2040A"/>
    <w:rsid w:val="00A216E3"/>
    <w:rsid w:val="00A21F1F"/>
    <w:rsid w:val="00A239B4"/>
    <w:rsid w:val="00A23A6E"/>
    <w:rsid w:val="00A24A5D"/>
    <w:rsid w:val="00A25337"/>
    <w:rsid w:val="00A264BA"/>
    <w:rsid w:val="00A26885"/>
    <w:rsid w:val="00A27A68"/>
    <w:rsid w:val="00A30C0E"/>
    <w:rsid w:val="00A3122A"/>
    <w:rsid w:val="00A314EA"/>
    <w:rsid w:val="00A3177B"/>
    <w:rsid w:val="00A321DF"/>
    <w:rsid w:val="00A32260"/>
    <w:rsid w:val="00A33458"/>
    <w:rsid w:val="00A3472C"/>
    <w:rsid w:val="00A35E1B"/>
    <w:rsid w:val="00A40D70"/>
    <w:rsid w:val="00A418AB"/>
    <w:rsid w:val="00A41A43"/>
    <w:rsid w:val="00A42370"/>
    <w:rsid w:val="00A4348B"/>
    <w:rsid w:val="00A44AA0"/>
    <w:rsid w:val="00A471A1"/>
    <w:rsid w:val="00A47FCD"/>
    <w:rsid w:val="00A50882"/>
    <w:rsid w:val="00A50DC6"/>
    <w:rsid w:val="00A51809"/>
    <w:rsid w:val="00A52939"/>
    <w:rsid w:val="00A52A05"/>
    <w:rsid w:val="00A53D6C"/>
    <w:rsid w:val="00A55837"/>
    <w:rsid w:val="00A566BA"/>
    <w:rsid w:val="00A56932"/>
    <w:rsid w:val="00A56C11"/>
    <w:rsid w:val="00A61146"/>
    <w:rsid w:val="00A624A7"/>
    <w:rsid w:val="00A62882"/>
    <w:rsid w:val="00A649E7"/>
    <w:rsid w:val="00A64A24"/>
    <w:rsid w:val="00A64FE8"/>
    <w:rsid w:val="00A658D0"/>
    <w:rsid w:val="00A67064"/>
    <w:rsid w:val="00A67248"/>
    <w:rsid w:val="00A70419"/>
    <w:rsid w:val="00A706C9"/>
    <w:rsid w:val="00A710B8"/>
    <w:rsid w:val="00A71745"/>
    <w:rsid w:val="00A7293B"/>
    <w:rsid w:val="00A73179"/>
    <w:rsid w:val="00A73948"/>
    <w:rsid w:val="00A73A8E"/>
    <w:rsid w:val="00A74422"/>
    <w:rsid w:val="00A74983"/>
    <w:rsid w:val="00A75607"/>
    <w:rsid w:val="00A75BB1"/>
    <w:rsid w:val="00A767DF"/>
    <w:rsid w:val="00A76935"/>
    <w:rsid w:val="00A77212"/>
    <w:rsid w:val="00A77EFF"/>
    <w:rsid w:val="00A80C84"/>
    <w:rsid w:val="00A81361"/>
    <w:rsid w:val="00A82832"/>
    <w:rsid w:val="00A83478"/>
    <w:rsid w:val="00A83620"/>
    <w:rsid w:val="00A84FC2"/>
    <w:rsid w:val="00A864AA"/>
    <w:rsid w:val="00A86605"/>
    <w:rsid w:val="00A8718A"/>
    <w:rsid w:val="00A872EE"/>
    <w:rsid w:val="00A8740A"/>
    <w:rsid w:val="00A87894"/>
    <w:rsid w:val="00A91C88"/>
    <w:rsid w:val="00A92E8D"/>
    <w:rsid w:val="00AA0833"/>
    <w:rsid w:val="00AA1442"/>
    <w:rsid w:val="00AA2817"/>
    <w:rsid w:val="00AA315F"/>
    <w:rsid w:val="00AA4C3D"/>
    <w:rsid w:val="00AA53AC"/>
    <w:rsid w:val="00AA6871"/>
    <w:rsid w:val="00AA6AA1"/>
    <w:rsid w:val="00AB0FF2"/>
    <w:rsid w:val="00AB3203"/>
    <w:rsid w:val="00AB33E4"/>
    <w:rsid w:val="00AB419C"/>
    <w:rsid w:val="00AB42A3"/>
    <w:rsid w:val="00AB4509"/>
    <w:rsid w:val="00AB5AB3"/>
    <w:rsid w:val="00AB663B"/>
    <w:rsid w:val="00AB69F6"/>
    <w:rsid w:val="00AB6B3F"/>
    <w:rsid w:val="00AB748A"/>
    <w:rsid w:val="00AB7543"/>
    <w:rsid w:val="00AB7E9C"/>
    <w:rsid w:val="00AC1B6F"/>
    <w:rsid w:val="00AC2107"/>
    <w:rsid w:val="00AC3371"/>
    <w:rsid w:val="00AC3AC7"/>
    <w:rsid w:val="00AC5043"/>
    <w:rsid w:val="00AC5172"/>
    <w:rsid w:val="00AC54C8"/>
    <w:rsid w:val="00AC56BE"/>
    <w:rsid w:val="00AC57F1"/>
    <w:rsid w:val="00AC708A"/>
    <w:rsid w:val="00AD0296"/>
    <w:rsid w:val="00AD2650"/>
    <w:rsid w:val="00AD3856"/>
    <w:rsid w:val="00AD3CCD"/>
    <w:rsid w:val="00AD3EA3"/>
    <w:rsid w:val="00AD4001"/>
    <w:rsid w:val="00AD45DE"/>
    <w:rsid w:val="00AE3571"/>
    <w:rsid w:val="00AE3BA8"/>
    <w:rsid w:val="00AE46AE"/>
    <w:rsid w:val="00AE4C9B"/>
    <w:rsid w:val="00AE52B3"/>
    <w:rsid w:val="00AE5401"/>
    <w:rsid w:val="00AE6A20"/>
    <w:rsid w:val="00AE6CA4"/>
    <w:rsid w:val="00AE77A1"/>
    <w:rsid w:val="00AF00A8"/>
    <w:rsid w:val="00AF07B0"/>
    <w:rsid w:val="00AF0DBD"/>
    <w:rsid w:val="00AF10FF"/>
    <w:rsid w:val="00AF184C"/>
    <w:rsid w:val="00AF2451"/>
    <w:rsid w:val="00AF2ABE"/>
    <w:rsid w:val="00AF2DCC"/>
    <w:rsid w:val="00AF3308"/>
    <w:rsid w:val="00AF69EC"/>
    <w:rsid w:val="00B00F07"/>
    <w:rsid w:val="00B01819"/>
    <w:rsid w:val="00B01BAD"/>
    <w:rsid w:val="00B02A12"/>
    <w:rsid w:val="00B02DC4"/>
    <w:rsid w:val="00B02E9B"/>
    <w:rsid w:val="00B03133"/>
    <w:rsid w:val="00B040E9"/>
    <w:rsid w:val="00B04888"/>
    <w:rsid w:val="00B04C0F"/>
    <w:rsid w:val="00B0664C"/>
    <w:rsid w:val="00B06C3B"/>
    <w:rsid w:val="00B06ED0"/>
    <w:rsid w:val="00B071C6"/>
    <w:rsid w:val="00B103E3"/>
    <w:rsid w:val="00B12F81"/>
    <w:rsid w:val="00B1310F"/>
    <w:rsid w:val="00B135CE"/>
    <w:rsid w:val="00B13DB6"/>
    <w:rsid w:val="00B1674C"/>
    <w:rsid w:val="00B1788C"/>
    <w:rsid w:val="00B22336"/>
    <w:rsid w:val="00B24616"/>
    <w:rsid w:val="00B24656"/>
    <w:rsid w:val="00B24E53"/>
    <w:rsid w:val="00B24F5E"/>
    <w:rsid w:val="00B24FEB"/>
    <w:rsid w:val="00B25FC1"/>
    <w:rsid w:val="00B266CE"/>
    <w:rsid w:val="00B2694C"/>
    <w:rsid w:val="00B26CA9"/>
    <w:rsid w:val="00B274DD"/>
    <w:rsid w:val="00B27F1B"/>
    <w:rsid w:val="00B30A2D"/>
    <w:rsid w:val="00B31267"/>
    <w:rsid w:val="00B317D0"/>
    <w:rsid w:val="00B32AA9"/>
    <w:rsid w:val="00B32CD3"/>
    <w:rsid w:val="00B331C4"/>
    <w:rsid w:val="00B33658"/>
    <w:rsid w:val="00B3367E"/>
    <w:rsid w:val="00B3394D"/>
    <w:rsid w:val="00B3410B"/>
    <w:rsid w:val="00B344FE"/>
    <w:rsid w:val="00B35086"/>
    <w:rsid w:val="00B353AD"/>
    <w:rsid w:val="00B36673"/>
    <w:rsid w:val="00B37F40"/>
    <w:rsid w:val="00B42C84"/>
    <w:rsid w:val="00B42CA2"/>
    <w:rsid w:val="00B431C9"/>
    <w:rsid w:val="00B43464"/>
    <w:rsid w:val="00B43533"/>
    <w:rsid w:val="00B452DA"/>
    <w:rsid w:val="00B455A8"/>
    <w:rsid w:val="00B46851"/>
    <w:rsid w:val="00B47A91"/>
    <w:rsid w:val="00B501AC"/>
    <w:rsid w:val="00B5038A"/>
    <w:rsid w:val="00B51063"/>
    <w:rsid w:val="00B522F8"/>
    <w:rsid w:val="00B53AE8"/>
    <w:rsid w:val="00B54CB9"/>
    <w:rsid w:val="00B55186"/>
    <w:rsid w:val="00B56470"/>
    <w:rsid w:val="00B564EE"/>
    <w:rsid w:val="00B57388"/>
    <w:rsid w:val="00B57571"/>
    <w:rsid w:val="00B577F6"/>
    <w:rsid w:val="00B57CF4"/>
    <w:rsid w:val="00B60718"/>
    <w:rsid w:val="00B6208D"/>
    <w:rsid w:val="00B6246D"/>
    <w:rsid w:val="00B62889"/>
    <w:rsid w:val="00B63BB7"/>
    <w:rsid w:val="00B63D2B"/>
    <w:rsid w:val="00B6471F"/>
    <w:rsid w:val="00B64A0E"/>
    <w:rsid w:val="00B64B88"/>
    <w:rsid w:val="00B653F3"/>
    <w:rsid w:val="00B6672B"/>
    <w:rsid w:val="00B66F4A"/>
    <w:rsid w:val="00B70E27"/>
    <w:rsid w:val="00B70EF8"/>
    <w:rsid w:val="00B73507"/>
    <w:rsid w:val="00B73DCC"/>
    <w:rsid w:val="00B7469B"/>
    <w:rsid w:val="00B74DA7"/>
    <w:rsid w:val="00B75057"/>
    <w:rsid w:val="00B7631B"/>
    <w:rsid w:val="00B76E1E"/>
    <w:rsid w:val="00B77E27"/>
    <w:rsid w:val="00B80820"/>
    <w:rsid w:val="00B8096B"/>
    <w:rsid w:val="00B82BAD"/>
    <w:rsid w:val="00B82BD3"/>
    <w:rsid w:val="00B84165"/>
    <w:rsid w:val="00B85ABA"/>
    <w:rsid w:val="00B86361"/>
    <w:rsid w:val="00B8731E"/>
    <w:rsid w:val="00B90502"/>
    <w:rsid w:val="00B91059"/>
    <w:rsid w:val="00B915A5"/>
    <w:rsid w:val="00B921E7"/>
    <w:rsid w:val="00B930BD"/>
    <w:rsid w:val="00B9390D"/>
    <w:rsid w:val="00B9404A"/>
    <w:rsid w:val="00B94739"/>
    <w:rsid w:val="00B9502C"/>
    <w:rsid w:val="00B95D1C"/>
    <w:rsid w:val="00B96014"/>
    <w:rsid w:val="00B961D4"/>
    <w:rsid w:val="00B966B0"/>
    <w:rsid w:val="00B97943"/>
    <w:rsid w:val="00BA153D"/>
    <w:rsid w:val="00BA1AD5"/>
    <w:rsid w:val="00BA2ADA"/>
    <w:rsid w:val="00BA2C8C"/>
    <w:rsid w:val="00BA3F70"/>
    <w:rsid w:val="00BA4C5F"/>
    <w:rsid w:val="00BA5D17"/>
    <w:rsid w:val="00BA63CC"/>
    <w:rsid w:val="00BA6B29"/>
    <w:rsid w:val="00BA7CB2"/>
    <w:rsid w:val="00BB22CF"/>
    <w:rsid w:val="00BB298C"/>
    <w:rsid w:val="00BB3963"/>
    <w:rsid w:val="00BB4951"/>
    <w:rsid w:val="00BB4B5A"/>
    <w:rsid w:val="00BB58E2"/>
    <w:rsid w:val="00BB6502"/>
    <w:rsid w:val="00BB7928"/>
    <w:rsid w:val="00BC0F90"/>
    <w:rsid w:val="00BC26B5"/>
    <w:rsid w:val="00BC27E7"/>
    <w:rsid w:val="00BC4547"/>
    <w:rsid w:val="00BC4E2A"/>
    <w:rsid w:val="00BC54B1"/>
    <w:rsid w:val="00BC5D2B"/>
    <w:rsid w:val="00BC5E15"/>
    <w:rsid w:val="00BC6157"/>
    <w:rsid w:val="00BD0424"/>
    <w:rsid w:val="00BD2692"/>
    <w:rsid w:val="00BD35CD"/>
    <w:rsid w:val="00BD3BF1"/>
    <w:rsid w:val="00BD4557"/>
    <w:rsid w:val="00BD4B6E"/>
    <w:rsid w:val="00BD5510"/>
    <w:rsid w:val="00BD5597"/>
    <w:rsid w:val="00BD5F10"/>
    <w:rsid w:val="00BD63D6"/>
    <w:rsid w:val="00BD6A1A"/>
    <w:rsid w:val="00BD7932"/>
    <w:rsid w:val="00BE2055"/>
    <w:rsid w:val="00BE2AF3"/>
    <w:rsid w:val="00BE39BC"/>
    <w:rsid w:val="00BE4487"/>
    <w:rsid w:val="00BE466E"/>
    <w:rsid w:val="00BE46C7"/>
    <w:rsid w:val="00BE5718"/>
    <w:rsid w:val="00BE79B0"/>
    <w:rsid w:val="00BF1D43"/>
    <w:rsid w:val="00BF29C0"/>
    <w:rsid w:val="00BF322E"/>
    <w:rsid w:val="00BF35DA"/>
    <w:rsid w:val="00BF3665"/>
    <w:rsid w:val="00BF74C8"/>
    <w:rsid w:val="00BF7944"/>
    <w:rsid w:val="00BF7AA2"/>
    <w:rsid w:val="00BF7BF0"/>
    <w:rsid w:val="00BF7D86"/>
    <w:rsid w:val="00C00547"/>
    <w:rsid w:val="00C03A65"/>
    <w:rsid w:val="00C04C26"/>
    <w:rsid w:val="00C05B08"/>
    <w:rsid w:val="00C05F63"/>
    <w:rsid w:val="00C05FAC"/>
    <w:rsid w:val="00C0711E"/>
    <w:rsid w:val="00C11242"/>
    <w:rsid w:val="00C113C4"/>
    <w:rsid w:val="00C11587"/>
    <w:rsid w:val="00C1166F"/>
    <w:rsid w:val="00C125D5"/>
    <w:rsid w:val="00C12855"/>
    <w:rsid w:val="00C13348"/>
    <w:rsid w:val="00C13D0C"/>
    <w:rsid w:val="00C13DB4"/>
    <w:rsid w:val="00C148B9"/>
    <w:rsid w:val="00C154A5"/>
    <w:rsid w:val="00C16450"/>
    <w:rsid w:val="00C1695C"/>
    <w:rsid w:val="00C170C9"/>
    <w:rsid w:val="00C171C4"/>
    <w:rsid w:val="00C17569"/>
    <w:rsid w:val="00C20040"/>
    <w:rsid w:val="00C205D2"/>
    <w:rsid w:val="00C20AAD"/>
    <w:rsid w:val="00C22B8F"/>
    <w:rsid w:val="00C23738"/>
    <w:rsid w:val="00C239B2"/>
    <w:rsid w:val="00C24F7B"/>
    <w:rsid w:val="00C252D1"/>
    <w:rsid w:val="00C256FA"/>
    <w:rsid w:val="00C26C44"/>
    <w:rsid w:val="00C276A1"/>
    <w:rsid w:val="00C279A0"/>
    <w:rsid w:val="00C27D6C"/>
    <w:rsid w:val="00C27E1C"/>
    <w:rsid w:val="00C32363"/>
    <w:rsid w:val="00C33FAE"/>
    <w:rsid w:val="00C34460"/>
    <w:rsid w:val="00C3477D"/>
    <w:rsid w:val="00C3581B"/>
    <w:rsid w:val="00C35E69"/>
    <w:rsid w:val="00C369B1"/>
    <w:rsid w:val="00C37EE0"/>
    <w:rsid w:val="00C40547"/>
    <w:rsid w:val="00C4183C"/>
    <w:rsid w:val="00C433A5"/>
    <w:rsid w:val="00C43829"/>
    <w:rsid w:val="00C44434"/>
    <w:rsid w:val="00C4458C"/>
    <w:rsid w:val="00C4586D"/>
    <w:rsid w:val="00C4643B"/>
    <w:rsid w:val="00C47033"/>
    <w:rsid w:val="00C4706F"/>
    <w:rsid w:val="00C479FC"/>
    <w:rsid w:val="00C47D1E"/>
    <w:rsid w:val="00C50036"/>
    <w:rsid w:val="00C51258"/>
    <w:rsid w:val="00C514A9"/>
    <w:rsid w:val="00C52E87"/>
    <w:rsid w:val="00C53BDD"/>
    <w:rsid w:val="00C54225"/>
    <w:rsid w:val="00C55079"/>
    <w:rsid w:val="00C56FC0"/>
    <w:rsid w:val="00C57442"/>
    <w:rsid w:val="00C6019C"/>
    <w:rsid w:val="00C60708"/>
    <w:rsid w:val="00C611CE"/>
    <w:rsid w:val="00C61215"/>
    <w:rsid w:val="00C614C9"/>
    <w:rsid w:val="00C61FFF"/>
    <w:rsid w:val="00C62768"/>
    <w:rsid w:val="00C6411A"/>
    <w:rsid w:val="00C6469E"/>
    <w:rsid w:val="00C66537"/>
    <w:rsid w:val="00C6687F"/>
    <w:rsid w:val="00C66D43"/>
    <w:rsid w:val="00C70BCD"/>
    <w:rsid w:val="00C728E3"/>
    <w:rsid w:val="00C73A57"/>
    <w:rsid w:val="00C7469E"/>
    <w:rsid w:val="00C753C1"/>
    <w:rsid w:val="00C759A1"/>
    <w:rsid w:val="00C76B55"/>
    <w:rsid w:val="00C7781A"/>
    <w:rsid w:val="00C77983"/>
    <w:rsid w:val="00C80225"/>
    <w:rsid w:val="00C80766"/>
    <w:rsid w:val="00C80B08"/>
    <w:rsid w:val="00C81AFF"/>
    <w:rsid w:val="00C820B7"/>
    <w:rsid w:val="00C82FAD"/>
    <w:rsid w:val="00C83384"/>
    <w:rsid w:val="00C83ACB"/>
    <w:rsid w:val="00C85601"/>
    <w:rsid w:val="00C8621D"/>
    <w:rsid w:val="00C865FF"/>
    <w:rsid w:val="00C90748"/>
    <w:rsid w:val="00C90A66"/>
    <w:rsid w:val="00C9116F"/>
    <w:rsid w:val="00C91C96"/>
    <w:rsid w:val="00C92323"/>
    <w:rsid w:val="00C925F0"/>
    <w:rsid w:val="00C92CC9"/>
    <w:rsid w:val="00C93F23"/>
    <w:rsid w:val="00C946B0"/>
    <w:rsid w:val="00C94E2F"/>
    <w:rsid w:val="00C95D07"/>
    <w:rsid w:val="00C95E8B"/>
    <w:rsid w:val="00C97564"/>
    <w:rsid w:val="00C97A46"/>
    <w:rsid w:val="00CA0053"/>
    <w:rsid w:val="00CA050F"/>
    <w:rsid w:val="00CA0FA7"/>
    <w:rsid w:val="00CA170F"/>
    <w:rsid w:val="00CA2B0E"/>
    <w:rsid w:val="00CA394A"/>
    <w:rsid w:val="00CA4161"/>
    <w:rsid w:val="00CA5486"/>
    <w:rsid w:val="00CA6772"/>
    <w:rsid w:val="00CA6DEC"/>
    <w:rsid w:val="00CA7E00"/>
    <w:rsid w:val="00CB02C4"/>
    <w:rsid w:val="00CB0554"/>
    <w:rsid w:val="00CB1134"/>
    <w:rsid w:val="00CB147C"/>
    <w:rsid w:val="00CB2CC5"/>
    <w:rsid w:val="00CB2FAE"/>
    <w:rsid w:val="00CB3828"/>
    <w:rsid w:val="00CB3D16"/>
    <w:rsid w:val="00CB4151"/>
    <w:rsid w:val="00CB4B35"/>
    <w:rsid w:val="00CB6AB0"/>
    <w:rsid w:val="00CB6FBD"/>
    <w:rsid w:val="00CB7481"/>
    <w:rsid w:val="00CC09D0"/>
    <w:rsid w:val="00CC0A54"/>
    <w:rsid w:val="00CC1134"/>
    <w:rsid w:val="00CC17B1"/>
    <w:rsid w:val="00CC180B"/>
    <w:rsid w:val="00CC1D50"/>
    <w:rsid w:val="00CC4C27"/>
    <w:rsid w:val="00CC6C76"/>
    <w:rsid w:val="00CC6E8B"/>
    <w:rsid w:val="00CD04EF"/>
    <w:rsid w:val="00CD131C"/>
    <w:rsid w:val="00CD13BB"/>
    <w:rsid w:val="00CD26BD"/>
    <w:rsid w:val="00CD26D6"/>
    <w:rsid w:val="00CD2CAE"/>
    <w:rsid w:val="00CD2EB3"/>
    <w:rsid w:val="00CD3DB9"/>
    <w:rsid w:val="00CD45BD"/>
    <w:rsid w:val="00CD550C"/>
    <w:rsid w:val="00CD6704"/>
    <w:rsid w:val="00CD7015"/>
    <w:rsid w:val="00CD75F6"/>
    <w:rsid w:val="00CE1515"/>
    <w:rsid w:val="00CE1DF3"/>
    <w:rsid w:val="00CE38D2"/>
    <w:rsid w:val="00CE3E36"/>
    <w:rsid w:val="00CE4548"/>
    <w:rsid w:val="00CE4DCC"/>
    <w:rsid w:val="00CE629C"/>
    <w:rsid w:val="00CE6AEC"/>
    <w:rsid w:val="00CE7287"/>
    <w:rsid w:val="00CF0362"/>
    <w:rsid w:val="00CF04F8"/>
    <w:rsid w:val="00CF0C57"/>
    <w:rsid w:val="00CF12DB"/>
    <w:rsid w:val="00CF1F93"/>
    <w:rsid w:val="00CF296A"/>
    <w:rsid w:val="00CF2A4E"/>
    <w:rsid w:val="00CF2E6D"/>
    <w:rsid w:val="00CF346E"/>
    <w:rsid w:val="00CF44D3"/>
    <w:rsid w:val="00CF5628"/>
    <w:rsid w:val="00CF586E"/>
    <w:rsid w:val="00CF5D72"/>
    <w:rsid w:val="00CF6437"/>
    <w:rsid w:val="00CF708F"/>
    <w:rsid w:val="00D01680"/>
    <w:rsid w:val="00D016CB"/>
    <w:rsid w:val="00D01A1D"/>
    <w:rsid w:val="00D01B1B"/>
    <w:rsid w:val="00D045A8"/>
    <w:rsid w:val="00D04891"/>
    <w:rsid w:val="00D04E90"/>
    <w:rsid w:val="00D05C1C"/>
    <w:rsid w:val="00D079B2"/>
    <w:rsid w:val="00D104CB"/>
    <w:rsid w:val="00D10766"/>
    <w:rsid w:val="00D10C97"/>
    <w:rsid w:val="00D1174C"/>
    <w:rsid w:val="00D13B97"/>
    <w:rsid w:val="00D13E30"/>
    <w:rsid w:val="00D1451C"/>
    <w:rsid w:val="00D15FBC"/>
    <w:rsid w:val="00D16135"/>
    <w:rsid w:val="00D1647E"/>
    <w:rsid w:val="00D17153"/>
    <w:rsid w:val="00D17358"/>
    <w:rsid w:val="00D17F66"/>
    <w:rsid w:val="00D17FC8"/>
    <w:rsid w:val="00D20A33"/>
    <w:rsid w:val="00D20B4C"/>
    <w:rsid w:val="00D20FB3"/>
    <w:rsid w:val="00D21AFB"/>
    <w:rsid w:val="00D22EB2"/>
    <w:rsid w:val="00D22FAB"/>
    <w:rsid w:val="00D23181"/>
    <w:rsid w:val="00D23369"/>
    <w:rsid w:val="00D24F77"/>
    <w:rsid w:val="00D25F4F"/>
    <w:rsid w:val="00D269DF"/>
    <w:rsid w:val="00D270AF"/>
    <w:rsid w:val="00D27C80"/>
    <w:rsid w:val="00D30A55"/>
    <w:rsid w:val="00D31A29"/>
    <w:rsid w:val="00D31AE9"/>
    <w:rsid w:val="00D31C1A"/>
    <w:rsid w:val="00D32D97"/>
    <w:rsid w:val="00D33935"/>
    <w:rsid w:val="00D345F4"/>
    <w:rsid w:val="00D34AB0"/>
    <w:rsid w:val="00D34C1C"/>
    <w:rsid w:val="00D34D1F"/>
    <w:rsid w:val="00D34E90"/>
    <w:rsid w:val="00D359F8"/>
    <w:rsid w:val="00D35A8D"/>
    <w:rsid w:val="00D363A4"/>
    <w:rsid w:val="00D36710"/>
    <w:rsid w:val="00D3751B"/>
    <w:rsid w:val="00D37C25"/>
    <w:rsid w:val="00D41795"/>
    <w:rsid w:val="00D4205C"/>
    <w:rsid w:val="00D4286B"/>
    <w:rsid w:val="00D42E42"/>
    <w:rsid w:val="00D4304C"/>
    <w:rsid w:val="00D44A0B"/>
    <w:rsid w:val="00D44FAB"/>
    <w:rsid w:val="00D45673"/>
    <w:rsid w:val="00D471E3"/>
    <w:rsid w:val="00D47671"/>
    <w:rsid w:val="00D47A7D"/>
    <w:rsid w:val="00D51D02"/>
    <w:rsid w:val="00D51F09"/>
    <w:rsid w:val="00D527F2"/>
    <w:rsid w:val="00D52DF1"/>
    <w:rsid w:val="00D53542"/>
    <w:rsid w:val="00D552DC"/>
    <w:rsid w:val="00D55646"/>
    <w:rsid w:val="00D55E62"/>
    <w:rsid w:val="00D561B7"/>
    <w:rsid w:val="00D575E2"/>
    <w:rsid w:val="00D605C1"/>
    <w:rsid w:val="00D609C1"/>
    <w:rsid w:val="00D6534A"/>
    <w:rsid w:val="00D654F6"/>
    <w:rsid w:val="00D6624C"/>
    <w:rsid w:val="00D664AA"/>
    <w:rsid w:val="00D67A37"/>
    <w:rsid w:val="00D7039D"/>
    <w:rsid w:val="00D71366"/>
    <w:rsid w:val="00D71FDF"/>
    <w:rsid w:val="00D72513"/>
    <w:rsid w:val="00D72E48"/>
    <w:rsid w:val="00D7335D"/>
    <w:rsid w:val="00D73BD7"/>
    <w:rsid w:val="00D73E89"/>
    <w:rsid w:val="00D74252"/>
    <w:rsid w:val="00D74A1F"/>
    <w:rsid w:val="00D75735"/>
    <w:rsid w:val="00D76434"/>
    <w:rsid w:val="00D77285"/>
    <w:rsid w:val="00D7740C"/>
    <w:rsid w:val="00D80EF0"/>
    <w:rsid w:val="00D81A0B"/>
    <w:rsid w:val="00D82F00"/>
    <w:rsid w:val="00D830E6"/>
    <w:rsid w:val="00D836BA"/>
    <w:rsid w:val="00D84079"/>
    <w:rsid w:val="00D84D68"/>
    <w:rsid w:val="00D84DA0"/>
    <w:rsid w:val="00D8588F"/>
    <w:rsid w:val="00D859F1"/>
    <w:rsid w:val="00D87171"/>
    <w:rsid w:val="00D90B64"/>
    <w:rsid w:val="00D90C6D"/>
    <w:rsid w:val="00D917B4"/>
    <w:rsid w:val="00D91FA5"/>
    <w:rsid w:val="00D92395"/>
    <w:rsid w:val="00D9283C"/>
    <w:rsid w:val="00D92B52"/>
    <w:rsid w:val="00D93095"/>
    <w:rsid w:val="00D93165"/>
    <w:rsid w:val="00D932D3"/>
    <w:rsid w:val="00D93310"/>
    <w:rsid w:val="00D935CE"/>
    <w:rsid w:val="00D941C3"/>
    <w:rsid w:val="00D94884"/>
    <w:rsid w:val="00D9601A"/>
    <w:rsid w:val="00D96A2C"/>
    <w:rsid w:val="00D97C65"/>
    <w:rsid w:val="00DA04F6"/>
    <w:rsid w:val="00DA061F"/>
    <w:rsid w:val="00DA0AC2"/>
    <w:rsid w:val="00DA3EDF"/>
    <w:rsid w:val="00DA5AE8"/>
    <w:rsid w:val="00DA6543"/>
    <w:rsid w:val="00DA67C3"/>
    <w:rsid w:val="00DA6956"/>
    <w:rsid w:val="00DA6AF7"/>
    <w:rsid w:val="00DA6BD7"/>
    <w:rsid w:val="00DA7839"/>
    <w:rsid w:val="00DA7A72"/>
    <w:rsid w:val="00DA7A95"/>
    <w:rsid w:val="00DB09AD"/>
    <w:rsid w:val="00DB149F"/>
    <w:rsid w:val="00DB6DCF"/>
    <w:rsid w:val="00DB7A1A"/>
    <w:rsid w:val="00DB7C93"/>
    <w:rsid w:val="00DC06E5"/>
    <w:rsid w:val="00DC1647"/>
    <w:rsid w:val="00DC1C53"/>
    <w:rsid w:val="00DC2102"/>
    <w:rsid w:val="00DC3477"/>
    <w:rsid w:val="00DC7E4D"/>
    <w:rsid w:val="00DC7FEF"/>
    <w:rsid w:val="00DD11F1"/>
    <w:rsid w:val="00DD1502"/>
    <w:rsid w:val="00DD2363"/>
    <w:rsid w:val="00DD23DB"/>
    <w:rsid w:val="00DD263B"/>
    <w:rsid w:val="00DD3439"/>
    <w:rsid w:val="00DD4BF4"/>
    <w:rsid w:val="00DD5A96"/>
    <w:rsid w:val="00DD7030"/>
    <w:rsid w:val="00DD7101"/>
    <w:rsid w:val="00DE0D8E"/>
    <w:rsid w:val="00DE106F"/>
    <w:rsid w:val="00DE3395"/>
    <w:rsid w:val="00DE3847"/>
    <w:rsid w:val="00DE4FBE"/>
    <w:rsid w:val="00DE5B33"/>
    <w:rsid w:val="00DE5F15"/>
    <w:rsid w:val="00DE6EA5"/>
    <w:rsid w:val="00DE7F10"/>
    <w:rsid w:val="00DE7F9E"/>
    <w:rsid w:val="00DF0117"/>
    <w:rsid w:val="00DF177A"/>
    <w:rsid w:val="00DF21BB"/>
    <w:rsid w:val="00DF2794"/>
    <w:rsid w:val="00DF2C33"/>
    <w:rsid w:val="00DF2F88"/>
    <w:rsid w:val="00DF2FB7"/>
    <w:rsid w:val="00DF450B"/>
    <w:rsid w:val="00DF4B22"/>
    <w:rsid w:val="00DF5303"/>
    <w:rsid w:val="00DF5E43"/>
    <w:rsid w:val="00DF5EDF"/>
    <w:rsid w:val="00DF6868"/>
    <w:rsid w:val="00DF6F8A"/>
    <w:rsid w:val="00DF7393"/>
    <w:rsid w:val="00E00924"/>
    <w:rsid w:val="00E00E29"/>
    <w:rsid w:val="00E01A97"/>
    <w:rsid w:val="00E01F0B"/>
    <w:rsid w:val="00E044AB"/>
    <w:rsid w:val="00E048CA"/>
    <w:rsid w:val="00E05D6D"/>
    <w:rsid w:val="00E05F39"/>
    <w:rsid w:val="00E06CD4"/>
    <w:rsid w:val="00E07FBF"/>
    <w:rsid w:val="00E106A4"/>
    <w:rsid w:val="00E10A56"/>
    <w:rsid w:val="00E10BBF"/>
    <w:rsid w:val="00E10D53"/>
    <w:rsid w:val="00E1153C"/>
    <w:rsid w:val="00E11C51"/>
    <w:rsid w:val="00E1314C"/>
    <w:rsid w:val="00E1499E"/>
    <w:rsid w:val="00E14AEE"/>
    <w:rsid w:val="00E150B7"/>
    <w:rsid w:val="00E150B8"/>
    <w:rsid w:val="00E15AC2"/>
    <w:rsid w:val="00E162AF"/>
    <w:rsid w:val="00E1648A"/>
    <w:rsid w:val="00E171D1"/>
    <w:rsid w:val="00E176EE"/>
    <w:rsid w:val="00E17C2C"/>
    <w:rsid w:val="00E17EFB"/>
    <w:rsid w:val="00E211A0"/>
    <w:rsid w:val="00E24679"/>
    <w:rsid w:val="00E248E5"/>
    <w:rsid w:val="00E253C4"/>
    <w:rsid w:val="00E254B2"/>
    <w:rsid w:val="00E257EE"/>
    <w:rsid w:val="00E27579"/>
    <w:rsid w:val="00E30C68"/>
    <w:rsid w:val="00E31982"/>
    <w:rsid w:val="00E33098"/>
    <w:rsid w:val="00E335BF"/>
    <w:rsid w:val="00E3446C"/>
    <w:rsid w:val="00E3497B"/>
    <w:rsid w:val="00E34AFB"/>
    <w:rsid w:val="00E34B38"/>
    <w:rsid w:val="00E34D8C"/>
    <w:rsid w:val="00E372F1"/>
    <w:rsid w:val="00E37340"/>
    <w:rsid w:val="00E376EB"/>
    <w:rsid w:val="00E37AB7"/>
    <w:rsid w:val="00E407A0"/>
    <w:rsid w:val="00E40D18"/>
    <w:rsid w:val="00E40E12"/>
    <w:rsid w:val="00E415E9"/>
    <w:rsid w:val="00E41D36"/>
    <w:rsid w:val="00E42E40"/>
    <w:rsid w:val="00E44543"/>
    <w:rsid w:val="00E44687"/>
    <w:rsid w:val="00E45655"/>
    <w:rsid w:val="00E468AC"/>
    <w:rsid w:val="00E47765"/>
    <w:rsid w:val="00E47804"/>
    <w:rsid w:val="00E524C1"/>
    <w:rsid w:val="00E52DA8"/>
    <w:rsid w:val="00E53A01"/>
    <w:rsid w:val="00E55C63"/>
    <w:rsid w:val="00E55FAF"/>
    <w:rsid w:val="00E56C5C"/>
    <w:rsid w:val="00E609E1"/>
    <w:rsid w:val="00E611E8"/>
    <w:rsid w:val="00E61443"/>
    <w:rsid w:val="00E61C6A"/>
    <w:rsid w:val="00E655B1"/>
    <w:rsid w:val="00E66198"/>
    <w:rsid w:val="00E6621F"/>
    <w:rsid w:val="00E6658D"/>
    <w:rsid w:val="00E66BA4"/>
    <w:rsid w:val="00E675F0"/>
    <w:rsid w:val="00E676F6"/>
    <w:rsid w:val="00E67D98"/>
    <w:rsid w:val="00E7046F"/>
    <w:rsid w:val="00E70856"/>
    <w:rsid w:val="00E7143D"/>
    <w:rsid w:val="00E71D76"/>
    <w:rsid w:val="00E73CB3"/>
    <w:rsid w:val="00E74492"/>
    <w:rsid w:val="00E744E9"/>
    <w:rsid w:val="00E74EAD"/>
    <w:rsid w:val="00E751E3"/>
    <w:rsid w:val="00E75D6E"/>
    <w:rsid w:val="00E76041"/>
    <w:rsid w:val="00E770CE"/>
    <w:rsid w:val="00E771B4"/>
    <w:rsid w:val="00E77DB0"/>
    <w:rsid w:val="00E80712"/>
    <w:rsid w:val="00E80C2A"/>
    <w:rsid w:val="00E80F7D"/>
    <w:rsid w:val="00E82AC2"/>
    <w:rsid w:val="00E84441"/>
    <w:rsid w:val="00E8783F"/>
    <w:rsid w:val="00E904F3"/>
    <w:rsid w:val="00E90807"/>
    <w:rsid w:val="00E908C8"/>
    <w:rsid w:val="00E91EA4"/>
    <w:rsid w:val="00E926B3"/>
    <w:rsid w:val="00E92C10"/>
    <w:rsid w:val="00E93553"/>
    <w:rsid w:val="00E93600"/>
    <w:rsid w:val="00E94EE6"/>
    <w:rsid w:val="00E971DE"/>
    <w:rsid w:val="00EA042C"/>
    <w:rsid w:val="00EA072A"/>
    <w:rsid w:val="00EA15D7"/>
    <w:rsid w:val="00EA3A6E"/>
    <w:rsid w:val="00EA5F0F"/>
    <w:rsid w:val="00EA6518"/>
    <w:rsid w:val="00EA74AE"/>
    <w:rsid w:val="00EA76AB"/>
    <w:rsid w:val="00EA7B58"/>
    <w:rsid w:val="00EB0169"/>
    <w:rsid w:val="00EB019D"/>
    <w:rsid w:val="00EB09BF"/>
    <w:rsid w:val="00EB15BB"/>
    <w:rsid w:val="00EB17A2"/>
    <w:rsid w:val="00EB18B5"/>
    <w:rsid w:val="00EB190C"/>
    <w:rsid w:val="00EB251C"/>
    <w:rsid w:val="00EB2F10"/>
    <w:rsid w:val="00EB33FE"/>
    <w:rsid w:val="00EB4979"/>
    <w:rsid w:val="00EB4C63"/>
    <w:rsid w:val="00EB5B5E"/>
    <w:rsid w:val="00EB5F91"/>
    <w:rsid w:val="00EB736C"/>
    <w:rsid w:val="00EC0993"/>
    <w:rsid w:val="00EC146D"/>
    <w:rsid w:val="00EC1649"/>
    <w:rsid w:val="00EC23E2"/>
    <w:rsid w:val="00EC296E"/>
    <w:rsid w:val="00EC2BE3"/>
    <w:rsid w:val="00EC31A2"/>
    <w:rsid w:val="00EC45D1"/>
    <w:rsid w:val="00EC50B4"/>
    <w:rsid w:val="00ED0D96"/>
    <w:rsid w:val="00ED1730"/>
    <w:rsid w:val="00ED1854"/>
    <w:rsid w:val="00ED33F2"/>
    <w:rsid w:val="00ED35B4"/>
    <w:rsid w:val="00ED3A3B"/>
    <w:rsid w:val="00ED4B1C"/>
    <w:rsid w:val="00ED5671"/>
    <w:rsid w:val="00ED587C"/>
    <w:rsid w:val="00ED7C30"/>
    <w:rsid w:val="00EE061F"/>
    <w:rsid w:val="00EE23AA"/>
    <w:rsid w:val="00EE2C93"/>
    <w:rsid w:val="00EE4BD0"/>
    <w:rsid w:val="00EE4F81"/>
    <w:rsid w:val="00EE563D"/>
    <w:rsid w:val="00EE669B"/>
    <w:rsid w:val="00EE6968"/>
    <w:rsid w:val="00EE799F"/>
    <w:rsid w:val="00EF00F0"/>
    <w:rsid w:val="00EF040A"/>
    <w:rsid w:val="00EF173D"/>
    <w:rsid w:val="00EF1AFB"/>
    <w:rsid w:val="00EF1FAE"/>
    <w:rsid w:val="00EF2D3B"/>
    <w:rsid w:val="00EF35C8"/>
    <w:rsid w:val="00EF4227"/>
    <w:rsid w:val="00EF4297"/>
    <w:rsid w:val="00EF44D1"/>
    <w:rsid w:val="00EF4660"/>
    <w:rsid w:val="00EF4972"/>
    <w:rsid w:val="00F013C5"/>
    <w:rsid w:val="00F01DA5"/>
    <w:rsid w:val="00F02C9D"/>
    <w:rsid w:val="00F0691A"/>
    <w:rsid w:val="00F109E0"/>
    <w:rsid w:val="00F11B1D"/>
    <w:rsid w:val="00F120FB"/>
    <w:rsid w:val="00F1220D"/>
    <w:rsid w:val="00F126EC"/>
    <w:rsid w:val="00F13492"/>
    <w:rsid w:val="00F15CF8"/>
    <w:rsid w:val="00F1602A"/>
    <w:rsid w:val="00F165BF"/>
    <w:rsid w:val="00F17252"/>
    <w:rsid w:val="00F17533"/>
    <w:rsid w:val="00F17CF3"/>
    <w:rsid w:val="00F211C1"/>
    <w:rsid w:val="00F234D1"/>
    <w:rsid w:val="00F24C17"/>
    <w:rsid w:val="00F24C41"/>
    <w:rsid w:val="00F25992"/>
    <w:rsid w:val="00F25B53"/>
    <w:rsid w:val="00F26177"/>
    <w:rsid w:val="00F26408"/>
    <w:rsid w:val="00F26567"/>
    <w:rsid w:val="00F26A0A"/>
    <w:rsid w:val="00F2778C"/>
    <w:rsid w:val="00F27BC4"/>
    <w:rsid w:val="00F306B4"/>
    <w:rsid w:val="00F31694"/>
    <w:rsid w:val="00F32D13"/>
    <w:rsid w:val="00F335A3"/>
    <w:rsid w:val="00F33D1E"/>
    <w:rsid w:val="00F33E11"/>
    <w:rsid w:val="00F33FEC"/>
    <w:rsid w:val="00F35044"/>
    <w:rsid w:val="00F3541E"/>
    <w:rsid w:val="00F35997"/>
    <w:rsid w:val="00F35CBA"/>
    <w:rsid w:val="00F35EDE"/>
    <w:rsid w:val="00F37046"/>
    <w:rsid w:val="00F4017E"/>
    <w:rsid w:val="00F40468"/>
    <w:rsid w:val="00F40576"/>
    <w:rsid w:val="00F40F4B"/>
    <w:rsid w:val="00F41AF9"/>
    <w:rsid w:val="00F41E26"/>
    <w:rsid w:val="00F4342F"/>
    <w:rsid w:val="00F43ED5"/>
    <w:rsid w:val="00F453B7"/>
    <w:rsid w:val="00F4600E"/>
    <w:rsid w:val="00F460E4"/>
    <w:rsid w:val="00F46710"/>
    <w:rsid w:val="00F47089"/>
    <w:rsid w:val="00F47988"/>
    <w:rsid w:val="00F511FE"/>
    <w:rsid w:val="00F51ABD"/>
    <w:rsid w:val="00F5246F"/>
    <w:rsid w:val="00F52629"/>
    <w:rsid w:val="00F52937"/>
    <w:rsid w:val="00F5298A"/>
    <w:rsid w:val="00F53689"/>
    <w:rsid w:val="00F54A9F"/>
    <w:rsid w:val="00F560F4"/>
    <w:rsid w:val="00F567F2"/>
    <w:rsid w:val="00F57E2D"/>
    <w:rsid w:val="00F57FAD"/>
    <w:rsid w:val="00F60EAF"/>
    <w:rsid w:val="00F60F1E"/>
    <w:rsid w:val="00F615D0"/>
    <w:rsid w:val="00F61928"/>
    <w:rsid w:val="00F6275F"/>
    <w:rsid w:val="00F63CC1"/>
    <w:rsid w:val="00F63F28"/>
    <w:rsid w:val="00F643DF"/>
    <w:rsid w:val="00F65B6C"/>
    <w:rsid w:val="00F65E57"/>
    <w:rsid w:val="00F6667E"/>
    <w:rsid w:val="00F666B9"/>
    <w:rsid w:val="00F66E03"/>
    <w:rsid w:val="00F67F96"/>
    <w:rsid w:val="00F70732"/>
    <w:rsid w:val="00F7165F"/>
    <w:rsid w:val="00F7252B"/>
    <w:rsid w:val="00F74600"/>
    <w:rsid w:val="00F75F57"/>
    <w:rsid w:val="00F768D5"/>
    <w:rsid w:val="00F802D5"/>
    <w:rsid w:val="00F8072E"/>
    <w:rsid w:val="00F80769"/>
    <w:rsid w:val="00F80C1A"/>
    <w:rsid w:val="00F81ADC"/>
    <w:rsid w:val="00F8220B"/>
    <w:rsid w:val="00F8467F"/>
    <w:rsid w:val="00F84A4E"/>
    <w:rsid w:val="00F8526E"/>
    <w:rsid w:val="00F852E2"/>
    <w:rsid w:val="00F86452"/>
    <w:rsid w:val="00F8665B"/>
    <w:rsid w:val="00F86E4C"/>
    <w:rsid w:val="00F878BA"/>
    <w:rsid w:val="00F90D31"/>
    <w:rsid w:val="00F94319"/>
    <w:rsid w:val="00F95C13"/>
    <w:rsid w:val="00F96249"/>
    <w:rsid w:val="00F96A4C"/>
    <w:rsid w:val="00F96F42"/>
    <w:rsid w:val="00F971A8"/>
    <w:rsid w:val="00F97479"/>
    <w:rsid w:val="00FA05D2"/>
    <w:rsid w:val="00FA1093"/>
    <w:rsid w:val="00FA1311"/>
    <w:rsid w:val="00FA1CDD"/>
    <w:rsid w:val="00FA3384"/>
    <w:rsid w:val="00FA459F"/>
    <w:rsid w:val="00FA50D7"/>
    <w:rsid w:val="00FA5277"/>
    <w:rsid w:val="00FA5EF7"/>
    <w:rsid w:val="00FA6390"/>
    <w:rsid w:val="00FA6866"/>
    <w:rsid w:val="00FA6CE7"/>
    <w:rsid w:val="00FA74C1"/>
    <w:rsid w:val="00FA76BB"/>
    <w:rsid w:val="00FA7809"/>
    <w:rsid w:val="00FA7BD1"/>
    <w:rsid w:val="00FB00A3"/>
    <w:rsid w:val="00FB053D"/>
    <w:rsid w:val="00FB1139"/>
    <w:rsid w:val="00FB2D10"/>
    <w:rsid w:val="00FB3347"/>
    <w:rsid w:val="00FB375A"/>
    <w:rsid w:val="00FB3B6F"/>
    <w:rsid w:val="00FB47BF"/>
    <w:rsid w:val="00FB4AE9"/>
    <w:rsid w:val="00FB50CD"/>
    <w:rsid w:val="00FB552B"/>
    <w:rsid w:val="00FB5944"/>
    <w:rsid w:val="00FB5E95"/>
    <w:rsid w:val="00FB630A"/>
    <w:rsid w:val="00FB65FB"/>
    <w:rsid w:val="00FB6909"/>
    <w:rsid w:val="00FB6B06"/>
    <w:rsid w:val="00FB6CF1"/>
    <w:rsid w:val="00FB6F19"/>
    <w:rsid w:val="00FB783A"/>
    <w:rsid w:val="00FB7D5F"/>
    <w:rsid w:val="00FB7EA4"/>
    <w:rsid w:val="00FC0062"/>
    <w:rsid w:val="00FC0F3F"/>
    <w:rsid w:val="00FC27FE"/>
    <w:rsid w:val="00FC2858"/>
    <w:rsid w:val="00FC460B"/>
    <w:rsid w:val="00FC562E"/>
    <w:rsid w:val="00FC57EA"/>
    <w:rsid w:val="00FC5DF7"/>
    <w:rsid w:val="00FC6469"/>
    <w:rsid w:val="00FD0F07"/>
    <w:rsid w:val="00FD25E0"/>
    <w:rsid w:val="00FD419B"/>
    <w:rsid w:val="00FD530F"/>
    <w:rsid w:val="00FD6431"/>
    <w:rsid w:val="00FD6974"/>
    <w:rsid w:val="00FE046C"/>
    <w:rsid w:val="00FE1EAA"/>
    <w:rsid w:val="00FE2B15"/>
    <w:rsid w:val="00FE35A9"/>
    <w:rsid w:val="00FE3A1A"/>
    <w:rsid w:val="00FE3AB9"/>
    <w:rsid w:val="00FE4240"/>
    <w:rsid w:val="00FE5275"/>
    <w:rsid w:val="00FE54C8"/>
    <w:rsid w:val="00FF02E8"/>
    <w:rsid w:val="00FF20AC"/>
    <w:rsid w:val="00FF232A"/>
    <w:rsid w:val="00FF2CDF"/>
    <w:rsid w:val="00FF3159"/>
    <w:rsid w:val="00FF4E35"/>
    <w:rsid w:val="00FF528D"/>
    <w:rsid w:val="00FF75CF"/>
    <w:rsid w:val="00FF7B80"/>
    <w:rsid w:val="00FF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9E0A"/>
  <w15:docId w15:val="{EB119F7F-03B5-4747-965A-688E6D29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22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AC3AC7"/>
    <w:pPr>
      <w:keepNext/>
      <w:keepLines/>
      <w:spacing w:before="240" w:line="259" w:lineRule="auto"/>
      <w:ind w:firstLine="709"/>
      <w:jc w:val="center"/>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C4F4B"/>
    <w:pPr>
      <w:keepNext/>
      <w:keepLines/>
      <w:spacing w:before="40" w:line="259" w:lineRule="auto"/>
      <w:ind w:firstLine="709"/>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B47A91"/>
    <w:pPr>
      <w:spacing w:before="100" w:beforeAutospacing="1" w:after="100" w:afterAutospacing="1"/>
      <w:ind w:firstLine="709"/>
      <w:outlineLvl w:val="2"/>
    </w:pPr>
    <w:rPr>
      <w:b/>
      <w:bCs/>
      <w:sz w:val="27"/>
      <w:szCs w:val="27"/>
    </w:rPr>
  </w:style>
  <w:style w:type="paragraph" w:styleId="Heading4">
    <w:name w:val="heading 4"/>
    <w:basedOn w:val="Normal"/>
    <w:next w:val="Normal"/>
    <w:link w:val="Heading4Char"/>
    <w:uiPriority w:val="9"/>
    <w:unhideWhenUsed/>
    <w:qFormat/>
    <w:rsid w:val="000C4F4B"/>
    <w:pPr>
      <w:keepNext/>
      <w:keepLines/>
      <w:spacing w:before="40" w:line="259" w:lineRule="auto"/>
      <w:ind w:firstLine="709"/>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A91"/>
    <w:rPr>
      <w:b/>
      <w:bCs/>
    </w:rPr>
  </w:style>
  <w:style w:type="character" w:customStyle="1" w:styleId="Heading3Char">
    <w:name w:val="Heading 3 Char"/>
    <w:basedOn w:val="DefaultParagraphFont"/>
    <w:link w:val="Heading3"/>
    <w:uiPriority w:val="9"/>
    <w:rsid w:val="00B47A91"/>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47A91"/>
    <w:pPr>
      <w:spacing w:before="100" w:beforeAutospacing="1" w:after="100" w:afterAutospacing="1"/>
      <w:ind w:firstLine="709"/>
    </w:pPr>
  </w:style>
  <w:style w:type="character" w:styleId="Hyperlink">
    <w:name w:val="Hyperlink"/>
    <w:basedOn w:val="DefaultParagraphFont"/>
    <w:uiPriority w:val="99"/>
    <w:unhideWhenUsed/>
    <w:rsid w:val="00B47A91"/>
    <w:rPr>
      <w:color w:val="0563C1" w:themeColor="hyperlink"/>
      <w:u w:val="single"/>
    </w:rPr>
  </w:style>
  <w:style w:type="character" w:customStyle="1" w:styleId="1">
    <w:name w:val="Неразрешенное упоминание1"/>
    <w:basedOn w:val="DefaultParagraphFont"/>
    <w:uiPriority w:val="99"/>
    <w:semiHidden/>
    <w:unhideWhenUsed/>
    <w:rsid w:val="00B47A91"/>
    <w:rPr>
      <w:color w:val="808080"/>
      <w:shd w:val="clear" w:color="auto" w:fill="E6E6E6"/>
    </w:rPr>
  </w:style>
  <w:style w:type="character" w:customStyle="1" w:styleId="stats">
    <w:name w:val="stats"/>
    <w:basedOn w:val="DefaultParagraphFont"/>
    <w:rsid w:val="00F26A0A"/>
  </w:style>
  <w:style w:type="character" w:customStyle="1" w:styleId="Heading1Char">
    <w:name w:val="Heading 1 Char"/>
    <w:basedOn w:val="DefaultParagraphFont"/>
    <w:link w:val="Heading1"/>
    <w:uiPriority w:val="9"/>
    <w:rsid w:val="00AC3AC7"/>
    <w:rPr>
      <w:rFonts w:asciiTheme="majorHAnsi" w:eastAsiaTheme="majorEastAsia" w:hAnsiTheme="majorHAnsi" w:cstheme="majorBidi"/>
      <w:color w:val="2F5496" w:themeColor="accent1" w:themeShade="BF"/>
      <w:sz w:val="32"/>
      <w:szCs w:val="32"/>
    </w:rPr>
  </w:style>
  <w:style w:type="character" w:customStyle="1" w:styleId="shorttext">
    <w:name w:val="short_text"/>
    <w:basedOn w:val="DefaultParagraphFont"/>
    <w:rsid w:val="00D9601A"/>
  </w:style>
  <w:style w:type="paragraph" w:styleId="ListParagraph">
    <w:name w:val="List Paragraph"/>
    <w:basedOn w:val="Normal"/>
    <w:uiPriority w:val="34"/>
    <w:qFormat/>
    <w:rsid w:val="002A55EC"/>
    <w:pPr>
      <w:spacing w:after="200" w:line="276" w:lineRule="auto"/>
      <w:ind w:left="720" w:firstLine="709"/>
    </w:pPr>
    <w:rPr>
      <w:rFonts w:ascii="Calibri" w:hAnsi="Calibri" w:cs="Calibri"/>
      <w:sz w:val="22"/>
      <w:szCs w:val="22"/>
      <w:lang w:eastAsia="en-US"/>
    </w:rPr>
  </w:style>
  <w:style w:type="character" w:customStyle="1" w:styleId="2">
    <w:name w:val="Неразрешенное упоминание2"/>
    <w:basedOn w:val="DefaultParagraphFont"/>
    <w:uiPriority w:val="99"/>
    <w:semiHidden/>
    <w:unhideWhenUsed/>
    <w:rsid w:val="00BA7CB2"/>
    <w:rPr>
      <w:color w:val="605E5C"/>
      <w:shd w:val="clear" w:color="auto" w:fill="E1DFDD"/>
    </w:rPr>
  </w:style>
  <w:style w:type="character" w:customStyle="1" w:styleId="left">
    <w:name w:val="left"/>
    <w:basedOn w:val="DefaultParagraphFont"/>
    <w:rsid w:val="009A1792"/>
  </w:style>
  <w:style w:type="character" w:customStyle="1" w:styleId="right">
    <w:name w:val="right"/>
    <w:basedOn w:val="DefaultParagraphFont"/>
    <w:rsid w:val="009A1792"/>
  </w:style>
  <w:style w:type="table" w:styleId="TableGrid">
    <w:name w:val="Table Grid"/>
    <w:basedOn w:val="TableNormal"/>
    <w:uiPriority w:val="59"/>
    <w:rsid w:val="001A744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AF3308"/>
    <w:pPr>
      <w:ind w:firstLine="709"/>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AF3308"/>
    <w:rPr>
      <w:rFonts w:ascii="Consolas" w:eastAsia="Calibri" w:hAnsi="Consolas" w:cs="Times New Roman"/>
      <w:sz w:val="21"/>
      <w:szCs w:val="21"/>
      <w:lang w:val="sv-SE"/>
    </w:rPr>
  </w:style>
  <w:style w:type="paragraph" w:styleId="NoSpacing">
    <w:name w:val="No Spacing"/>
    <w:uiPriority w:val="1"/>
    <w:qFormat/>
    <w:rsid w:val="000C4F4B"/>
    <w:pPr>
      <w:spacing w:after="0" w:line="240" w:lineRule="auto"/>
      <w:ind w:firstLine="709"/>
    </w:pPr>
  </w:style>
  <w:style w:type="character" w:customStyle="1" w:styleId="Heading2Char">
    <w:name w:val="Heading 2 Char"/>
    <w:basedOn w:val="DefaultParagraphFont"/>
    <w:link w:val="Heading2"/>
    <w:uiPriority w:val="9"/>
    <w:rsid w:val="000C4F4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C4F4B"/>
    <w:rPr>
      <w:rFonts w:asciiTheme="majorHAnsi" w:eastAsiaTheme="majorEastAsia" w:hAnsiTheme="majorHAnsi" w:cstheme="majorBidi"/>
      <w:i/>
      <w:iCs/>
      <w:color w:val="2F5496" w:themeColor="accent1" w:themeShade="BF"/>
    </w:rPr>
  </w:style>
  <w:style w:type="paragraph" w:customStyle="1" w:styleId="10">
    <w:name w:val="Стиль1"/>
    <w:basedOn w:val="Heading4"/>
    <w:link w:val="11"/>
    <w:qFormat/>
    <w:rsid w:val="000C4F4B"/>
  </w:style>
  <w:style w:type="paragraph" w:customStyle="1" w:styleId="a">
    <w:name w:val="таблица"/>
    <w:basedOn w:val="10"/>
    <w:link w:val="a0"/>
    <w:qFormat/>
    <w:rsid w:val="000C4F4B"/>
    <w:pPr>
      <w:spacing w:before="0"/>
      <w:ind w:firstLine="0"/>
    </w:pPr>
    <w:rPr>
      <w:rFonts w:asciiTheme="minorHAnsi" w:hAnsiTheme="minorHAnsi"/>
      <w:i w:val="0"/>
      <w:color w:val="000000" w:themeColor="text1"/>
      <w:sz w:val="20"/>
    </w:rPr>
  </w:style>
  <w:style w:type="character" w:customStyle="1" w:styleId="11">
    <w:name w:val="Стиль1 Знак"/>
    <w:basedOn w:val="Heading4Char"/>
    <w:link w:val="10"/>
    <w:rsid w:val="000C4F4B"/>
    <w:rPr>
      <w:rFonts w:asciiTheme="majorHAnsi" w:eastAsiaTheme="majorEastAsia" w:hAnsiTheme="majorHAnsi" w:cstheme="majorBidi"/>
      <w:i/>
      <w:iCs/>
      <w:color w:val="2F5496" w:themeColor="accent1" w:themeShade="BF"/>
    </w:rPr>
  </w:style>
  <w:style w:type="character" w:styleId="CommentReference">
    <w:name w:val="annotation reference"/>
    <w:uiPriority w:val="99"/>
    <w:semiHidden/>
    <w:unhideWhenUsed/>
    <w:rsid w:val="00844567"/>
    <w:rPr>
      <w:sz w:val="16"/>
      <w:szCs w:val="16"/>
    </w:rPr>
  </w:style>
  <w:style w:type="character" w:customStyle="1" w:styleId="a0">
    <w:name w:val="таблица Знак"/>
    <w:basedOn w:val="11"/>
    <w:link w:val="a"/>
    <w:rsid w:val="000C4F4B"/>
    <w:rPr>
      <w:rFonts w:asciiTheme="majorHAnsi" w:eastAsiaTheme="majorEastAsia" w:hAnsiTheme="majorHAnsi" w:cstheme="majorBidi"/>
      <w:i w:val="0"/>
      <w:iCs/>
      <w:color w:val="000000" w:themeColor="text1"/>
      <w:sz w:val="20"/>
    </w:rPr>
  </w:style>
  <w:style w:type="paragraph" w:customStyle="1" w:styleId="12">
    <w:name w:val="Заголовок1"/>
    <w:basedOn w:val="Normal"/>
    <w:rsid w:val="00D045A8"/>
    <w:pPr>
      <w:spacing w:before="100" w:beforeAutospacing="1" w:after="100" w:afterAutospacing="1"/>
    </w:pPr>
  </w:style>
  <w:style w:type="paragraph" w:customStyle="1" w:styleId="desc">
    <w:name w:val="desc"/>
    <w:basedOn w:val="Normal"/>
    <w:rsid w:val="00D045A8"/>
    <w:pPr>
      <w:spacing w:before="100" w:beforeAutospacing="1" w:after="100" w:afterAutospacing="1"/>
    </w:pPr>
  </w:style>
  <w:style w:type="paragraph" w:customStyle="1" w:styleId="details">
    <w:name w:val="details"/>
    <w:basedOn w:val="Normal"/>
    <w:rsid w:val="00D045A8"/>
    <w:pPr>
      <w:spacing w:before="100" w:beforeAutospacing="1" w:after="100" w:afterAutospacing="1"/>
    </w:pPr>
  </w:style>
  <w:style w:type="character" w:customStyle="1" w:styleId="jrnl">
    <w:name w:val="jrnl"/>
    <w:basedOn w:val="DefaultParagraphFont"/>
    <w:rsid w:val="00D045A8"/>
  </w:style>
  <w:style w:type="character" w:customStyle="1" w:styleId="highlight">
    <w:name w:val="highlight"/>
    <w:basedOn w:val="DefaultParagraphFont"/>
    <w:rsid w:val="00934B3E"/>
  </w:style>
  <w:style w:type="character" w:customStyle="1" w:styleId="ui-ncbitoggler-master-text">
    <w:name w:val="ui-ncbitoggler-master-text"/>
    <w:basedOn w:val="DefaultParagraphFont"/>
    <w:rsid w:val="00CD131C"/>
  </w:style>
  <w:style w:type="paragraph" w:styleId="BalloonText">
    <w:name w:val="Balloon Text"/>
    <w:basedOn w:val="Normal"/>
    <w:link w:val="BalloonTextChar"/>
    <w:uiPriority w:val="99"/>
    <w:semiHidden/>
    <w:unhideWhenUsed/>
    <w:rsid w:val="00607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9C"/>
    <w:rPr>
      <w:rFonts w:ascii="Segoe UI" w:eastAsia="Times New Roman" w:hAnsi="Segoe UI" w:cs="Segoe UI"/>
      <w:sz w:val="18"/>
      <w:szCs w:val="18"/>
      <w:lang w:eastAsia="ru-RU"/>
    </w:rPr>
  </w:style>
  <w:style w:type="paragraph" w:styleId="CommentText">
    <w:name w:val="annotation text"/>
    <w:basedOn w:val="Normal"/>
    <w:link w:val="CommentTextChar"/>
    <w:uiPriority w:val="99"/>
    <w:semiHidden/>
    <w:unhideWhenUsed/>
    <w:rsid w:val="006C059B"/>
    <w:rPr>
      <w:sz w:val="20"/>
      <w:szCs w:val="20"/>
    </w:rPr>
  </w:style>
  <w:style w:type="character" w:customStyle="1" w:styleId="CommentTextChar">
    <w:name w:val="Comment Text Char"/>
    <w:basedOn w:val="DefaultParagraphFont"/>
    <w:link w:val="CommentText"/>
    <w:uiPriority w:val="99"/>
    <w:semiHidden/>
    <w:rsid w:val="006C059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059B"/>
    <w:rPr>
      <w:b/>
      <w:bCs/>
    </w:rPr>
  </w:style>
  <w:style w:type="character" w:customStyle="1" w:styleId="CommentSubjectChar">
    <w:name w:val="Comment Subject Char"/>
    <w:basedOn w:val="CommentTextChar"/>
    <w:link w:val="CommentSubject"/>
    <w:uiPriority w:val="99"/>
    <w:semiHidden/>
    <w:rsid w:val="006C059B"/>
    <w:rPr>
      <w:rFonts w:ascii="Times New Roman" w:eastAsia="Times New Roman" w:hAnsi="Times New Roman" w:cs="Times New Roman"/>
      <w:b/>
      <w:bCs/>
      <w:sz w:val="20"/>
      <w:szCs w:val="20"/>
      <w:lang w:eastAsia="ru-RU"/>
    </w:rPr>
  </w:style>
  <w:style w:type="character" w:customStyle="1" w:styleId="3">
    <w:name w:val="Неразрешенное упоминание3"/>
    <w:basedOn w:val="DefaultParagraphFont"/>
    <w:uiPriority w:val="99"/>
    <w:semiHidden/>
    <w:unhideWhenUsed/>
    <w:rsid w:val="002D6AAA"/>
    <w:rPr>
      <w:color w:val="605E5C"/>
      <w:shd w:val="clear" w:color="auto" w:fill="E1DFDD"/>
    </w:rPr>
  </w:style>
  <w:style w:type="character" w:styleId="FollowedHyperlink">
    <w:name w:val="FollowedHyperlink"/>
    <w:basedOn w:val="DefaultParagraphFont"/>
    <w:uiPriority w:val="99"/>
    <w:semiHidden/>
    <w:unhideWhenUsed/>
    <w:rsid w:val="00FF02E8"/>
    <w:rPr>
      <w:color w:val="954F72" w:themeColor="followedHyperlink"/>
      <w:u w:val="single"/>
    </w:rPr>
  </w:style>
  <w:style w:type="character" w:customStyle="1" w:styleId="UnresolvedMention1">
    <w:name w:val="Unresolved Mention1"/>
    <w:basedOn w:val="DefaultParagraphFont"/>
    <w:uiPriority w:val="99"/>
    <w:semiHidden/>
    <w:unhideWhenUsed/>
    <w:rsid w:val="00F35044"/>
    <w:rPr>
      <w:color w:val="605E5C"/>
      <w:shd w:val="clear" w:color="auto" w:fill="E1DFDD"/>
    </w:rPr>
  </w:style>
  <w:style w:type="character" w:customStyle="1" w:styleId="UnresolvedMention2">
    <w:name w:val="Unresolved Mention2"/>
    <w:basedOn w:val="DefaultParagraphFont"/>
    <w:uiPriority w:val="99"/>
    <w:semiHidden/>
    <w:unhideWhenUsed/>
    <w:rsid w:val="00A53D6C"/>
    <w:rPr>
      <w:color w:val="605E5C"/>
      <w:shd w:val="clear" w:color="auto" w:fill="E1DFDD"/>
    </w:rPr>
  </w:style>
  <w:style w:type="paragraph" w:styleId="Header">
    <w:name w:val="header"/>
    <w:basedOn w:val="Normal"/>
    <w:link w:val="HeaderChar"/>
    <w:uiPriority w:val="99"/>
    <w:unhideWhenUsed/>
    <w:rsid w:val="00B56470"/>
    <w:pPr>
      <w:tabs>
        <w:tab w:val="center" w:pos="4513"/>
        <w:tab w:val="right" w:pos="9026"/>
      </w:tabs>
    </w:pPr>
  </w:style>
  <w:style w:type="character" w:customStyle="1" w:styleId="HeaderChar">
    <w:name w:val="Header Char"/>
    <w:basedOn w:val="DefaultParagraphFont"/>
    <w:link w:val="Header"/>
    <w:uiPriority w:val="99"/>
    <w:rsid w:val="00B5647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B56470"/>
    <w:pPr>
      <w:tabs>
        <w:tab w:val="center" w:pos="4513"/>
        <w:tab w:val="right" w:pos="9026"/>
      </w:tabs>
    </w:pPr>
  </w:style>
  <w:style w:type="character" w:customStyle="1" w:styleId="FooterChar">
    <w:name w:val="Footer Char"/>
    <w:basedOn w:val="DefaultParagraphFont"/>
    <w:link w:val="Footer"/>
    <w:uiPriority w:val="99"/>
    <w:rsid w:val="00B56470"/>
    <w:rPr>
      <w:rFonts w:ascii="Times New Roman" w:eastAsia="Times New Roman" w:hAnsi="Times New Roman" w:cs="Times New Roman"/>
      <w:sz w:val="24"/>
      <w:szCs w:val="24"/>
      <w:lang w:eastAsia="ru-RU"/>
    </w:rPr>
  </w:style>
  <w:style w:type="table" w:customStyle="1" w:styleId="TableGrid1">
    <w:name w:val="Table Grid1"/>
    <w:basedOn w:val="TableNormal"/>
    <w:next w:val="TableGrid"/>
    <w:uiPriority w:val="59"/>
    <w:rsid w:val="001A00A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579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DefaultParagraphFont"/>
    <w:rsid w:val="001C5287"/>
  </w:style>
  <w:style w:type="character" w:customStyle="1" w:styleId="refsource">
    <w:name w:val="refsource"/>
    <w:basedOn w:val="DefaultParagraphFont"/>
    <w:rsid w:val="001C5287"/>
  </w:style>
  <w:style w:type="table" w:customStyle="1" w:styleId="TableGrid4">
    <w:name w:val="Table Grid4"/>
    <w:basedOn w:val="TableNormal"/>
    <w:next w:val="TableGrid"/>
    <w:uiPriority w:val="39"/>
    <w:rsid w:val="00720B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A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418AB"/>
    <w:rPr>
      <w:color w:val="605E5C"/>
      <w:shd w:val="clear" w:color="auto" w:fill="E1DFDD"/>
    </w:rPr>
  </w:style>
  <w:style w:type="character" w:styleId="UnresolvedMention">
    <w:name w:val="Unresolved Mention"/>
    <w:basedOn w:val="DefaultParagraphFont"/>
    <w:uiPriority w:val="99"/>
    <w:semiHidden/>
    <w:unhideWhenUsed/>
    <w:rsid w:val="009E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5758">
      <w:bodyDiv w:val="1"/>
      <w:marLeft w:val="0"/>
      <w:marRight w:val="0"/>
      <w:marTop w:val="0"/>
      <w:marBottom w:val="0"/>
      <w:divBdr>
        <w:top w:val="none" w:sz="0" w:space="0" w:color="auto"/>
        <w:left w:val="none" w:sz="0" w:space="0" w:color="auto"/>
        <w:bottom w:val="none" w:sz="0" w:space="0" w:color="auto"/>
        <w:right w:val="none" w:sz="0" w:space="0" w:color="auto"/>
      </w:divBdr>
    </w:div>
    <w:div w:id="92359743">
      <w:bodyDiv w:val="1"/>
      <w:marLeft w:val="0"/>
      <w:marRight w:val="0"/>
      <w:marTop w:val="0"/>
      <w:marBottom w:val="0"/>
      <w:divBdr>
        <w:top w:val="none" w:sz="0" w:space="0" w:color="auto"/>
        <w:left w:val="none" w:sz="0" w:space="0" w:color="auto"/>
        <w:bottom w:val="none" w:sz="0" w:space="0" w:color="auto"/>
        <w:right w:val="none" w:sz="0" w:space="0" w:color="auto"/>
      </w:divBdr>
    </w:div>
    <w:div w:id="132800034">
      <w:bodyDiv w:val="1"/>
      <w:marLeft w:val="0"/>
      <w:marRight w:val="0"/>
      <w:marTop w:val="0"/>
      <w:marBottom w:val="0"/>
      <w:divBdr>
        <w:top w:val="none" w:sz="0" w:space="0" w:color="auto"/>
        <w:left w:val="none" w:sz="0" w:space="0" w:color="auto"/>
        <w:bottom w:val="none" w:sz="0" w:space="0" w:color="auto"/>
        <w:right w:val="none" w:sz="0" w:space="0" w:color="auto"/>
      </w:divBdr>
      <w:divsChild>
        <w:div w:id="1445229046">
          <w:marLeft w:val="0"/>
          <w:marRight w:val="0"/>
          <w:marTop w:val="0"/>
          <w:marBottom w:val="0"/>
          <w:divBdr>
            <w:top w:val="none" w:sz="0" w:space="0" w:color="auto"/>
            <w:left w:val="none" w:sz="0" w:space="0" w:color="auto"/>
            <w:bottom w:val="none" w:sz="0" w:space="0" w:color="auto"/>
            <w:right w:val="none" w:sz="0" w:space="0" w:color="auto"/>
          </w:divBdr>
        </w:div>
      </w:divsChild>
    </w:div>
    <w:div w:id="134493762">
      <w:bodyDiv w:val="1"/>
      <w:marLeft w:val="0"/>
      <w:marRight w:val="0"/>
      <w:marTop w:val="0"/>
      <w:marBottom w:val="0"/>
      <w:divBdr>
        <w:top w:val="none" w:sz="0" w:space="0" w:color="auto"/>
        <w:left w:val="none" w:sz="0" w:space="0" w:color="auto"/>
        <w:bottom w:val="none" w:sz="0" w:space="0" w:color="auto"/>
        <w:right w:val="none" w:sz="0" w:space="0" w:color="auto"/>
      </w:divBdr>
      <w:divsChild>
        <w:div w:id="939803286">
          <w:marLeft w:val="0"/>
          <w:marRight w:val="0"/>
          <w:marTop w:val="34"/>
          <w:marBottom w:val="34"/>
          <w:divBdr>
            <w:top w:val="none" w:sz="0" w:space="0" w:color="auto"/>
            <w:left w:val="none" w:sz="0" w:space="0" w:color="auto"/>
            <w:bottom w:val="none" w:sz="0" w:space="0" w:color="auto"/>
            <w:right w:val="none" w:sz="0" w:space="0" w:color="auto"/>
          </w:divBdr>
        </w:div>
      </w:divsChild>
    </w:div>
    <w:div w:id="335422750">
      <w:bodyDiv w:val="1"/>
      <w:marLeft w:val="0"/>
      <w:marRight w:val="0"/>
      <w:marTop w:val="0"/>
      <w:marBottom w:val="0"/>
      <w:divBdr>
        <w:top w:val="none" w:sz="0" w:space="0" w:color="auto"/>
        <w:left w:val="none" w:sz="0" w:space="0" w:color="auto"/>
        <w:bottom w:val="none" w:sz="0" w:space="0" w:color="auto"/>
        <w:right w:val="none" w:sz="0" w:space="0" w:color="auto"/>
      </w:divBdr>
    </w:div>
    <w:div w:id="389156030">
      <w:bodyDiv w:val="1"/>
      <w:marLeft w:val="0"/>
      <w:marRight w:val="0"/>
      <w:marTop w:val="0"/>
      <w:marBottom w:val="0"/>
      <w:divBdr>
        <w:top w:val="none" w:sz="0" w:space="0" w:color="auto"/>
        <w:left w:val="none" w:sz="0" w:space="0" w:color="auto"/>
        <w:bottom w:val="none" w:sz="0" w:space="0" w:color="auto"/>
        <w:right w:val="none" w:sz="0" w:space="0" w:color="auto"/>
      </w:divBdr>
    </w:div>
    <w:div w:id="402142882">
      <w:bodyDiv w:val="1"/>
      <w:marLeft w:val="0"/>
      <w:marRight w:val="0"/>
      <w:marTop w:val="0"/>
      <w:marBottom w:val="0"/>
      <w:divBdr>
        <w:top w:val="none" w:sz="0" w:space="0" w:color="auto"/>
        <w:left w:val="none" w:sz="0" w:space="0" w:color="auto"/>
        <w:bottom w:val="none" w:sz="0" w:space="0" w:color="auto"/>
        <w:right w:val="none" w:sz="0" w:space="0" w:color="auto"/>
      </w:divBdr>
    </w:div>
    <w:div w:id="559485497">
      <w:bodyDiv w:val="1"/>
      <w:marLeft w:val="0"/>
      <w:marRight w:val="0"/>
      <w:marTop w:val="0"/>
      <w:marBottom w:val="0"/>
      <w:divBdr>
        <w:top w:val="none" w:sz="0" w:space="0" w:color="auto"/>
        <w:left w:val="none" w:sz="0" w:space="0" w:color="auto"/>
        <w:bottom w:val="none" w:sz="0" w:space="0" w:color="auto"/>
        <w:right w:val="none" w:sz="0" w:space="0" w:color="auto"/>
      </w:divBdr>
    </w:div>
    <w:div w:id="685912628">
      <w:bodyDiv w:val="1"/>
      <w:marLeft w:val="0"/>
      <w:marRight w:val="0"/>
      <w:marTop w:val="0"/>
      <w:marBottom w:val="0"/>
      <w:divBdr>
        <w:top w:val="none" w:sz="0" w:space="0" w:color="auto"/>
        <w:left w:val="none" w:sz="0" w:space="0" w:color="auto"/>
        <w:bottom w:val="none" w:sz="0" w:space="0" w:color="auto"/>
        <w:right w:val="none" w:sz="0" w:space="0" w:color="auto"/>
      </w:divBdr>
      <w:divsChild>
        <w:div w:id="1048260806">
          <w:marLeft w:val="0"/>
          <w:marRight w:val="0"/>
          <w:marTop w:val="120"/>
          <w:marBottom w:val="360"/>
          <w:divBdr>
            <w:top w:val="none" w:sz="0" w:space="0" w:color="auto"/>
            <w:left w:val="none" w:sz="0" w:space="0" w:color="auto"/>
            <w:bottom w:val="none" w:sz="0" w:space="0" w:color="auto"/>
            <w:right w:val="none" w:sz="0" w:space="0" w:color="auto"/>
          </w:divBdr>
          <w:divsChild>
            <w:div w:id="499464881">
              <w:marLeft w:val="0"/>
              <w:marRight w:val="0"/>
              <w:marTop w:val="0"/>
              <w:marBottom w:val="0"/>
              <w:divBdr>
                <w:top w:val="none" w:sz="0" w:space="0" w:color="auto"/>
                <w:left w:val="none" w:sz="0" w:space="0" w:color="auto"/>
                <w:bottom w:val="none" w:sz="0" w:space="0" w:color="auto"/>
                <w:right w:val="none" w:sz="0" w:space="0" w:color="auto"/>
              </w:divBdr>
            </w:div>
            <w:div w:id="852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107">
      <w:bodyDiv w:val="1"/>
      <w:marLeft w:val="0"/>
      <w:marRight w:val="0"/>
      <w:marTop w:val="0"/>
      <w:marBottom w:val="0"/>
      <w:divBdr>
        <w:top w:val="none" w:sz="0" w:space="0" w:color="auto"/>
        <w:left w:val="none" w:sz="0" w:space="0" w:color="auto"/>
        <w:bottom w:val="none" w:sz="0" w:space="0" w:color="auto"/>
        <w:right w:val="none" w:sz="0" w:space="0" w:color="auto"/>
      </w:divBdr>
    </w:div>
    <w:div w:id="826480431">
      <w:bodyDiv w:val="1"/>
      <w:marLeft w:val="0"/>
      <w:marRight w:val="0"/>
      <w:marTop w:val="0"/>
      <w:marBottom w:val="0"/>
      <w:divBdr>
        <w:top w:val="none" w:sz="0" w:space="0" w:color="auto"/>
        <w:left w:val="none" w:sz="0" w:space="0" w:color="auto"/>
        <w:bottom w:val="none" w:sz="0" w:space="0" w:color="auto"/>
        <w:right w:val="none" w:sz="0" w:space="0" w:color="auto"/>
      </w:divBdr>
    </w:div>
    <w:div w:id="842159704">
      <w:bodyDiv w:val="1"/>
      <w:marLeft w:val="0"/>
      <w:marRight w:val="0"/>
      <w:marTop w:val="0"/>
      <w:marBottom w:val="0"/>
      <w:divBdr>
        <w:top w:val="none" w:sz="0" w:space="0" w:color="auto"/>
        <w:left w:val="none" w:sz="0" w:space="0" w:color="auto"/>
        <w:bottom w:val="none" w:sz="0" w:space="0" w:color="auto"/>
        <w:right w:val="none" w:sz="0" w:space="0" w:color="auto"/>
      </w:divBdr>
    </w:div>
    <w:div w:id="855003386">
      <w:bodyDiv w:val="1"/>
      <w:marLeft w:val="0"/>
      <w:marRight w:val="0"/>
      <w:marTop w:val="0"/>
      <w:marBottom w:val="0"/>
      <w:divBdr>
        <w:top w:val="none" w:sz="0" w:space="0" w:color="auto"/>
        <w:left w:val="none" w:sz="0" w:space="0" w:color="auto"/>
        <w:bottom w:val="none" w:sz="0" w:space="0" w:color="auto"/>
        <w:right w:val="none" w:sz="0" w:space="0" w:color="auto"/>
      </w:divBdr>
    </w:div>
    <w:div w:id="937522144">
      <w:bodyDiv w:val="1"/>
      <w:marLeft w:val="0"/>
      <w:marRight w:val="0"/>
      <w:marTop w:val="0"/>
      <w:marBottom w:val="0"/>
      <w:divBdr>
        <w:top w:val="none" w:sz="0" w:space="0" w:color="auto"/>
        <w:left w:val="none" w:sz="0" w:space="0" w:color="auto"/>
        <w:bottom w:val="none" w:sz="0" w:space="0" w:color="auto"/>
        <w:right w:val="none" w:sz="0" w:space="0" w:color="auto"/>
      </w:divBdr>
    </w:div>
    <w:div w:id="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628587728">
          <w:marLeft w:val="0"/>
          <w:marRight w:val="0"/>
          <w:marTop w:val="0"/>
          <w:marBottom w:val="0"/>
          <w:divBdr>
            <w:top w:val="none" w:sz="0" w:space="0" w:color="auto"/>
            <w:left w:val="none" w:sz="0" w:space="0" w:color="auto"/>
            <w:bottom w:val="none" w:sz="0" w:space="0" w:color="auto"/>
            <w:right w:val="none" w:sz="0" w:space="0" w:color="auto"/>
          </w:divBdr>
        </w:div>
        <w:div w:id="770585166">
          <w:marLeft w:val="0"/>
          <w:marRight w:val="0"/>
          <w:marTop w:val="0"/>
          <w:marBottom w:val="0"/>
          <w:divBdr>
            <w:top w:val="none" w:sz="0" w:space="0" w:color="auto"/>
            <w:left w:val="none" w:sz="0" w:space="0" w:color="auto"/>
            <w:bottom w:val="none" w:sz="0" w:space="0" w:color="auto"/>
            <w:right w:val="none" w:sz="0" w:space="0" w:color="auto"/>
          </w:divBdr>
        </w:div>
        <w:div w:id="1586106671">
          <w:marLeft w:val="0"/>
          <w:marRight w:val="0"/>
          <w:marTop w:val="0"/>
          <w:marBottom w:val="0"/>
          <w:divBdr>
            <w:top w:val="none" w:sz="0" w:space="0" w:color="auto"/>
            <w:left w:val="none" w:sz="0" w:space="0" w:color="auto"/>
            <w:bottom w:val="none" w:sz="0" w:space="0" w:color="auto"/>
            <w:right w:val="none" w:sz="0" w:space="0" w:color="auto"/>
          </w:divBdr>
        </w:div>
        <w:div w:id="1927228587">
          <w:marLeft w:val="0"/>
          <w:marRight w:val="0"/>
          <w:marTop w:val="0"/>
          <w:marBottom w:val="0"/>
          <w:divBdr>
            <w:top w:val="none" w:sz="0" w:space="0" w:color="auto"/>
            <w:left w:val="none" w:sz="0" w:space="0" w:color="auto"/>
            <w:bottom w:val="none" w:sz="0" w:space="0" w:color="auto"/>
            <w:right w:val="none" w:sz="0" w:space="0" w:color="auto"/>
          </w:divBdr>
        </w:div>
        <w:div w:id="1929077903">
          <w:marLeft w:val="0"/>
          <w:marRight w:val="0"/>
          <w:marTop w:val="0"/>
          <w:marBottom w:val="0"/>
          <w:divBdr>
            <w:top w:val="none" w:sz="0" w:space="0" w:color="auto"/>
            <w:left w:val="none" w:sz="0" w:space="0" w:color="auto"/>
            <w:bottom w:val="none" w:sz="0" w:space="0" w:color="auto"/>
            <w:right w:val="none" w:sz="0" w:space="0" w:color="auto"/>
          </w:divBdr>
        </w:div>
        <w:div w:id="2010012585">
          <w:marLeft w:val="0"/>
          <w:marRight w:val="0"/>
          <w:marTop w:val="0"/>
          <w:marBottom w:val="0"/>
          <w:divBdr>
            <w:top w:val="none" w:sz="0" w:space="0" w:color="auto"/>
            <w:left w:val="none" w:sz="0" w:space="0" w:color="auto"/>
            <w:bottom w:val="none" w:sz="0" w:space="0" w:color="auto"/>
            <w:right w:val="none" w:sz="0" w:space="0" w:color="auto"/>
          </w:divBdr>
        </w:div>
      </w:divsChild>
    </w:div>
    <w:div w:id="989943267">
      <w:bodyDiv w:val="1"/>
      <w:marLeft w:val="0"/>
      <w:marRight w:val="0"/>
      <w:marTop w:val="0"/>
      <w:marBottom w:val="0"/>
      <w:divBdr>
        <w:top w:val="none" w:sz="0" w:space="0" w:color="auto"/>
        <w:left w:val="none" w:sz="0" w:space="0" w:color="auto"/>
        <w:bottom w:val="none" w:sz="0" w:space="0" w:color="auto"/>
        <w:right w:val="none" w:sz="0" w:space="0" w:color="auto"/>
      </w:divBdr>
    </w:div>
    <w:div w:id="1018965009">
      <w:bodyDiv w:val="1"/>
      <w:marLeft w:val="0"/>
      <w:marRight w:val="0"/>
      <w:marTop w:val="0"/>
      <w:marBottom w:val="0"/>
      <w:divBdr>
        <w:top w:val="none" w:sz="0" w:space="0" w:color="auto"/>
        <w:left w:val="none" w:sz="0" w:space="0" w:color="auto"/>
        <w:bottom w:val="none" w:sz="0" w:space="0" w:color="auto"/>
        <w:right w:val="none" w:sz="0" w:space="0" w:color="auto"/>
      </w:divBdr>
    </w:div>
    <w:div w:id="1039863675">
      <w:bodyDiv w:val="1"/>
      <w:marLeft w:val="0"/>
      <w:marRight w:val="0"/>
      <w:marTop w:val="0"/>
      <w:marBottom w:val="0"/>
      <w:divBdr>
        <w:top w:val="none" w:sz="0" w:space="0" w:color="auto"/>
        <w:left w:val="none" w:sz="0" w:space="0" w:color="auto"/>
        <w:bottom w:val="none" w:sz="0" w:space="0" w:color="auto"/>
        <w:right w:val="none" w:sz="0" w:space="0" w:color="auto"/>
      </w:divBdr>
    </w:div>
    <w:div w:id="1063404185">
      <w:bodyDiv w:val="1"/>
      <w:marLeft w:val="0"/>
      <w:marRight w:val="0"/>
      <w:marTop w:val="0"/>
      <w:marBottom w:val="0"/>
      <w:divBdr>
        <w:top w:val="none" w:sz="0" w:space="0" w:color="auto"/>
        <w:left w:val="none" w:sz="0" w:space="0" w:color="auto"/>
        <w:bottom w:val="none" w:sz="0" w:space="0" w:color="auto"/>
        <w:right w:val="none" w:sz="0" w:space="0" w:color="auto"/>
      </w:divBdr>
    </w:div>
    <w:div w:id="1143698151">
      <w:bodyDiv w:val="1"/>
      <w:marLeft w:val="0"/>
      <w:marRight w:val="0"/>
      <w:marTop w:val="0"/>
      <w:marBottom w:val="0"/>
      <w:divBdr>
        <w:top w:val="none" w:sz="0" w:space="0" w:color="auto"/>
        <w:left w:val="none" w:sz="0" w:space="0" w:color="auto"/>
        <w:bottom w:val="none" w:sz="0" w:space="0" w:color="auto"/>
        <w:right w:val="none" w:sz="0" w:space="0" w:color="auto"/>
      </w:divBdr>
    </w:div>
    <w:div w:id="1244530065">
      <w:bodyDiv w:val="1"/>
      <w:marLeft w:val="0"/>
      <w:marRight w:val="0"/>
      <w:marTop w:val="0"/>
      <w:marBottom w:val="0"/>
      <w:divBdr>
        <w:top w:val="none" w:sz="0" w:space="0" w:color="auto"/>
        <w:left w:val="none" w:sz="0" w:space="0" w:color="auto"/>
        <w:bottom w:val="none" w:sz="0" w:space="0" w:color="auto"/>
        <w:right w:val="none" w:sz="0" w:space="0" w:color="auto"/>
      </w:divBdr>
    </w:div>
    <w:div w:id="1265915243">
      <w:bodyDiv w:val="1"/>
      <w:marLeft w:val="0"/>
      <w:marRight w:val="0"/>
      <w:marTop w:val="0"/>
      <w:marBottom w:val="0"/>
      <w:divBdr>
        <w:top w:val="none" w:sz="0" w:space="0" w:color="auto"/>
        <w:left w:val="none" w:sz="0" w:space="0" w:color="auto"/>
        <w:bottom w:val="none" w:sz="0" w:space="0" w:color="auto"/>
        <w:right w:val="none" w:sz="0" w:space="0" w:color="auto"/>
      </w:divBdr>
    </w:div>
    <w:div w:id="1269003131">
      <w:bodyDiv w:val="1"/>
      <w:marLeft w:val="0"/>
      <w:marRight w:val="0"/>
      <w:marTop w:val="0"/>
      <w:marBottom w:val="0"/>
      <w:divBdr>
        <w:top w:val="none" w:sz="0" w:space="0" w:color="auto"/>
        <w:left w:val="none" w:sz="0" w:space="0" w:color="auto"/>
        <w:bottom w:val="none" w:sz="0" w:space="0" w:color="auto"/>
        <w:right w:val="none" w:sz="0" w:space="0" w:color="auto"/>
      </w:divBdr>
      <w:divsChild>
        <w:div w:id="1991054529">
          <w:marLeft w:val="0"/>
          <w:marRight w:val="0"/>
          <w:marTop w:val="34"/>
          <w:marBottom w:val="34"/>
          <w:divBdr>
            <w:top w:val="none" w:sz="0" w:space="0" w:color="auto"/>
            <w:left w:val="none" w:sz="0" w:space="0" w:color="auto"/>
            <w:bottom w:val="none" w:sz="0" w:space="0" w:color="auto"/>
            <w:right w:val="none" w:sz="0" w:space="0" w:color="auto"/>
          </w:divBdr>
        </w:div>
      </w:divsChild>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540430662">
      <w:bodyDiv w:val="1"/>
      <w:marLeft w:val="0"/>
      <w:marRight w:val="0"/>
      <w:marTop w:val="0"/>
      <w:marBottom w:val="0"/>
      <w:divBdr>
        <w:top w:val="none" w:sz="0" w:space="0" w:color="auto"/>
        <w:left w:val="none" w:sz="0" w:space="0" w:color="auto"/>
        <w:bottom w:val="none" w:sz="0" w:space="0" w:color="auto"/>
        <w:right w:val="none" w:sz="0" w:space="0" w:color="auto"/>
      </w:divBdr>
    </w:div>
    <w:div w:id="1696882235">
      <w:bodyDiv w:val="1"/>
      <w:marLeft w:val="0"/>
      <w:marRight w:val="0"/>
      <w:marTop w:val="0"/>
      <w:marBottom w:val="0"/>
      <w:divBdr>
        <w:top w:val="none" w:sz="0" w:space="0" w:color="auto"/>
        <w:left w:val="none" w:sz="0" w:space="0" w:color="auto"/>
        <w:bottom w:val="none" w:sz="0" w:space="0" w:color="auto"/>
        <w:right w:val="none" w:sz="0" w:space="0" w:color="auto"/>
      </w:divBdr>
      <w:divsChild>
        <w:div w:id="512644535">
          <w:marLeft w:val="0"/>
          <w:marRight w:val="0"/>
          <w:marTop w:val="0"/>
          <w:marBottom w:val="0"/>
          <w:divBdr>
            <w:top w:val="none" w:sz="0" w:space="0" w:color="auto"/>
            <w:left w:val="none" w:sz="0" w:space="0" w:color="auto"/>
            <w:bottom w:val="none" w:sz="0" w:space="0" w:color="auto"/>
            <w:right w:val="none" w:sz="0" w:space="0" w:color="auto"/>
          </w:divBdr>
          <w:divsChild>
            <w:div w:id="1398672979">
              <w:marLeft w:val="0"/>
              <w:marRight w:val="0"/>
              <w:marTop w:val="0"/>
              <w:marBottom w:val="0"/>
              <w:divBdr>
                <w:top w:val="none" w:sz="0" w:space="0" w:color="auto"/>
                <w:left w:val="none" w:sz="0" w:space="0" w:color="auto"/>
                <w:bottom w:val="none" w:sz="0" w:space="0" w:color="auto"/>
                <w:right w:val="none" w:sz="0" w:space="0" w:color="auto"/>
              </w:divBdr>
              <w:divsChild>
                <w:div w:id="339507841">
                  <w:marLeft w:val="0"/>
                  <w:marRight w:val="0"/>
                  <w:marTop w:val="0"/>
                  <w:marBottom w:val="0"/>
                  <w:divBdr>
                    <w:top w:val="none" w:sz="0" w:space="0" w:color="auto"/>
                    <w:left w:val="none" w:sz="0" w:space="0" w:color="auto"/>
                    <w:bottom w:val="none" w:sz="0" w:space="0" w:color="auto"/>
                    <w:right w:val="none" w:sz="0" w:space="0" w:color="auto"/>
                  </w:divBdr>
                  <w:divsChild>
                    <w:div w:id="3191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3937">
          <w:marLeft w:val="0"/>
          <w:marRight w:val="0"/>
          <w:marTop w:val="0"/>
          <w:marBottom w:val="0"/>
          <w:divBdr>
            <w:top w:val="none" w:sz="0" w:space="0" w:color="auto"/>
            <w:left w:val="none" w:sz="0" w:space="0" w:color="auto"/>
            <w:bottom w:val="none" w:sz="0" w:space="0" w:color="auto"/>
            <w:right w:val="none" w:sz="0" w:space="0" w:color="auto"/>
          </w:divBdr>
          <w:divsChild>
            <w:div w:id="797915835">
              <w:marLeft w:val="0"/>
              <w:marRight w:val="0"/>
              <w:marTop w:val="0"/>
              <w:marBottom w:val="0"/>
              <w:divBdr>
                <w:top w:val="none" w:sz="0" w:space="0" w:color="auto"/>
                <w:left w:val="none" w:sz="0" w:space="0" w:color="auto"/>
                <w:bottom w:val="none" w:sz="0" w:space="0" w:color="auto"/>
                <w:right w:val="none" w:sz="0" w:space="0" w:color="auto"/>
              </w:divBdr>
              <w:divsChild>
                <w:div w:id="16728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151">
      <w:bodyDiv w:val="1"/>
      <w:marLeft w:val="0"/>
      <w:marRight w:val="0"/>
      <w:marTop w:val="0"/>
      <w:marBottom w:val="0"/>
      <w:divBdr>
        <w:top w:val="none" w:sz="0" w:space="0" w:color="auto"/>
        <w:left w:val="none" w:sz="0" w:space="0" w:color="auto"/>
        <w:bottom w:val="none" w:sz="0" w:space="0" w:color="auto"/>
        <w:right w:val="none" w:sz="0" w:space="0" w:color="auto"/>
      </w:divBdr>
      <w:divsChild>
        <w:div w:id="467744701">
          <w:marLeft w:val="0"/>
          <w:marRight w:val="0"/>
          <w:marTop w:val="34"/>
          <w:marBottom w:val="34"/>
          <w:divBdr>
            <w:top w:val="none" w:sz="0" w:space="0" w:color="auto"/>
            <w:left w:val="none" w:sz="0" w:space="0" w:color="auto"/>
            <w:bottom w:val="none" w:sz="0" w:space="0" w:color="auto"/>
            <w:right w:val="none" w:sz="0" w:space="0" w:color="auto"/>
          </w:divBdr>
        </w:div>
      </w:divsChild>
    </w:div>
    <w:div w:id="1751341921">
      <w:bodyDiv w:val="1"/>
      <w:marLeft w:val="0"/>
      <w:marRight w:val="0"/>
      <w:marTop w:val="0"/>
      <w:marBottom w:val="0"/>
      <w:divBdr>
        <w:top w:val="none" w:sz="0" w:space="0" w:color="auto"/>
        <w:left w:val="none" w:sz="0" w:space="0" w:color="auto"/>
        <w:bottom w:val="none" w:sz="0" w:space="0" w:color="auto"/>
        <w:right w:val="none" w:sz="0" w:space="0" w:color="auto"/>
      </w:divBdr>
      <w:divsChild>
        <w:div w:id="939263044">
          <w:marLeft w:val="0"/>
          <w:marRight w:val="0"/>
          <w:marTop w:val="0"/>
          <w:marBottom w:val="166"/>
          <w:divBdr>
            <w:top w:val="none" w:sz="0" w:space="0" w:color="auto"/>
            <w:left w:val="none" w:sz="0" w:space="0" w:color="auto"/>
            <w:bottom w:val="none" w:sz="0" w:space="0" w:color="auto"/>
            <w:right w:val="none" w:sz="0" w:space="0" w:color="auto"/>
          </w:divBdr>
          <w:divsChild>
            <w:div w:id="220480685">
              <w:marLeft w:val="0"/>
              <w:marRight w:val="0"/>
              <w:marTop w:val="0"/>
              <w:marBottom w:val="0"/>
              <w:divBdr>
                <w:top w:val="none" w:sz="0" w:space="0" w:color="auto"/>
                <w:left w:val="none" w:sz="0" w:space="0" w:color="auto"/>
                <w:bottom w:val="none" w:sz="0" w:space="0" w:color="auto"/>
                <w:right w:val="none" w:sz="0" w:space="0" w:color="auto"/>
              </w:divBdr>
              <w:divsChild>
                <w:div w:id="1987396927">
                  <w:marLeft w:val="0"/>
                  <w:marRight w:val="0"/>
                  <w:marTop w:val="0"/>
                  <w:marBottom w:val="0"/>
                  <w:divBdr>
                    <w:top w:val="none" w:sz="0" w:space="0" w:color="auto"/>
                    <w:left w:val="none" w:sz="0" w:space="0" w:color="auto"/>
                    <w:bottom w:val="none" w:sz="0" w:space="0" w:color="auto"/>
                    <w:right w:val="none" w:sz="0" w:space="0" w:color="auto"/>
                  </w:divBdr>
                  <w:divsChild>
                    <w:div w:id="180319810">
                      <w:marLeft w:val="0"/>
                      <w:marRight w:val="0"/>
                      <w:marTop w:val="0"/>
                      <w:marBottom w:val="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470">
              <w:marLeft w:val="0"/>
              <w:marRight w:val="0"/>
              <w:marTop w:val="0"/>
              <w:marBottom w:val="0"/>
              <w:divBdr>
                <w:top w:val="none" w:sz="0" w:space="0" w:color="auto"/>
                <w:left w:val="none" w:sz="0" w:space="0" w:color="auto"/>
                <w:bottom w:val="none" w:sz="0" w:space="0" w:color="auto"/>
                <w:right w:val="none" w:sz="0" w:space="0" w:color="auto"/>
              </w:divBdr>
              <w:divsChild>
                <w:div w:id="443883282">
                  <w:marLeft w:val="0"/>
                  <w:marRight w:val="0"/>
                  <w:marTop w:val="0"/>
                  <w:marBottom w:val="0"/>
                  <w:divBdr>
                    <w:top w:val="none" w:sz="0" w:space="0" w:color="auto"/>
                    <w:left w:val="none" w:sz="0" w:space="0" w:color="auto"/>
                    <w:bottom w:val="none" w:sz="0" w:space="0" w:color="auto"/>
                    <w:right w:val="none" w:sz="0" w:space="0" w:color="auto"/>
                  </w:divBdr>
                </w:div>
                <w:div w:id="11776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904">
          <w:marLeft w:val="0"/>
          <w:marRight w:val="0"/>
          <w:marTop w:val="166"/>
          <w:marBottom w:val="166"/>
          <w:divBdr>
            <w:top w:val="none" w:sz="0" w:space="0" w:color="auto"/>
            <w:left w:val="none" w:sz="0" w:space="0" w:color="auto"/>
            <w:bottom w:val="none" w:sz="0" w:space="0" w:color="auto"/>
            <w:right w:val="none" w:sz="0" w:space="0" w:color="auto"/>
          </w:divBdr>
          <w:divsChild>
            <w:div w:id="9561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29">
      <w:bodyDiv w:val="1"/>
      <w:marLeft w:val="0"/>
      <w:marRight w:val="0"/>
      <w:marTop w:val="0"/>
      <w:marBottom w:val="0"/>
      <w:divBdr>
        <w:top w:val="none" w:sz="0" w:space="0" w:color="auto"/>
        <w:left w:val="none" w:sz="0" w:space="0" w:color="auto"/>
        <w:bottom w:val="none" w:sz="0" w:space="0" w:color="auto"/>
        <w:right w:val="none" w:sz="0" w:space="0" w:color="auto"/>
      </w:divBdr>
      <w:divsChild>
        <w:div w:id="1344550925">
          <w:marLeft w:val="0"/>
          <w:marRight w:val="0"/>
          <w:marTop w:val="120"/>
          <w:marBottom w:val="360"/>
          <w:divBdr>
            <w:top w:val="none" w:sz="0" w:space="0" w:color="auto"/>
            <w:left w:val="none" w:sz="0" w:space="0" w:color="auto"/>
            <w:bottom w:val="none" w:sz="0" w:space="0" w:color="auto"/>
            <w:right w:val="none" w:sz="0" w:space="0" w:color="auto"/>
          </w:divBdr>
          <w:divsChild>
            <w:div w:id="2641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0636">
      <w:bodyDiv w:val="1"/>
      <w:marLeft w:val="0"/>
      <w:marRight w:val="0"/>
      <w:marTop w:val="0"/>
      <w:marBottom w:val="0"/>
      <w:divBdr>
        <w:top w:val="none" w:sz="0" w:space="0" w:color="auto"/>
        <w:left w:val="none" w:sz="0" w:space="0" w:color="auto"/>
        <w:bottom w:val="none" w:sz="0" w:space="0" w:color="auto"/>
        <w:right w:val="none" w:sz="0" w:space="0" w:color="auto"/>
      </w:divBdr>
    </w:div>
    <w:div w:id="1885217211">
      <w:bodyDiv w:val="1"/>
      <w:marLeft w:val="0"/>
      <w:marRight w:val="0"/>
      <w:marTop w:val="0"/>
      <w:marBottom w:val="0"/>
      <w:divBdr>
        <w:top w:val="none" w:sz="0" w:space="0" w:color="auto"/>
        <w:left w:val="none" w:sz="0" w:space="0" w:color="auto"/>
        <w:bottom w:val="none" w:sz="0" w:space="0" w:color="auto"/>
        <w:right w:val="none" w:sz="0" w:space="0" w:color="auto"/>
      </w:divBdr>
    </w:div>
    <w:div w:id="1899658233">
      <w:bodyDiv w:val="1"/>
      <w:marLeft w:val="0"/>
      <w:marRight w:val="0"/>
      <w:marTop w:val="0"/>
      <w:marBottom w:val="0"/>
      <w:divBdr>
        <w:top w:val="none" w:sz="0" w:space="0" w:color="auto"/>
        <w:left w:val="none" w:sz="0" w:space="0" w:color="auto"/>
        <w:bottom w:val="none" w:sz="0" w:space="0" w:color="auto"/>
        <w:right w:val="none" w:sz="0" w:space="0" w:color="auto"/>
      </w:divBdr>
      <w:divsChild>
        <w:div w:id="789057920">
          <w:marLeft w:val="0"/>
          <w:marRight w:val="0"/>
          <w:marTop w:val="34"/>
          <w:marBottom w:val="34"/>
          <w:divBdr>
            <w:top w:val="none" w:sz="0" w:space="0" w:color="auto"/>
            <w:left w:val="none" w:sz="0" w:space="0" w:color="auto"/>
            <w:bottom w:val="none" w:sz="0" w:space="0" w:color="auto"/>
            <w:right w:val="none" w:sz="0" w:space="0" w:color="auto"/>
          </w:divBdr>
        </w:div>
      </w:divsChild>
    </w:div>
    <w:div w:id="1927760755">
      <w:bodyDiv w:val="1"/>
      <w:marLeft w:val="0"/>
      <w:marRight w:val="0"/>
      <w:marTop w:val="0"/>
      <w:marBottom w:val="0"/>
      <w:divBdr>
        <w:top w:val="none" w:sz="0" w:space="0" w:color="auto"/>
        <w:left w:val="none" w:sz="0" w:space="0" w:color="auto"/>
        <w:bottom w:val="none" w:sz="0" w:space="0" w:color="auto"/>
        <w:right w:val="none" w:sz="0" w:space="0" w:color="auto"/>
      </w:divBdr>
    </w:div>
    <w:div w:id="1935163579">
      <w:bodyDiv w:val="1"/>
      <w:marLeft w:val="0"/>
      <w:marRight w:val="0"/>
      <w:marTop w:val="0"/>
      <w:marBottom w:val="0"/>
      <w:divBdr>
        <w:top w:val="none" w:sz="0" w:space="0" w:color="auto"/>
        <w:left w:val="none" w:sz="0" w:space="0" w:color="auto"/>
        <w:bottom w:val="none" w:sz="0" w:space="0" w:color="auto"/>
        <w:right w:val="none" w:sz="0" w:space="0" w:color="auto"/>
      </w:divBdr>
    </w:div>
    <w:div w:id="2038309267">
      <w:bodyDiv w:val="1"/>
      <w:marLeft w:val="0"/>
      <w:marRight w:val="0"/>
      <w:marTop w:val="0"/>
      <w:marBottom w:val="0"/>
      <w:divBdr>
        <w:top w:val="none" w:sz="0" w:space="0" w:color="auto"/>
        <w:left w:val="none" w:sz="0" w:space="0" w:color="auto"/>
        <w:bottom w:val="none" w:sz="0" w:space="0" w:color="auto"/>
        <w:right w:val="none" w:sz="0" w:space="0" w:color="auto"/>
      </w:divBdr>
    </w:div>
    <w:div w:id="2054381360">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0"/>
          <w:marBottom w:val="0"/>
          <w:divBdr>
            <w:top w:val="none" w:sz="0" w:space="0" w:color="auto"/>
            <w:left w:val="none" w:sz="0" w:space="0" w:color="auto"/>
            <w:bottom w:val="none" w:sz="0" w:space="0" w:color="auto"/>
            <w:right w:val="none" w:sz="0" w:space="0" w:color="auto"/>
          </w:divBdr>
        </w:div>
        <w:div w:id="371269560">
          <w:marLeft w:val="0"/>
          <w:marRight w:val="0"/>
          <w:marTop w:val="0"/>
          <w:marBottom w:val="0"/>
          <w:divBdr>
            <w:top w:val="none" w:sz="0" w:space="0" w:color="auto"/>
            <w:left w:val="none" w:sz="0" w:space="0" w:color="auto"/>
            <w:bottom w:val="none" w:sz="0" w:space="0" w:color="auto"/>
            <w:right w:val="none" w:sz="0" w:space="0" w:color="auto"/>
          </w:divBdr>
        </w:div>
        <w:div w:id="655114736">
          <w:marLeft w:val="0"/>
          <w:marRight w:val="0"/>
          <w:marTop w:val="0"/>
          <w:marBottom w:val="0"/>
          <w:divBdr>
            <w:top w:val="none" w:sz="0" w:space="0" w:color="auto"/>
            <w:left w:val="none" w:sz="0" w:space="0" w:color="auto"/>
            <w:bottom w:val="none" w:sz="0" w:space="0" w:color="auto"/>
            <w:right w:val="none" w:sz="0" w:space="0" w:color="auto"/>
          </w:divBdr>
        </w:div>
        <w:div w:id="664819387">
          <w:marLeft w:val="0"/>
          <w:marRight w:val="0"/>
          <w:marTop w:val="0"/>
          <w:marBottom w:val="0"/>
          <w:divBdr>
            <w:top w:val="none" w:sz="0" w:space="0" w:color="auto"/>
            <w:left w:val="none" w:sz="0" w:space="0" w:color="auto"/>
            <w:bottom w:val="none" w:sz="0" w:space="0" w:color="auto"/>
            <w:right w:val="none" w:sz="0" w:space="0" w:color="auto"/>
          </w:divBdr>
        </w:div>
        <w:div w:id="713579526">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043795746">
          <w:marLeft w:val="0"/>
          <w:marRight w:val="0"/>
          <w:marTop w:val="0"/>
          <w:marBottom w:val="0"/>
          <w:divBdr>
            <w:top w:val="none" w:sz="0" w:space="0" w:color="auto"/>
            <w:left w:val="none" w:sz="0" w:space="0" w:color="auto"/>
            <w:bottom w:val="none" w:sz="0" w:space="0" w:color="auto"/>
            <w:right w:val="none" w:sz="0" w:space="0" w:color="auto"/>
          </w:divBdr>
        </w:div>
        <w:div w:id="1346400847">
          <w:marLeft w:val="0"/>
          <w:marRight w:val="0"/>
          <w:marTop w:val="0"/>
          <w:marBottom w:val="0"/>
          <w:divBdr>
            <w:top w:val="none" w:sz="0" w:space="0" w:color="auto"/>
            <w:left w:val="none" w:sz="0" w:space="0" w:color="auto"/>
            <w:bottom w:val="none" w:sz="0" w:space="0" w:color="auto"/>
            <w:right w:val="none" w:sz="0" w:space="0" w:color="auto"/>
          </w:divBdr>
        </w:div>
        <w:div w:id="1487285486">
          <w:marLeft w:val="0"/>
          <w:marRight w:val="0"/>
          <w:marTop w:val="0"/>
          <w:marBottom w:val="0"/>
          <w:divBdr>
            <w:top w:val="none" w:sz="0" w:space="0" w:color="auto"/>
            <w:left w:val="none" w:sz="0" w:space="0" w:color="auto"/>
            <w:bottom w:val="none" w:sz="0" w:space="0" w:color="auto"/>
            <w:right w:val="none" w:sz="0" w:space="0" w:color="auto"/>
          </w:divBdr>
        </w:div>
        <w:div w:id="1691369063">
          <w:marLeft w:val="0"/>
          <w:marRight w:val="0"/>
          <w:marTop w:val="0"/>
          <w:marBottom w:val="0"/>
          <w:divBdr>
            <w:top w:val="none" w:sz="0" w:space="0" w:color="auto"/>
            <w:left w:val="none" w:sz="0" w:space="0" w:color="auto"/>
            <w:bottom w:val="none" w:sz="0" w:space="0" w:color="auto"/>
            <w:right w:val="none" w:sz="0" w:space="0" w:color="auto"/>
          </w:divBdr>
        </w:div>
        <w:div w:id="1847163033">
          <w:marLeft w:val="0"/>
          <w:marRight w:val="0"/>
          <w:marTop w:val="0"/>
          <w:marBottom w:val="0"/>
          <w:divBdr>
            <w:top w:val="none" w:sz="0" w:space="0" w:color="auto"/>
            <w:left w:val="none" w:sz="0" w:space="0" w:color="auto"/>
            <w:bottom w:val="none" w:sz="0" w:space="0" w:color="auto"/>
            <w:right w:val="none" w:sz="0" w:space="0" w:color="auto"/>
          </w:divBdr>
        </w:div>
        <w:div w:id="1952085694">
          <w:marLeft w:val="0"/>
          <w:marRight w:val="0"/>
          <w:marTop w:val="0"/>
          <w:marBottom w:val="0"/>
          <w:divBdr>
            <w:top w:val="none" w:sz="0" w:space="0" w:color="auto"/>
            <w:left w:val="none" w:sz="0" w:space="0" w:color="auto"/>
            <w:bottom w:val="none" w:sz="0" w:space="0" w:color="auto"/>
            <w:right w:val="none" w:sz="0" w:space="0" w:color="auto"/>
          </w:divBdr>
        </w:div>
      </w:divsChild>
    </w:div>
    <w:div w:id="2097633700">
      <w:bodyDiv w:val="1"/>
      <w:marLeft w:val="0"/>
      <w:marRight w:val="0"/>
      <w:marTop w:val="0"/>
      <w:marBottom w:val="0"/>
      <w:divBdr>
        <w:top w:val="none" w:sz="0" w:space="0" w:color="auto"/>
        <w:left w:val="none" w:sz="0" w:space="0" w:color="auto"/>
        <w:bottom w:val="none" w:sz="0" w:space="0" w:color="auto"/>
        <w:right w:val="none" w:sz="0" w:space="0" w:color="auto"/>
      </w:divBdr>
    </w:div>
    <w:div w:id="2127036672">
      <w:bodyDiv w:val="1"/>
      <w:marLeft w:val="0"/>
      <w:marRight w:val="0"/>
      <w:marTop w:val="0"/>
      <w:marBottom w:val="0"/>
      <w:divBdr>
        <w:top w:val="none" w:sz="0" w:space="0" w:color="auto"/>
        <w:left w:val="none" w:sz="0" w:space="0" w:color="auto"/>
        <w:bottom w:val="none" w:sz="0" w:space="0" w:color="auto"/>
        <w:right w:val="none" w:sz="0" w:space="0" w:color="auto"/>
      </w:divBdr>
    </w:div>
    <w:div w:id="21296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pontefract@sheffiel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healthinfo/statistics/mortality_rawdata/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populationandmigration/populationestimates/bulletins/annualmidyearpopulationestimates/mid2019estim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pulation.un.org/wpp/Download/Standard/Popul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2C06-EBFD-4935-9824-9F41D9C6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3475</Words>
  <Characters>19809</Characters>
  <Application>Microsoft Office Word</Application>
  <DocSecurity>0</DocSecurity>
  <Lines>165</Lines>
  <Paragraphs>46</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Закроева</dc:creator>
  <cp:keywords/>
  <dc:description/>
  <cp:lastModifiedBy>Karen Drake</cp:lastModifiedBy>
  <cp:revision>2</cp:revision>
  <dcterms:created xsi:type="dcterms:W3CDTF">2021-02-23T14:21:00Z</dcterms:created>
  <dcterms:modified xsi:type="dcterms:W3CDTF">2021-02-23T14:21:00Z</dcterms:modified>
</cp:coreProperties>
</file>