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512E2" w14:textId="16827BC5" w:rsidR="001A733D" w:rsidRPr="00CE0DE7" w:rsidRDefault="006820CC" w:rsidP="00411220">
      <w:pPr>
        <w:adjustRightInd w:val="0"/>
        <w:snapToGrid w:val="0"/>
        <w:spacing w:line="360" w:lineRule="auto"/>
        <w:jc w:val="center"/>
        <w:rPr>
          <w:sz w:val="36"/>
          <w:szCs w:val="36"/>
        </w:rPr>
      </w:pPr>
      <w:r w:rsidRPr="00CE0DE7">
        <w:rPr>
          <w:sz w:val="36"/>
          <w:szCs w:val="36"/>
        </w:rPr>
        <w:fldChar w:fldCharType="begin"/>
      </w:r>
      <w:r w:rsidRPr="00CE0DE7">
        <w:rPr>
          <w:sz w:val="36"/>
          <w:szCs w:val="36"/>
        </w:rPr>
        <w:instrText xml:space="preserve"> MACROBUTTON MTEditEquationSection2 </w:instrText>
      </w:r>
      <w:r w:rsidRPr="00CE0DE7">
        <w:rPr>
          <w:rStyle w:val="MTEquationSection"/>
        </w:rPr>
        <w:instrText>Equation Chapter 1 Section 3</w:instrText>
      </w:r>
      <w:r w:rsidRPr="00CE0DE7">
        <w:rPr>
          <w:sz w:val="36"/>
          <w:szCs w:val="36"/>
        </w:rPr>
        <w:fldChar w:fldCharType="begin"/>
      </w:r>
      <w:r w:rsidRPr="00CE0DE7">
        <w:rPr>
          <w:sz w:val="36"/>
          <w:szCs w:val="36"/>
        </w:rPr>
        <w:instrText xml:space="preserve"> SEQ MTEqn \r \h \* MERGEFORMAT </w:instrText>
      </w:r>
      <w:r w:rsidRPr="00CE0DE7">
        <w:rPr>
          <w:sz w:val="36"/>
          <w:szCs w:val="36"/>
        </w:rPr>
        <w:fldChar w:fldCharType="end"/>
      </w:r>
      <w:r w:rsidRPr="00CE0DE7">
        <w:rPr>
          <w:sz w:val="36"/>
          <w:szCs w:val="36"/>
        </w:rPr>
        <w:fldChar w:fldCharType="begin"/>
      </w:r>
      <w:r w:rsidRPr="00CE0DE7">
        <w:rPr>
          <w:sz w:val="36"/>
          <w:szCs w:val="36"/>
        </w:rPr>
        <w:instrText xml:space="preserve"> SEQ MTSec \r 3 \h \* MERGEFORMAT </w:instrText>
      </w:r>
      <w:r w:rsidRPr="00CE0DE7">
        <w:rPr>
          <w:sz w:val="36"/>
          <w:szCs w:val="36"/>
        </w:rPr>
        <w:fldChar w:fldCharType="end"/>
      </w:r>
      <w:r w:rsidRPr="00CE0DE7">
        <w:rPr>
          <w:sz w:val="36"/>
          <w:szCs w:val="36"/>
        </w:rPr>
        <w:fldChar w:fldCharType="begin"/>
      </w:r>
      <w:r w:rsidRPr="00CE0DE7">
        <w:rPr>
          <w:sz w:val="36"/>
          <w:szCs w:val="36"/>
        </w:rPr>
        <w:instrText xml:space="preserve"> SEQ MTChap \r 1 \h \* MERGEFORMAT </w:instrText>
      </w:r>
      <w:r w:rsidRPr="00CE0DE7">
        <w:rPr>
          <w:sz w:val="36"/>
          <w:szCs w:val="36"/>
        </w:rPr>
        <w:fldChar w:fldCharType="end"/>
      </w:r>
      <w:r w:rsidRPr="00CE0DE7">
        <w:rPr>
          <w:sz w:val="36"/>
          <w:szCs w:val="36"/>
        </w:rPr>
        <w:fldChar w:fldCharType="end"/>
      </w:r>
    </w:p>
    <w:p w14:paraId="3EC317EB" w14:textId="72D137CA" w:rsidR="005A7DC1" w:rsidRPr="00CE0DE7" w:rsidRDefault="00E36288" w:rsidP="00196F3B">
      <w:pPr>
        <w:adjustRightInd w:val="0"/>
        <w:snapToGrid w:val="0"/>
        <w:spacing w:line="360" w:lineRule="auto"/>
        <w:jc w:val="center"/>
        <w:rPr>
          <w:b/>
          <w:color w:val="000000"/>
          <w:sz w:val="20"/>
          <w:szCs w:val="20"/>
          <w:lang w:eastAsia="zh-CN"/>
        </w:rPr>
      </w:pPr>
      <w:r w:rsidRPr="00CE0DE7">
        <w:rPr>
          <w:rFonts w:hint="eastAsia"/>
          <w:b/>
          <w:sz w:val="20"/>
          <w:szCs w:val="20"/>
          <w:lang w:eastAsia="zh-CN"/>
        </w:rPr>
        <w:t>Does</w:t>
      </w:r>
      <w:r w:rsidR="005A7DC1" w:rsidRPr="00CE0DE7">
        <w:rPr>
          <w:b/>
          <w:sz w:val="20"/>
          <w:szCs w:val="20"/>
        </w:rPr>
        <w:t xml:space="preserve"> </w:t>
      </w:r>
      <w:r w:rsidRPr="00CE0DE7">
        <w:rPr>
          <w:rFonts w:hint="eastAsia"/>
          <w:b/>
          <w:sz w:val="20"/>
          <w:szCs w:val="20"/>
          <w:lang w:eastAsia="zh-CN"/>
        </w:rPr>
        <w:t>l</w:t>
      </w:r>
      <w:r w:rsidR="005A7DC1" w:rsidRPr="00CE0DE7">
        <w:rPr>
          <w:b/>
          <w:sz w:val="20"/>
          <w:szCs w:val="20"/>
        </w:rPr>
        <w:t xml:space="preserve">iquidity </w:t>
      </w:r>
      <w:r w:rsidRPr="00CE0DE7">
        <w:rPr>
          <w:rFonts w:hint="eastAsia"/>
          <w:b/>
          <w:sz w:val="20"/>
          <w:szCs w:val="20"/>
          <w:lang w:eastAsia="zh-CN"/>
        </w:rPr>
        <w:t>drive s</w:t>
      </w:r>
      <w:r w:rsidR="005A7DC1" w:rsidRPr="00CE0DE7">
        <w:rPr>
          <w:b/>
          <w:color w:val="000000"/>
          <w:sz w:val="20"/>
          <w:szCs w:val="20"/>
        </w:rPr>
        <w:t xml:space="preserve">tock </w:t>
      </w:r>
      <w:r w:rsidR="004C7E8E" w:rsidRPr="00CE0DE7">
        <w:rPr>
          <w:rFonts w:hint="eastAsia"/>
          <w:b/>
          <w:color w:val="000000"/>
          <w:sz w:val="20"/>
          <w:szCs w:val="20"/>
          <w:lang w:eastAsia="zh-CN"/>
        </w:rPr>
        <w:t xml:space="preserve">market </w:t>
      </w:r>
      <w:r w:rsidRPr="00CE0DE7">
        <w:rPr>
          <w:rFonts w:hint="eastAsia"/>
          <w:b/>
          <w:color w:val="000000"/>
          <w:sz w:val="20"/>
          <w:szCs w:val="20"/>
          <w:lang w:eastAsia="zh-CN"/>
        </w:rPr>
        <w:t>r</w:t>
      </w:r>
      <w:r w:rsidR="0065515B" w:rsidRPr="00CE0DE7">
        <w:rPr>
          <w:b/>
          <w:color w:val="000000"/>
          <w:sz w:val="20"/>
          <w:szCs w:val="20"/>
        </w:rPr>
        <w:t>eturns?</w:t>
      </w:r>
      <w:r w:rsidR="00196F3B" w:rsidRPr="00CE0DE7">
        <w:rPr>
          <w:b/>
          <w:color w:val="000000"/>
          <w:sz w:val="20"/>
          <w:szCs w:val="20"/>
          <w:lang w:eastAsia="zh-CN"/>
        </w:rPr>
        <w:t xml:space="preserve"> </w:t>
      </w:r>
      <w:r w:rsidR="00411220" w:rsidRPr="00CE0DE7">
        <w:rPr>
          <w:b/>
          <w:color w:val="000000"/>
          <w:sz w:val="20"/>
          <w:szCs w:val="20"/>
        </w:rPr>
        <w:t>T</w:t>
      </w:r>
      <w:r w:rsidR="005A7DC1" w:rsidRPr="00CE0DE7">
        <w:rPr>
          <w:b/>
          <w:color w:val="000000"/>
          <w:sz w:val="20"/>
          <w:szCs w:val="20"/>
        </w:rPr>
        <w:t xml:space="preserve">he </w:t>
      </w:r>
      <w:r w:rsidRPr="00CE0DE7">
        <w:rPr>
          <w:rFonts w:hint="eastAsia"/>
          <w:b/>
          <w:color w:val="000000"/>
          <w:sz w:val="20"/>
          <w:szCs w:val="20"/>
          <w:lang w:eastAsia="zh-CN"/>
        </w:rPr>
        <w:t>r</w:t>
      </w:r>
      <w:r w:rsidR="005A7DC1" w:rsidRPr="00CE0DE7">
        <w:rPr>
          <w:b/>
          <w:color w:val="000000"/>
          <w:sz w:val="20"/>
          <w:szCs w:val="20"/>
        </w:rPr>
        <w:t>ole of</w:t>
      </w:r>
      <w:r w:rsidR="00597C6E" w:rsidRPr="00CE0DE7">
        <w:rPr>
          <w:rFonts w:hint="eastAsia"/>
          <w:b/>
          <w:color w:val="000000"/>
          <w:sz w:val="20"/>
          <w:szCs w:val="20"/>
          <w:lang w:eastAsia="zh-CN"/>
        </w:rPr>
        <w:t xml:space="preserve"> the</w:t>
      </w:r>
      <w:r w:rsidR="005A7DC1" w:rsidRPr="00CE0DE7">
        <w:rPr>
          <w:b/>
          <w:color w:val="000000"/>
          <w:sz w:val="20"/>
          <w:szCs w:val="20"/>
        </w:rPr>
        <w:t xml:space="preserve"> </w:t>
      </w:r>
      <w:r w:rsidR="00653620" w:rsidRPr="00CE0DE7">
        <w:rPr>
          <w:rFonts w:hint="eastAsia"/>
          <w:b/>
          <w:color w:val="000000"/>
          <w:sz w:val="20"/>
          <w:szCs w:val="20"/>
          <w:lang w:eastAsia="zh-CN"/>
        </w:rPr>
        <w:t>variance risk premium</w:t>
      </w:r>
    </w:p>
    <w:p w14:paraId="43665895" w14:textId="77777777" w:rsidR="00FC6E4F" w:rsidRPr="00CE0DE7" w:rsidRDefault="00FC6E4F" w:rsidP="00DD61EB">
      <w:pPr>
        <w:adjustRightInd w:val="0"/>
        <w:snapToGrid w:val="0"/>
        <w:spacing w:line="360" w:lineRule="auto"/>
        <w:rPr>
          <w:color w:val="000000"/>
          <w:sz w:val="20"/>
          <w:szCs w:val="20"/>
        </w:rPr>
      </w:pPr>
    </w:p>
    <w:p w14:paraId="0389FAEE" w14:textId="09ACBC7A" w:rsidR="002C3DEC" w:rsidRPr="00CE0DE7" w:rsidRDefault="00196F3B" w:rsidP="00211E7C">
      <w:pPr>
        <w:adjustRightInd w:val="0"/>
        <w:snapToGrid w:val="0"/>
        <w:spacing w:line="360" w:lineRule="auto"/>
        <w:jc w:val="center"/>
        <w:rPr>
          <w:color w:val="000000"/>
          <w:sz w:val="20"/>
          <w:szCs w:val="20"/>
        </w:rPr>
      </w:pPr>
      <w:r w:rsidRPr="00CE0DE7">
        <w:rPr>
          <w:color w:val="000000"/>
          <w:sz w:val="20"/>
          <w:szCs w:val="20"/>
          <w:lang w:eastAsia="zh-CN"/>
        </w:rPr>
        <w:t>Feb</w:t>
      </w:r>
      <w:r w:rsidR="00A373FB" w:rsidRPr="00CE0DE7">
        <w:rPr>
          <w:color w:val="000000"/>
          <w:sz w:val="20"/>
          <w:szCs w:val="20"/>
          <w:lang w:eastAsia="zh-CN"/>
        </w:rPr>
        <w:t xml:space="preserve"> </w:t>
      </w:r>
      <w:r w:rsidR="00231F36" w:rsidRPr="00CE0DE7">
        <w:rPr>
          <w:color w:val="000000"/>
          <w:sz w:val="20"/>
          <w:szCs w:val="20"/>
          <w:lang w:eastAsia="zh-CN"/>
        </w:rPr>
        <w:t>20</w:t>
      </w:r>
      <w:r w:rsidR="00411005" w:rsidRPr="00CE0DE7">
        <w:rPr>
          <w:color w:val="000000"/>
          <w:sz w:val="20"/>
          <w:szCs w:val="20"/>
          <w:lang w:eastAsia="zh-CN"/>
        </w:rPr>
        <w:t>2</w:t>
      </w:r>
      <w:r w:rsidRPr="00CE0DE7">
        <w:rPr>
          <w:color w:val="000000"/>
          <w:sz w:val="20"/>
          <w:szCs w:val="20"/>
          <w:lang w:eastAsia="zh-CN"/>
        </w:rPr>
        <w:t>1</w:t>
      </w:r>
    </w:p>
    <w:p w14:paraId="434EB50A" w14:textId="77777777" w:rsidR="005A7DC1" w:rsidRPr="00CE0DE7" w:rsidRDefault="005A7DC1" w:rsidP="00DD61EB">
      <w:pPr>
        <w:adjustRightInd w:val="0"/>
        <w:snapToGrid w:val="0"/>
        <w:spacing w:line="360" w:lineRule="auto"/>
        <w:rPr>
          <w:color w:val="000000"/>
          <w:sz w:val="20"/>
          <w:szCs w:val="20"/>
        </w:rPr>
      </w:pPr>
    </w:p>
    <w:p w14:paraId="29489A1A" w14:textId="1604275C" w:rsidR="0001233F" w:rsidRPr="00CE0DE7" w:rsidRDefault="0001233F" w:rsidP="00DD61EB">
      <w:pPr>
        <w:adjustRightInd w:val="0"/>
        <w:snapToGrid w:val="0"/>
        <w:spacing w:line="360" w:lineRule="auto"/>
        <w:rPr>
          <w:color w:val="000000"/>
          <w:sz w:val="20"/>
          <w:szCs w:val="20"/>
        </w:rPr>
      </w:pPr>
    </w:p>
    <w:p w14:paraId="580154AB" w14:textId="77777777" w:rsidR="008276B8" w:rsidRPr="00CE0DE7" w:rsidRDefault="008276B8" w:rsidP="00DD61EB">
      <w:pPr>
        <w:adjustRightInd w:val="0"/>
        <w:snapToGrid w:val="0"/>
        <w:spacing w:line="360" w:lineRule="auto"/>
        <w:rPr>
          <w:color w:val="000000"/>
          <w:sz w:val="20"/>
          <w:szCs w:val="20"/>
        </w:rPr>
      </w:pPr>
    </w:p>
    <w:p w14:paraId="3D842111" w14:textId="77777777" w:rsidR="005A7DC1" w:rsidRPr="00CE0DE7" w:rsidRDefault="005A7DC1" w:rsidP="00A474DA">
      <w:pPr>
        <w:adjustRightInd w:val="0"/>
        <w:snapToGrid w:val="0"/>
        <w:jc w:val="center"/>
        <w:rPr>
          <w:b/>
          <w:color w:val="000000"/>
          <w:sz w:val="20"/>
          <w:szCs w:val="20"/>
        </w:rPr>
      </w:pPr>
      <w:r w:rsidRPr="00CE0DE7">
        <w:rPr>
          <w:b/>
          <w:color w:val="000000"/>
          <w:sz w:val="20"/>
          <w:szCs w:val="20"/>
        </w:rPr>
        <w:t>Abstract</w:t>
      </w:r>
    </w:p>
    <w:p w14:paraId="10F55A40" w14:textId="77777777" w:rsidR="005A7DC1" w:rsidRPr="00CE0DE7" w:rsidRDefault="005A7DC1" w:rsidP="00DD61EB">
      <w:pPr>
        <w:adjustRightInd w:val="0"/>
        <w:snapToGrid w:val="0"/>
        <w:rPr>
          <w:b/>
          <w:color w:val="000000"/>
          <w:sz w:val="20"/>
          <w:szCs w:val="20"/>
        </w:rPr>
      </w:pPr>
    </w:p>
    <w:p w14:paraId="11C89F48" w14:textId="775A7687" w:rsidR="009B2D08" w:rsidRPr="00CE0DE7" w:rsidRDefault="009B2D08" w:rsidP="009B2D08">
      <w:pPr>
        <w:adjustRightInd w:val="0"/>
        <w:snapToGrid w:val="0"/>
        <w:spacing w:line="360" w:lineRule="auto"/>
        <w:jc w:val="both"/>
        <w:rPr>
          <w:color w:val="000000"/>
          <w:sz w:val="20"/>
          <w:szCs w:val="20"/>
          <w:lang w:val="en-GB"/>
        </w:rPr>
      </w:pPr>
      <w:r w:rsidRPr="00CE0DE7">
        <w:rPr>
          <w:rFonts w:hint="eastAsia"/>
          <w:color w:val="000000"/>
          <w:sz w:val="20"/>
          <w:szCs w:val="20"/>
          <w:lang w:val="en-GB" w:eastAsia="zh-CN"/>
        </w:rPr>
        <w:t>In this paper, we explore the relation</w:t>
      </w:r>
      <w:r w:rsidR="006C75E2" w:rsidRPr="00CE0DE7">
        <w:rPr>
          <w:color w:val="000000"/>
          <w:sz w:val="20"/>
          <w:szCs w:val="20"/>
          <w:lang w:val="en-GB" w:eastAsia="zh-CN"/>
        </w:rPr>
        <w:t xml:space="preserve">s </w:t>
      </w:r>
      <w:r w:rsidR="00F63223" w:rsidRPr="00CE0DE7">
        <w:rPr>
          <w:rFonts w:hint="eastAsia"/>
          <w:color w:val="000000"/>
          <w:sz w:val="20"/>
          <w:szCs w:val="20"/>
          <w:lang w:val="en-GB" w:eastAsia="zh-CN"/>
        </w:rPr>
        <w:t xml:space="preserve">between </w:t>
      </w:r>
      <w:r w:rsidRPr="00CE0DE7">
        <w:rPr>
          <w:rFonts w:hint="eastAsia"/>
          <w:color w:val="000000"/>
          <w:sz w:val="20"/>
          <w:szCs w:val="20"/>
          <w:lang w:val="en-GB" w:eastAsia="zh-CN"/>
        </w:rPr>
        <w:t xml:space="preserve">liquidity, stock returns, and investor risk aversion as captured by the variance risk premium (VRP). This is motivated by theoretical </w:t>
      </w:r>
      <w:r w:rsidR="00C20A0B" w:rsidRPr="00CE0DE7">
        <w:rPr>
          <w:rFonts w:hint="eastAsia"/>
          <w:color w:val="000000"/>
          <w:sz w:val="20"/>
          <w:szCs w:val="20"/>
          <w:lang w:val="en-GB" w:eastAsia="zh-CN"/>
        </w:rPr>
        <w:t xml:space="preserve">and empirical evidence </w:t>
      </w:r>
      <w:r w:rsidRPr="00CE0DE7">
        <w:rPr>
          <w:rFonts w:hint="eastAsia"/>
          <w:color w:val="000000"/>
          <w:sz w:val="20"/>
          <w:szCs w:val="20"/>
          <w:lang w:val="en-GB" w:eastAsia="zh-CN"/>
        </w:rPr>
        <w:t xml:space="preserve">in the literature which </w:t>
      </w:r>
      <w:r w:rsidR="00C20A0B" w:rsidRPr="00CE0DE7">
        <w:rPr>
          <w:rFonts w:hint="eastAsia"/>
          <w:color w:val="000000"/>
          <w:sz w:val="20"/>
          <w:szCs w:val="20"/>
          <w:lang w:val="en-GB" w:eastAsia="zh-CN"/>
        </w:rPr>
        <w:t>suggest</w:t>
      </w:r>
      <w:r w:rsidR="00F63223" w:rsidRPr="00CE0DE7">
        <w:rPr>
          <w:rFonts w:hint="eastAsia"/>
          <w:color w:val="000000"/>
          <w:sz w:val="20"/>
          <w:szCs w:val="20"/>
          <w:lang w:val="en-GB" w:eastAsia="zh-CN"/>
        </w:rPr>
        <w:t>s</w:t>
      </w:r>
      <w:r w:rsidR="00C20A0B" w:rsidRPr="00CE0DE7">
        <w:rPr>
          <w:rFonts w:hint="eastAsia"/>
          <w:color w:val="000000"/>
          <w:sz w:val="20"/>
          <w:szCs w:val="20"/>
          <w:lang w:val="en-GB" w:eastAsia="zh-CN"/>
        </w:rPr>
        <w:t xml:space="preserve"> </w:t>
      </w:r>
      <w:r w:rsidRPr="00CE0DE7">
        <w:rPr>
          <w:rFonts w:hint="eastAsia"/>
          <w:color w:val="000000"/>
          <w:sz w:val="20"/>
          <w:szCs w:val="20"/>
          <w:lang w:val="en-GB" w:eastAsia="zh-CN"/>
        </w:rPr>
        <w:t xml:space="preserve">that investor risk aversion </w:t>
      </w:r>
      <w:r w:rsidR="00F63223" w:rsidRPr="00CE0DE7">
        <w:rPr>
          <w:rFonts w:hint="eastAsia"/>
          <w:color w:val="000000"/>
          <w:sz w:val="20"/>
          <w:szCs w:val="20"/>
          <w:lang w:val="en-GB" w:eastAsia="zh-CN"/>
        </w:rPr>
        <w:t xml:space="preserve">negatively </w:t>
      </w:r>
      <w:r w:rsidRPr="00CE0DE7">
        <w:rPr>
          <w:rFonts w:hint="eastAsia"/>
          <w:color w:val="000000"/>
          <w:sz w:val="20"/>
          <w:szCs w:val="20"/>
          <w:lang w:val="en-GB" w:eastAsia="zh-CN"/>
        </w:rPr>
        <w:t>correlates with asset liquidity</w:t>
      </w:r>
      <w:r w:rsidR="00F63223" w:rsidRPr="00CE0DE7">
        <w:rPr>
          <w:rFonts w:hint="eastAsia"/>
          <w:color w:val="000000"/>
          <w:sz w:val="20"/>
          <w:szCs w:val="20"/>
          <w:lang w:val="en-GB" w:eastAsia="zh-CN"/>
        </w:rPr>
        <w:t xml:space="preserve">, and </w:t>
      </w:r>
      <w:r w:rsidR="00653620" w:rsidRPr="00CE0DE7">
        <w:rPr>
          <w:rFonts w:hint="eastAsia"/>
          <w:color w:val="000000"/>
          <w:sz w:val="20"/>
          <w:szCs w:val="20"/>
          <w:lang w:val="en-GB" w:eastAsia="zh-CN"/>
        </w:rPr>
        <w:t xml:space="preserve">ample </w:t>
      </w:r>
      <w:r w:rsidR="00F63223" w:rsidRPr="00CE0DE7">
        <w:rPr>
          <w:rFonts w:hint="eastAsia"/>
          <w:color w:val="000000"/>
          <w:sz w:val="20"/>
          <w:szCs w:val="20"/>
          <w:lang w:val="en-GB" w:eastAsia="zh-CN"/>
        </w:rPr>
        <w:t>empirical evidence documenting liquidity risk premium</w:t>
      </w:r>
      <w:r w:rsidRPr="00CE0DE7">
        <w:rPr>
          <w:rFonts w:hint="eastAsia"/>
          <w:color w:val="000000"/>
          <w:sz w:val="20"/>
          <w:szCs w:val="20"/>
          <w:lang w:val="en-GB" w:eastAsia="zh-CN"/>
        </w:rPr>
        <w:t>. We use monthly US data from January 1999 to December 201</w:t>
      </w:r>
      <w:r w:rsidR="00C20A0B" w:rsidRPr="00CE0DE7">
        <w:rPr>
          <w:rFonts w:hint="eastAsia"/>
          <w:color w:val="000000"/>
          <w:sz w:val="20"/>
          <w:szCs w:val="20"/>
          <w:lang w:val="en-GB" w:eastAsia="zh-CN"/>
        </w:rPr>
        <w:t>8</w:t>
      </w:r>
      <w:r w:rsidRPr="00CE0DE7">
        <w:rPr>
          <w:rFonts w:hint="eastAsia"/>
          <w:color w:val="000000"/>
          <w:sz w:val="20"/>
          <w:szCs w:val="20"/>
          <w:lang w:val="en-GB" w:eastAsia="zh-CN"/>
        </w:rPr>
        <w:t xml:space="preserve"> and show that </w:t>
      </w:r>
      <w:r w:rsidRPr="00CE0DE7">
        <w:rPr>
          <w:color w:val="000000"/>
          <w:sz w:val="20"/>
          <w:szCs w:val="20"/>
          <w:lang w:val="en-GB"/>
        </w:rPr>
        <w:t xml:space="preserve">innovations </w:t>
      </w:r>
      <w:r w:rsidRPr="00CE0DE7">
        <w:rPr>
          <w:rFonts w:hint="eastAsia"/>
          <w:color w:val="000000"/>
          <w:sz w:val="20"/>
          <w:szCs w:val="20"/>
          <w:lang w:val="en-GB" w:eastAsia="zh-CN"/>
        </w:rPr>
        <w:t>in</w:t>
      </w:r>
      <w:r w:rsidRPr="00CE0DE7">
        <w:rPr>
          <w:color w:val="000000"/>
          <w:sz w:val="20"/>
          <w:szCs w:val="20"/>
          <w:lang w:val="en-GB"/>
        </w:rPr>
        <w:t xml:space="preserve"> the </w:t>
      </w:r>
      <w:r w:rsidRPr="00CE0DE7">
        <w:rPr>
          <w:rFonts w:hint="eastAsia"/>
          <w:color w:val="000000"/>
          <w:sz w:val="20"/>
          <w:szCs w:val="20"/>
          <w:lang w:val="en-GB" w:eastAsia="zh-CN"/>
        </w:rPr>
        <w:t>VRP G</w:t>
      </w:r>
      <w:r w:rsidRPr="00CE0DE7">
        <w:rPr>
          <w:color w:val="000000"/>
          <w:sz w:val="20"/>
          <w:szCs w:val="20"/>
          <w:lang w:val="en-GB"/>
        </w:rPr>
        <w:t xml:space="preserve">ranger-cause stock returns, </w:t>
      </w:r>
      <w:r w:rsidR="00B95D9D" w:rsidRPr="00CE0DE7">
        <w:rPr>
          <w:color w:val="000000"/>
          <w:sz w:val="20"/>
          <w:szCs w:val="20"/>
          <w:lang w:val="en-GB"/>
        </w:rPr>
        <w:t xml:space="preserve">which </w:t>
      </w:r>
      <w:r w:rsidRPr="00CE0DE7">
        <w:rPr>
          <w:color w:val="000000"/>
          <w:sz w:val="20"/>
          <w:szCs w:val="20"/>
          <w:lang w:val="en-GB"/>
        </w:rPr>
        <w:t xml:space="preserve">in turn </w:t>
      </w:r>
      <w:r w:rsidRPr="00CE0DE7">
        <w:rPr>
          <w:rFonts w:hint="eastAsia"/>
          <w:color w:val="000000"/>
          <w:sz w:val="20"/>
          <w:szCs w:val="20"/>
          <w:lang w:val="en-GB" w:eastAsia="zh-CN"/>
        </w:rPr>
        <w:t xml:space="preserve">drive </w:t>
      </w:r>
      <w:r w:rsidRPr="00CE0DE7">
        <w:rPr>
          <w:color w:val="000000"/>
          <w:sz w:val="20"/>
          <w:szCs w:val="20"/>
          <w:lang w:val="en-GB"/>
        </w:rPr>
        <w:t>liquidity.</w:t>
      </w:r>
      <w:r w:rsidRPr="00CE0DE7">
        <w:rPr>
          <w:rFonts w:hint="eastAsia"/>
          <w:color w:val="000000"/>
          <w:sz w:val="20"/>
          <w:szCs w:val="20"/>
          <w:lang w:val="en-GB" w:eastAsia="zh-CN"/>
        </w:rPr>
        <w:t xml:space="preserve"> O</w:t>
      </w:r>
      <w:r w:rsidRPr="00CE0DE7">
        <w:rPr>
          <w:color w:val="000000"/>
          <w:sz w:val="20"/>
          <w:szCs w:val="20"/>
          <w:lang w:val="en-GB" w:eastAsia="zh-CN"/>
        </w:rPr>
        <w:t>u</w:t>
      </w:r>
      <w:r w:rsidRPr="00CE0DE7">
        <w:rPr>
          <w:rFonts w:hint="eastAsia"/>
          <w:color w:val="000000"/>
          <w:sz w:val="20"/>
          <w:szCs w:val="20"/>
          <w:lang w:val="en-GB" w:eastAsia="zh-CN"/>
        </w:rPr>
        <w:t xml:space="preserve">r findings are consistent with predictions of prior </w:t>
      </w:r>
      <w:r w:rsidRPr="00CE0DE7">
        <w:rPr>
          <w:color w:val="000000"/>
          <w:sz w:val="20"/>
          <w:szCs w:val="20"/>
          <w:lang w:val="en-GB" w:eastAsia="zh-CN"/>
        </w:rPr>
        <w:t>theories</w:t>
      </w:r>
      <w:r w:rsidRPr="00CE0DE7">
        <w:rPr>
          <w:rFonts w:hint="eastAsia"/>
          <w:color w:val="000000"/>
          <w:sz w:val="20"/>
          <w:szCs w:val="20"/>
          <w:lang w:val="en-GB" w:eastAsia="zh-CN"/>
        </w:rPr>
        <w:t xml:space="preserve"> and </w:t>
      </w:r>
      <w:r w:rsidRPr="00CE0DE7">
        <w:rPr>
          <w:color w:val="000000"/>
          <w:sz w:val="20"/>
          <w:szCs w:val="20"/>
          <w:lang w:val="en-GB"/>
        </w:rPr>
        <w:t xml:space="preserve">highlight the predictability of the </w:t>
      </w:r>
      <w:r w:rsidRPr="00CE0DE7">
        <w:rPr>
          <w:rFonts w:hint="eastAsia"/>
          <w:color w:val="000000"/>
          <w:sz w:val="20"/>
          <w:szCs w:val="20"/>
          <w:lang w:val="en-GB" w:eastAsia="zh-CN"/>
        </w:rPr>
        <w:t>VRP. They also contribute to the</w:t>
      </w:r>
      <w:r w:rsidRPr="00CE0DE7">
        <w:rPr>
          <w:color w:val="000000"/>
          <w:sz w:val="20"/>
          <w:szCs w:val="20"/>
          <w:lang w:val="en-GB"/>
        </w:rPr>
        <w:t xml:space="preserve"> on-going debate on the causal relation between stock returns and liquidity. </w:t>
      </w:r>
      <w:r w:rsidRPr="00CE0DE7">
        <w:rPr>
          <w:rFonts w:hint="eastAsia"/>
          <w:color w:val="000000"/>
          <w:sz w:val="20"/>
          <w:szCs w:val="20"/>
          <w:lang w:val="en-GB" w:eastAsia="zh-CN"/>
        </w:rPr>
        <w:t xml:space="preserve">Finally, we </w:t>
      </w:r>
      <w:r w:rsidRPr="00CE0DE7">
        <w:rPr>
          <w:color w:val="000000"/>
          <w:sz w:val="20"/>
          <w:szCs w:val="20"/>
          <w:lang w:val="en-GB"/>
        </w:rPr>
        <w:t>explore the channels through which the VRP impacts liquidity</w:t>
      </w:r>
      <w:r w:rsidR="00C20A0B" w:rsidRPr="00CE0DE7">
        <w:rPr>
          <w:rFonts w:hint="eastAsia"/>
          <w:color w:val="000000"/>
          <w:sz w:val="20"/>
          <w:szCs w:val="20"/>
          <w:lang w:val="en-GB" w:eastAsia="zh-CN"/>
        </w:rPr>
        <w:t xml:space="preserve"> and</w:t>
      </w:r>
      <w:r w:rsidR="006C75E2" w:rsidRPr="00CE0DE7">
        <w:rPr>
          <w:color w:val="000000"/>
          <w:sz w:val="20"/>
          <w:szCs w:val="20"/>
          <w:lang w:val="en-GB"/>
        </w:rPr>
        <w:t xml:space="preserve"> </w:t>
      </w:r>
      <w:r w:rsidR="00F504C7" w:rsidRPr="00CE0DE7">
        <w:rPr>
          <w:rFonts w:hint="eastAsia"/>
          <w:color w:val="000000"/>
          <w:sz w:val="20"/>
          <w:szCs w:val="20"/>
          <w:lang w:val="en-GB" w:eastAsia="zh-CN"/>
        </w:rPr>
        <w:t>find</w:t>
      </w:r>
      <w:r w:rsidRPr="00CE0DE7">
        <w:rPr>
          <w:color w:val="000000"/>
          <w:sz w:val="20"/>
          <w:szCs w:val="20"/>
          <w:lang w:val="en-GB"/>
        </w:rPr>
        <w:t xml:space="preserve"> that the VRP i</w:t>
      </w:r>
      <w:r w:rsidRPr="00CE0DE7">
        <w:rPr>
          <w:rFonts w:hint="eastAsia"/>
          <w:color w:val="000000"/>
          <w:sz w:val="20"/>
          <w:szCs w:val="20"/>
          <w:lang w:val="en-GB" w:eastAsia="zh-CN"/>
        </w:rPr>
        <w:t xml:space="preserve">nfluences </w:t>
      </w:r>
      <w:r w:rsidRPr="00CE0DE7">
        <w:rPr>
          <w:color w:val="000000"/>
          <w:sz w:val="20"/>
          <w:szCs w:val="20"/>
          <w:lang w:val="en-GB"/>
        </w:rPr>
        <w:t xml:space="preserve">market and momentum factors, and </w:t>
      </w:r>
      <w:r w:rsidR="006C75E2" w:rsidRPr="00CE0DE7">
        <w:rPr>
          <w:color w:val="000000"/>
          <w:sz w:val="20"/>
          <w:szCs w:val="20"/>
          <w:lang w:val="en-GB"/>
        </w:rPr>
        <w:t xml:space="preserve">that </w:t>
      </w:r>
      <w:r w:rsidRPr="00CE0DE7">
        <w:rPr>
          <w:color w:val="000000"/>
          <w:sz w:val="20"/>
          <w:szCs w:val="20"/>
          <w:lang w:val="en-GB"/>
        </w:rPr>
        <w:t>movements in these factors lead to changes in</w:t>
      </w:r>
      <w:r w:rsidRPr="00CE0DE7">
        <w:rPr>
          <w:rFonts w:hint="eastAsia"/>
          <w:color w:val="000000"/>
          <w:sz w:val="20"/>
          <w:szCs w:val="20"/>
          <w:lang w:val="en-GB" w:eastAsia="zh-CN"/>
        </w:rPr>
        <w:t xml:space="preserve"> </w:t>
      </w:r>
      <w:r w:rsidRPr="00CE0DE7">
        <w:rPr>
          <w:color w:val="000000"/>
          <w:sz w:val="20"/>
          <w:szCs w:val="20"/>
          <w:lang w:val="en-GB"/>
        </w:rPr>
        <w:t>liquidity.</w:t>
      </w:r>
    </w:p>
    <w:p w14:paraId="7C49009A" w14:textId="497AD1B2" w:rsidR="0001233F" w:rsidRPr="00CE0DE7" w:rsidRDefault="0001233F" w:rsidP="0001233F">
      <w:pPr>
        <w:adjustRightInd w:val="0"/>
        <w:snapToGrid w:val="0"/>
        <w:spacing w:line="360" w:lineRule="auto"/>
        <w:jc w:val="both"/>
        <w:rPr>
          <w:color w:val="000000"/>
          <w:sz w:val="20"/>
          <w:szCs w:val="20"/>
          <w:lang w:val="en-GB"/>
        </w:rPr>
      </w:pPr>
    </w:p>
    <w:p w14:paraId="4C1DAB7C" w14:textId="77777777" w:rsidR="0001233F" w:rsidRPr="00CE0DE7" w:rsidRDefault="0001233F" w:rsidP="0001233F">
      <w:pPr>
        <w:adjustRightInd w:val="0"/>
        <w:snapToGrid w:val="0"/>
        <w:spacing w:line="360" w:lineRule="auto"/>
        <w:jc w:val="both"/>
        <w:rPr>
          <w:color w:val="000000"/>
          <w:sz w:val="20"/>
          <w:szCs w:val="20"/>
          <w:lang w:val="en-GB"/>
        </w:rPr>
      </w:pPr>
    </w:p>
    <w:p w14:paraId="32561C9C" w14:textId="77777777" w:rsidR="001A733D" w:rsidRPr="00CE0DE7" w:rsidRDefault="001A733D" w:rsidP="0001233F">
      <w:pPr>
        <w:adjustRightInd w:val="0"/>
        <w:snapToGrid w:val="0"/>
        <w:spacing w:line="360" w:lineRule="auto"/>
        <w:jc w:val="both"/>
        <w:rPr>
          <w:color w:val="000000"/>
          <w:sz w:val="20"/>
          <w:szCs w:val="20"/>
          <w:lang w:val="en-GB"/>
        </w:rPr>
      </w:pPr>
    </w:p>
    <w:p w14:paraId="2ABEA2F5" w14:textId="77777777" w:rsidR="005A7DC1" w:rsidRPr="00CE0DE7" w:rsidRDefault="005A7DC1" w:rsidP="00DD61EB">
      <w:pPr>
        <w:adjustRightInd w:val="0"/>
        <w:snapToGrid w:val="0"/>
        <w:jc w:val="center"/>
        <w:rPr>
          <w:color w:val="000000"/>
          <w:sz w:val="20"/>
          <w:szCs w:val="20"/>
          <w:lang w:val="en-GB"/>
        </w:rPr>
      </w:pPr>
    </w:p>
    <w:p w14:paraId="6E7E52CA" w14:textId="0D85DBB8" w:rsidR="005A7DC1" w:rsidRPr="00CE0DE7" w:rsidRDefault="005A7DC1" w:rsidP="00913E18">
      <w:pPr>
        <w:adjustRightInd w:val="0"/>
        <w:snapToGrid w:val="0"/>
        <w:spacing w:line="360" w:lineRule="auto"/>
        <w:rPr>
          <w:color w:val="000000"/>
          <w:sz w:val="20"/>
          <w:szCs w:val="20"/>
          <w:lang w:val="fr-FR" w:eastAsia="zh-CN"/>
        </w:rPr>
      </w:pPr>
      <w:r w:rsidRPr="00CE0DE7">
        <w:rPr>
          <w:i/>
          <w:color w:val="000000"/>
          <w:sz w:val="20"/>
          <w:szCs w:val="20"/>
          <w:lang w:val="fr-FR"/>
        </w:rPr>
        <w:t>JEL classification:</w:t>
      </w:r>
      <w:r w:rsidRPr="00CE0DE7">
        <w:rPr>
          <w:color w:val="000000"/>
          <w:sz w:val="20"/>
          <w:szCs w:val="20"/>
          <w:lang w:val="fr-FR"/>
        </w:rPr>
        <w:t xml:space="preserve"> C</w:t>
      </w:r>
      <w:r w:rsidR="006439A5" w:rsidRPr="00CE0DE7">
        <w:rPr>
          <w:color w:val="000000"/>
          <w:sz w:val="20"/>
          <w:szCs w:val="20"/>
          <w:lang w:val="fr-FR"/>
        </w:rPr>
        <w:t>3</w:t>
      </w:r>
      <w:r w:rsidRPr="00CE0DE7">
        <w:rPr>
          <w:color w:val="000000"/>
          <w:sz w:val="20"/>
          <w:szCs w:val="20"/>
          <w:lang w:val="fr-FR"/>
        </w:rPr>
        <w:t>2; C53; G12; G13; G14</w:t>
      </w:r>
      <w:r w:rsidR="001E38D8" w:rsidRPr="00CE0DE7">
        <w:rPr>
          <w:rFonts w:hint="eastAsia"/>
          <w:color w:val="000000"/>
          <w:sz w:val="20"/>
          <w:szCs w:val="20"/>
          <w:lang w:val="fr-FR" w:eastAsia="zh-CN"/>
        </w:rPr>
        <w:t>.</w:t>
      </w:r>
    </w:p>
    <w:p w14:paraId="7FCBB4BE" w14:textId="0F22FD44" w:rsidR="0095649E" w:rsidRPr="00CE0DE7" w:rsidRDefault="005A7DC1" w:rsidP="00980514">
      <w:pPr>
        <w:adjustRightInd w:val="0"/>
        <w:snapToGrid w:val="0"/>
        <w:spacing w:line="360" w:lineRule="auto"/>
        <w:ind w:rightChars="217" w:right="521"/>
        <w:jc w:val="both"/>
        <w:rPr>
          <w:color w:val="000000"/>
          <w:sz w:val="20"/>
          <w:szCs w:val="20"/>
          <w:lang w:eastAsia="zh-CN"/>
        </w:rPr>
      </w:pPr>
      <w:r w:rsidRPr="00CE0DE7">
        <w:rPr>
          <w:i/>
          <w:color w:val="000000"/>
          <w:sz w:val="20"/>
          <w:szCs w:val="20"/>
        </w:rPr>
        <w:t>Keywords:</w:t>
      </w:r>
      <w:r w:rsidRPr="00CE0DE7">
        <w:rPr>
          <w:color w:val="000000"/>
          <w:sz w:val="20"/>
          <w:szCs w:val="20"/>
        </w:rPr>
        <w:t xml:space="preserve"> </w:t>
      </w:r>
      <w:r w:rsidR="001E38D8" w:rsidRPr="00CE0DE7">
        <w:rPr>
          <w:rFonts w:hint="eastAsia"/>
          <w:color w:val="000000"/>
          <w:sz w:val="20"/>
          <w:szCs w:val="20"/>
          <w:lang w:eastAsia="zh-CN"/>
        </w:rPr>
        <w:t>S</w:t>
      </w:r>
      <w:r w:rsidR="00363DA0" w:rsidRPr="00CE0DE7">
        <w:rPr>
          <w:color w:val="000000"/>
          <w:sz w:val="20"/>
          <w:szCs w:val="20"/>
          <w:lang w:eastAsia="zh-CN"/>
        </w:rPr>
        <w:t>ystematic f</w:t>
      </w:r>
      <w:r w:rsidR="00363DA0" w:rsidRPr="00CE0DE7">
        <w:rPr>
          <w:color w:val="000000"/>
          <w:sz w:val="20"/>
          <w:szCs w:val="20"/>
        </w:rPr>
        <w:t xml:space="preserve">actors; </w:t>
      </w:r>
      <w:r w:rsidRPr="00CE0DE7">
        <w:rPr>
          <w:color w:val="000000"/>
          <w:sz w:val="20"/>
          <w:szCs w:val="20"/>
        </w:rPr>
        <w:t>Toda</w:t>
      </w:r>
      <w:r w:rsidR="00B7629F" w:rsidRPr="00CE0DE7">
        <w:rPr>
          <w:color w:val="000000"/>
          <w:sz w:val="20"/>
          <w:szCs w:val="20"/>
        </w:rPr>
        <w:t>-</w:t>
      </w:r>
      <w:r w:rsidRPr="00CE0DE7">
        <w:rPr>
          <w:color w:val="000000"/>
          <w:sz w:val="20"/>
          <w:szCs w:val="20"/>
        </w:rPr>
        <w:t xml:space="preserve">Yamamoto Granger </w:t>
      </w:r>
      <w:r w:rsidR="00363DA0" w:rsidRPr="00CE0DE7">
        <w:rPr>
          <w:color w:val="000000"/>
          <w:sz w:val="20"/>
          <w:szCs w:val="20"/>
          <w:lang w:eastAsia="zh-CN"/>
        </w:rPr>
        <w:t>n</w:t>
      </w:r>
      <w:r w:rsidR="00363DA0" w:rsidRPr="00CE0DE7">
        <w:rPr>
          <w:color w:val="000000"/>
          <w:sz w:val="20"/>
          <w:szCs w:val="20"/>
        </w:rPr>
        <w:t xml:space="preserve">on-causality </w:t>
      </w:r>
      <w:r w:rsidR="00363DA0" w:rsidRPr="00CE0DE7">
        <w:rPr>
          <w:color w:val="000000"/>
          <w:sz w:val="20"/>
          <w:szCs w:val="20"/>
          <w:lang w:eastAsia="zh-CN"/>
        </w:rPr>
        <w:t>t</w:t>
      </w:r>
      <w:r w:rsidR="00363DA0" w:rsidRPr="00CE0DE7">
        <w:rPr>
          <w:color w:val="000000"/>
          <w:sz w:val="20"/>
          <w:szCs w:val="20"/>
        </w:rPr>
        <w:t xml:space="preserve">est; </w:t>
      </w:r>
      <w:r w:rsidR="007759FA" w:rsidRPr="00CE0DE7">
        <w:rPr>
          <w:rFonts w:hint="eastAsia"/>
          <w:color w:val="000000"/>
          <w:sz w:val="20"/>
          <w:szCs w:val="20"/>
          <w:lang w:eastAsia="zh-CN"/>
        </w:rPr>
        <w:t>Investor risk aversio</w:t>
      </w:r>
      <w:r w:rsidR="004B2F3B" w:rsidRPr="00CE0DE7">
        <w:rPr>
          <w:rFonts w:hint="eastAsia"/>
          <w:color w:val="000000"/>
          <w:sz w:val="20"/>
          <w:szCs w:val="20"/>
          <w:lang w:eastAsia="zh-CN"/>
        </w:rPr>
        <w:t>n; Liquidity</w:t>
      </w:r>
      <w:r w:rsidR="007759FA" w:rsidRPr="00CE0DE7">
        <w:rPr>
          <w:rFonts w:hint="eastAsia"/>
          <w:color w:val="000000"/>
          <w:sz w:val="20"/>
          <w:szCs w:val="20"/>
          <w:lang w:eastAsia="zh-CN"/>
        </w:rPr>
        <w:t>.</w:t>
      </w:r>
    </w:p>
    <w:p w14:paraId="388CCA60" w14:textId="77777777" w:rsidR="007759FA" w:rsidRPr="00CE0DE7" w:rsidRDefault="007759FA" w:rsidP="00980514">
      <w:pPr>
        <w:adjustRightInd w:val="0"/>
        <w:snapToGrid w:val="0"/>
        <w:spacing w:line="360" w:lineRule="auto"/>
        <w:ind w:rightChars="217" w:right="521"/>
        <w:jc w:val="both"/>
        <w:rPr>
          <w:color w:val="000000"/>
          <w:lang w:eastAsia="zh-CN"/>
        </w:rPr>
        <w:sectPr w:rsidR="007759FA" w:rsidRPr="00CE0DE7" w:rsidSect="00B01B7C">
          <w:footerReference w:type="default" r:id="rId8"/>
          <w:footerReference w:type="first" r:id="rId9"/>
          <w:footnotePr>
            <w:numRestart w:val="eachSect"/>
          </w:footnotePr>
          <w:pgSz w:w="11907" w:h="16840" w:code="9"/>
          <w:pgMar w:top="1276" w:right="1440" w:bottom="1440" w:left="1440" w:header="709" w:footer="709" w:gutter="0"/>
          <w:pgNumType w:fmt="numberInDash" w:start="0"/>
          <w:cols w:space="708"/>
          <w:titlePg/>
          <w:docGrid w:linePitch="360"/>
        </w:sectPr>
      </w:pPr>
    </w:p>
    <w:p w14:paraId="6C5F4859" w14:textId="77777777" w:rsidR="009B2D08" w:rsidRPr="00CE0DE7" w:rsidRDefault="009B2D08" w:rsidP="009B2D08">
      <w:pPr>
        <w:pStyle w:val="1"/>
        <w:spacing w:after="240"/>
        <w:rPr>
          <w:sz w:val="20"/>
          <w:szCs w:val="20"/>
        </w:rPr>
      </w:pPr>
      <w:r w:rsidRPr="00CE0DE7">
        <w:rPr>
          <w:sz w:val="20"/>
          <w:szCs w:val="20"/>
        </w:rPr>
        <w:lastRenderedPageBreak/>
        <w:t>1. Introduction</w:t>
      </w:r>
    </w:p>
    <w:p w14:paraId="5007A26F" w14:textId="7180A6FF" w:rsidR="00D60516" w:rsidRPr="00CE0DE7" w:rsidRDefault="009B2D08" w:rsidP="00BD081C">
      <w:pPr>
        <w:spacing w:line="480" w:lineRule="auto"/>
        <w:ind w:firstLine="425"/>
        <w:jc w:val="both"/>
        <w:rPr>
          <w:sz w:val="20"/>
          <w:szCs w:val="20"/>
          <w:lang w:val="en-GB" w:eastAsia="zh-CN"/>
        </w:rPr>
      </w:pPr>
      <w:r w:rsidRPr="00CE0DE7">
        <w:rPr>
          <w:sz w:val="20"/>
          <w:szCs w:val="20"/>
          <w:lang w:val="en-GB" w:eastAsia="zh-CN"/>
        </w:rPr>
        <w:t xml:space="preserve">The relation between risk and expected </w:t>
      </w:r>
      <w:r w:rsidR="00B52269" w:rsidRPr="00CE0DE7">
        <w:rPr>
          <w:sz w:val="20"/>
          <w:szCs w:val="20"/>
          <w:lang w:val="en-GB" w:eastAsia="zh-CN"/>
        </w:rPr>
        <w:t xml:space="preserve">asset </w:t>
      </w:r>
      <w:r w:rsidRPr="00CE0DE7">
        <w:rPr>
          <w:sz w:val="20"/>
          <w:szCs w:val="20"/>
          <w:lang w:val="en-GB" w:eastAsia="zh-CN"/>
        </w:rPr>
        <w:t>return</w:t>
      </w:r>
      <w:r w:rsidR="00B52269" w:rsidRPr="00CE0DE7">
        <w:rPr>
          <w:sz w:val="20"/>
          <w:szCs w:val="20"/>
          <w:lang w:val="en-GB" w:eastAsia="zh-CN"/>
        </w:rPr>
        <w:t>s</w:t>
      </w:r>
      <w:r w:rsidRPr="00CE0DE7">
        <w:rPr>
          <w:sz w:val="20"/>
          <w:szCs w:val="20"/>
          <w:lang w:val="en-GB" w:eastAsia="zh-CN"/>
        </w:rPr>
        <w:t xml:space="preserve"> is </w:t>
      </w:r>
      <w:r w:rsidR="00363DA0" w:rsidRPr="00CE0DE7">
        <w:rPr>
          <w:sz w:val="20"/>
          <w:szCs w:val="20"/>
          <w:lang w:val="en-GB" w:eastAsia="zh-CN"/>
        </w:rPr>
        <w:t xml:space="preserve">at </w:t>
      </w:r>
      <w:r w:rsidRPr="00CE0DE7">
        <w:rPr>
          <w:sz w:val="20"/>
          <w:szCs w:val="20"/>
          <w:lang w:val="en-GB" w:eastAsia="zh-CN"/>
        </w:rPr>
        <w:t xml:space="preserve">the centre of financial economics literature </w:t>
      </w:r>
      <w:r w:rsidR="00121271" w:rsidRPr="00CE0DE7">
        <w:rPr>
          <w:sz w:val="20"/>
          <w:szCs w:val="20"/>
          <w:lang w:val="en-GB" w:eastAsia="zh-CN"/>
        </w:rPr>
        <w:fldChar w:fldCharType="begin" w:fldLock="1"/>
      </w:r>
      <w:r w:rsidR="00121271" w:rsidRPr="00CE0DE7">
        <w:rPr>
          <w:sz w:val="20"/>
          <w:szCs w:val="20"/>
          <w:lang w:val="en-GB" w:eastAsia="zh-CN"/>
        </w:rPr>
        <w:instrText>ADDIN CSL_CITATION {"citationItems":[{"id":"ITEM-1","itemData":{"ISSN":"00129682","abstract":"An intertemporal model for the capital market is deduced from the portfolio selection\\r\\n behavior by an arbitrary number of investors who aot so as to maximize the expected\\r\\n utility of lifetime consumption and who can trade continuously in time. Explicit demand\\r\\n functions for assets are derived, and it is shown that, unlike the one-period model, current\\r\\n demands are affected by the possibility of uncertain changes in future investment oppor-\\r\\n tunities. After aggregating demands and requiring market clearing, the equilibrium re-\\r\\n lationships among expected returns are derived, and contrary to the classical capital asset\\r\\n pricing model, expected returns on risky assets may differ from the riskless rate even when\\r\\n they have no systematic or market risk.","author":[{"dropping-particle":"","family":"Merton","given":"Robert C.","non-dropping-particle":"","parse-names":false,"suffix":""}],"container-title":"Econometrica","id":"ITEM-1","issue":"5","issued":{"date-parts":[["1973","9"]]},"page":"867","publisher":"JSTOR","title":"An intertemporal capital asset pricing model","type":"article-journal","volume":"41"},"uris":["http://www.mendeley.com/documents/?uuid=748bc712-2a4f-3759-bde6-7dbabfdd0212"]}],"mendeley":{"formattedCitation":"(Merton 1973)","plainTextFormattedCitation":"(Merton 1973)","previouslyFormattedCitation":"(Merton 1973)"},"properties":{"noteIndex":0},"schema":"https://github.com/citation-style-language/schema/raw/master/csl-citation.json"}</w:instrText>
      </w:r>
      <w:r w:rsidR="00121271" w:rsidRPr="00CE0DE7">
        <w:rPr>
          <w:sz w:val="20"/>
          <w:szCs w:val="20"/>
          <w:lang w:val="en-GB" w:eastAsia="zh-CN"/>
        </w:rPr>
        <w:fldChar w:fldCharType="separate"/>
      </w:r>
      <w:r w:rsidR="00121271" w:rsidRPr="00CE0DE7">
        <w:rPr>
          <w:noProof/>
          <w:sz w:val="20"/>
          <w:szCs w:val="20"/>
          <w:lang w:val="en-GB" w:eastAsia="zh-CN"/>
        </w:rPr>
        <w:t>(Merton 1973)</w:t>
      </w:r>
      <w:r w:rsidR="00121271" w:rsidRPr="00CE0DE7">
        <w:rPr>
          <w:sz w:val="20"/>
          <w:szCs w:val="20"/>
          <w:lang w:val="en-GB" w:eastAsia="zh-CN"/>
        </w:rPr>
        <w:fldChar w:fldCharType="end"/>
      </w:r>
      <w:r w:rsidRPr="00CE0DE7">
        <w:rPr>
          <w:sz w:val="20"/>
          <w:szCs w:val="20"/>
          <w:lang w:val="en-GB" w:eastAsia="zh-CN"/>
        </w:rPr>
        <w:t xml:space="preserve">. Despite close scrutiny and the consensus on liquidity as a risk factor </w:t>
      </w:r>
      <w:r w:rsidR="00121271" w:rsidRPr="00CE0DE7">
        <w:rPr>
          <w:sz w:val="20"/>
          <w:szCs w:val="20"/>
          <w:lang w:val="en-GB" w:eastAsia="zh-CN"/>
        </w:rPr>
        <w:fldChar w:fldCharType="begin" w:fldLock="1"/>
      </w:r>
      <w:r w:rsidR="00196F3B" w:rsidRPr="00CE0DE7">
        <w:rPr>
          <w:sz w:val="20"/>
          <w:szCs w:val="20"/>
          <w:lang w:val="en-GB" w:eastAsia="zh-CN"/>
        </w:rPr>
        <w:instrText>ADDIN CSL_CITATION {"citationItems":[{"id":"ITEM-1","itemData":{"ISSN":"0304405X","abstract":"Using a new measure of liquidity, this paper documents a significant liquidity premium robust to the CAPM and the Fama-French three-factor model and shows that liquidity is an important source of priced risk. A two-factor (market and liquidity) model well explains the cross-section of stock returns, describing the liquidity premium, subsuming documented anomalies associated with size, long-term contrarian investment, and fundamental (cashflow, earnings, and dividend) to price ratios. In particular, the two-factor model accounts for the book-to-market effect, which the Fama-French three-factor model fails to explain. © 2006 Elsevier B.V. All rights reserved.","author":[{"dropping-particle":"","family":"Liu","given":"Weimin","non-dropping-particle":"","parse-names":false,"suffix":""}],"container-title":"Journal of Financial Economics","id":"ITEM-1","issue":"3","issued":{"date-parts":[["2006","12","1"]]},"page":"631-671","publisher":"North-Holland","title":"A liquidity-augmented capital asset pricing model","type":"article-journal","volume":"82"},"uris":["http://www.mendeley.com/documents/?uuid=028a3733-50dc-3861-a56b-ca0205aac321"]},{"id":"ITEM-2","itemData":{"ISSN":"00223808","abstract":"This study investigates whether marketwide liquidity is a state variable important for asset pricing. We find that expected stock returns are related cross-sectionally to the sensitivities of returns to fluctuations in aggregate liquidity. Our monthly liquidity measure, an average of individual-stock measures estimated with daily data, relies on the principle that order flow induces greater return reversals when liquidity is lower. From 1966 through 1999, the average return on stocks with high sensitivities to liquidity exceeds that for stocks with low sensitivities by 7.5 percent annually, adjusted for exposures to the market return as well as size, value, and momentum factors. Furthermore, a liquidity risk factor accounts for half of the profits to a momentum strategy over the same 34-year period.","author":[{"dropping-particle":"","family":"Pástor","given":"Ľuboš","non-dropping-particle":"","parse-names":false,"suffix":""},{"dropping-particle":"","family":"Stambaugh","given":"Robert F.","non-dropping-particle":"","parse-names":false,"suffix":""}],"container-title":"Journal of Political Economy","id":"ITEM-2","issue":"3","issued":{"date-parts":[["2003","6","19"]]},"page":"642-685","publisher":"The University of Chicago Press","title":"Liquidity risk and expected stock returns","type":"article-journal","volume":"111"},"uris":["http://www.mendeley.com/documents/?uuid=9d90f5c0-9f71-3099-a481-40573f503e1c"]}],"mendeley":{"formattedCitation":"(Pástor and Stambaugh 2003; Liu 2006)","manualFormatting":"(e.g., Pástor and Stambaugh 2003; Liu 2006)","plainTextFormattedCitation":"(Pástor and Stambaugh 2003; Liu 2006)","previouslyFormattedCitation":"(Pástor and Stambaugh 2003; Liu 2006)"},"properties":{"noteIndex":0},"schema":"https://github.com/citation-style-language/schema/raw/master/csl-citation.json"}</w:instrText>
      </w:r>
      <w:r w:rsidR="00121271" w:rsidRPr="00CE0DE7">
        <w:rPr>
          <w:sz w:val="20"/>
          <w:szCs w:val="20"/>
          <w:lang w:val="en-GB" w:eastAsia="zh-CN"/>
        </w:rPr>
        <w:fldChar w:fldCharType="separate"/>
      </w:r>
      <w:r w:rsidR="00121271" w:rsidRPr="00CE0DE7">
        <w:rPr>
          <w:noProof/>
          <w:sz w:val="20"/>
          <w:szCs w:val="20"/>
          <w:lang w:val="en-GB" w:eastAsia="zh-CN"/>
        </w:rPr>
        <w:t>(</w:t>
      </w:r>
      <w:r w:rsidR="008648CB" w:rsidRPr="00CE0DE7">
        <w:rPr>
          <w:noProof/>
          <w:sz w:val="20"/>
          <w:szCs w:val="20"/>
          <w:lang w:val="en-GB" w:eastAsia="zh-CN"/>
        </w:rPr>
        <w:t xml:space="preserve">e.g., </w:t>
      </w:r>
      <w:r w:rsidR="00121271" w:rsidRPr="00CE0DE7">
        <w:rPr>
          <w:noProof/>
          <w:sz w:val="20"/>
          <w:szCs w:val="20"/>
          <w:lang w:val="en-GB" w:eastAsia="zh-CN"/>
        </w:rPr>
        <w:t>Pástor and Stambaugh 2003; Liu 2006)</w:t>
      </w:r>
      <w:r w:rsidR="00121271" w:rsidRPr="00CE0DE7">
        <w:rPr>
          <w:sz w:val="20"/>
          <w:szCs w:val="20"/>
          <w:lang w:val="en-GB" w:eastAsia="zh-CN"/>
        </w:rPr>
        <w:fldChar w:fldCharType="end"/>
      </w:r>
      <w:r w:rsidRPr="00CE0DE7">
        <w:rPr>
          <w:sz w:val="20"/>
          <w:szCs w:val="20"/>
          <w:lang w:val="en-GB" w:eastAsia="zh-CN"/>
        </w:rPr>
        <w:t xml:space="preserve">, whether liquidity drives or is driven by stock returns is still being debated. </w:t>
      </w:r>
      <w:r w:rsidR="00587FDC" w:rsidRPr="00CE0DE7">
        <w:rPr>
          <w:sz w:val="20"/>
          <w:szCs w:val="20"/>
          <w:lang w:val="en-GB" w:eastAsia="zh-CN"/>
        </w:rPr>
        <w:t xml:space="preserve">Many studies argue that liquidity is able to predict future stock returns because of changes in transaction costs or behavioural </w:t>
      </w:r>
      <w:r w:rsidR="00B52269" w:rsidRPr="00CE0DE7">
        <w:rPr>
          <w:sz w:val="20"/>
          <w:szCs w:val="20"/>
          <w:lang w:val="en-GB" w:eastAsia="zh-CN"/>
        </w:rPr>
        <w:t xml:space="preserve">biases </w:t>
      </w:r>
      <w:r w:rsidR="00587FDC" w:rsidRPr="00CE0DE7">
        <w:rPr>
          <w:sz w:val="20"/>
          <w:szCs w:val="20"/>
          <w:lang w:val="en-GB" w:eastAsia="zh-CN"/>
        </w:rPr>
        <w:t xml:space="preserve">such as over-optimism </w:t>
      </w:r>
      <w:r w:rsidR="00E70EF6" w:rsidRPr="00CE0DE7">
        <w:rPr>
          <w:sz w:val="20"/>
          <w:szCs w:val="20"/>
          <w:lang w:val="en-GB" w:eastAsia="zh-CN"/>
        </w:rPr>
        <w:fldChar w:fldCharType="begin" w:fldLock="1"/>
      </w:r>
      <w:r w:rsidR="00DC30A0">
        <w:rPr>
          <w:sz w:val="20"/>
          <w:szCs w:val="20"/>
          <w:lang w:val="en-GB" w:eastAsia="zh-CN"/>
        </w:rPr>
        <w:instrText>ADDIN CSL_CITATION {"citationItems":[{"id":"ITEM-1","itemData":{"ISSN":"13864181","abstract":"We build a model that helps to explain why increases in liquidity-such as lower bid-ask spreads, a lower price impact of trade, or higher turnover-predict lower subsequent returns in both firm-level and aggregate data. The model features a class of irrational investors, who underreact to the information contained in order flow, thereby boosting liquidity. In the presence of short-sales constraints, high liquidity is a symptom of the fact that the market is dominated by these irrational investors, and hence is overvalued. This theory can also explain how managers might successfully time the market for seasoned equity offerings, by simply following a rule of thumb that involves issuing when the SEO market is particularly liquid. Empirically, we find that: (i) aggregate measures of equity issuance and share turnover are highly correlated; yet (ii) in a multiple regression, both have incremental predictive power for future equal-weighted market returns. © 2003 Elsevier B.V. All rights reserved.","author":[{"dropping-particle":"","family":"Baker","given":"Malcolm","non-dropping-particle":"","parse-names":false,"suffix":""},{"dropping-particle":"","family":"Stein","given":"Jeremy C.","non-dropping-particle":"","parse-names":false,"suffix":""}],"container-title":"Journal of Financial Markets","id":"ITEM-1","issue":"3","issued":{"date-parts":[["2004","6","1"]]},"page":"271-299","publisher":"North-Holland","title":"Market liquidity as a sentiment indicator","type":"article-journal","volume":"7"},"uris":["http://www.mendeley.com/documents/?uuid=9e47bc2e-30b1-36f9-b70b-7103dd8da346"]},{"id":"ITEM-2","itemData":{"ISSN":"0893-9454","abstract":"Given the cross-sectional and temporal variation in their liquidity, emerging equity markets provide an ideal setting to examine the impact of liquidity on expected returns. Our main liquidity measure is a transformation of the proportion of zero daily firm returns, averaged over the month. We find that it significantly predicts future returns, whereas alternative measures such as turnover do not. Consistent with liquidity being a priced factor, unexpected liquidity shocks are positively correlated with contemporaneous return shocks and negatively correlated with shocks to the dividend yield. We consider a simple asset-pricing model with liquidity and the market portfolio as risk factors and transaction costs that are proportional to liquidity. The model differentiates between integrated and segmented countries and time periods. Our results suggest that local market liquidity is an important driver of expected returns in emerging markets, and that the liberalization process has not fully eliminated its impact.","author":[{"dropping-particle":"","family":"Bekaert","given":"Geert","non-dropping-particle":"","parse-names":false,"suffix":""},{"dropping-particle":"","family":"Harvey","given":"Campbell R.","non-dropping-particle":"","parse-names":false,"suffix":""},{"dropping-particle":"","family":"Lundblad","given":"Christian","non-dropping-particle":"","parse-names":false,"suffix":""}],"container-title":"Review of Financial Studies","id":"ITEM-2","issue":"6","issued":{"date-parts":[["2007","11","1"]]},"page":"1783-1831","publisher":"Oxford Academic","title":"Liquidity and expected returns: Lessons from emerging markets","type":"article-journal","volume":"20"},"uris":["http://www.mendeley.com/documents/?uuid=9b979aeb-830a-3713-86af-ebf0a9534ba7"]},{"id":"ITEM-3","itemData":{"ISSN":"0304405X","abstract":"Models of price formation in securities markets suggest that privately informed investors create significant illiquidity costs for uninformed investors, implying that the required rates of return should be higher for securities that are relatively illiquid. We investigate the empirical relation between monthly stock returns and measures of illiquity obtained from intraday data. We find a significant relation between required rates of return and these measures after adjusting for the Fama and French risk factors, and also after accounting for the effects of the stock price level.","author":[{"dropping-particle":"","family":"Brennan","given":"Michael J.","non-dropping-particle":"","parse-names":false,"suffix":""},{"dropping-particle":"","family":"Subrahmanyam","given":"Avanidhar","non-dropping-particle":"","parse-names":false,"suffix":""}],"container-title":"Journal of Financial Economics","id":"ITEM-3","issue":"3","issued":{"date-parts":[["1996","7","1"]]},"page":"441-464","publisher":"Elsevier","title":"Market microstructure and asset pricing: On the compensation for illiquidity in stock returns","type":"article-journal","volume":"41"},"uris":["http://www.mendeley.com/documents/?uuid=81e28b72-9627-397f-90b6-67c37cef2409"]},{"id":"ITEM-4","itemData":{"ISSN":"0304405X","abstract":"The presence of traders with superior information leads to a positive bid-ask spread even when the specialist is risk-neutral and makes zero expected profits. The resulting transaction prices convey information, and the expectation of the average spread squared times volume is bounded by a number that is independent of insider activity. The serial correlation of transaction price differences is a function of the proportion of the spread due to adverse selection. A bid-ask spread implies a divergence between observed returns and realizable returns. Observed returns are approximately realizable returns plus what the uninformed anticipate losing to the insiders. © 1985.","author":[{"dropping-particle":"","family":"Glosten","given":"Lawrence R.","non-dropping-particle":"","parse-names":false,"suffix":""},{"dropping-particle":"","family":"Milgrom","given":"Paul R.","non-dropping-particle":"","parse-names":false,"suffix":""}],"container-title":"Journal of Financial Economics","id":"ITEM-4","issue":"1","issued":{"date-parts":[["1985","3","1"]]},"page":"71-100","publisher":"North-Holland","title":"Bid, ask and transaction prices in a specialist market with heterogeneously informed traders","type":"article-journal","volume":"14"},"uris":["http://www.mendeley.com/documents/?uuid=cf9a956d-7a54-3ee9-9254-8369c1069f50"]},{"id":"ITEM-5","itemData":{"ISSN":"1556-5068","abstract":"I assemble an annual time series of bid-ask spreads on Dow Jones stocks from 1900-2000, along with an annual estimate of the weighted-average commission rate for trading NYSE stocks since 1925. Spreads are cyclical, especially during periods of market turmoil. The sum of half-spreads and one-way commissions, multiplied by annual turnover, is an estimate of the annual proportional cost of aggregate equity trading. This cost drives a wedge between aggregate gross equity returns and net equity returns. This wedge can account for only a small part of the observed equity premium, but all else equal the gross equity premium is perhaps 1% lower today than it was early in the 1900's. Finally, I present evidence that the transaction cost measures that also proxy for liquidity - spreads and turnover - predict stock returns one year or more ahead. High spreads predict high stock returns; high turnover predicts low stock returns. These liquidity variables dominate traditional predictor variables, such as the dividend yield. The evidence suggests that time-series variation in aggregate liquidity is an important determinant of conditional expected stock market returns.","author":[{"dropping-particle":"","family":"Jones","given":"Charles M.","non-dropping-particle":"","parse-names":false,"suffix":""}],"container-title":"SSRN Electronic Journal","id":"ITEM-5","issued":{"date-parts":[["2002","8","19"]]},"page":"https://ssrn.com/abstract=313681","title":"A century of stock market liquidity and trading costs","type":"article-journal"},"uris":["http://www.mendeley.com/documents/?uuid=a7c15298-f57b-3cea-a41a-8c1432609dd5"]},{"id":"ITEM-6","itemData":{"ISSN":"0893-9454","abstract":"Transaction costs are important for a host of empirical analyses from market efficiency to international market research. But transaction costs estimates are not always available, or where available, are cumbersome to use and expensive to purchase. We present a model that requires only the time series of daily security returns to endogenously estimate the effective transaction costs for any firm, exchange, or time period. The feature of the data that allows for the estimation of transaction costs is the incidence of zero returns. Incorporating zero returns in the return-generating process, the model provides continuous estimates of average round-trip transaction costs from 1963 to 1990 that are 1.2% and 10.3% for large and small decile firms, respectively. These estimates are highly correlated (85%), with the most commonly used transaction cost estimators. © 1999 The Society for Financial Studies.","author":[{"dropping-particle":"","family":"Lesmond","given":"David A.","non-dropping-particle":"","parse-names":false,"suffix":""},{"dropping-particle":"","family":"Ogden","given":"Joseph P.","non-dropping-particle":"","parse-names":false,"suffix":""},{"dropping-particle":"","family":"Trzcinka","given":"Charles A.","non-dropping-particle":"","parse-names":false,"suffix":""}],"container-title":"Review of Financial Studies","id":"ITEM-6","issue":"5","issued":{"date-parts":[["1999","10","1"]]},"page":"1113-1141","publisher":"Oxford University Press","title":"A new estimate of transaction costs","type":"article-journal","volume":"12"},"uris":["http://www.mendeley.com/documents/?uuid=55eb0571-6f90-3960-b4c0-642570f9d76a"]}],"mendeley":{"formattedCitation":"(Glosten and Milgrom 1985; Brennan and Subrahmanyam 1996; Lesmond et al. 1999; Jones 2002; Baker and Stein 2004; Bekaert et al. 2007)","manualFormatting":"(e.g., Glosten and Milgrom 1985; Brennan and Subrahmanyam 1996; Lesmond et al. 1999; Jones 2002; Baker and Stein 2004; Bekaert et al. 2007)","plainTextFormattedCitation":"(Glosten and Milgrom 1985; Brennan and Subrahmanyam 1996; Lesmond et al. 1999; Jones 2002; Baker and Stein 2004; Bekaert et al. 2007)","previouslyFormattedCitation":"(Glosten and Milgrom 1985; Brennan and Subrahmanyam 1996; Lesmond et al. 1999; Jones 2002; Baker and Stein 2004; Bekaert et al. 2007)"},"properties":{"noteIndex":0},"schema":"https://github.com/citation-style-language/schema/raw/master/csl-citation.json"}</w:instrText>
      </w:r>
      <w:r w:rsidR="00E70EF6" w:rsidRPr="00CE0DE7">
        <w:rPr>
          <w:sz w:val="20"/>
          <w:szCs w:val="20"/>
          <w:lang w:val="en-GB" w:eastAsia="zh-CN"/>
        </w:rPr>
        <w:fldChar w:fldCharType="separate"/>
      </w:r>
      <w:r w:rsidR="00E70EF6" w:rsidRPr="00CE0DE7">
        <w:rPr>
          <w:noProof/>
          <w:sz w:val="20"/>
          <w:szCs w:val="20"/>
          <w:lang w:val="en-GB" w:eastAsia="zh-CN"/>
        </w:rPr>
        <w:t>(</w:t>
      </w:r>
      <w:r w:rsidR="008648CB" w:rsidRPr="00CE0DE7">
        <w:rPr>
          <w:noProof/>
          <w:sz w:val="20"/>
          <w:szCs w:val="20"/>
          <w:lang w:val="en-GB" w:eastAsia="zh-CN"/>
        </w:rPr>
        <w:t xml:space="preserve">e.g., </w:t>
      </w:r>
      <w:r w:rsidR="00E70EF6" w:rsidRPr="00CE0DE7">
        <w:rPr>
          <w:noProof/>
          <w:sz w:val="20"/>
          <w:szCs w:val="20"/>
          <w:lang w:val="en-GB" w:eastAsia="zh-CN"/>
        </w:rPr>
        <w:t>Glosten and Milgrom 1985; Brennan and Subrahmanyam 1996; Lesmond et al. 1999; Jones 2002; Baker and Stein 2004; Bekaert et al. 2007)</w:t>
      </w:r>
      <w:r w:rsidR="00E70EF6" w:rsidRPr="00CE0DE7">
        <w:rPr>
          <w:sz w:val="20"/>
          <w:szCs w:val="20"/>
          <w:lang w:val="en-GB" w:eastAsia="zh-CN"/>
        </w:rPr>
        <w:fldChar w:fldCharType="end"/>
      </w:r>
      <w:r w:rsidR="00587FDC" w:rsidRPr="00CE0DE7">
        <w:rPr>
          <w:sz w:val="20"/>
          <w:szCs w:val="20"/>
          <w:lang w:val="en-GB" w:eastAsia="zh-CN"/>
        </w:rPr>
        <w:t xml:space="preserve">. However, there also </w:t>
      </w:r>
      <w:r w:rsidR="00AF1F4D" w:rsidRPr="00CE0DE7">
        <w:rPr>
          <w:sz w:val="20"/>
          <w:szCs w:val="20"/>
          <w:lang w:val="en-GB" w:eastAsia="zh-CN"/>
        </w:rPr>
        <w:t xml:space="preserve">exists </w:t>
      </w:r>
      <w:r w:rsidR="00587FDC" w:rsidRPr="00CE0DE7">
        <w:rPr>
          <w:sz w:val="20"/>
          <w:szCs w:val="20"/>
          <w:lang w:val="en-GB" w:eastAsia="zh-CN"/>
        </w:rPr>
        <w:t xml:space="preserve">theoretical and empirical evidence that trading activities </w:t>
      </w:r>
      <w:r w:rsidR="00587FDC" w:rsidRPr="00CE0DE7">
        <w:rPr>
          <w:i/>
          <w:sz w:val="20"/>
          <w:szCs w:val="20"/>
          <w:lang w:val="en-GB" w:eastAsia="zh-CN"/>
        </w:rPr>
        <w:t>follow</w:t>
      </w:r>
      <w:r w:rsidR="00587FDC" w:rsidRPr="00CE0DE7">
        <w:rPr>
          <w:sz w:val="20"/>
          <w:szCs w:val="20"/>
          <w:lang w:val="en-GB" w:eastAsia="zh-CN"/>
        </w:rPr>
        <w:t xml:space="preserve"> large absolute price changes or shocks to stock returns </w:t>
      </w:r>
      <w:r w:rsidR="00E70EF6" w:rsidRPr="00CE0DE7">
        <w:rPr>
          <w:sz w:val="20"/>
          <w:szCs w:val="20"/>
          <w:lang w:val="en-GB" w:eastAsia="zh-CN"/>
        </w:rPr>
        <w:fldChar w:fldCharType="begin" w:fldLock="1"/>
      </w:r>
      <w:r w:rsidR="00196F3B" w:rsidRPr="00CE0DE7">
        <w:rPr>
          <w:sz w:val="20"/>
          <w:szCs w:val="20"/>
          <w:lang w:val="en-GB" w:eastAsia="zh-CN"/>
        </w:rPr>
        <w:instrText xml:space="preserve">ADDIN CSL_CITATION {"citationItems":[{"id":"ITEM-1","itemData":{"ISSN":"00221082","abstract":"Previous studies of liquidity span short time periods and focus on the individual security. In contrast, we study aggregate market spreads, depths, and trading activity for U.S. equities over an extended time sample. Daily changes in market averages of liquidity and trading activity are highly volatile and negatively serially dependent. Liquidity plummets significantly in down markets. Recent market volatility induces a decrease in trading activity and spreads. There are strong day-of-the-week effects; Fridays accompany a significant decrease in trading activity and liquidity, while Tuesdays display the opposite pattern. Long- and short-term interest rates influence liquidity. Depth and trading activity increase just prior to major macroeconomic announcements.","author":[{"dropping-particle":"","family":"Chordia","given":"Tarun","non-dropping-particle":"","parse-names":false,"suffix":""},{"dropping-particle":"","family":"Roll","given":"Richard","non-dropping-particle":"","parse-names":false,"suffix":""},{"dropping-particle":"","family":"Subrahmanyam","given":"Avanidhar","non-dropping-particle":"","parse-names":false,"suffix":""}],"container-title":"Journal of Finance","id":"ITEM-1","issue":"2","issued":{"date-parts":[["2001","4","1"]]},"page":"501-530","publisher":"John Wiley &amp; Sons, Ltd","title":"Market liquidity and trading activity","type":"article-journal","volume":"56"},"uris":["http://www.mendeley.com/documents/?uuid=3204b6f0-9d0d-38da-a366-89ea1dace215"]},{"id":"ITEM-2","itemData":{"ISSN":"0893-9454","abstract":"We undertake a comprehensive investigation of price and volume co-movement using daily New York Stock Exchange data from 1928 to 1987. We adjust the data to take into account well-known calendar effects and long-run trends. To describe the process, we use a seminonparametric estimate of the joint density of current price change and volume conditional on past price changes and volume. Four empirical regularities are found: (i) positive correlation between conditional volatility and volume; (ii) large price movements are followed by high volume; (iii) conditioning on lagged volume substantially attenuates the “leverage” effect; and (iv) after conditioning on lagged volume, there is a positive risk-return relation.","author":[{"dropping-particle":"","family":"Gallant","given":"A. Ronald","non-dropping-particle":"","parse-names":false,"suffix":""},{"dropping-particle":"","family":"Rossi","given":"Peter E.","non-dropping-particle":"","parse-names":false,"suffix":""},{"dropping-particle":"","family":"Tauchen","given":"George","non-dropping-particle":"","parse-names":false,"suffix":""}],"container-title":"Review of Financial Studies","id":"ITEM-2","issue":"2","issued":{"date-parts":[["1992","4","1"]]},"page":"199-242","publisher":"Oxford University Press (OUP)","title":"Stock prices and volume","type":"article-journal","volume":"5"},"uris":["http://www.mendeley.com/documents/?uuid=a0703b42-954a-3ab4-8637-547c1c0a35c2"]},{"id":"ITEM-3","itemData":{"ISSN":"0893-9454","abstract":"This article investigates the dynamic relation between market-wide trading activity and returns in 46 markets. Many stock markets exhibit a strong positive relation between turnover and past returns. These findings stand up in the face of various controls for volatility, alternative definitions of turnover, differing sample periods, and are present at both the weekly and daily frequency. The relation is more statistically and economically significant in countries with high levels of corruption, with short-sale restrictions, and in which market volatility is high. © The Author 2006.","author":[{"dropping-particle":"","family":"Griffin","given":"John M.","non-dropping-particle":"","parse-names":false,"suffix":""},{"dropping-particle":"","family":"Nardari","given":"Federico","non-dropping-particle":"","parse-names":false,"suffix":""},{"dropping-particle":"","family":"Stulz","given":"René M.","non-dropping-particle":"","parse-names":false,"suffix":""}],"container-title":"Review of Financial Studies","id":"ITEM-3","issue":"3","issued":{"date-parts":[["2007","5","1"]]},"page":"905-951","publisher":"Oxford Academic","title":"Do investors trade more when stocks have performed well? Evidence from 46 countries","type":"article-journal","volume":"20"},"uris":["http://www.mendeley.com/documents/?uuid=a29253ec-2c3b-3802-b68c-1691dc1cf6c0"]},{"id":"ITEM-4","itemData":{"ISSN":"0893-9454","abstract":"The proposition that investors are overconfident about their valuation and trading skills can explain high observed trading volume. With biased self-attribution, the level of investor overconfidence and thus trading volume varies with past returns. We test the trading volume predictions of formal overconfidence models and find that share turnover is positively related to lagged returns for many months. The relationship holds for both market-wide and individual security turnover, which we interpret as evidence of investor overconfidence and the disposition effect, respectively. Security volume is more responsive to market return shocks than to security return shocks, and both relationships are more pronounced in small-cap stocks and in earlier periods where individual investors hold a greater proportion of shares. (JEL G11, G12). © The Author 2006. Published by Oxford University Press on behalf of The Society for Financial Studies. All rights reserved.","author":[{"dropping-particle":"","family":"Statman","given":"Meir","non-dropping-particle":"","parse-names":false,"suffix":""},{"dropping-particle":"","family":"Thorley","given":"Steven","non-dropping-particle":"","parse-names":false,"suffix":""},{"dropping-particle":"","family":"Vorkink","given":"Keith","non-dropping-particle":"","parse-names":false,"suffix":""}],"container-title":"Review of Financial Studies","id":"ITEM-4","issue":"4","issued":{"date-parts":[["2006","12","1"]]},"page":"1531-1565","publisher":"Oxford Academic","title":"Investor overconfidence and trading volume","type":"article-journal","volume":"19"},"uris":["http://www.mendeley.com/documents/?uuid=251901ab-67e8-361a-8688-7b4f531e15cf"]},{"id":"ITEM-5","itemData":{"ISSN":"15406261","abstract":"Linear and nonlinear Granger causality tests are used to examine the dynamic relation between daily Dow Jones stock returns and percentage changes in New York Stock Exchange trading volume. We find evidence of significant bidirectional nonlinear causality between returns and volume. We also examine whether the nonlinear causality from volume to </w:instrText>
      </w:r>
      <w:r w:rsidR="00196F3B" w:rsidRPr="00CE0DE7">
        <w:rPr>
          <w:rFonts w:hint="eastAsia"/>
          <w:sz w:val="20"/>
          <w:szCs w:val="20"/>
          <w:lang w:val="en-GB" w:eastAsia="zh-CN"/>
        </w:rPr>
        <w:instrText>returns can be explained by volume serving as a proxy for information flow in the stochastic process generating stock return variance as suggested by Clark's (1973) latent common</w:instrText>
      </w:r>
      <w:r w:rsidR="00196F3B" w:rsidRPr="00CE0DE7">
        <w:rPr>
          <w:rFonts w:hint="eastAsia"/>
          <w:sz w:val="20"/>
          <w:szCs w:val="20"/>
          <w:lang w:val="en-GB" w:eastAsia="zh-CN"/>
        </w:rPr>
        <w:instrText>‐</w:instrText>
      </w:r>
      <w:r w:rsidR="00196F3B" w:rsidRPr="00CE0DE7">
        <w:rPr>
          <w:rFonts w:hint="eastAsia"/>
          <w:sz w:val="20"/>
          <w:szCs w:val="20"/>
          <w:lang w:val="en-GB" w:eastAsia="zh-CN"/>
        </w:rPr>
        <w:instrText>factor model. After controlling for volatility persistence in returns, we co</w:instrText>
      </w:r>
      <w:r w:rsidR="00196F3B" w:rsidRPr="00CE0DE7">
        <w:rPr>
          <w:sz w:val="20"/>
          <w:szCs w:val="20"/>
          <w:lang w:val="en-GB" w:eastAsia="zh-CN"/>
        </w:rPr>
        <w:instrText>ntinue to find evidence of nonlinear causality from volume to returns. 1994 The American Finance Association","author":[{"dropping-particle":"","family":"Hiemstra","given":"Craig","non-dropping-particle":"","parse-names":false,"suffix":""},{"dropping-particle":"","family":"Jones","given":"Jonathan","non-dropping-particle":"","parse-names":false,"suffix":""}],"container-title":"The Journal of Finance","id":"ITEM-5","issue":"5","issued":{"date-parts":[["1994","12","1"]]},"page":"1639-1664","publisher":"John</w:instrText>
      </w:r>
      <w:r w:rsidR="00196F3B" w:rsidRPr="00CE0DE7">
        <w:rPr>
          <w:rFonts w:hint="eastAsia"/>
          <w:sz w:val="20"/>
          <w:szCs w:val="20"/>
          <w:lang w:val="en-GB" w:eastAsia="zh-CN"/>
        </w:rPr>
        <w:instrText xml:space="preserve"> Wiley &amp; Sons, Ltd","title":"Testing for linear and nonlinear granger causality in the stock price</w:instrText>
      </w:r>
      <w:r w:rsidR="00196F3B" w:rsidRPr="00CE0DE7">
        <w:rPr>
          <w:rFonts w:hint="eastAsia"/>
          <w:sz w:val="20"/>
          <w:szCs w:val="20"/>
          <w:lang w:val="en-GB" w:eastAsia="zh-CN"/>
        </w:rPr>
        <w:instrText>‐</w:instrText>
      </w:r>
      <w:r w:rsidR="00196F3B" w:rsidRPr="00CE0DE7">
        <w:rPr>
          <w:rFonts w:hint="eastAsia"/>
          <w:sz w:val="20"/>
          <w:szCs w:val="20"/>
          <w:lang w:val="en-GB" w:eastAsia="zh-CN"/>
        </w:rPr>
        <w:instrText>volume relation","type":"article-journal","volume":"49"},"uris":["http://www.mendeley.com/documents/?uuid=190a8757-9230-30b6-9324-f24dcff6b8f2"]},{"id":"ITE</w:instrText>
      </w:r>
      <w:r w:rsidR="00196F3B" w:rsidRPr="00CE0DE7">
        <w:rPr>
          <w:sz w:val="20"/>
          <w:szCs w:val="20"/>
          <w:lang w:val="en-GB" w:eastAsia="zh-CN"/>
        </w:rPr>
        <w:instrText>M-6","itemData":{"ISSN":"00221082","abstract":"Consistent with recent theoretical models where binding capital constraints lead to sudden liquidity dry-ups, we find that negative market returns decrease stock liquidity, especially during times of tightness in the funding market. The asymmetric effect of changes in aggregate asset values on liquidity and commonality in liquidity cannot be fully explained by changes in demand for liquidity or volatility effects. We document interindustry spillover effects in liquidity, which are likely to arise from capital constraints in the market making sector. We also find economically significant returns to supplying liquidity following periods of large drops in market valuations. © 2009 the American Finance Association.","author":[{"dropping-particle":"","family":"Hameed","given":"Allaudeen","non-dropping-particle":"","parse-names":false,"suffix":""},{"dropping-particle":"","family":"Kang","given":"Wenjin","non-dropping-particle":"","parse-names":false,"suffix":""},{"dropping-particle":"","family":"Viswanathan","given":"S.","non-dropping-particle":"","parse-names":false,"suffix":""}],"container-title":"Journal of Finance","id":"ITEM-6","issue":"1","issued":{"date-parts":[["2010","2"]]},"page":"257-293","title":"Stock market declines and liquidity","type":"article-journal","volume":"65"},"uris":["http://www.mendeley.com/documents/?uuid=b938c4bf-95d5-34da-af37-b24ad42ed209"]}],"mendeley":{"formattedCitation":"(Gallant et al. 1992; Hiemstra and Jones 1994; Chordia et al. 2001; Statman et al. 2006; Griffin et al. 2007; Hameed et al. 2010)","manualFormatting":"(e.g., Gallant et al. 1992; Hiemstra and Jones 1994; Chordia et al. 2001; Statman et al. 2006; Griffin et al. 2007; Hameed et al. 2010)","plainTextFormattedCitation":"(Gallant et al. 1992; Hiemstra and Jones 1994; Chordia et al. 2001; Statman et al. 2006; Griffin et al. 2007; Hameed et al. 2010)","previouslyFormattedCitation":"(Gallant et al. 1992; Hiemstra and Jones 1994; Chordia et al. 2001; Statman et al. 2006; Griffin et al. 2007; Hameed et al. 2010)"},"properties":{"noteIndex":0},"schema":"https://github.com/citation-style-language/schema/raw/master/csl-citation.json"}</w:instrText>
      </w:r>
      <w:r w:rsidR="00E70EF6" w:rsidRPr="00CE0DE7">
        <w:rPr>
          <w:sz w:val="20"/>
          <w:szCs w:val="20"/>
          <w:lang w:val="en-GB" w:eastAsia="zh-CN"/>
        </w:rPr>
        <w:fldChar w:fldCharType="separate"/>
      </w:r>
      <w:r w:rsidR="009159DD" w:rsidRPr="00CE0DE7">
        <w:rPr>
          <w:noProof/>
          <w:sz w:val="20"/>
          <w:szCs w:val="20"/>
          <w:lang w:val="en-GB" w:eastAsia="zh-CN"/>
        </w:rPr>
        <w:t>(</w:t>
      </w:r>
      <w:r w:rsidR="008648CB" w:rsidRPr="00CE0DE7">
        <w:rPr>
          <w:noProof/>
          <w:sz w:val="20"/>
          <w:szCs w:val="20"/>
          <w:lang w:val="en-GB" w:eastAsia="zh-CN"/>
        </w:rPr>
        <w:t xml:space="preserve">e.g., </w:t>
      </w:r>
      <w:r w:rsidR="009159DD" w:rsidRPr="00CE0DE7">
        <w:rPr>
          <w:noProof/>
          <w:sz w:val="20"/>
          <w:szCs w:val="20"/>
          <w:lang w:val="en-GB" w:eastAsia="zh-CN"/>
        </w:rPr>
        <w:t>Gallant et al. 1992; Hiemstra and Jones 1994; Chordia et al. 2001; Statman et al. 2006; Griffin et al. 2007; Hameed et al. 2010)</w:t>
      </w:r>
      <w:r w:rsidR="00E70EF6" w:rsidRPr="00CE0DE7">
        <w:rPr>
          <w:sz w:val="20"/>
          <w:szCs w:val="20"/>
          <w:lang w:val="en-GB" w:eastAsia="zh-CN"/>
        </w:rPr>
        <w:fldChar w:fldCharType="end"/>
      </w:r>
      <w:r w:rsidR="00587FDC" w:rsidRPr="00CE0DE7">
        <w:rPr>
          <w:sz w:val="20"/>
          <w:szCs w:val="20"/>
          <w:lang w:val="en-GB" w:eastAsia="zh-CN"/>
        </w:rPr>
        <w:t>.</w:t>
      </w:r>
      <w:r w:rsidR="0034105E" w:rsidRPr="00CE0DE7">
        <w:rPr>
          <w:sz w:val="20"/>
          <w:szCs w:val="20"/>
          <w:lang w:val="en-GB" w:eastAsia="zh-CN"/>
        </w:rPr>
        <w:t xml:space="preserve"> </w:t>
      </w:r>
      <w:r w:rsidRPr="00CE0DE7">
        <w:rPr>
          <w:sz w:val="20"/>
          <w:szCs w:val="20"/>
          <w:lang w:val="en-GB" w:eastAsia="zh-CN"/>
        </w:rPr>
        <w:t xml:space="preserve">Answers to this question are essential for advancing our understanding of the determinants of liquidity and asset returns as well as the relationship between them. </w:t>
      </w:r>
    </w:p>
    <w:p w14:paraId="4D338B50" w14:textId="713861B1" w:rsidR="00C1667D" w:rsidRPr="00CE0DE7" w:rsidRDefault="009B2D08" w:rsidP="00BD081C">
      <w:pPr>
        <w:spacing w:line="480" w:lineRule="auto"/>
        <w:ind w:firstLine="425"/>
        <w:jc w:val="both"/>
        <w:rPr>
          <w:sz w:val="20"/>
          <w:szCs w:val="20"/>
          <w:lang w:val="en-GB" w:eastAsia="zh-CN"/>
        </w:rPr>
      </w:pPr>
      <w:r w:rsidRPr="00CE0DE7">
        <w:rPr>
          <w:sz w:val="20"/>
          <w:szCs w:val="20"/>
          <w:lang w:val="en-GB" w:eastAsia="zh-CN"/>
        </w:rPr>
        <w:t xml:space="preserve">Meanwhile, the literature has seen extensive </w:t>
      </w:r>
      <w:r w:rsidR="00C1667D" w:rsidRPr="00CE0DE7">
        <w:rPr>
          <w:sz w:val="20"/>
          <w:szCs w:val="20"/>
          <w:lang w:val="en-GB" w:eastAsia="zh-CN"/>
        </w:rPr>
        <w:t>empir</w:t>
      </w:r>
      <w:r w:rsidR="00C1667D" w:rsidRPr="00CE0DE7">
        <w:rPr>
          <w:sz w:val="20"/>
          <w:szCs w:val="20"/>
          <w:lang w:val="en-GB" w:eastAsia="zh-CN"/>
        </w:rPr>
        <w:t xml:space="preserve">ical </w:t>
      </w:r>
      <w:r w:rsidRPr="00CE0DE7">
        <w:rPr>
          <w:sz w:val="20"/>
          <w:szCs w:val="20"/>
          <w:lang w:val="en-GB" w:eastAsia="zh-CN"/>
        </w:rPr>
        <w:t>evidence that the variance risk premium (hereafter VRP) can explain a sizeable proportion of stock market returns</w:t>
      </w:r>
      <w:r w:rsidR="00C1667D" w:rsidRPr="00CE0DE7">
        <w:rPr>
          <w:sz w:val="20"/>
          <w:szCs w:val="20"/>
          <w:lang w:val="en-GB" w:eastAsia="zh-CN"/>
        </w:rPr>
        <w:t xml:space="preserve"> </w:t>
      </w:r>
      <w:r w:rsidR="00513C23">
        <w:rPr>
          <w:sz w:val="20"/>
          <w:szCs w:val="20"/>
          <w:lang w:val="en-GB" w:eastAsia="zh-CN"/>
        </w:rPr>
        <w:fldChar w:fldCharType="begin" w:fldLock="1"/>
      </w:r>
      <w:r w:rsidR="0086345E">
        <w:rPr>
          <w:sz w:val="20"/>
          <w:szCs w:val="20"/>
          <w:lang w:val="en-GB" w:eastAsia="zh-CN"/>
        </w:rPr>
        <w:instrText>ADDIN CSL_CITATION {"citationItems":[{"id":"ITEM-1","itemData":{"ISSN":"0893-9454","abstract":"Motivated by the implications from a stylized self-contained general equilibrium model incorporating the effects of time-varying economic uncertainty, we show that the difference between implied and realized variation, or the variance risk premium, is able to explain a nontrivial fraction of the time-series variation in post-1990 aggregate stock market returns, with high (low) premia predicting high (low) future returns. Our empirical results depend crucially on the use of \"model-free,\" as opposed to Black-Scholes, options implied volatilities, along with accurate realized variation measures constructed from high-frequency intraday as opposed to daily data. The magnitude of the predictability is particularly strong at the intermediate quarterly return horizon, where it dominates that afforded by other popular predictor variables, such as the P/E ratio, the default spread, and the consumption-wealth ratio.","author":[{"dropping-particle":"","family":"Bollerslev","given":"Tim","non-dropping-particle":"","parse-names":false,"suffix":""},{"dropping-particle":"","family":"Tauchen","given":"George","non-dropping-particle":"","parse-names":false,"suffix":""},{"dropping-particle":"","family":"Zhou","given":"Hao","non-dropping-particle":"","parse-names":false,"suffix":""}],"container-title":"Review of Financial Studies","id":"ITEM-1","issue":"11","issued":{"date-parts":[["2009","11","1"]]},"page":"4463-4492","publisher":"Oxford Academic","title":"Expected stock returns and variance risk premia","type":"article-journal","volume":"22"},"uris":["http://www.mendeley.com/documents/?uuid=45d1ad30-ca4b-3155-bafd-b3e4bfaf3cf7"]},{"id":"ITEM-2","itemData":{"ISSN":"03044076","abstract":"This paper proposes a method for constructing a volatility risk premium, or investor risk aversion, index. The method is intuitive and simple to implement, relying on the sample moments of the recently popularized model-free realized and option-implied volatility measures. A small-scale Monte Carlo experiment confirms that the procedure works well in practice. Implementing the procedure with actual S&amp;P500 option-implied volatilities and high-frequency five-minute-based realized volatilities indicates significant temporal dependencies in the estimated stochastic volatility risk premium, which we in turn relate to a set of macro-finance state variables. We also find that the extracted volatility risk premium helps predict future stock market returns. © 2010 Elsevier B.V. All rights reserved.","author":[{"dropping-particle":"","family":"Bollerslev","given":"Tim","non-dropping-particle":"","parse-names":false,"suffix":""},{"dropping-particle":"","family":"Gibson","given":"Michael","non-dropping-particle":"","parse-names":false,"suffix":""},{"dropping-particle":"","family":"Zhou","given":"Hao","non-dropping-particle":"","parse-names":false,"suffix":""}],"container-title":"Journal of Econometrics","id":"ITEM-2","issue":"1","issued":{"date-parts":[["2011","1","1"]]},"page":"235-245","publisher":"North-Holland","title":"Dynamic estimation of volatility risk premia and investor risk aversion from option-implied and realized volatilities","type":"article-journal","volume":"160"},"uris":["http://www.mendeley.com/documents/?uuid=ca6a5d39-7483-3660-a4aa-80938fbb185e"]},{"id":"ITEM-3","itemData":{"ISSN":"0893-9454","abstract":"Uncertainty plays a key role in economics, finance, and decision sciences. Financial markets, in particular derivative markets, provide fertile ground for understanding how perceptions of economic uncertainty and cash-flow risk manifest themselves in asset prices. We demonstrate that the variance premium, defined as the difference between the squared VIX index and expected realized variance, captures attitudes toward uncertainty. We show conditions under which the variance premium displays significant time variation and return predictability. A calibrated, generalized long-run risks model generates a variance premium with time variation and return predictability that is consistent with the data, while simultaneously matching the levels and volatilities of the market return and risk-free rate. Our evidence indicates an important role for transient non-Gaussian shocks to fundamentals that affect agents' views of economic uncertainty and prices. © The Author 2010.","author":[{"dropping-particle":"","family":"Drechsler","given":"Itamar","non-dropping-particle":"","parse-names":false,"suffix":""},{"dropping-particle":"","family":"Yaron","given":"Amir","non-dropping-particle":"","parse-names":false,"suffix":""}],"container-title":"Review of Financial Studies","id":"ITEM-3","issue":"1","issued":{"date-parts":[["2011","1","1"]]},"page":"1-45","publisher":"Oxford Academic","title":"What's vol got to do with it","type":"article-journal","volume":"24"},"uris":["http://www.mendeley.com/documents/?uuid=5678d2c9-a394-3c94-b405-0115086bc06a"]},{"id":"ITEM-4","itemData":{"ISSN":"17566916","abstract":"Recent empirical evidence suggests that the variance risk premium predicts aggregate stock market returns. We demonstrate that statistical finite sample biases cannot \"explain\" this apparent predictability. Further corroborating the existing evidence of the United States, we show that country-specific regressions for France, Germany, Japan, Switzerland, the Netherlands, Belgium, and the United Kingdom result in quite similar patterns. Defining a \"global\" variance risk premium, we uncover even stronger predictability and almost identical cross-country patterns through the use of panel regressions.","author":[{"dropping-particle":"","family":"Bollerslev","given":"Tim","non-dropping-particle":"","parse-names":false,"suffix":""},{"dropping-particle":"","family":"Marrone","given":"James","non-dropping-particle":"","parse-names":false,"suffix":""},{"dropping-particle":"","family":"Xu","given":"Lai","non-dropping-particle":"","parse-names":false,"suffix":""},{"dropping-particle":"","family":"Zhou","given":"Hao","non-dropping-particle":"","parse-names":false,"suffix":""}],"container-title":"Journal of Financial and Quantitative Analysis","id":"ITEM-4","issue":"3","issued":{"date-parts":[["2014","2","26"]]},"page":"633-661","publisher":"Cambridge University Press","title":"Stock return predictability and variance risk premia: Statistical inference and international evidence","type":"article-journal","volume":"49"},"uris":["http://www.mendeley.com/documents/?uuid=1b33f60e-8b18-3d66-b8bb-7b425f080c0e"]},{"id":"ITEM-5","itemData":{"ISSN":"1479-8409","abstract":"We propose a new decomposition of the variance risk premium (VRP) in terms of upside and downside VRPs. These components reflect market compensation for changes in good and bad uncertainties. Empirically, we establish that the downside VRP is the main component of the VRP. We find a positive and significant link between the downside VRP and the equity premium, and a negative but statistically insignificant link between the upside VRP and the equity premium. The opposite relationships between these two components and the equity premium explains the stronger link found between the downside VRP and the equity premium compared with the well-established relationship between VRP and the equity premium. A simple equilibrium consumption-based asset pricing model, fitted to the U.S. data, supports our decomposition.","author":[{"dropping-particle":"","family":"Feunou","given":"Bruno","non-dropping-particle":"","parse-names":false,"suffix":""},{"dropping-particle":"","family":"Jahan-Parvar","given":"Mohammad R","non-dropping-particle":"","parse-names":false,"suffix":""},{"dropping-particle":"","family":"Okou","given":"Cédric","non-dropping-particle":"","parse-names":false,"suffix":""}],"container-title":"Journal of Financial Econometrics","id":"ITEM-5","issue":"3","issued":{"date-parts":[["2018","6","1"]]},"page":"341-383","publisher":"Oxford University Press","title":"Downside variance risk premium","type":"article-journal","volume":"16"},"uris":["http://www.mendeley.com/documents/?uuid=4751c705-b3b2-3dff-bb25-bf3a6da47fe2"]},{"id":"ITEM-6","itemData":{"ISSN":"18726895","abstract":"The literature documents a significantly negative average variance swap payoff (VSP) for the S&amp;P 500 index but generally not for the constituent stocks. We show that this result is affected by biases arising from (i) an intraday momentum effect and (ii) the use of an incoherent measure of return variation. Accounting for these issues, we find stronger evidence of a significant average VSP both at the index level and also for equities. We decompose the index variance risk premium (VRP) into factors related to the VRP of equities and the correlation risk premium (CRP) and assess their predictive power for aggregate stock returns.","author":[{"dropping-particle":"","family":"Hollstein","given":"Fabian","non-dropping-particle":"","parse-names":false,"suffix":""},{"dropping-particle":"","family":"Simen","given":"Chardin Wese","non-dropping-particle":"","parse-names":false,"suffix":""}],"container-title":"Journal of Econometrics","id":"ITEM-6","issue":"2","issued":{"date-parts":[["2020"]]},"page":"517-535","publisher":"Elsevier B.V.","title":"Variance risk: A bird's eye view","type":"article-journal","volume":"215"},"uris":["http://www.mendeley.com/documents/?uuid=b9cca2e9-a27c-41ec-ac25-2ce83b642e19"]}],"mendeley":{"formattedCitation":"(Bollerslev et al. 2009, 2011, 2014; Drechsler and Yaron 2011; Feunou et al. 2018; Hollstein and Simen 2020)","manualFormatting":"(e.g., Bollerslev et al. 2009, 2011, 2014; Drechsler and Yaron 2011; Feunou et al. 2018; Hollstein and Simen 2020)","plainTextFormattedCitation":"(Bollerslev et al. 2009, 2011, 2014; Drechsler and Yaron 2011; Feunou et al. 2018; Hollstein and Simen 2020)","previouslyFormattedCitation":"(Bollerslev et al. 2009, 2011, 2014; Drechsler and Yaron 2011; Feunou et al. 2018; Hollstein and Simen 2020)"},"properties":{"noteIndex":0},"schema":"https://github.com/citation-style-language/schema/raw/master/csl-citation.json"}</w:instrText>
      </w:r>
      <w:r w:rsidR="00513C23">
        <w:rPr>
          <w:sz w:val="20"/>
          <w:szCs w:val="20"/>
          <w:lang w:val="en-GB" w:eastAsia="zh-CN"/>
        </w:rPr>
        <w:fldChar w:fldCharType="separate"/>
      </w:r>
      <w:r w:rsidR="00513C23" w:rsidRPr="00513C23">
        <w:rPr>
          <w:noProof/>
          <w:sz w:val="20"/>
          <w:szCs w:val="20"/>
          <w:lang w:val="en-GB" w:eastAsia="zh-CN"/>
        </w:rPr>
        <w:t>(</w:t>
      </w:r>
      <w:r w:rsidR="00513C23">
        <w:rPr>
          <w:noProof/>
          <w:sz w:val="20"/>
          <w:szCs w:val="20"/>
          <w:lang w:val="en-GB" w:eastAsia="zh-CN"/>
        </w:rPr>
        <w:t xml:space="preserve">e.g., </w:t>
      </w:r>
      <w:r w:rsidR="00513C23" w:rsidRPr="00513C23">
        <w:rPr>
          <w:noProof/>
          <w:sz w:val="20"/>
          <w:szCs w:val="20"/>
          <w:lang w:val="en-GB" w:eastAsia="zh-CN"/>
        </w:rPr>
        <w:t>Bollerslev et al. 2009, 2011, 2014; Drechsler and Yaron 2011; Feunou et al. 201</w:t>
      </w:r>
      <w:r w:rsidR="00513C23" w:rsidRPr="00F81945">
        <w:rPr>
          <w:noProof/>
          <w:sz w:val="20"/>
          <w:szCs w:val="20"/>
          <w:lang w:val="en-GB" w:eastAsia="zh-CN"/>
        </w:rPr>
        <w:t xml:space="preserve">8; </w:t>
      </w:r>
      <w:r w:rsidR="00513C23" w:rsidRPr="0086345E">
        <w:rPr>
          <w:noProof/>
          <w:sz w:val="20"/>
          <w:szCs w:val="20"/>
          <w:lang w:val="en-GB" w:eastAsia="zh-CN"/>
        </w:rPr>
        <w:t>Hollstein and Simen 2020</w:t>
      </w:r>
      <w:r w:rsidR="00513C23" w:rsidRPr="00513C23">
        <w:rPr>
          <w:noProof/>
          <w:sz w:val="20"/>
          <w:szCs w:val="20"/>
          <w:lang w:val="en-GB" w:eastAsia="zh-CN"/>
        </w:rPr>
        <w:t>)</w:t>
      </w:r>
      <w:r w:rsidR="00513C23">
        <w:rPr>
          <w:sz w:val="20"/>
          <w:szCs w:val="20"/>
          <w:lang w:val="en-GB" w:eastAsia="zh-CN"/>
        </w:rPr>
        <w:fldChar w:fldCharType="end"/>
      </w:r>
      <w:r w:rsidRPr="00CE0DE7">
        <w:rPr>
          <w:sz w:val="20"/>
          <w:szCs w:val="20"/>
          <w:lang w:val="en-GB" w:eastAsia="zh-CN"/>
        </w:rPr>
        <w:t xml:space="preserve">. Theoretically, the VRP is induced by </w:t>
      </w:r>
      <w:r w:rsidR="00C1667D" w:rsidRPr="00CE0DE7">
        <w:rPr>
          <w:sz w:val="20"/>
          <w:szCs w:val="20"/>
          <w:lang w:val="en-GB" w:eastAsia="zh-CN"/>
        </w:rPr>
        <w:t xml:space="preserve">consumption uncertainty </w:t>
      </w:r>
      <w:r w:rsidRPr="00CE0DE7">
        <w:rPr>
          <w:sz w:val="20"/>
          <w:szCs w:val="20"/>
          <w:lang w:val="en-GB" w:eastAsia="zh-CN"/>
        </w:rPr>
        <w:t>related to macroeconomic uncertainty a</w:t>
      </w:r>
      <w:r w:rsidRPr="00CE0DE7">
        <w:rPr>
          <w:sz w:val="20"/>
          <w:szCs w:val="20"/>
          <w:lang w:val="en-GB" w:eastAsia="zh-CN"/>
        </w:rPr>
        <w:t xml:space="preserve">nd can be </w:t>
      </w:r>
      <w:r w:rsidR="00C1667D" w:rsidRPr="00CE0DE7">
        <w:rPr>
          <w:sz w:val="20"/>
          <w:szCs w:val="20"/>
          <w:lang w:val="en-GB" w:eastAsia="zh-CN"/>
        </w:rPr>
        <w:t xml:space="preserve">considered </w:t>
      </w:r>
      <w:r w:rsidRPr="00CE0DE7">
        <w:rPr>
          <w:sz w:val="20"/>
          <w:szCs w:val="20"/>
          <w:lang w:val="en-GB" w:eastAsia="zh-CN"/>
        </w:rPr>
        <w:t>a measure of risk aversion for the representative agent</w:t>
      </w:r>
      <w:r w:rsidR="003D5541" w:rsidRPr="00CE0DE7">
        <w:rPr>
          <w:sz w:val="20"/>
          <w:szCs w:val="20"/>
          <w:lang w:val="en-GB" w:eastAsia="zh-CN"/>
        </w:rPr>
        <w:t xml:space="preserve"> </w:t>
      </w:r>
      <w:r w:rsidR="00C339DB" w:rsidRPr="00CE0DE7">
        <w:rPr>
          <w:sz w:val="20"/>
          <w:szCs w:val="20"/>
          <w:lang w:val="en-GB" w:eastAsia="zh-CN"/>
        </w:rPr>
        <w:fldChar w:fldCharType="begin" w:fldLock="1"/>
      </w:r>
      <w:r w:rsidR="00DC30A0">
        <w:rPr>
          <w:sz w:val="20"/>
          <w:szCs w:val="20"/>
          <w:lang w:val="en-GB" w:eastAsia="zh-CN"/>
        </w:rPr>
        <w:instrText>ADDIN CSL_CITATION {"citationItems":[{"id":"ITEM-1","itemData":{"ISSN":"0304405X","abstract":"This paper investigates the empirical characteristics of investor risk aversion over equity return states by estimating a time-varying pricing kernel, which we call the empirical pricing kernel (EPK). We estimate the EPK on a monthly basis from 1991 to 1995, using S&amp;P 500 index option data and a stochastic volatility model for the S&amp;P 500 return process. We find that the EPK exhibits counter cyclical risk aversion over S&amp;P 500 return states. We also find that hedging performance is significantly improved when we use hedge ratios based the EPK rather than a time-invariant pricing kernel. © 2002 Elsevier Science B.V. All rights reserved.","author":[{"dropping-particle":"V.","family":"Rosenberg","given":"Joshua","non-dropping-particle":"","parse-names":false,"suffix":""},{"dropping-particle":"","family":"Engle","given":"Robert F.","non-dropping-particle":"","parse-names":false,"suffix":""}],"container-title":"Journal of Financial Economics","id":"ITEM-1","issue":"3","issued":{"date-parts":[["2002","6","1"]]},"page":"341-372","publisher":"North-Holland","title":"Empirical pricing kernels","type":"article-journal","volume":"64"},"uris":["http://www.mendeley.com/documents/?uuid=6860a418-16c8-37ac-aab7-6148b6cdfcbd"]},{"id":"ITEM-2","itemData":{"ISSN":"00251909","abstract":"This study formalizes the departure between risk-neutral and physical index return volatilities, termed volatility spreads. Theoretically, the departure between risk-neutral and physical index volatility is connected to the higher-order physical return moments and the parameters of the pricing kernel process. This theory predicts positive volatility spreads when investors are risk averse, and when the physical index distribution is negatively skewed and leptokurtic. Our empirical evidence is supportive of the theoretical implications of risk aversion, exposure to tail events, and fatter left-tails of the physical index distribution in markets where volatility is traded. © 2006 INFORMS.","author":[{"dropping-particle":"","family":"Bakshi","given":"Gurdip","non-dropping-particle":"","parse-names":false,"suffix":""},{"dropping-particle":"","family":"Madan","given":"Dilip","non-dropping-particle":"","parse-names":false,"suffix":""}],"container-title":"Management Science","id":"ITEM-2","issue":"12","issued":{"date-parts":[["2006","12","1"]]},"page":"1945-1956","publisher":"INFORMS","title":"A theory of volatility spreads","type":"article-journal","volume":"52"},"uris":["http://www.mendeley.com/documents/?uuid=378e2283-b4b5-3557-aab4-2479efbdeea6"]},{"id":"ITEM-3","itemData":{"ISSN":"17566916","abstract":"Recent empirical evidence suggests that the variance risk premium predicts aggregate stock market returns. We demonstrate that statistical finite sample biases cannot \"explain\" this apparent predictability. Further corroborating the existing evidence of the United States, we show that country-specific regressions for France, Germany, Japan, Switzerland, the Netherlands, Belgium, and the United Kingdom result in quite similar patterns. Defining a \"global\" variance risk premium, we uncover even stronger predictability and almost identical cross-country patterns through the use of panel regressions.","author":[{"dropping-particle":"","family":"Bollerslev","given":"Tim","non-dropping-particle":"","parse-names":false,"suffix":""},{"dropping-particle":"","family":"Marrone","given":"James","non-dropping-particle":"","parse-names":false,"suffix":""},{"dropping-particle":"","family":"Xu","given":"Lai","non-dropping-particle":"","parse-names":false,"suffix":""},{"dropping-particle":"","family":"Zhou","given":"Hao","non-dropping-particle":"","parse-names":false,"suffix":""}],"container-title":"Journal of Financial and Quantitative Analysis","id":"ITEM-3","issue":"3","issued":{"date-parts":[["2014","2","26"]]},"page":"633-661","publisher":"Cambridge University Press","title":"Stock return predictability and variance risk premia: Statistical inference and international evidence","type":"article-journal","volume":"49"},"uris":["http://www.mendeley.com/documents/?uuid=1b33f60e-8b18-3d66-b8bb-7b425f080c0e"]}],"mendeley":{"formattedCitation":"(Rosenberg and Engle 2002; Bakshi and Madan 2006; Bollerslev et al. 2014)","plainTextFormattedCitation":"(Rosenberg and Engle 2002; Bakshi and Madan 2006; Bollerslev et al. 2014)","previouslyFormattedCitation":"(Rosenberg and Engle 2002; Bakshi and Madan 2006; Bollerslev et al. 2014)"},"properties":{"noteIndex":0},"schema":"https://github.com/citation-style-language/schema/raw/master/csl-citation.json"}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(Rosenberg and Engle 2002; Bakshi and Madan 2006; Bollerslev et al. 2014)</w:t>
      </w:r>
      <w:r w:rsidR="00C339DB" w:rsidRPr="00CE0DE7">
        <w:rPr>
          <w:sz w:val="20"/>
          <w:szCs w:val="20"/>
          <w:lang w:val="en-GB" w:eastAsia="zh-CN"/>
        </w:rPr>
        <w:fldChar w:fldCharType="end"/>
      </w:r>
      <w:r w:rsidRPr="00CE0DE7">
        <w:rPr>
          <w:sz w:val="20"/>
          <w:szCs w:val="20"/>
          <w:lang w:val="en-GB" w:eastAsia="zh-CN"/>
        </w:rPr>
        <w:t>.</w:t>
      </w:r>
      <w:r w:rsidR="00C75C81" w:rsidRPr="00CE0DE7">
        <w:rPr>
          <w:sz w:val="20"/>
          <w:szCs w:val="20"/>
          <w:lang w:val="en-GB" w:eastAsia="zh-CN"/>
        </w:rPr>
        <w:t xml:space="preserve"> Hence, it is priced in asset returns.</w:t>
      </w:r>
      <w:r w:rsidRPr="00CE0DE7">
        <w:rPr>
          <w:sz w:val="20"/>
          <w:szCs w:val="20"/>
          <w:lang w:val="en-GB" w:eastAsia="zh-CN"/>
        </w:rPr>
        <w:t xml:space="preserve"> </w:t>
      </w:r>
      <w:r w:rsidR="00C1667D" w:rsidRPr="00CE0DE7">
        <w:rPr>
          <w:sz w:val="20"/>
          <w:szCs w:val="20"/>
          <w:lang w:val="en-GB" w:eastAsia="zh-CN"/>
        </w:rPr>
        <w:t xml:space="preserve">         </w:t>
      </w:r>
    </w:p>
    <w:p w14:paraId="05D00CDA" w14:textId="3A7933FC" w:rsidR="00D60516" w:rsidRPr="00CE0DE7" w:rsidRDefault="001F391B" w:rsidP="00BD081C">
      <w:pPr>
        <w:spacing w:line="480" w:lineRule="auto"/>
        <w:ind w:firstLine="425"/>
        <w:jc w:val="both"/>
        <w:rPr>
          <w:sz w:val="20"/>
          <w:szCs w:val="20"/>
          <w:lang w:val="en-GB" w:eastAsia="zh-CN"/>
        </w:rPr>
      </w:pPr>
      <w:r w:rsidRPr="00CE0DE7">
        <w:rPr>
          <w:sz w:val="20"/>
          <w:szCs w:val="20"/>
          <w:lang w:val="en-GB" w:eastAsia="zh-CN"/>
        </w:rPr>
        <w:t xml:space="preserve">With regard to the </w:t>
      </w:r>
      <w:r w:rsidR="00C4414A" w:rsidRPr="00CE0DE7">
        <w:rPr>
          <w:sz w:val="20"/>
          <w:szCs w:val="20"/>
          <w:lang w:val="en-GB" w:eastAsia="zh-CN"/>
        </w:rPr>
        <w:t xml:space="preserve">relation between the </w:t>
      </w:r>
      <w:r w:rsidRPr="00CE0DE7">
        <w:rPr>
          <w:sz w:val="20"/>
          <w:szCs w:val="20"/>
          <w:lang w:val="en-GB" w:eastAsia="zh-CN"/>
        </w:rPr>
        <w:t xml:space="preserve">VRP and liquidity, </w:t>
      </w:r>
      <w:r w:rsidR="0026110C" w:rsidRPr="00CE0DE7">
        <w:rPr>
          <w:sz w:val="20"/>
          <w:szCs w:val="20"/>
          <w:lang w:val="en-GB" w:eastAsia="zh-CN"/>
        </w:rPr>
        <w:t>the literature document</w:t>
      </w:r>
      <w:r w:rsidRPr="00CE0DE7">
        <w:rPr>
          <w:sz w:val="20"/>
          <w:szCs w:val="20"/>
          <w:lang w:val="en-GB" w:eastAsia="zh-CN"/>
        </w:rPr>
        <w:t>s</w:t>
      </w:r>
      <w:r w:rsidR="0026110C" w:rsidRPr="00CE0DE7">
        <w:rPr>
          <w:sz w:val="20"/>
          <w:szCs w:val="20"/>
          <w:lang w:val="en-GB" w:eastAsia="zh-CN"/>
        </w:rPr>
        <w:t xml:space="preserve"> </w:t>
      </w:r>
      <w:r w:rsidRPr="00CE0DE7">
        <w:rPr>
          <w:sz w:val="20"/>
          <w:szCs w:val="20"/>
          <w:lang w:val="en-GB" w:eastAsia="zh-CN"/>
        </w:rPr>
        <w:t xml:space="preserve">an impact of the VRP on liquidity </w:t>
      </w:r>
      <w:r w:rsidR="00A242C8" w:rsidRPr="00CE0DE7">
        <w:rPr>
          <w:sz w:val="20"/>
          <w:szCs w:val="20"/>
          <w:lang w:val="en-GB" w:eastAsia="zh-CN"/>
        </w:rPr>
        <w:t xml:space="preserve">mainly </w:t>
      </w:r>
      <w:r w:rsidR="005452F0" w:rsidRPr="00CE0DE7">
        <w:rPr>
          <w:sz w:val="20"/>
          <w:szCs w:val="20"/>
          <w:lang w:val="en-GB" w:eastAsia="zh-CN"/>
        </w:rPr>
        <w:t>via</w:t>
      </w:r>
      <w:r w:rsidRPr="00CE0DE7">
        <w:rPr>
          <w:sz w:val="20"/>
          <w:szCs w:val="20"/>
          <w:lang w:val="en-GB" w:eastAsia="zh-CN"/>
        </w:rPr>
        <w:t xml:space="preserve"> two </w:t>
      </w:r>
      <w:r w:rsidR="00BB531D" w:rsidRPr="00CE0DE7">
        <w:rPr>
          <w:sz w:val="20"/>
          <w:szCs w:val="20"/>
          <w:lang w:val="en-GB" w:eastAsia="zh-CN"/>
        </w:rPr>
        <w:t>economic channels</w:t>
      </w:r>
      <w:r w:rsidRPr="00CE0DE7">
        <w:rPr>
          <w:sz w:val="20"/>
          <w:szCs w:val="20"/>
          <w:lang w:val="en-GB" w:eastAsia="zh-CN"/>
        </w:rPr>
        <w:t xml:space="preserve">: investor risk aversion and macroeconomic uncertainty. </w:t>
      </w:r>
      <w:r w:rsidR="00A242C8" w:rsidRPr="00CE0DE7">
        <w:rPr>
          <w:sz w:val="20"/>
          <w:szCs w:val="20"/>
          <w:lang w:val="en-GB" w:eastAsia="zh-CN"/>
        </w:rPr>
        <w:t xml:space="preserve">On the </w:t>
      </w:r>
      <w:r w:rsidR="00227D91" w:rsidRPr="00CE0DE7">
        <w:rPr>
          <w:sz w:val="20"/>
          <w:szCs w:val="20"/>
          <w:lang w:val="en-GB" w:eastAsia="zh-CN"/>
        </w:rPr>
        <w:t xml:space="preserve">one hand, </w:t>
      </w:r>
      <w:proofErr w:type="spellStart"/>
      <w:r w:rsidR="00D60516" w:rsidRPr="00CE0DE7">
        <w:rPr>
          <w:sz w:val="20"/>
          <w:szCs w:val="20"/>
          <w:lang w:val="en-GB" w:eastAsia="zh-CN"/>
        </w:rPr>
        <w:t>Vayanos</w:t>
      </w:r>
      <w:proofErr w:type="spellEnd"/>
      <w:r w:rsidR="00D60516" w:rsidRPr="00CE0DE7">
        <w:rPr>
          <w:sz w:val="20"/>
          <w:szCs w:val="20"/>
          <w:lang w:val="en-GB" w:eastAsia="zh-CN"/>
        </w:rPr>
        <w:t xml:space="preserve"> and Wang </w:t>
      </w:r>
      <w:r w:rsidR="00C339DB" w:rsidRPr="00CE0DE7">
        <w:rPr>
          <w:sz w:val="20"/>
          <w:szCs w:val="20"/>
          <w:lang w:val="en-GB" w:eastAsia="zh-CN"/>
        </w:rPr>
        <w:fldChar w:fldCharType="begin" w:fldLock="1"/>
      </w:r>
      <w:r w:rsidR="00C339DB" w:rsidRPr="00CE0DE7">
        <w:rPr>
          <w:sz w:val="20"/>
          <w:szCs w:val="20"/>
          <w:lang w:val="en-GB" w:eastAsia="zh-CN"/>
        </w:rPr>
        <w:instrText>ADDIN CSL_CITATION {"citationItems":[{"id":"ITEM-1","itemData":{"ISSN":"0893-9454","abstract":"We analyze how asymmetric information and imperfect competition affect liquidity and asset prices. Our model has three periods: Agents are identical in the first, become heterogeneous and trade in the second, and consume asset payoffs in the third. We show that asymmetric information in the second period raises ex ante expected asset returns in the first, comparing both to the case where all private signals are made public and to that where private signals are not observed. Imperfect competition can instead lower expected returns. Each imperfection can move common measures of illiquidity in opposite directions. © The Author 2011. Published by Oxford University Press on behalf of The Society for Financial Studies. All rights reserved.","author":[{"dropping-particle":"","family":"Vayanos","given":"Dimitri","non-dropping-particle":"","parse-names":false,"suffix":""},{"dropping-particle":"","family":"Wang","given":"Jiang","non-dropping-particle":"","parse-names":false,"suffix":""}],"container-title":"Review of Financial Studies","id":"ITEM-1","issue":"5","issued":{"date-parts":[["2012","5","1"]]},"page":"1339-1365","publisher":"Oxford Academic","title":"Liquidity and asset returns Under asymmetric information and imperfect competition","type":"article-journal","volume":"25"},"suppress-author":1,"uris":["http://www.mendeley.com/documents/?uuid=c06d6347-7e54-384c-b984-98dfe90a35ed"]}],"mendeley":{"formattedCitation":"(2012)","plainTextFormattedCitation":"(2012)","previouslyFormattedCitation":"(2012)"},"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(2012)</w:t>
      </w:r>
      <w:r w:rsidR="00C339DB" w:rsidRPr="00CE0DE7">
        <w:rPr>
          <w:sz w:val="20"/>
          <w:szCs w:val="20"/>
          <w:lang w:val="en-GB" w:eastAsia="zh-CN"/>
        </w:rPr>
        <w:fldChar w:fldCharType="end"/>
      </w:r>
      <w:r w:rsidR="00D60516" w:rsidRPr="00CE0DE7">
        <w:rPr>
          <w:sz w:val="20"/>
          <w:szCs w:val="20"/>
          <w:lang w:val="en-GB" w:eastAsia="zh-CN"/>
        </w:rPr>
        <w:t xml:space="preserve"> </w:t>
      </w:r>
      <w:r w:rsidR="0026110C" w:rsidRPr="00CE0DE7">
        <w:rPr>
          <w:sz w:val="20"/>
          <w:szCs w:val="20"/>
          <w:lang w:val="en-GB" w:eastAsia="zh-CN"/>
        </w:rPr>
        <w:t xml:space="preserve">argue </w:t>
      </w:r>
      <w:r w:rsidR="00D60516" w:rsidRPr="00CE0DE7">
        <w:rPr>
          <w:sz w:val="20"/>
          <w:szCs w:val="20"/>
          <w:lang w:val="en-GB" w:eastAsia="zh-CN"/>
        </w:rPr>
        <w:t xml:space="preserve">that investor risk aversion and asset return volatility </w:t>
      </w:r>
      <w:r w:rsidR="0026110C" w:rsidRPr="00CE0DE7">
        <w:rPr>
          <w:sz w:val="20"/>
          <w:szCs w:val="20"/>
          <w:lang w:val="en-GB" w:eastAsia="zh-CN"/>
        </w:rPr>
        <w:t xml:space="preserve">exhibit </w:t>
      </w:r>
      <w:r w:rsidR="00D60516" w:rsidRPr="00CE0DE7">
        <w:rPr>
          <w:sz w:val="20"/>
          <w:szCs w:val="20"/>
          <w:lang w:val="en-GB" w:eastAsia="zh-CN"/>
        </w:rPr>
        <w:t>nega</w:t>
      </w:r>
      <w:r w:rsidR="00227D91" w:rsidRPr="00CE0DE7">
        <w:rPr>
          <w:sz w:val="20"/>
          <w:szCs w:val="20"/>
          <w:lang w:val="en-GB" w:eastAsia="zh-CN"/>
        </w:rPr>
        <w:t>tive impact on asset liquidity, whereas on the other, Segal</w:t>
      </w:r>
      <w:r w:rsidR="007A49F2" w:rsidRPr="00CE0DE7">
        <w:rPr>
          <w:sz w:val="20"/>
          <w:szCs w:val="20"/>
          <w:lang w:val="en-GB" w:eastAsia="zh-CN"/>
        </w:rPr>
        <w:t xml:space="preserve"> et al. </w:t>
      </w:r>
      <w:r w:rsidR="00C339DB" w:rsidRPr="00CE0DE7">
        <w:rPr>
          <w:sz w:val="20"/>
          <w:szCs w:val="20"/>
          <w:lang w:val="en-GB" w:eastAsia="zh-CN"/>
        </w:rPr>
        <w:fldChar w:fldCharType="begin" w:fldLock="1"/>
      </w:r>
      <w:r w:rsidR="00C339DB" w:rsidRPr="00CE0DE7">
        <w:rPr>
          <w:sz w:val="20"/>
          <w:szCs w:val="20"/>
          <w:lang w:val="en-GB" w:eastAsia="zh-CN"/>
        </w:rPr>
        <w:instrText>ADDIN CSL_CITATION {"citationItems":[{"id":"ITEM-1","itemData":{"ISSN":"0304405X","abstract":"Does macroeconomic uncertainty increase or decrease aggregate growth and asset prices? To address this question, we decompose aggregate uncertainty into 'good' and 'bad' volatility components, associated with positive and negative innovations to macroeconomic growth. We document that in line with our theoretical framework, these two uncertainties have opposite impact on aggregate growth and asset prices. Good uncertainty predicts an increase in future economic activity, such as consumption, output, and investment, and is positively related to valuation ratios, while bad uncertainty forecasts a decline in economic growth and depresses asset prices. Further, the market price of risk and equity beta of good uncertainty are positive, while negative for bad uncertainty. Hence, both uncertainty risks contribute positively to risk premia, and help explain the cross-section of expected returns beyond cash flow risk.","author":[{"dropping-particle":"","family":"Segal","given":"Gill","non-dropping-particle":"","parse-names":false,"suffix":""},{"dropping-particle":"","family":"Shaliastovich","given":"Ivan","non-dropping-particle":"","parse-names":false,"suffix":""},{"dropping-particle":"","family":"Yaron","given":"Amir","non-dropping-particle":"","parse-names":false,"suffix":""}],"container-title":"Journal of Financial Economics","id":"ITEM-1","issue":"2","issued":{"date-parts":[["2015","8","1"]]},"page":"369-397","publisher":"Elsevier B.V.","title":"Good and bad uncertainty: Macroeconomic and financial market implications","type":"article-journal","volume":"117"},"suppress-author":1,"uris":["http://www.mendeley.com/documents/?uuid=80197f1b-91db-311e-ae81-fee266443903"]}],"mendeley":{"formattedCitation":"(2015)","plainTextFormattedCitation":"(2015)","previouslyFormattedCitation":"(2015)"},"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(2015)</w:t>
      </w:r>
      <w:r w:rsidR="00C339DB" w:rsidRPr="00CE0DE7">
        <w:rPr>
          <w:sz w:val="20"/>
          <w:szCs w:val="20"/>
          <w:lang w:val="en-GB" w:eastAsia="zh-CN"/>
        </w:rPr>
        <w:fldChar w:fldCharType="end"/>
      </w:r>
      <w:r w:rsidR="00227D91" w:rsidRPr="00CE0DE7">
        <w:rPr>
          <w:sz w:val="20"/>
          <w:szCs w:val="20"/>
          <w:lang w:val="en-GB" w:eastAsia="zh-CN"/>
        </w:rPr>
        <w:t xml:space="preserve"> </w:t>
      </w:r>
      <w:r w:rsidR="00D60516" w:rsidRPr="00CE0DE7">
        <w:rPr>
          <w:sz w:val="20"/>
          <w:szCs w:val="20"/>
          <w:lang w:val="en-GB" w:eastAsia="zh-CN"/>
        </w:rPr>
        <w:t xml:space="preserve">identify positive and negative innovations to macroeconomic growth as </w:t>
      </w:r>
      <w:r w:rsidR="00D60516" w:rsidRPr="00CE0DE7">
        <w:rPr>
          <w:i/>
          <w:sz w:val="20"/>
          <w:szCs w:val="20"/>
          <w:lang w:val="en-GB" w:eastAsia="zh-CN"/>
        </w:rPr>
        <w:t>good</w:t>
      </w:r>
      <w:r w:rsidR="00D60516" w:rsidRPr="00CE0DE7">
        <w:rPr>
          <w:sz w:val="20"/>
          <w:szCs w:val="20"/>
          <w:lang w:val="en-GB" w:eastAsia="zh-CN"/>
        </w:rPr>
        <w:t xml:space="preserve"> and </w:t>
      </w:r>
      <w:r w:rsidR="00D60516" w:rsidRPr="00CE0DE7">
        <w:rPr>
          <w:i/>
          <w:sz w:val="20"/>
          <w:szCs w:val="20"/>
          <w:lang w:val="en-GB" w:eastAsia="zh-CN"/>
        </w:rPr>
        <w:t>bad</w:t>
      </w:r>
      <w:r w:rsidR="00D60516" w:rsidRPr="00CE0DE7">
        <w:rPr>
          <w:sz w:val="20"/>
          <w:szCs w:val="20"/>
          <w:lang w:val="en-GB" w:eastAsia="zh-CN"/>
        </w:rPr>
        <w:t xml:space="preserve"> macroeconomic uncertainties, </w:t>
      </w:r>
      <w:r w:rsidR="00227D91" w:rsidRPr="00CE0DE7">
        <w:rPr>
          <w:sz w:val="20"/>
          <w:szCs w:val="20"/>
          <w:lang w:val="en-GB" w:eastAsia="zh-CN"/>
        </w:rPr>
        <w:t xml:space="preserve">which </w:t>
      </w:r>
      <w:r w:rsidR="00D60516" w:rsidRPr="00CE0DE7">
        <w:rPr>
          <w:sz w:val="20"/>
          <w:szCs w:val="20"/>
          <w:lang w:val="en-GB" w:eastAsia="zh-CN"/>
        </w:rPr>
        <w:t>not only display opposite effect</w:t>
      </w:r>
      <w:r w:rsidR="00B364A7" w:rsidRPr="00CE0DE7">
        <w:rPr>
          <w:sz w:val="20"/>
          <w:szCs w:val="20"/>
          <w:lang w:val="en-GB" w:eastAsia="zh-CN"/>
        </w:rPr>
        <w:t>s</w:t>
      </w:r>
      <w:r w:rsidR="00D60516" w:rsidRPr="00CE0DE7">
        <w:rPr>
          <w:sz w:val="20"/>
          <w:szCs w:val="20"/>
          <w:lang w:val="en-GB" w:eastAsia="zh-CN"/>
        </w:rPr>
        <w:t xml:space="preserve"> on economic growth and asset prices but also correlate</w:t>
      </w:r>
      <w:r w:rsidR="00402311" w:rsidRPr="00CE0DE7">
        <w:rPr>
          <w:sz w:val="20"/>
          <w:szCs w:val="20"/>
          <w:lang w:val="en-GB" w:eastAsia="zh-CN"/>
        </w:rPr>
        <w:t xml:space="preserve"> with</w:t>
      </w:r>
      <w:r w:rsidR="00D60516" w:rsidRPr="00CE0DE7">
        <w:rPr>
          <w:sz w:val="20"/>
          <w:szCs w:val="20"/>
          <w:lang w:val="en-GB" w:eastAsia="zh-CN"/>
        </w:rPr>
        <w:t xml:space="preserve"> subsequent stock liquidity.</w:t>
      </w:r>
      <w:r w:rsidR="00227D91" w:rsidRPr="00CE0DE7">
        <w:rPr>
          <w:sz w:val="20"/>
          <w:szCs w:val="20"/>
          <w:lang w:val="en-GB" w:eastAsia="zh-CN"/>
        </w:rPr>
        <w:t xml:space="preserve"> Empirically, Chiu </w:t>
      </w:r>
      <w:r w:rsidR="00C339DB" w:rsidRPr="00CE0DE7">
        <w:rPr>
          <w:sz w:val="20"/>
          <w:szCs w:val="20"/>
          <w:lang w:val="en-GB" w:eastAsia="zh-CN"/>
        </w:rPr>
        <w:fldChar w:fldCharType="begin" w:fldLock="1"/>
      </w:r>
      <w:r w:rsidR="00E67DF0" w:rsidRPr="00CE0DE7">
        <w:rPr>
          <w:sz w:val="20"/>
          <w:szCs w:val="20"/>
          <w:lang w:val="en-GB" w:eastAsia="zh-CN"/>
        </w:rPr>
        <w:instrText>ADDIN CSL_CITATION {"citationItems":[{"id":"ITEM-1","itemData":{"ISSN":"15446123","abstract":"In this study we provide evidence regarding the effect of macroeconomic uncertainty on stock market liquidity by analyzing the time-series relation between both types of macroeconomic uncertainty shocks: good and bad uncertainty and various measures of liquidity. Our study also sheds light on whether the impact of macroeconomic uncertainty on liquidity varies with information environment by examining the effects of investor competition over information on the relation between good and bad uncertainty and liquidity in the Taiwan markets. We find that there is a negative (positive) relation between bad (good) uncertainty and the subsequent liquidity of stocks. We also find that the magnitude of the impact of bad uncertainty on stock market liquidity is larger than good uncertainty. On the other side, macroeconomic uncertainty would exerts a larger impact on liquidity when the market is imperfectly competitive.","author":[{"dropping-particle":"","family":"Chiu","given":"Yen Chen","non-dropping-particle":"","parse-names":false,"suffix":""}],"container-title":"Finance Research Letters","id":"ITEM-1","issued":{"date-parts":[["2020","5","1"]]},"page":"101262","publisher":"Elsevier Ltd","title":"Macroeconomic uncertainty, information competition, and liquidity","type":"article-journal","volume":"34"},"suppress-author":1,"uris":["http://www.mendeley.com/documents/?uuid=88b43f44-8df2-332b-ac7a-65ef056d436d"]}],"mendeley":{"formattedCitation":"(2020)","plainTextFormattedCitation":"(2020)","previouslyFormattedCitation":"(2020)"},"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(2020)</w:t>
      </w:r>
      <w:r w:rsidR="00C339DB" w:rsidRPr="00CE0DE7">
        <w:rPr>
          <w:sz w:val="20"/>
          <w:szCs w:val="20"/>
          <w:lang w:val="en-GB" w:eastAsia="zh-CN"/>
        </w:rPr>
        <w:fldChar w:fldCharType="end"/>
      </w:r>
      <w:r w:rsidR="00227D91" w:rsidRPr="00CE0DE7">
        <w:rPr>
          <w:sz w:val="20"/>
          <w:szCs w:val="20"/>
          <w:lang w:val="en-GB" w:eastAsia="zh-CN"/>
        </w:rPr>
        <w:t xml:space="preserve"> and Chung and </w:t>
      </w:r>
      <w:proofErr w:type="spellStart"/>
      <w:r w:rsidR="00227D91" w:rsidRPr="00CE0DE7">
        <w:rPr>
          <w:sz w:val="20"/>
          <w:szCs w:val="20"/>
          <w:lang w:val="en-GB" w:eastAsia="zh-CN"/>
        </w:rPr>
        <w:t>Chuwonganant</w:t>
      </w:r>
      <w:proofErr w:type="spellEnd"/>
      <w:r w:rsidR="00227D91" w:rsidRPr="00CE0DE7">
        <w:rPr>
          <w:sz w:val="20"/>
          <w:szCs w:val="20"/>
          <w:lang w:val="en-GB" w:eastAsia="zh-CN"/>
        </w:rPr>
        <w:t xml:space="preserve"> </w:t>
      </w:r>
      <w:r w:rsidR="00C339DB" w:rsidRPr="00CE0DE7">
        <w:rPr>
          <w:sz w:val="20"/>
          <w:szCs w:val="20"/>
          <w:lang w:val="en-GB" w:eastAsia="zh-CN"/>
        </w:rPr>
        <w:fldChar w:fldCharType="begin" w:fldLock="1"/>
      </w:r>
      <w:r w:rsidR="00E67DF0" w:rsidRPr="00CE0DE7">
        <w:rPr>
          <w:sz w:val="20"/>
          <w:szCs w:val="20"/>
          <w:lang w:val="en-GB" w:eastAsia="zh-CN"/>
        </w:rPr>
        <w:instrText>ADDIN CSL_CITATION {"citationItems":[{"id":"ITEM-1","itemData":{"ISSN":"0304405X","abstract":"In this study we show that market uncertainty [measured by the Chicago Board Options Exchange Market Volatility Index (VIX)] exerts a large market-wide impact on liquidity, which gives rise to co-movements in individual asset liquidity. The effect of VIX on stock liquidity is greater than the combined effects of all other common determinants of stock liquidity. We show that the uncertainty elasticity of liquidity (UEL: percent change in liquidity given a 1% change in VIX) has increased around regulatory changes in the US markets that increased the role of public traders in liquidity provision, reduced the minimum allowable price variation, weakened the affirmative obligation of NASDAQ dealers, and abolished the specialist system on the NYSE. © 2014 Elsevier B.V.","author":[{"dropping-particle":"","family":"Chung","given":"Kee H.","non-dropping-particle":"","parse-names":false,"suffix":""},{"dropping-particle":"","family":"Chuwonganant","given":"Chairat","non-dropping-particle":"","parse-names":false,"suffix":""}],"container-title":"Journal of Financial Economics","id":"ITEM-1","issue":"3","issued":{"date-parts":[["2014","9","1"]]},"page":"476-499","publisher":"Elsevier","title":"Uncertainty, market structure, and liquidity","type":"article-journal","volume":"113"},"suppress-author":1,"uris":["http://www.mendeley.com/documents/?uuid=2fb8e6f0-0787-3423-9bc1-164dbeca43f9"]}],"mendeley":{"formattedCitation":"(2014)","plainTextFormattedCitation":"(2014)","previouslyFormattedCitation":"(2014)"},"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(2014)</w:t>
      </w:r>
      <w:r w:rsidR="00C339DB" w:rsidRPr="00CE0DE7">
        <w:rPr>
          <w:sz w:val="20"/>
          <w:szCs w:val="20"/>
          <w:lang w:val="en-GB" w:eastAsia="zh-CN"/>
        </w:rPr>
        <w:fldChar w:fldCharType="end"/>
      </w:r>
      <w:r w:rsidR="00227D91" w:rsidRPr="00CE0DE7">
        <w:rPr>
          <w:sz w:val="20"/>
          <w:szCs w:val="20"/>
          <w:lang w:val="en-GB" w:eastAsia="zh-CN"/>
        </w:rPr>
        <w:t xml:space="preserve"> show that uncertainty is an essential determinant of stock liquidity.</w:t>
      </w:r>
    </w:p>
    <w:p w14:paraId="4AC5BF25" w14:textId="4C2ECCF2" w:rsidR="009B2D08" w:rsidRPr="00CE0DE7" w:rsidRDefault="009B2D08" w:rsidP="00BD081C">
      <w:pPr>
        <w:spacing w:line="480" w:lineRule="auto"/>
        <w:ind w:firstLine="425"/>
        <w:jc w:val="both"/>
        <w:rPr>
          <w:sz w:val="20"/>
          <w:szCs w:val="20"/>
          <w:lang w:val="en-GB" w:eastAsia="zh-CN"/>
        </w:rPr>
      </w:pPr>
      <w:r w:rsidRPr="00CE0DE7">
        <w:rPr>
          <w:sz w:val="20"/>
          <w:szCs w:val="20"/>
          <w:lang w:val="en-GB" w:eastAsia="zh-CN"/>
        </w:rPr>
        <w:t xml:space="preserve">Motivated by these </w:t>
      </w:r>
      <w:r w:rsidR="00D44C12" w:rsidRPr="00CE0DE7">
        <w:rPr>
          <w:sz w:val="20"/>
          <w:szCs w:val="20"/>
          <w:lang w:val="en-GB" w:eastAsia="zh-CN"/>
        </w:rPr>
        <w:t>strands of the literature</w:t>
      </w:r>
      <w:r w:rsidRPr="00CE0DE7">
        <w:rPr>
          <w:sz w:val="20"/>
          <w:szCs w:val="20"/>
          <w:lang w:val="en-GB" w:eastAsia="zh-CN"/>
        </w:rPr>
        <w:t xml:space="preserve">, </w:t>
      </w:r>
      <w:r w:rsidR="00CE722E" w:rsidRPr="00CE0DE7">
        <w:rPr>
          <w:sz w:val="20"/>
          <w:szCs w:val="20"/>
          <w:lang w:val="en-GB" w:eastAsia="zh-CN"/>
        </w:rPr>
        <w:t xml:space="preserve">in this paper </w:t>
      </w:r>
      <w:r w:rsidRPr="00CE0DE7">
        <w:rPr>
          <w:sz w:val="20"/>
          <w:szCs w:val="20"/>
          <w:lang w:val="en-GB" w:eastAsia="zh-CN"/>
        </w:rPr>
        <w:t>we focus on the relation</w:t>
      </w:r>
      <w:r w:rsidR="00AF1F4D" w:rsidRPr="00CE0DE7">
        <w:rPr>
          <w:sz w:val="20"/>
          <w:szCs w:val="20"/>
          <w:lang w:val="en-GB" w:eastAsia="zh-CN"/>
        </w:rPr>
        <w:t>s</w:t>
      </w:r>
      <w:r w:rsidRPr="00CE0DE7">
        <w:rPr>
          <w:sz w:val="20"/>
          <w:szCs w:val="20"/>
          <w:lang w:val="en-GB" w:eastAsia="zh-CN"/>
        </w:rPr>
        <w:t xml:space="preserve"> between the VRP, stock returns, and liquidity. In particular, we are interested in exploring the direct impact of the VRP on asset returns and liquidity, and the causal relation between stock returns and liquidity. To address these </w:t>
      </w:r>
      <w:r w:rsidR="003D5541" w:rsidRPr="00CE0DE7">
        <w:rPr>
          <w:sz w:val="20"/>
          <w:szCs w:val="20"/>
          <w:lang w:val="en-GB" w:eastAsia="zh-CN"/>
        </w:rPr>
        <w:t xml:space="preserve">research </w:t>
      </w:r>
      <w:r w:rsidRPr="00CE0DE7">
        <w:rPr>
          <w:sz w:val="20"/>
          <w:szCs w:val="20"/>
          <w:lang w:val="en-GB" w:eastAsia="zh-CN"/>
        </w:rPr>
        <w:t xml:space="preserve">questions, we adopt the Toda-Yamamoto Granger non-causality test </w:t>
      </w:r>
      <w:r w:rsidR="00C339DB" w:rsidRPr="00CE0DE7">
        <w:rPr>
          <w:sz w:val="20"/>
          <w:szCs w:val="20"/>
          <w:lang w:val="en-GB" w:eastAsia="zh-CN"/>
        </w:rPr>
        <w:fldChar w:fldCharType="begin" w:fldLock="1"/>
      </w:r>
      <w:r w:rsidR="00C339DB" w:rsidRPr="00CE0DE7">
        <w:rPr>
          <w:sz w:val="20"/>
          <w:szCs w:val="20"/>
          <w:lang w:val="en-GB" w:eastAsia="zh-CN"/>
        </w:rPr>
        <w:instrText>ADDIN CSL_CITATION {"citationItems":[{"id":"ITEM-1","itemData":{"ISSN":"03044076","abstract":"This paper shows how we can estimate VAR's formulated in levels and test general restrictions on the parameter matrices even if the processes may be integrated or cointegrated of an arbitrary order. We can apply a usual lag selection procedure to a possibly integrated or cointegrated VAR since the standard asymptotic theory is valid (as far as the order of integration of the process does not exceed the true lag length of the model). Having determined a lag length k, we then estimate a (k + dmax)th-order VAR where dmax is the maximal order of integration that we suspect might occur in the process. The coefficient matrices of the last dmax lagged vectors in the model are ignored (since these are regarded as zeros), and we can test linear or nonlinear restrictions on the first k coefficient matrices using the standard asymptotic theory. © 1995.","author":[{"dropping-particle":"","family":"Toda","given":"Hiro Y.","non-dropping-particle":"","parse-names":false,"suffix":""},{"dropping-particle":"","family":"Yamamoto","given":"Taku","non-dropping-particle":"","parse-names":false,"suffix":""}],"container-title":"Journal of Econometrics","id":"ITEM-1","issue":"1-2","issued":{"date-parts":[["1995","3","1"]]},"page":"225-250","publisher":"North-Holland","title":"Statistical inference in vector autoregressions with possibly integrated processes","type":"article-journal","volume":"66"},"uris":["http://www.mendeley.com/documents/?uuid=78157296-e08b-3da5-9466-5fcaebe639ff"]}],"mendeley":{"formattedCitation":"(Toda and Yamamoto 1995)","plainTextFormattedCitation":"(Toda and Yamamoto 1995)","previouslyFormattedCitation":"(Toda and Yamamoto 1995)"},"properties":{"noteIndex":0},"schema":"https://github.com/citation-style-language/schema/raw/master/csl-citation.json"}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(Toda and Yamamoto 1995)</w:t>
      </w:r>
      <w:r w:rsidR="00C339DB" w:rsidRPr="00CE0DE7">
        <w:rPr>
          <w:sz w:val="20"/>
          <w:szCs w:val="20"/>
          <w:lang w:val="en-GB" w:eastAsia="zh-CN"/>
        </w:rPr>
        <w:fldChar w:fldCharType="end"/>
      </w:r>
      <w:r w:rsidRPr="00CE0DE7">
        <w:rPr>
          <w:sz w:val="20"/>
          <w:szCs w:val="20"/>
          <w:lang w:val="en-GB" w:eastAsia="zh-CN"/>
        </w:rPr>
        <w:t xml:space="preserve"> with </w:t>
      </w:r>
      <w:r w:rsidR="0087708C" w:rsidRPr="00CE0DE7">
        <w:rPr>
          <w:sz w:val="20"/>
          <w:szCs w:val="20"/>
          <w:lang w:val="en-GB" w:eastAsia="zh-CN"/>
        </w:rPr>
        <w:t>tri</w:t>
      </w:r>
      <w:r w:rsidR="00EA5C36" w:rsidRPr="00CE0DE7">
        <w:rPr>
          <w:sz w:val="20"/>
          <w:szCs w:val="20"/>
          <w:lang w:val="en-GB" w:eastAsia="zh-CN"/>
        </w:rPr>
        <w:t>-</w:t>
      </w:r>
      <w:r w:rsidRPr="00CE0DE7">
        <w:rPr>
          <w:sz w:val="20"/>
          <w:szCs w:val="20"/>
          <w:lang w:val="en-GB" w:eastAsia="zh-CN"/>
        </w:rPr>
        <w:t xml:space="preserve">variate and </w:t>
      </w:r>
      <w:r w:rsidR="0087708C" w:rsidRPr="00CE0DE7">
        <w:rPr>
          <w:sz w:val="20"/>
          <w:szCs w:val="20"/>
          <w:lang w:val="en-GB" w:eastAsia="zh-CN"/>
        </w:rPr>
        <w:t>b</w:t>
      </w:r>
      <w:r w:rsidRPr="00CE0DE7">
        <w:rPr>
          <w:sz w:val="20"/>
          <w:szCs w:val="20"/>
          <w:lang w:val="en-GB" w:eastAsia="zh-CN"/>
        </w:rPr>
        <w:t>i</w:t>
      </w:r>
      <w:r w:rsidR="00EA5C36" w:rsidRPr="00CE0DE7">
        <w:rPr>
          <w:sz w:val="20"/>
          <w:szCs w:val="20"/>
          <w:lang w:val="en-GB" w:eastAsia="zh-CN"/>
        </w:rPr>
        <w:t>-</w:t>
      </w:r>
      <w:r w:rsidRPr="00CE0DE7">
        <w:rPr>
          <w:sz w:val="20"/>
          <w:szCs w:val="20"/>
          <w:lang w:val="en-GB" w:eastAsia="zh-CN"/>
        </w:rPr>
        <w:t>variate vector autoregression</w:t>
      </w:r>
      <w:r w:rsidR="00CE722E" w:rsidRPr="00CE0DE7">
        <w:rPr>
          <w:sz w:val="20"/>
          <w:szCs w:val="20"/>
          <w:lang w:val="en-GB" w:eastAsia="zh-CN"/>
        </w:rPr>
        <w:t>s</w:t>
      </w:r>
      <w:r w:rsidRPr="00CE0DE7">
        <w:rPr>
          <w:sz w:val="20"/>
          <w:szCs w:val="20"/>
          <w:lang w:val="en-GB" w:eastAsia="zh-CN"/>
        </w:rPr>
        <w:t xml:space="preserve"> (VAR). This non-causality test provides valid statistics irrespective of whether the time series are integrated or co-integrated. </w:t>
      </w:r>
      <w:bookmarkStart w:id="0" w:name="_Hlk47712556"/>
      <w:r w:rsidR="0087708C" w:rsidRPr="00CE0DE7">
        <w:rPr>
          <w:sz w:val="20"/>
          <w:szCs w:val="20"/>
          <w:lang w:val="en-GB" w:eastAsia="zh-CN"/>
        </w:rPr>
        <w:t xml:space="preserve">Moreover, </w:t>
      </w:r>
      <w:r w:rsidR="00FB4915" w:rsidRPr="00CE0DE7">
        <w:rPr>
          <w:sz w:val="20"/>
          <w:szCs w:val="20"/>
          <w:lang w:val="en-GB" w:eastAsia="zh-CN"/>
        </w:rPr>
        <w:t>it</w:t>
      </w:r>
      <w:r w:rsidR="0087708C" w:rsidRPr="00CE0DE7">
        <w:rPr>
          <w:sz w:val="20"/>
          <w:szCs w:val="20"/>
          <w:lang w:val="en-GB" w:eastAsia="zh-CN"/>
        </w:rPr>
        <w:t xml:space="preserve"> allows</w:t>
      </w:r>
      <w:r w:rsidRPr="00CE0DE7">
        <w:rPr>
          <w:sz w:val="20"/>
          <w:szCs w:val="20"/>
          <w:lang w:val="en-GB" w:eastAsia="zh-CN"/>
        </w:rPr>
        <w:t xml:space="preserve"> variables </w:t>
      </w:r>
      <w:r w:rsidR="0087708C" w:rsidRPr="00CE0DE7">
        <w:rPr>
          <w:sz w:val="20"/>
          <w:szCs w:val="20"/>
          <w:lang w:val="en-GB" w:eastAsia="zh-CN"/>
        </w:rPr>
        <w:t xml:space="preserve">to be </w:t>
      </w:r>
      <w:r w:rsidRPr="00CE0DE7">
        <w:rPr>
          <w:sz w:val="20"/>
          <w:szCs w:val="20"/>
          <w:lang w:val="en-GB" w:eastAsia="zh-CN"/>
        </w:rPr>
        <w:t xml:space="preserve">employed in their levels, </w:t>
      </w:r>
      <w:bookmarkEnd w:id="0"/>
      <w:r w:rsidR="00FB4915" w:rsidRPr="00CE0DE7">
        <w:rPr>
          <w:sz w:val="20"/>
          <w:szCs w:val="20"/>
          <w:lang w:val="en-GB" w:eastAsia="zh-CN"/>
        </w:rPr>
        <w:t>a</w:t>
      </w:r>
      <w:r w:rsidRPr="00CE0DE7">
        <w:rPr>
          <w:sz w:val="20"/>
          <w:szCs w:val="20"/>
          <w:lang w:val="en-GB" w:eastAsia="zh-CN"/>
        </w:rPr>
        <w:t>void</w:t>
      </w:r>
      <w:r w:rsidR="00FB4915" w:rsidRPr="00CE0DE7">
        <w:rPr>
          <w:sz w:val="20"/>
          <w:szCs w:val="20"/>
          <w:lang w:val="en-GB" w:eastAsia="zh-CN"/>
        </w:rPr>
        <w:t>ing</w:t>
      </w:r>
      <w:r w:rsidRPr="00CE0DE7">
        <w:rPr>
          <w:sz w:val="20"/>
          <w:szCs w:val="20"/>
          <w:lang w:val="en-GB" w:eastAsia="zh-CN"/>
        </w:rPr>
        <w:t xml:space="preserve"> </w:t>
      </w:r>
      <w:r w:rsidRPr="00CE0DE7">
        <w:rPr>
          <w:sz w:val="20"/>
          <w:szCs w:val="20"/>
          <w:lang w:val="en-GB" w:eastAsia="zh-CN"/>
        </w:rPr>
        <w:lastRenderedPageBreak/>
        <w:t xml:space="preserve">potential information </w:t>
      </w:r>
      <w:r w:rsidR="003D5541" w:rsidRPr="00CE0DE7">
        <w:rPr>
          <w:sz w:val="20"/>
          <w:szCs w:val="20"/>
          <w:lang w:val="en-GB" w:eastAsia="zh-CN"/>
        </w:rPr>
        <w:t xml:space="preserve">loss due to </w:t>
      </w:r>
      <w:r w:rsidR="00CE722E" w:rsidRPr="00CE0DE7">
        <w:rPr>
          <w:sz w:val="20"/>
          <w:szCs w:val="20"/>
        </w:rPr>
        <w:t>data</w:t>
      </w:r>
      <w:r w:rsidR="00CE722E" w:rsidRPr="00CE0DE7">
        <w:rPr>
          <w:sz w:val="20"/>
          <w:szCs w:val="20"/>
          <w:lang w:eastAsia="zh-CN"/>
        </w:rPr>
        <w:t xml:space="preserve"> </w:t>
      </w:r>
      <w:r w:rsidRPr="00CE0DE7">
        <w:rPr>
          <w:sz w:val="20"/>
          <w:szCs w:val="20"/>
          <w:lang w:val="en-GB" w:eastAsia="zh-CN"/>
        </w:rPr>
        <w:t xml:space="preserve">differencing </w:t>
      </w:r>
      <w:r w:rsidR="00C339DB" w:rsidRPr="00CE0DE7">
        <w:rPr>
          <w:sz w:val="20"/>
          <w:szCs w:val="20"/>
          <w:lang w:val="en-GB" w:eastAsia="zh-CN"/>
        </w:rPr>
        <w:fldChar w:fldCharType="begin" w:fldLock="1"/>
      </w:r>
      <w:r w:rsidR="008648CB" w:rsidRPr="00CE0DE7">
        <w:rPr>
          <w:sz w:val="20"/>
          <w:szCs w:val="20"/>
          <w:lang w:val="en-GB" w:eastAsia="zh-CN"/>
        </w:rPr>
        <w:instrText>ADDIN CSL_CITATION {"citationItems":[{"id":"ITEM-1","itemData":{"author":[{"dropping-particle":"","family":"Alexander","given":"Carol","non-dropping-particle":"","parse-names":false,"suffix":""}],"edition":"1st","id":"ITEM-1","issued":{"date-parts":[["2001"]]},"publisher":"John Wiley &amp; Sons","publisher-place":"Chichester","title":"Market Models: A Guide to Financial Data Analysis","type":"book"},"uris":["http://www.mendeley.com/documents/?uuid=ea1e3bd1-cfb7-3b50-944a-3d573d50a150"]},{"id":"ITEM-2","itemData":{"ISSN":"00954918","abstract":"1. Marcos López de Prado 1. is a research fellow at Lawrence Berkeley National Laboratory in Berkeley, CA. (lopezdeprado{at}lbl.gov) &lt;!-- --&gt; 1. To order reprints of this article, please contact David Rowe at drowe{at}iijournals.com or 212-224-3045. The rate of failure in quantitative finance is high, particularly in financial machine learning applications. The few managers who succeed amass a large amount of assets and deliver consistently exceptional performance to their investors. However, that is a rare outcome, for reasons that the author explains in this article. In the author's experience, 10 critical mistakes underlie those failures.","author":[{"dropping-particle":"","family":"Prado","given":"Marcos López","non-dropping-particle":"De","parse-names":false,"suffix":""}],"container-title":"Journal of Portfolio Management","id":"ITEM-2","issue":"6","issued":{"date-parts":[["2018","6","30"]]},"page":"120-133","publisher":"Institutional Investor, Inc","title":"The 10 reasons most machine learning funds fail","type":"article-journal","volume":"44"},"uris":["http://www.mendeley.com/documents/?uuid=111fcbe7-4628-3378-b974-ab70aff9b240"]}],"mendeley":{"formattedCitation":"(Alexander 2001; De Prado 2018)","plainTextFormattedCitation":"(Alexander 2001; De Prado 2018)","previouslyFormattedCitation":"(Alexander 2001; De Prado 2018)"},"properties":{"noteIndex":0},"schema":"https://github.com/citation-style-language/schema/raw/master/csl-citation.json"}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(Alexander 2001; De Prado 2018)</w:t>
      </w:r>
      <w:r w:rsidR="00C339DB" w:rsidRPr="00CE0DE7">
        <w:rPr>
          <w:sz w:val="20"/>
          <w:szCs w:val="20"/>
          <w:lang w:val="en-GB" w:eastAsia="zh-CN"/>
        </w:rPr>
        <w:fldChar w:fldCharType="end"/>
      </w:r>
      <w:r w:rsidRPr="00CE0DE7">
        <w:rPr>
          <w:sz w:val="20"/>
          <w:szCs w:val="20"/>
          <w:lang w:val="en-GB" w:eastAsia="zh-CN"/>
        </w:rPr>
        <w:t xml:space="preserve">. </w:t>
      </w:r>
      <w:r w:rsidR="003D5541" w:rsidRPr="00CE0DE7">
        <w:rPr>
          <w:sz w:val="20"/>
          <w:szCs w:val="20"/>
          <w:lang w:val="en-GB" w:eastAsia="zh-CN"/>
        </w:rPr>
        <w:t>Hence, p</w:t>
      </w:r>
      <w:r w:rsidRPr="00CE0DE7">
        <w:rPr>
          <w:sz w:val="20"/>
          <w:szCs w:val="20"/>
          <w:lang w:val="en-GB" w:eastAsia="zh-CN"/>
        </w:rPr>
        <w:t xml:space="preserve">erforming the Granger non-causality test in the VAR facilitates the analysis of the relation between variables, especially when they exhibit time dependency. Our data are monthly US data on the VRP, stock market returns, and the </w:t>
      </w:r>
      <w:r w:rsidR="003D5541" w:rsidRPr="00CE0DE7">
        <w:rPr>
          <w:sz w:val="20"/>
          <w:szCs w:val="20"/>
          <w:lang w:val="en-GB" w:eastAsia="zh-CN"/>
        </w:rPr>
        <w:t xml:space="preserve">popular </w:t>
      </w:r>
      <w:proofErr w:type="spellStart"/>
      <w:r w:rsidRPr="00CE0DE7">
        <w:rPr>
          <w:sz w:val="20"/>
          <w:szCs w:val="20"/>
          <w:lang w:val="en-GB" w:eastAsia="zh-CN"/>
        </w:rPr>
        <w:t>Amihud</w:t>
      </w:r>
      <w:proofErr w:type="spellEnd"/>
      <w:r w:rsidRPr="00CE0DE7">
        <w:rPr>
          <w:sz w:val="20"/>
          <w:szCs w:val="20"/>
          <w:lang w:val="en-GB" w:eastAsia="zh-CN"/>
        </w:rPr>
        <w:t xml:space="preserve"> </w:t>
      </w:r>
      <w:r w:rsidR="00C339DB" w:rsidRPr="00CE0DE7">
        <w:rPr>
          <w:sz w:val="20"/>
          <w:szCs w:val="20"/>
          <w:lang w:val="en-GB" w:eastAsia="zh-CN"/>
        </w:rPr>
        <w:fldChar w:fldCharType="begin" w:fldLock="1"/>
      </w:r>
      <w:r w:rsidR="00C339DB" w:rsidRPr="00CE0DE7">
        <w:rPr>
          <w:sz w:val="20"/>
          <w:szCs w:val="20"/>
          <w:lang w:val="en-GB" w:eastAsia="zh-CN"/>
        </w:rPr>
        <w:instrText>ADDIN CSL_CITATION {"citationItems":[{"id":"ITEM-1","itemData":{"ISSN":"13864181","abstract":"This paper shows that over time, expected market illiquidity positively affects ex ante stock excess return, suggesting that expected stock excess return partly represents an illiquidity premium. This complements the cross-sectional positive return-illiquidity relationship. Also, stock returns are negatively related over time to contemporaneous unexpected illiquidity. The illiquidity measure here is the average across stocks of the daily ratio of absolute stock return to dollar volume, which is easily obtained from daily stock data for long time series in most stock markets. Illiquidity affects more strongly small firm stocks, thus explaining time series variations in their premiums over time. © 2002 Elsevier Science B.V. All rights reserved.","author":[{"dropping-particle":"","family":"Amihud","given":"Yakov","non-dropping-particle":"","parse-names":false,"suffix":""}],"container-title":"Journal of Financial Markets","id":"ITEM-1","issue":"1","issued":{"date-parts":[["2002","1","1"]]},"page":"31-56","publisher":"North-Holland","title":"Illiquidity and stock returns: Cross-section and time-series effects","type":"article-journal","volume":"5"},"suppress-author":1,"uris":["http://www.mendeley.com/documents/?uuid=1fd709fb-5eb7-3ddf-a3a4-8f8d7a2b0397"]}],"mendeley":{"formattedCitation":"(2002)","plainTextFormattedCitation":"(2002)","previouslyFormattedCitation":"(2002)"},"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(2002)</w:t>
      </w:r>
      <w:r w:rsidR="00C339DB" w:rsidRPr="00CE0DE7">
        <w:rPr>
          <w:sz w:val="20"/>
          <w:szCs w:val="20"/>
          <w:lang w:val="en-GB" w:eastAsia="zh-CN"/>
        </w:rPr>
        <w:fldChar w:fldCharType="end"/>
      </w:r>
      <w:r w:rsidRPr="00CE0DE7">
        <w:rPr>
          <w:sz w:val="20"/>
          <w:szCs w:val="20"/>
          <w:lang w:val="en-GB" w:eastAsia="zh-CN"/>
        </w:rPr>
        <w:t xml:space="preserve"> illiquidity measure</w:t>
      </w:r>
      <w:r w:rsidR="003D5541" w:rsidRPr="00CE0DE7">
        <w:rPr>
          <w:sz w:val="20"/>
          <w:szCs w:val="20"/>
          <w:lang w:val="en-GB" w:eastAsia="zh-CN"/>
        </w:rPr>
        <w:t xml:space="preserve"> </w:t>
      </w:r>
      <w:r w:rsidRPr="00CE0DE7">
        <w:rPr>
          <w:sz w:val="20"/>
          <w:szCs w:val="20"/>
          <w:lang w:val="en-GB" w:eastAsia="zh-CN"/>
        </w:rPr>
        <w:t xml:space="preserve">over the period from </w:t>
      </w:r>
      <w:r w:rsidR="003D5541" w:rsidRPr="00CE0DE7">
        <w:rPr>
          <w:sz w:val="20"/>
          <w:szCs w:val="20"/>
          <w:lang w:val="en-GB" w:eastAsia="zh-CN"/>
        </w:rPr>
        <w:t xml:space="preserve">January </w:t>
      </w:r>
      <w:r w:rsidRPr="00CE0DE7">
        <w:rPr>
          <w:sz w:val="20"/>
          <w:szCs w:val="20"/>
          <w:lang w:val="en-GB" w:eastAsia="zh-CN"/>
        </w:rPr>
        <w:t xml:space="preserve">1990 to </w:t>
      </w:r>
      <w:r w:rsidR="003D5541" w:rsidRPr="00CE0DE7">
        <w:rPr>
          <w:sz w:val="20"/>
          <w:szCs w:val="20"/>
          <w:lang w:val="en-GB" w:eastAsia="zh-CN"/>
        </w:rPr>
        <w:t xml:space="preserve">December </w:t>
      </w:r>
      <w:r w:rsidRPr="00CE0DE7">
        <w:rPr>
          <w:sz w:val="20"/>
          <w:szCs w:val="20"/>
          <w:lang w:val="en-GB" w:eastAsia="zh-CN"/>
        </w:rPr>
        <w:t>201</w:t>
      </w:r>
      <w:r w:rsidR="007C6FD8" w:rsidRPr="00CE0DE7">
        <w:rPr>
          <w:sz w:val="20"/>
          <w:szCs w:val="20"/>
          <w:lang w:val="en-GB" w:eastAsia="zh-CN"/>
        </w:rPr>
        <w:t>8</w:t>
      </w:r>
      <w:r w:rsidRPr="00CE0DE7">
        <w:rPr>
          <w:sz w:val="20"/>
          <w:szCs w:val="20"/>
          <w:lang w:val="en-GB" w:eastAsia="zh-CN"/>
        </w:rPr>
        <w:t xml:space="preserve">. </w:t>
      </w:r>
    </w:p>
    <w:p w14:paraId="1F42D9F8" w14:textId="255515B7" w:rsidR="009B2D08" w:rsidRPr="00CE0DE7" w:rsidRDefault="009B2D08" w:rsidP="00BD081C">
      <w:pPr>
        <w:spacing w:line="480" w:lineRule="auto"/>
        <w:ind w:firstLine="425"/>
        <w:jc w:val="both"/>
        <w:rPr>
          <w:sz w:val="20"/>
          <w:szCs w:val="20"/>
          <w:lang w:val="en-GB" w:eastAsia="zh-CN"/>
        </w:rPr>
      </w:pPr>
      <w:r w:rsidRPr="00CE0DE7">
        <w:rPr>
          <w:sz w:val="20"/>
          <w:szCs w:val="20"/>
          <w:lang w:val="en-GB" w:eastAsia="zh-CN"/>
        </w:rPr>
        <w:t>The contributions of our paper are twofold. First, to the best of our knowledge, this is the first study that comprehensively examines the relations between the VRP, stock returns, and liquidity</w:t>
      </w:r>
      <w:r w:rsidR="001D1D5D" w:rsidRPr="00CE0DE7">
        <w:rPr>
          <w:sz w:val="20"/>
          <w:szCs w:val="20"/>
          <w:lang w:val="en-GB" w:eastAsia="zh-CN"/>
        </w:rPr>
        <w:t>.</w:t>
      </w:r>
      <w:r w:rsidR="00826D4C" w:rsidRPr="00CE0DE7">
        <w:rPr>
          <w:sz w:val="20"/>
          <w:szCs w:val="20"/>
          <w:lang w:val="en-GB" w:eastAsia="zh-CN"/>
        </w:rPr>
        <w:t xml:space="preserve"> </w:t>
      </w:r>
      <w:r w:rsidRPr="00CE0DE7">
        <w:rPr>
          <w:sz w:val="20"/>
          <w:szCs w:val="20"/>
          <w:lang w:val="en-GB" w:eastAsia="zh-CN"/>
        </w:rPr>
        <w:t xml:space="preserve">Consistent with </w:t>
      </w:r>
      <w:r w:rsidR="00D35C61" w:rsidRPr="00CE0DE7">
        <w:rPr>
          <w:sz w:val="20"/>
          <w:szCs w:val="20"/>
          <w:lang w:val="en-GB" w:eastAsia="zh-CN"/>
        </w:rPr>
        <w:t xml:space="preserve">evidence in </w:t>
      </w:r>
      <w:r w:rsidRPr="00CE0DE7">
        <w:rPr>
          <w:sz w:val="20"/>
          <w:szCs w:val="20"/>
          <w:lang w:val="en-GB" w:eastAsia="zh-CN"/>
        </w:rPr>
        <w:t xml:space="preserve">Statman et al. </w:t>
      </w:r>
      <w:r w:rsidR="00C339DB" w:rsidRPr="00CE0DE7">
        <w:rPr>
          <w:sz w:val="20"/>
          <w:szCs w:val="20"/>
          <w:lang w:val="en-GB" w:eastAsia="zh-CN"/>
        </w:rPr>
        <w:fldChar w:fldCharType="begin" w:fldLock="1"/>
      </w:r>
      <w:r w:rsidR="00C339DB" w:rsidRPr="00CE0DE7">
        <w:rPr>
          <w:sz w:val="20"/>
          <w:szCs w:val="20"/>
          <w:lang w:val="en-GB" w:eastAsia="zh-CN"/>
        </w:rPr>
        <w:instrText>ADDIN CSL_CITATION {"citationItems":[{"id":"ITEM-1","itemData":{"ISSN":"0893-9454","abstract":"The proposition that investors are overconfident about their valuation and trading skills can explain high observed trading volume. With biased self-attribution, the level of investor overconfidence and thus trading volume varies with past returns. We test the trading volume predictions of formal overconfidence models and find that share turnover is positively related to lagged returns for many months. The relationship holds for both market-wide and individual security turnover, which we interpret as evidence of investor overconfidence and the disposition effect, respectively. Security volume is more responsive to market return shocks than to security return shocks, and both relationships are more pronounced in small-cap stocks and in earlier periods where individual investors hold a greater proportion of shares. (JEL G11, G12). © The Author 2006. Published by Oxford University Press on behalf of The Society for Financial Studies. All rights reserved.","author":[{"dropping-particle":"","family":"Statman","given":"Meir","non-dropping-particle":"","parse-names":false,"suffix":""},{"dropping-particle":"","family":"Thorley","given":"Steven","non-dropping-particle":"","parse-names":false,"suffix":""},{"dropping-particle":"","family":"Vorkink","given":"Keith","non-dropping-particle":"","parse-names":false,"suffix":""}],"container-title":"Review of Financial Studies","id":"ITEM-1","issue":"4","issued":{"date-parts":[["2006","12","1"]]},"page":"1531-1565","publisher":"Oxford Academic","title":"Investor overconfidence and trading volume","type":"article-journal","volume":"19"},"suppress-author":1,"uris":["http://www.mendeley.com/documents/?uuid=251901ab-67e8-361a-8688-7b4f531e15cf"]}],"mendeley":{"formattedCitation":"(2006)","plainTextFormattedCitation":"(2006)","previouslyFormattedCitation":"(2006)"},"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(2006)</w:t>
      </w:r>
      <w:r w:rsidR="00C339DB" w:rsidRPr="00CE0DE7">
        <w:rPr>
          <w:sz w:val="20"/>
          <w:szCs w:val="20"/>
          <w:lang w:val="en-GB" w:eastAsia="zh-CN"/>
        </w:rPr>
        <w:fldChar w:fldCharType="end"/>
      </w:r>
      <w:r w:rsidRPr="00CE0DE7">
        <w:rPr>
          <w:sz w:val="20"/>
          <w:szCs w:val="20"/>
          <w:lang w:val="en-GB" w:eastAsia="zh-CN"/>
        </w:rPr>
        <w:t xml:space="preserve"> and Chordia et al. </w:t>
      </w:r>
      <w:r w:rsidR="00C339DB" w:rsidRPr="00CE0DE7">
        <w:rPr>
          <w:sz w:val="20"/>
          <w:szCs w:val="20"/>
          <w:lang w:val="en-GB" w:eastAsia="zh-CN"/>
        </w:rPr>
        <w:fldChar w:fldCharType="begin" w:fldLock="1"/>
      </w:r>
      <w:r w:rsidR="00E67DF0" w:rsidRPr="00CE0DE7">
        <w:rPr>
          <w:sz w:val="20"/>
          <w:szCs w:val="20"/>
          <w:lang w:val="en-GB" w:eastAsia="zh-CN"/>
        </w:rPr>
        <w:instrText>ADDIN CSL_CITATION {"citationItems":[{"id":"ITEM-1","itemData":{"ISSN":"0893-9454","abstract":"This article studies cross-sectional variations in trading activity for a comprehensive sample of NYSE/AMEX and Nasdaq stocks over a period of about 40 years. We test whether trading activity depends upon the degree of liquidity trading, the mass of informed traders, and the extent of uncertainty and dispersion of opinion about fundamental values. We hypothesize that liquidity (or noise) trading depends both on a stock's visibility and on portfolio rebalancing needs triggered by past price performance. We use firm size, age, price, and the book-to-market ratio as proxies for a firm's visibility. The mass of informed agents is proxied by the number of analysts whereas forecast dispersion and firm leverage proxy for differences of opinion. Earning volatility and absolute earning surprises proxy for uncertainty about fundamental values. Overall, the results provide support for theories of trading based on stock visibility, portfolio rebalancing needs, differences of opinion, and uncertainty about fundamental values. © The Author 2006.","author":[{"dropping-particle":"","family":"Chordia","given":"Tarun","non-dropping-particle":"","parse-names":false,"suffix":""},{"dropping-particle":"","family":"Huh","given":"Sahn-Wook","non-dropping-particle":"","parse-names":false,"suffix":""},{"dropping-particle":"","family":"Subrahmanyam","given":"Avanidhar","non-dropping-particle":"","parse-names":false,"suffix":""}],"container-title":"Review of Financial Studies","id":"ITEM-1","issue":"3","issued":{"date-parts":[["2007","5","1"]]},"page":"709-740","publisher":"Oxford Academic","title":"The cross-section of expected trading activity","type":"article-journal","volume":"20"},"suppress-author":1,"uris":["http://www.mendeley.com/documents/?uuid=f20ead53-ac25-320e-9108-fd140b1b4158"]}],"mendeley":{"formattedCitation":"(2007)","plainTextFormattedCitation":"(2007)","previouslyFormattedCitation":"(2007)"},"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(2007)</w:t>
      </w:r>
      <w:r w:rsidR="00C339DB" w:rsidRPr="00CE0DE7">
        <w:rPr>
          <w:sz w:val="20"/>
          <w:szCs w:val="20"/>
          <w:lang w:val="en-GB" w:eastAsia="zh-CN"/>
        </w:rPr>
        <w:fldChar w:fldCharType="end"/>
      </w:r>
      <w:r w:rsidRPr="00CE0DE7">
        <w:rPr>
          <w:sz w:val="20"/>
          <w:szCs w:val="20"/>
          <w:lang w:val="en-GB" w:eastAsia="zh-CN"/>
        </w:rPr>
        <w:t>, we show that stock market returns Granger-cause market (il)liquidity, while there is no causal relationship running from (il)liquidity to returns. This is further substantiated by the generalized impulse response function</w:t>
      </w:r>
      <w:r w:rsidR="00826D4C" w:rsidRPr="00CE0DE7">
        <w:rPr>
          <w:sz w:val="20"/>
          <w:szCs w:val="20"/>
          <w:lang w:val="en-GB" w:eastAsia="zh-CN"/>
        </w:rPr>
        <w:t>,</w:t>
      </w:r>
      <w:r w:rsidRPr="00CE0DE7">
        <w:rPr>
          <w:sz w:val="20"/>
          <w:szCs w:val="20"/>
          <w:lang w:val="en-GB" w:eastAsia="zh-CN"/>
        </w:rPr>
        <w:t xml:space="preserve"> which offers no evidence that stock market returns respond to changes in market illiquidity. Our results suggest that the research seeking to exploit the potential impact of liquidity on return prediction is unlikely to be successful; or it could be potentially contaminated by endogeneity between liquidity and returns</w:t>
      </w:r>
      <w:r w:rsidR="00840EE7" w:rsidRPr="00CE0DE7">
        <w:rPr>
          <w:sz w:val="20"/>
          <w:szCs w:val="20"/>
          <w:lang w:val="en-GB" w:eastAsia="zh-CN"/>
        </w:rPr>
        <w:t>,</w:t>
      </w:r>
      <w:r w:rsidRPr="00CE0DE7">
        <w:rPr>
          <w:sz w:val="20"/>
          <w:szCs w:val="20"/>
          <w:lang w:val="en-GB" w:eastAsia="zh-CN"/>
        </w:rPr>
        <w:t xml:space="preserve"> i.e.,</w:t>
      </w:r>
      <w:r w:rsidR="00840EE7" w:rsidRPr="00CE0DE7">
        <w:rPr>
          <w:sz w:val="20"/>
          <w:szCs w:val="20"/>
          <w:lang w:val="en-GB" w:eastAsia="zh-CN"/>
        </w:rPr>
        <w:t xml:space="preserve"> the reverse causality</w:t>
      </w:r>
      <w:r w:rsidRPr="00CE0DE7">
        <w:rPr>
          <w:sz w:val="20"/>
          <w:szCs w:val="20"/>
          <w:lang w:val="en-GB" w:eastAsia="zh-CN"/>
        </w:rPr>
        <w:t xml:space="preserve">. </w:t>
      </w:r>
    </w:p>
    <w:p w14:paraId="4E1C05DF" w14:textId="6EB80999" w:rsidR="004630FB" w:rsidRPr="00CE0DE7" w:rsidRDefault="00AB7C72" w:rsidP="00BD081C">
      <w:pPr>
        <w:spacing w:line="480" w:lineRule="auto"/>
        <w:ind w:firstLine="425"/>
        <w:jc w:val="both"/>
        <w:rPr>
          <w:sz w:val="20"/>
          <w:szCs w:val="20"/>
          <w:lang w:val="en-GB" w:eastAsia="zh-CN"/>
        </w:rPr>
      </w:pPr>
      <w:r w:rsidRPr="00CE0DE7">
        <w:rPr>
          <w:sz w:val="20"/>
          <w:szCs w:val="20"/>
          <w:lang w:val="en-GB" w:eastAsia="zh-CN"/>
        </w:rPr>
        <w:t xml:space="preserve">In terms of the causal </w:t>
      </w:r>
      <w:r w:rsidR="009B2D08" w:rsidRPr="00CE0DE7">
        <w:rPr>
          <w:sz w:val="20"/>
          <w:szCs w:val="20"/>
          <w:lang w:val="en-GB" w:eastAsia="zh-CN"/>
        </w:rPr>
        <w:t>relationship between the VRP and market liquidity</w:t>
      </w:r>
      <w:r w:rsidRPr="00CE0DE7">
        <w:rPr>
          <w:sz w:val="20"/>
          <w:szCs w:val="20"/>
          <w:lang w:val="en-GB" w:eastAsia="zh-CN"/>
        </w:rPr>
        <w:t>,</w:t>
      </w:r>
      <w:r w:rsidR="009B2D08" w:rsidRPr="00CE0DE7">
        <w:rPr>
          <w:sz w:val="20"/>
          <w:szCs w:val="20"/>
          <w:lang w:val="en-GB" w:eastAsia="zh-CN"/>
        </w:rPr>
        <w:t xml:space="preserve"> </w:t>
      </w:r>
      <w:r w:rsidRPr="00CE0DE7">
        <w:rPr>
          <w:sz w:val="20"/>
          <w:szCs w:val="20"/>
          <w:lang w:val="en-GB" w:eastAsia="zh-CN"/>
        </w:rPr>
        <w:t>o</w:t>
      </w:r>
      <w:r w:rsidR="009B2D08" w:rsidRPr="00CE0DE7">
        <w:rPr>
          <w:sz w:val="20"/>
          <w:szCs w:val="20"/>
          <w:lang w:val="en-GB" w:eastAsia="zh-CN"/>
        </w:rPr>
        <w:t>ur results s</w:t>
      </w:r>
      <w:r w:rsidRPr="00CE0DE7">
        <w:rPr>
          <w:sz w:val="20"/>
          <w:szCs w:val="20"/>
          <w:lang w:val="en-GB" w:eastAsia="zh-CN"/>
        </w:rPr>
        <w:t>how</w:t>
      </w:r>
      <w:r w:rsidR="009B2D08" w:rsidRPr="00CE0DE7">
        <w:rPr>
          <w:sz w:val="20"/>
          <w:szCs w:val="20"/>
          <w:lang w:val="en-GB" w:eastAsia="zh-CN"/>
        </w:rPr>
        <w:t xml:space="preserve"> that the VRP Granger-causes both stock returns and illiquidity, whereas there is little evidence that illiquidity Granger-causes </w:t>
      </w:r>
      <w:r w:rsidR="00B83BC3" w:rsidRPr="00CE0DE7">
        <w:rPr>
          <w:sz w:val="20"/>
          <w:szCs w:val="20"/>
          <w:lang w:val="en-GB" w:eastAsia="zh-CN"/>
        </w:rPr>
        <w:t xml:space="preserve">the </w:t>
      </w:r>
      <w:r w:rsidR="009B2D08" w:rsidRPr="00CE0DE7">
        <w:rPr>
          <w:sz w:val="20"/>
          <w:szCs w:val="20"/>
          <w:lang w:val="en-GB" w:eastAsia="zh-CN"/>
        </w:rPr>
        <w:t>VRP. We further investigate the predictability of the VRP and liquidity over stock returns with a large set of control variables. Our in</w:t>
      </w:r>
      <w:r w:rsidR="005452F0" w:rsidRPr="00CE0DE7">
        <w:rPr>
          <w:sz w:val="20"/>
          <w:szCs w:val="20"/>
          <w:lang w:val="en-GB" w:eastAsia="zh-CN"/>
        </w:rPr>
        <w:t>-</w:t>
      </w:r>
      <w:r w:rsidR="009B2D08" w:rsidRPr="00CE0DE7">
        <w:rPr>
          <w:sz w:val="20"/>
          <w:szCs w:val="20"/>
          <w:lang w:val="en-GB" w:eastAsia="zh-CN"/>
        </w:rPr>
        <w:t xml:space="preserve"> and out-of-sample </w:t>
      </w:r>
      <w:r w:rsidR="00C4414A" w:rsidRPr="00CE0DE7">
        <w:rPr>
          <w:sz w:val="20"/>
          <w:szCs w:val="20"/>
          <w:lang w:val="en-GB" w:eastAsia="zh-CN"/>
        </w:rPr>
        <w:t xml:space="preserve">forecasting </w:t>
      </w:r>
      <w:r w:rsidR="009B2D08" w:rsidRPr="00CE0DE7">
        <w:rPr>
          <w:sz w:val="20"/>
          <w:szCs w:val="20"/>
          <w:lang w:val="en-GB" w:eastAsia="zh-CN"/>
        </w:rPr>
        <w:t>regression results s</w:t>
      </w:r>
      <w:r w:rsidRPr="00CE0DE7">
        <w:rPr>
          <w:sz w:val="20"/>
          <w:szCs w:val="20"/>
          <w:lang w:val="en-GB" w:eastAsia="zh-CN"/>
        </w:rPr>
        <w:t>uggest</w:t>
      </w:r>
      <w:r w:rsidR="009B2D08" w:rsidRPr="00CE0DE7">
        <w:rPr>
          <w:sz w:val="20"/>
          <w:szCs w:val="20"/>
          <w:lang w:val="en-GB" w:eastAsia="zh-CN"/>
        </w:rPr>
        <w:t xml:space="preserve"> that the VRP, rather than illiquidity, exhibits significant predictive power for returns</w:t>
      </w:r>
      <w:r w:rsidR="00B31F13" w:rsidRPr="00CE0DE7">
        <w:rPr>
          <w:sz w:val="20"/>
          <w:szCs w:val="20"/>
          <w:lang w:val="en-GB" w:eastAsia="zh-CN"/>
        </w:rPr>
        <w:t xml:space="preserve">, thus </w:t>
      </w:r>
      <w:r w:rsidR="00CB58D9" w:rsidRPr="00CE0DE7">
        <w:rPr>
          <w:sz w:val="20"/>
          <w:szCs w:val="20"/>
          <w:lang w:val="en-GB" w:eastAsia="zh-CN"/>
        </w:rPr>
        <w:t xml:space="preserve">it </w:t>
      </w:r>
      <w:r w:rsidR="008538A9" w:rsidRPr="00CE0DE7">
        <w:rPr>
          <w:sz w:val="20"/>
          <w:szCs w:val="20"/>
          <w:lang w:val="en-GB" w:eastAsia="zh-CN"/>
        </w:rPr>
        <w:t>contain</w:t>
      </w:r>
      <w:r w:rsidR="00CB58D9" w:rsidRPr="00CE0DE7">
        <w:rPr>
          <w:sz w:val="20"/>
          <w:szCs w:val="20"/>
          <w:lang w:val="en-GB" w:eastAsia="zh-CN"/>
        </w:rPr>
        <w:t>s</w:t>
      </w:r>
      <w:r w:rsidR="009B2D08" w:rsidRPr="00CE0DE7">
        <w:rPr>
          <w:sz w:val="20"/>
          <w:szCs w:val="20"/>
          <w:lang w:val="en-GB" w:eastAsia="zh-CN"/>
        </w:rPr>
        <w:t xml:space="preserve"> useful </w:t>
      </w:r>
      <w:r w:rsidR="00B31F13" w:rsidRPr="00CE0DE7">
        <w:rPr>
          <w:sz w:val="20"/>
          <w:szCs w:val="20"/>
          <w:lang w:val="en-GB" w:eastAsia="zh-CN"/>
        </w:rPr>
        <w:t xml:space="preserve">forecasting </w:t>
      </w:r>
      <w:r w:rsidR="009B2D08" w:rsidRPr="00CE0DE7">
        <w:rPr>
          <w:sz w:val="20"/>
          <w:szCs w:val="20"/>
          <w:lang w:val="en-GB" w:eastAsia="zh-CN"/>
        </w:rPr>
        <w:t xml:space="preserve">information. </w:t>
      </w:r>
      <w:r w:rsidR="004630FB" w:rsidRPr="00CE0DE7">
        <w:rPr>
          <w:sz w:val="20"/>
          <w:szCs w:val="20"/>
          <w:lang w:val="en-GB" w:eastAsia="zh-CN"/>
        </w:rPr>
        <w:t>T</w:t>
      </w:r>
      <w:r w:rsidR="009B2D08" w:rsidRPr="00CE0DE7">
        <w:rPr>
          <w:sz w:val="20"/>
          <w:szCs w:val="20"/>
          <w:lang w:val="en-GB" w:eastAsia="zh-CN"/>
        </w:rPr>
        <w:t xml:space="preserve">aken together, our results outline the following causal relation: movements </w:t>
      </w:r>
      <w:r w:rsidR="00776CED" w:rsidRPr="00CE0DE7">
        <w:rPr>
          <w:sz w:val="20"/>
          <w:szCs w:val="20"/>
          <w:lang w:val="en-GB" w:eastAsia="zh-CN"/>
        </w:rPr>
        <w:t xml:space="preserve">in </w:t>
      </w:r>
      <w:r w:rsidR="009B2D08" w:rsidRPr="00CE0DE7">
        <w:rPr>
          <w:sz w:val="20"/>
          <w:szCs w:val="20"/>
          <w:lang w:val="en-GB" w:eastAsia="zh-CN"/>
        </w:rPr>
        <w:t xml:space="preserve">the VRP drive innovations in stock market returns, </w:t>
      </w:r>
      <w:r w:rsidR="00776CED" w:rsidRPr="00CE0DE7">
        <w:rPr>
          <w:sz w:val="20"/>
          <w:szCs w:val="20"/>
          <w:lang w:val="en-GB" w:eastAsia="zh-CN"/>
        </w:rPr>
        <w:t xml:space="preserve">which </w:t>
      </w:r>
      <w:r w:rsidR="00B97231" w:rsidRPr="00CE0DE7">
        <w:rPr>
          <w:sz w:val="20"/>
          <w:szCs w:val="20"/>
          <w:lang w:val="en-GB" w:eastAsia="zh-CN"/>
        </w:rPr>
        <w:t>give</w:t>
      </w:r>
      <w:r w:rsidR="009B2D08" w:rsidRPr="00CE0DE7">
        <w:rPr>
          <w:sz w:val="20"/>
          <w:szCs w:val="20"/>
          <w:lang w:val="en-GB" w:eastAsia="zh-CN"/>
        </w:rPr>
        <w:t xml:space="preserve"> rise to changes in market liquidity. </w:t>
      </w:r>
      <w:r w:rsidR="00B97231" w:rsidRPr="00CE0DE7">
        <w:rPr>
          <w:sz w:val="20"/>
          <w:szCs w:val="20"/>
          <w:lang w:val="en-GB" w:eastAsia="zh-CN"/>
        </w:rPr>
        <w:t xml:space="preserve">They </w:t>
      </w:r>
      <w:r w:rsidR="009B2D08" w:rsidRPr="00CE0DE7">
        <w:rPr>
          <w:sz w:val="20"/>
          <w:szCs w:val="20"/>
          <w:lang w:val="en-GB" w:eastAsia="zh-CN"/>
        </w:rPr>
        <w:t xml:space="preserve">also indicate that fundamentally it is the movement of investor risk aversion and economic uncertainty that drives changes in liquidity via its impact on innovations in stock returns. </w:t>
      </w:r>
    </w:p>
    <w:p w14:paraId="04BA9E22" w14:textId="3BBD782C" w:rsidR="009B2D08" w:rsidRPr="00CE0DE7" w:rsidRDefault="00980514" w:rsidP="00BD081C">
      <w:pPr>
        <w:spacing w:line="480" w:lineRule="auto"/>
        <w:ind w:firstLine="425"/>
        <w:jc w:val="both"/>
        <w:rPr>
          <w:sz w:val="20"/>
          <w:szCs w:val="20"/>
          <w:lang w:val="en-GB" w:eastAsia="zh-CN"/>
        </w:rPr>
      </w:pPr>
      <w:r w:rsidRPr="00CE0DE7">
        <w:rPr>
          <w:sz w:val="20"/>
          <w:szCs w:val="20"/>
          <w:lang w:val="en-GB" w:eastAsia="zh-CN"/>
        </w:rPr>
        <w:t>We perform a range of robustness checks and find that o</w:t>
      </w:r>
      <w:r w:rsidR="009B2D08" w:rsidRPr="00CE0DE7">
        <w:rPr>
          <w:sz w:val="20"/>
          <w:szCs w:val="20"/>
          <w:lang w:val="en-GB" w:eastAsia="zh-CN"/>
        </w:rPr>
        <w:t xml:space="preserve">ur baseline results remain </w:t>
      </w:r>
      <w:r w:rsidRPr="00CE0DE7">
        <w:rPr>
          <w:sz w:val="20"/>
          <w:szCs w:val="20"/>
          <w:lang w:val="en-GB" w:eastAsia="zh-CN"/>
        </w:rPr>
        <w:t xml:space="preserve">qualitatively the same when we use </w:t>
      </w:r>
      <w:r w:rsidR="009B2D08" w:rsidRPr="00CE0DE7">
        <w:rPr>
          <w:sz w:val="20"/>
          <w:szCs w:val="20"/>
          <w:lang w:val="en-GB" w:eastAsia="zh-CN"/>
        </w:rPr>
        <w:t xml:space="preserve">different VRP and returns measures, </w:t>
      </w:r>
      <w:r w:rsidRPr="00CE0DE7">
        <w:rPr>
          <w:sz w:val="20"/>
          <w:szCs w:val="20"/>
          <w:lang w:val="en-GB" w:eastAsia="zh-CN"/>
        </w:rPr>
        <w:t xml:space="preserve">during </w:t>
      </w:r>
      <w:r w:rsidR="009B2D08" w:rsidRPr="00CE0DE7">
        <w:rPr>
          <w:sz w:val="20"/>
          <w:szCs w:val="20"/>
          <w:lang w:val="en-GB" w:eastAsia="zh-CN"/>
        </w:rPr>
        <w:t>different sub-sample periods</w:t>
      </w:r>
      <w:r w:rsidR="00776CED" w:rsidRPr="00CE0DE7">
        <w:rPr>
          <w:sz w:val="20"/>
          <w:szCs w:val="20"/>
          <w:lang w:val="en-GB" w:eastAsia="zh-CN"/>
        </w:rPr>
        <w:t>,</w:t>
      </w:r>
      <w:r w:rsidR="009B2D08" w:rsidRPr="00CE0DE7">
        <w:rPr>
          <w:sz w:val="20"/>
          <w:szCs w:val="20"/>
          <w:lang w:val="en-GB" w:eastAsia="zh-CN"/>
        </w:rPr>
        <w:t xml:space="preserve"> and in the presence of a large set of </w:t>
      </w:r>
      <w:r w:rsidR="00BD46CD" w:rsidRPr="00CE0DE7">
        <w:rPr>
          <w:sz w:val="20"/>
          <w:szCs w:val="20"/>
          <w:lang w:val="en-GB" w:eastAsia="zh-CN"/>
        </w:rPr>
        <w:t xml:space="preserve">economic </w:t>
      </w:r>
      <w:r w:rsidR="009B2D08" w:rsidRPr="00CE0DE7">
        <w:rPr>
          <w:sz w:val="20"/>
          <w:szCs w:val="20"/>
          <w:lang w:val="en-GB" w:eastAsia="zh-CN"/>
        </w:rPr>
        <w:t xml:space="preserve">control variables. They are also robust when we </w:t>
      </w:r>
      <w:r w:rsidR="00776CED" w:rsidRPr="00CE0DE7">
        <w:rPr>
          <w:sz w:val="20"/>
          <w:szCs w:val="20"/>
          <w:lang w:val="en-GB" w:eastAsia="zh-CN"/>
        </w:rPr>
        <w:t xml:space="preserve">divide </w:t>
      </w:r>
      <w:r w:rsidR="009B2D08" w:rsidRPr="00CE0DE7">
        <w:rPr>
          <w:sz w:val="20"/>
          <w:szCs w:val="20"/>
          <w:lang w:val="en-GB" w:eastAsia="zh-CN"/>
        </w:rPr>
        <w:t xml:space="preserve">the sample </w:t>
      </w:r>
      <w:r w:rsidR="00776CED" w:rsidRPr="00CE0DE7">
        <w:rPr>
          <w:sz w:val="20"/>
          <w:szCs w:val="20"/>
          <w:lang w:val="en-GB" w:eastAsia="zh-CN"/>
        </w:rPr>
        <w:t>in</w:t>
      </w:r>
      <w:r w:rsidR="009B2D08" w:rsidRPr="00CE0DE7">
        <w:rPr>
          <w:sz w:val="20"/>
          <w:szCs w:val="20"/>
          <w:lang w:val="en-GB" w:eastAsia="zh-CN"/>
        </w:rPr>
        <w:t>to pre- and post-financial crisis periods</w:t>
      </w:r>
      <w:r w:rsidR="00C95096" w:rsidRPr="00CE0DE7">
        <w:rPr>
          <w:sz w:val="20"/>
          <w:szCs w:val="20"/>
          <w:lang w:val="en-GB" w:eastAsia="zh-CN"/>
        </w:rPr>
        <w:t xml:space="preserve">, </w:t>
      </w:r>
      <w:r w:rsidR="00F92692" w:rsidRPr="00CE0DE7">
        <w:rPr>
          <w:sz w:val="20"/>
          <w:szCs w:val="20"/>
          <w:lang w:val="en-GB" w:eastAsia="zh-CN"/>
        </w:rPr>
        <w:t>and</w:t>
      </w:r>
      <w:r w:rsidR="004630FB" w:rsidRPr="00CE0DE7">
        <w:rPr>
          <w:sz w:val="20"/>
          <w:szCs w:val="20"/>
          <w:lang w:val="en-GB" w:eastAsia="zh-CN"/>
        </w:rPr>
        <w:t xml:space="preserve"> </w:t>
      </w:r>
      <w:r w:rsidR="009B2D08" w:rsidRPr="00CE0DE7">
        <w:rPr>
          <w:sz w:val="20"/>
          <w:szCs w:val="20"/>
          <w:lang w:val="en-GB" w:eastAsia="zh-CN"/>
        </w:rPr>
        <w:t xml:space="preserve">when we </w:t>
      </w:r>
      <w:r w:rsidR="00B97231" w:rsidRPr="00CE0DE7">
        <w:rPr>
          <w:sz w:val="20"/>
          <w:szCs w:val="20"/>
          <w:lang w:val="en-GB" w:eastAsia="zh-CN"/>
        </w:rPr>
        <w:t xml:space="preserve">implement </w:t>
      </w:r>
      <w:r w:rsidR="009B2D08" w:rsidRPr="00CE0DE7">
        <w:rPr>
          <w:sz w:val="20"/>
          <w:szCs w:val="20"/>
          <w:lang w:val="en-GB" w:eastAsia="zh-CN"/>
        </w:rPr>
        <w:t xml:space="preserve">the </w:t>
      </w:r>
      <w:r w:rsidR="00C95096" w:rsidRPr="00CE0DE7">
        <w:rPr>
          <w:sz w:val="20"/>
          <w:szCs w:val="20"/>
          <w:lang w:val="en-GB" w:eastAsia="zh-CN"/>
        </w:rPr>
        <w:t xml:space="preserve">alternative </w:t>
      </w:r>
      <w:r w:rsidR="009B2D08" w:rsidRPr="00CE0DE7">
        <w:rPr>
          <w:sz w:val="20"/>
          <w:szCs w:val="20"/>
          <w:lang w:val="en-GB" w:eastAsia="zh-CN"/>
        </w:rPr>
        <w:t xml:space="preserve">liquidity measure of Liu </w:t>
      </w:r>
      <w:r w:rsidR="00C339DB" w:rsidRPr="00CE0DE7">
        <w:rPr>
          <w:sz w:val="20"/>
          <w:szCs w:val="20"/>
          <w:lang w:val="en-GB" w:eastAsia="zh-CN"/>
        </w:rPr>
        <w:fldChar w:fldCharType="begin" w:fldLock="1"/>
      </w:r>
      <w:r w:rsidR="00C339DB" w:rsidRPr="00CE0DE7">
        <w:rPr>
          <w:sz w:val="20"/>
          <w:szCs w:val="20"/>
          <w:lang w:val="en-GB" w:eastAsia="zh-CN"/>
        </w:rPr>
        <w:instrText>ADDIN CSL_CITATION {"citationItems":[{"id":"ITEM-1","itemData":{"ISSN":"0304405X","abstract":"Using a new measure of liquidity, this paper documents a significant liquidity premium robust to the CAPM and the Fama-French three-factor model and shows that liquidity is an important source of priced risk. A two-factor (market and liquidity) model well explains the cross-section of stock returns, describing the liquidity premium, subsuming documented anomalies associated with size, long-term contrarian investment, and fundamental (cashflow, earnings, and dividend) to price ratios. In particular, the two-factor model accounts for the book-to-market effect, which the Fama-French three-factor model fails to explain. © 2006 Elsevier B.V. All rights reserved.","author":[{"dropping-particle":"","family":"Liu","given":"Weimin","non-dropping-particle":"","parse-names":false,"suffix":""}],"container-title":"Journal of Financial Economics","id":"ITEM-1","issue":"3","issued":{"date-parts":[["2006","12","1"]]},"page":"631-671","publisher":"North-Holland","title":"A liquidity-augmented capital asset pricing model","type":"article-journal","volume":"82"},"suppress-author":1,"uris":["http://www.mendeley.com/documents/?uuid=028a3733-50dc-3861-a56b-ca0205aac321"]}],"mendeley":{"formattedCitation":"(2006)","plainTextFormattedCitation":"(2006)","previouslyFormattedCitation":"(2006)"},"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(2006)</w:t>
      </w:r>
      <w:r w:rsidR="00C339DB" w:rsidRPr="00CE0DE7">
        <w:rPr>
          <w:sz w:val="20"/>
          <w:szCs w:val="20"/>
          <w:lang w:val="en-GB" w:eastAsia="zh-CN"/>
        </w:rPr>
        <w:fldChar w:fldCharType="end"/>
      </w:r>
      <w:r w:rsidR="00AF1F4D" w:rsidRPr="00CE0DE7">
        <w:rPr>
          <w:sz w:val="20"/>
          <w:szCs w:val="20"/>
          <w:lang w:val="en-GB" w:eastAsia="zh-CN"/>
        </w:rPr>
        <w:t>.</w:t>
      </w:r>
      <w:r w:rsidR="004630FB" w:rsidRPr="00CE0DE7">
        <w:rPr>
          <w:sz w:val="20"/>
          <w:szCs w:val="20"/>
          <w:lang w:val="en-GB" w:eastAsia="zh-CN"/>
        </w:rPr>
        <w:t xml:space="preserve"> </w:t>
      </w:r>
      <w:r w:rsidRPr="00CE0DE7">
        <w:rPr>
          <w:sz w:val="20"/>
          <w:szCs w:val="20"/>
          <w:lang w:val="en-GB" w:eastAsia="zh-CN"/>
        </w:rPr>
        <w:t>Hence, o</w:t>
      </w:r>
      <w:r w:rsidR="004630FB" w:rsidRPr="00CE0DE7">
        <w:rPr>
          <w:sz w:val="20"/>
          <w:szCs w:val="20"/>
          <w:lang w:val="en-GB" w:eastAsia="zh-CN"/>
        </w:rPr>
        <w:t xml:space="preserve">ur </w:t>
      </w:r>
      <w:r w:rsidR="00B00B3E" w:rsidRPr="00CE0DE7">
        <w:rPr>
          <w:sz w:val="20"/>
          <w:szCs w:val="20"/>
          <w:lang w:val="en-GB" w:eastAsia="zh-CN"/>
        </w:rPr>
        <w:t xml:space="preserve">paper adds to the literature by providing solid and comprehensive </w:t>
      </w:r>
      <w:r w:rsidR="004630FB" w:rsidRPr="00CE0DE7">
        <w:rPr>
          <w:sz w:val="20"/>
          <w:szCs w:val="20"/>
          <w:lang w:val="en-GB" w:eastAsia="zh-CN"/>
        </w:rPr>
        <w:t>support for the predictability of the VRP on both stock returns and liquidity.</w:t>
      </w:r>
    </w:p>
    <w:p w14:paraId="06514397" w14:textId="08C9AB4E" w:rsidR="009B2D08" w:rsidRPr="00CE0DE7" w:rsidRDefault="009B2D08" w:rsidP="00BD081C">
      <w:pPr>
        <w:spacing w:line="480" w:lineRule="auto"/>
        <w:ind w:firstLine="425"/>
        <w:jc w:val="both"/>
        <w:rPr>
          <w:sz w:val="20"/>
          <w:szCs w:val="20"/>
          <w:lang w:val="en-GB" w:eastAsia="zh-CN"/>
        </w:rPr>
      </w:pPr>
      <w:r w:rsidRPr="00CE0DE7">
        <w:rPr>
          <w:sz w:val="20"/>
          <w:szCs w:val="20"/>
          <w:lang w:val="en-GB" w:eastAsia="zh-CN"/>
        </w:rPr>
        <w:t xml:space="preserve">Our second contribution is that we explore </w:t>
      </w:r>
      <w:r w:rsidR="00DA5F70" w:rsidRPr="00CE0DE7">
        <w:rPr>
          <w:sz w:val="20"/>
          <w:szCs w:val="20"/>
          <w:lang w:val="en-GB" w:eastAsia="zh-CN"/>
        </w:rPr>
        <w:t xml:space="preserve">yet </w:t>
      </w:r>
      <w:r w:rsidR="005452F0" w:rsidRPr="00CE0DE7">
        <w:rPr>
          <w:sz w:val="20"/>
          <w:szCs w:val="20"/>
          <w:lang w:val="en-GB" w:eastAsia="zh-CN"/>
        </w:rPr>
        <w:t xml:space="preserve">another </w:t>
      </w:r>
      <w:r w:rsidRPr="00CE0DE7">
        <w:rPr>
          <w:sz w:val="20"/>
          <w:szCs w:val="20"/>
          <w:lang w:val="en-GB" w:eastAsia="zh-CN"/>
        </w:rPr>
        <w:t>channel through which the VRP impacts (il)liquidity. More specifically, we examine how the VRP and (il)liquidity are related to stock returns by looking at the relation between the VRP and systematic factors</w:t>
      </w:r>
      <w:r w:rsidR="006259CE" w:rsidRPr="00CE0DE7">
        <w:rPr>
          <w:sz w:val="20"/>
          <w:szCs w:val="20"/>
          <w:lang w:val="en-GB" w:eastAsia="zh-CN"/>
        </w:rPr>
        <w:t xml:space="preserve">, including the </w:t>
      </w:r>
      <w:proofErr w:type="spellStart"/>
      <w:r w:rsidR="006259CE" w:rsidRPr="00CE0DE7">
        <w:rPr>
          <w:sz w:val="20"/>
          <w:szCs w:val="20"/>
          <w:lang w:val="en-GB" w:eastAsia="zh-CN"/>
        </w:rPr>
        <w:t>Fama</w:t>
      </w:r>
      <w:proofErr w:type="spellEnd"/>
      <w:r w:rsidR="006259CE" w:rsidRPr="00CE0DE7">
        <w:rPr>
          <w:sz w:val="20"/>
          <w:szCs w:val="20"/>
          <w:lang w:val="en-GB" w:eastAsia="zh-CN"/>
        </w:rPr>
        <w:t xml:space="preserve">-French three factors and the momentum factor of </w:t>
      </w:r>
      <w:r w:rsidR="006259CE" w:rsidRPr="00CE0DE7">
        <w:rPr>
          <w:sz w:val="20"/>
          <w:szCs w:val="20"/>
          <w:lang w:val="en-GB" w:eastAsia="zh-CN"/>
        </w:rPr>
        <w:lastRenderedPageBreak/>
        <w:t>Carhart (1997),</w:t>
      </w:r>
      <w:r w:rsidRPr="00CE0DE7">
        <w:rPr>
          <w:sz w:val="20"/>
          <w:szCs w:val="20"/>
          <w:lang w:val="en-GB" w:eastAsia="zh-CN"/>
        </w:rPr>
        <w:t xml:space="preserve"> and between systematic factors and (il)liquidity. The Toda-Yamamoto Granger non-causality test reveals that the VRP Granger-causes </w:t>
      </w:r>
      <w:r w:rsidR="006259CE" w:rsidRPr="00CE0DE7">
        <w:rPr>
          <w:sz w:val="20"/>
          <w:szCs w:val="20"/>
          <w:lang w:val="en-GB" w:eastAsia="zh-CN"/>
        </w:rPr>
        <w:t xml:space="preserve">the </w:t>
      </w:r>
      <w:r w:rsidRPr="00CE0DE7">
        <w:rPr>
          <w:sz w:val="20"/>
          <w:szCs w:val="20"/>
          <w:lang w:val="en-GB" w:eastAsia="zh-CN"/>
        </w:rPr>
        <w:t>market, value</w:t>
      </w:r>
      <w:r w:rsidR="006259CE" w:rsidRPr="00CE0DE7">
        <w:rPr>
          <w:sz w:val="20"/>
          <w:szCs w:val="20"/>
          <w:lang w:val="en-GB" w:eastAsia="zh-CN"/>
        </w:rPr>
        <w:t>,</w:t>
      </w:r>
      <w:r w:rsidRPr="00CE0DE7">
        <w:rPr>
          <w:sz w:val="20"/>
          <w:szCs w:val="20"/>
          <w:lang w:val="en-GB" w:eastAsia="zh-CN"/>
        </w:rPr>
        <w:t xml:space="preserve"> and momentum factors, while market and momentum factors affect variations in (il)liquidity. Furthermore, market (il)liquidity does not cause movement in any factor. These confirm our conjecture that investor risk aversion and economic uncertainty, captured by the VRP, exhibit strong predictive power for both asset returns and illiquidity. They are relevant to traders and fund managers </w:t>
      </w:r>
      <w:r w:rsidR="009C1DE6" w:rsidRPr="00CE0DE7">
        <w:rPr>
          <w:sz w:val="20"/>
          <w:szCs w:val="20"/>
          <w:lang w:val="en-GB" w:eastAsia="zh-CN"/>
        </w:rPr>
        <w:t xml:space="preserve">who </w:t>
      </w:r>
      <w:r w:rsidR="00C95096" w:rsidRPr="00CE0DE7">
        <w:rPr>
          <w:sz w:val="20"/>
          <w:szCs w:val="20"/>
          <w:lang w:val="en-GB" w:eastAsia="zh-CN"/>
        </w:rPr>
        <w:t>want</w:t>
      </w:r>
      <w:r w:rsidRPr="00CE0DE7">
        <w:rPr>
          <w:sz w:val="20"/>
          <w:szCs w:val="20"/>
          <w:lang w:val="en-GB" w:eastAsia="zh-CN"/>
        </w:rPr>
        <w:t xml:space="preserve"> to construct profitable trading strategies, and to regulators </w:t>
      </w:r>
      <w:r w:rsidR="00C95096" w:rsidRPr="00CE0DE7">
        <w:rPr>
          <w:sz w:val="20"/>
          <w:szCs w:val="20"/>
          <w:lang w:val="en-GB" w:eastAsia="zh-CN"/>
        </w:rPr>
        <w:t xml:space="preserve">seeking to </w:t>
      </w:r>
      <w:r w:rsidRPr="00CE0DE7">
        <w:rPr>
          <w:sz w:val="20"/>
          <w:szCs w:val="20"/>
          <w:lang w:val="en-GB" w:eastAsia="zh-CN"/>
        </w:rPr>
        <w:t>improv</w:t>
      </w:r>
      <w:r w:rsidR="00C95096" w:rsidRPr="00CE0DE7">
        <w:rPr>
          <w:sz w:val="20"/>
          <w:szCs w:val="20"/>
          <w:lang w:val="en-GB" w:eastAsia="zh-CN"/>
        </w:rPr>
        <w:t>e</w:t>
      </w:r>
      <w:r w:rsidRPr="00CE0DE7">
        <w:rPr>
          <w:sz w:val="20"/>
          <w:szCs w:val="20"/>
          <w:lang w:val="en-GB" w:eastAsia="zh-CN"/>
        </w:rPr>
        <w:t xml:space="preserve"> stock market efficiency and market quality. </w:t>
      </w:r>
    </w:p>
    <w:p w14:paraId="25BA386B" w14:textId="7BA81E66" w:rsidR="009B2D08" w:rsidRPr="00CE0DE7" w:rsidRDefault="009B2D08" w:rsidP="00BD081C">
      <w:pPr>
        <w:spacing w:line="480" w:lineRule="auto"/>
        <w:ind w:firstLine="425"/>
        <w:jc w:val="both"/>
        <w:rPr>
          <w:sz w:val="20"/>
          <w:szCs w:val="20"/>
          <w:lang w:val="en-GB" w:eastAsia="zh-CN"/>
        </w:rPr>
      </w:pPr>
      <w:r w:rsidRPr="00CE0DE7">
        <w:rPr>
          <w:sz w:val="20"/>
          <w:szCs w:val="20"/>
          <w:lang w:val="en-GB" w:eastAsia="zh-CN"/>
        </w:rPr>
        <w:t>The rest of the paper proceeds as follows. Section 2 summarizes related literature on economic uncertainty, risk aversion</w:t>
      </w:r>
      <w:r w:rsidR="00721672" w:rsidRPr="00CE0DE7">
        <w:rPr>
          <w:sz w:val="20"/>
          <w:szCs w:val="20"/>
          <w:lang w:val="en-GB" w:eastAsia="zh-CN"/>
        </w:rPr>
        <w:t>,</w:t>
      </w:r>
      <w:r w:rsidRPr="00CE0DE7">
        <w:rPr>
          <w:sz w:val="20"/>
          <w:szCs w:val="20"/>
          <w:lang w:val="en-GB" w:eastAsia="zh-CN"/>
        </w:rPr>
        <w:t xml:space="preserve"> and liquidity, and relation between liquidity and stock returns. Section 3 discusses data and variables. In Section 4, we conduct empirical analyses on the relation between key variables and perform robustness checks. Section 5 examines the channels through which the relation</w:t>
      </w:r>
      <w:r w:rsidR="006259CE" w:rsidRPr="00CE0DE7">
        <w:rPr>
          <w:sz w:val="20"/>
          <w:szCs w:val="20"/>
          <w:lang w:val="en-GB" w:eastAsia="zh-CN"/>
        </w:rPr>
        <w:t>s</w:t>
      </w:r>
      <w:r w:rsidRPr="00CE0DE7">
        <w:rPr>
          <w:sz w:val="20"/>
          <w:szCs w:val="20"/>
          <w:lang w:val="en-GB" w:eastAsia="zh-CN"/>
        </w:rPr>
        <w:t xml:space="preserve"> between the variables take effect. Finally, Section 6 concludes.</w:t>
      </w:r>
    </w:p>
    <w:p w14:paraId="0ABB3933" w14:textId="77777777" w:rsidR="00431FF8" w:rsidRPr="00CE0DE7" w:rsidRDefault="00431FF8" w:rsidP="009B2D08">
      <w:pPr>
        <w:spacing w:line="480" w:lineRule="auto"/>
        <w:ind w:firstLine="709"/>
        <w:jc w:val="both"/>
        <w:rPr>
          <w:sz w:val="20"/>
          <w:szCs w:val="20"/>
          <w:lang w:val="en-GB" w:eastAsia="zh-CN"/>
        </w:rPr>
      </w:pPr>
    </w:p>
    <w:p w14:paraId="741314F2" w14:textId="63C51B4B" w:rsidR="009B2D08" w:rsidRPr="00CE0DE7" w:rsidRDefault="009B2D08" w:rsidP="009B2D08">
      <w:pPr>
        <w:pStyle w:val="1"/>
        <w:spacing w:after="240"/>
        <w:jc w:val="both"/>
        <w:rPr>
          <w:sz w:val="20"/>
          <w:szCs w:val="20"/>
          <w:lang w:val="en-GB" w:eastAsia="zh-CN"/>
        </w:rPr>
      </w:pPr>
      <w:r w:rsidRPr="00CE0DE7">
        <w:rPr>
          <w:sz w:val="20"/>
          <w:szCs w:val="20"/>
          <w:lang w:val="en-GB" w:eastAsia="zh-CN"/>
        </w:rPr>
        <w:t xml:space="preserve">2. </w:t>
      </w:r>
      <w:r w:rsidR="00353059" w:rsidRPr="00CE0DE7">
        <w:rPr>
          <w:sz w:val="20"/>
          <w:szCs w:val="20"/>
          <w:lang w:val="en-GB" w:eastAsia="zh-CN"/>
        </w:rPr>
        <w:t>Related l</w:t>
      </w:r>
      <w:r w:rsidRPr="00CE0DE7">
        <w:rPr>
          <w:sz w:val="20"/>
          <w:szCs w:val="20"/>
          <w:lang w:val="en-GB" w:eastAsia="zh-CN"/>
        </w:rPr>
        <w:t>iterature</w:t>
      </w:r>
    </w:p>
    <w:p w14:paraId="1B176AF9" w14:textId="5FF5B86B" w:rsidR="009B2D08" w:rsidRPr="00CE0DE7" w:rsidRDefault="009B2D08" w:rsidP="0086345E">
      <w:pPr>
        <w:pStyle w:val="1"/>
        <w:spacing w:after="240"/>
        <w:jc w:val="both"/>
        <w:rPr>
          <w:b w:val="0"/>
          <w:i/>
          <w:sz w:val="20"/>
          <w:szCs w:val="20"/>
          <w:lang w:val="en-GB" w:eastAsia="zh-CN"/>
        </w:rPr>
      </w:pPr>
      <w:r w:rsidRPr="00CE0DE7">
        <w:rPr>
          <w:b w:val="0"/>
          <w:i/>
          <w:sz w:val="20"/>
          <w:szCs w:val="20"/>
          <w:lang w:val="en-GB" w:eastAsia="zh-CN"/>
        </w:rPr>
        <w:t xml:space="preserve">2.1 Economic uncertainty, </w:t>
      </w:r>
      <w:r w:rsidR="00517092" w:rsidRPr="00CE0DE7">
        <w:rPr>
          <w:b w:val="0"/>
          <w:i/>
          <w:sz w:val="20"/>
          <w:szCs w:val="20"/>
          <w:lang w:val="en-GB" w:eastAsia="zh-CN"/>
        </w:rPr>
        <w:t xml:space="preserve">investor </w:t>
      </w:r>
      <w:r w:rsidRPr="00CE0DE7">
        <w:rPr>
          <w:b w:val="0"/>
          <w:i/>
          <w:sz w:val="20"/>
          <w:szCs w:val="20"/>
          <w:lang w:val="en-GB" w:eastAsia="zh-CN"/>
        </w:rPr>
        <w:t>risk aversion</w:t>
      </w:r>
      <w:r w:rsidR="008071EC" w:rsidRPr="00CE0DE7">
        <w:rPr>
          <w:b w:val="0"/>
          <w:i/>
          <w:sz w:val="20"/>
          <w:szCs w:val="20"/>
          <w:lang w:val="en-GB" w:eastAsia="zh-CN"/>
        </w:rPr>
        <w:t>,</w:t>
      </w:r>
      <w:r w:rsidRPr="00CE0DE7">
        <w:rPr>
          <w:b w:val="0"/>
          <w:i/>
          <w:sz w:val="20"/>
          <w:szCs w:val="20"/>
          <w:lang w:val="en-GB" w:eastAsia="zh-CN"/>
        </w:rPr>
        <w:t xml:space="preserve"> and liquidity</w:t>
      </w:r>
    </w:p>
    <w:p w14:paraId="39FCEB02" w14:textId="444A668D" w:rsidR="00114542" w:rsidRPr="00CE0DE7" w:rsidRDefault="008071EC" w:rsidP="00BD081C">
      <w:pPr>
        <w:spacing w:line="480" w:lineRule="auto"/>
        <w:ind w:firstLine="425"/>
        <w:jc w:val="both"/>
        <w:rPr>
          <w:sz w:val="20"/>
          <w:szCs w:val="20"/>
          <w:lang w:val="en-GB" w:eastAsia="zh-CN"/>
        </w:rPr>
      </w:pPr>
      <w:r w:rsidRPr="00CE0DE7">
        <w:rPr>
          <w:sz w:val="20"/>
          <w:szCs w:val="20"/>
          <w:lang w:val="en-GB" w:eastAsia="zh-CN"/>
        </w:rPr>
        <w:t xml:space="preserve">As an early theoretical effort, </w:t>
      </w:r>
      <w:proofErr w:type="spellStart"/>
      <w:r w:rsidR="009B2D08" w:rsidRPr="00CE0DE7">
        <w:rPr>
          <w:sz w:val="20"/>
          <w:szCs w:val="20"/>
          <w:lang w:val="en-GB" w:eastAsia="zh-CN"/>
        </w:rPr>
        <w:t>Karady</w:t>
      </w:r>
      <w:proofErr w:type="spellEnd"/>
      <w:r w:rsidR="009B2D08" w:rsidRPr="00CE0DE7">
        <w:rPr>
          <w:sz w:val="20"/>
          <w:szCs w:val="20"/>
          <w:lang w:val="en-GB" w:eastAsia="zh-CN"/>
        </w:rPr>
        <w:t xml:space="preserve"> </w:t>
      </w:r>
      <w:r w:rsidR="00C339DB" w:rsidRPr="00CE0DE7">
        <w:rPr>
          <w:sz w:val="20"/>
          <w:szCs w:val="20"/>
          <w:lang w:val="en-GB" w:eastAsia="zh-CN"/>
        </w:rPr>
        <w:fldChar w:fldCharType="begin" w:fldLock="1"/>
      </w:r>
      <w:r w:rsidR="00C339DB" w:rsidRPr="00CE0DE7">
        <w:rPr>
          <w:sz w:val="20"/>
          <w:szCs w:val="20"/>
          <w:lang w:val="en-GB" w:eastAsia="zh-CN"/>
        </w:rPr>
        <w:instrText>ADDIN CSL_CITATION {"citationItems":[{"id":"ITEM-1","itemData":{"author":[{"dropping-particle":"","family":"Karady","given":"G.","non-dropping-particle":"","parse-names":false,"suffix":""}],"container-title":"Journal of Financial Economics","id":"ITEM-1","issue":"4","issued":{"date-parts":[["1982"]]},"page":"467-483","title":"The effect of temporal risk aversion on liquidity preference","type":"article-journal","volume":"10"},"suppress-author":1,"uris":["http://www.mendeley.com/documents/?uuid=d52fd01b-f717-30af-8a98-de7647a30a0b"]}],"mendeley":{"formattedCitation":"(1982)","plainTextFormattedCitation":"(1982)","previouslyFormattedCitation":"(1982)"},"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(1982)</w:t>
      </w:r>
      <w:r w:rsidR="00C339DB" w:rsidRPr="00CE0DE7">
        <w:rPr>
          <w:sz w:val="20"/>
          <w:szCs w:val="20"/>
          <w:lang w:val="en-GB" w:eastAsia="zh-CN"/>
        </w:rPr>
        <w:fldChar w:fldCharType="end"/>
      </w:r>
      <w:r w:rsidR="009B2D08" w:rsidRPr="00CE0DE7">
        <w:rPr>
          <w:sz w:val="20"/>
          <w:szCs w:val="20"/>
          <w:lang w:val="en-GB" w:eastAsia="zh-CN"/>
        </w:rPr>
        <w:t xml:space="preserve"> develops a</w:t>
      </w:r>
      <w:r w:rsidRPr="00CE0DE7">
        <w:rPr>
          <w:sz w:val="20"/>
          <w:szCs w:val="20"/>
          <w:lang w:val="en-GB" w:eastAsia="zh-CN"/>
        </w:rPr>
        <w:t>n</w:t>
      </w:r>
      <w:r w:rsidR="009B2D08" w:rsidRPr="00CE0DE7">
        <w:rPr>
          <w:sz w:val="20"/>
          <w:szCs w:val="20"/>
          <w:lang w:val="en-GB" w:eastAsia="zh-CN"/>
        </w:rPr>
        <w:t xml:space="preserve"> asset pricing model </w:t>
      </w:r>
      <w:r w:rsidRPr="00CE0DE7">
        <w:rPr>
          <w:sz w:val="20"/>
          <w:szCs w:val="20"/>
          <w:lang w:val="en-GB" w:eastAsia="zh-CN"/>
        </w:rPr>
        <w:t xml:space="preserve">to </w:t>
      </w:r>
      <w:r w:rsidR="009B2D08" w:rsidRPr="00CE0DE7">
        <w:rPr>
          <w:sz w:val="20"/>
          <w:szCs w:val="20"/>
          <w:lang w:val="en-GB" w:eastAsia="zh-CN"/>
        </w:rPr>
        <w:t>examin</w:t>
      </w:r>
      <w:r w:rsidRPr="00CE0DE7">
        <w:rPr>
          <w:sz w:val="20"/>
          <w:szCs w:val="20"/>
          <w:lang w:val="en-GB" w:eastAsia="zh-CN"/>
        </w:rPr>
        <w:t xml:space="preserve">e the </w:t>
      </w:r>
      <w:r w:rsidR="009B2D08" w:rsidRPr="00CE0DE7">
        <w:rPr>
          <w:sz w:val="20"/>
          <w:szCs w:val="20"/>
          <w:lang w:val="en-GB" w:eastAsia="zh-CN"/>
        </w:rPr>
        <w:t xml:space="preserve">relation </w:t>
      </w:r>
      <w:r w:rsidR="005E1162" w:rsidRPr="00CE0DE7">
        <w:rPr>
          <w:sz w:val="20"/>
          <w:szCs w:val="20"/>
          <w:lang w:val="en-GB" w:eastAsia="zh-CN"/>
        </w:rPr>
        <w:t xml:space="preserve">among </w:t>
      </w:r>
      <w:r w:rsidR="009B2D08" w:rsidRPr="00CE0DE7">
        <w:rPr>
          <w:sz w:val="20"/>
          <w:szCs w:val="20"/>
          <w:lang w:val="en-GB" w:eastAsia="zh-CN"/>
        </w:rPr>
        <w:t xml:space="preserve">dynamic </w:t>
      </w:r>
      <w:r w:rsidRPr="00CE0DE7">
        <w:rPr>
          <w:sz w:val="20"/>
          <w:szCs w:val="20"/>
          <w:lang w:val="en-GB" w:eastAsia="zh-CN"/>
        </w:rPr>
        <w:t xml:space="preserve">investor </w:t>
      </w:r>
      <w:r w:rsidR="009B2D08" w:rsidRPr="00CE0DE7">
        <w:rPr>
          <w:sz w:val="20"/>
          <w:szCs w:val="20"/>
          <w:lang w:val="en-GB" w:eastAsia="zh-CN"/>
        </w:rPr>
        <w:t xml:space="preserve">risk attitude, temporal risk aversion, and expected returns to liquid and illiquid stocks. </w:t>
      </w:r>
      <w:r w:rsidRPr="00CE0DE7">
        <w:rPr>
          <w:sz w:val="20"/>
          <w:szCs w:val="20"/>
          <w:lang w:val="en-GB" w:eastAsia="zh-CN"/>
        </w:rPr>
        <w:t>It</w:t>
      </w:r>
      <w:r w:rsidR="009B2D08" w:rsidRPr="00CE0DE7">
        <w:rPr>
          <w:sz w:val="20"/>
          <w:szCs w:val="20"/>
          <w:lang w:val="en-GB" w:eastAsia="zh-CN"/>
        </w:rPr>
        <w:t xml:space="preserve"> concludes that temporal risk aversion exhibits a marked </w:t>
      </w:r>
      <w:r w:rsidR="007348DB" w:rsidRPr="00CE0DE7">
        <w:rPr>
          <w:sz w:val="20"/>
          <w:szCs w:val="20"/>
          <w:lang w:val="en-GB" w:eastAsia="zh-CN"/>
        </w:rPr>
        <w:t>impact</w:t>
      </w:r>
      <w:r w:rsidR="009B2D08" w:rsidRPr="00CE0DE7">
        <w:rPr>
          <w:sz w:val="20"/>
          <w:szCs w:val="20"/>
          <w:lang w:val="en-GB" w:eastAsia="zh-CN"/>
        </w:rPr>
        <w:t xml:space="preserve"> on liquidity premium. More recently, </w:t>
      </w:r>
      <w:proofErr w:type="spellStart"/>
      <w:r w:rsidR="009B2D08" w:rsidRPr="00CE0DE7">
        <w:rPr>
          <w:sz w:val="20"/>
          <w:szCs w:val="20"/>
          <w:lang w:val="en-GB" w:eastAsia="zh-CN"/>
        </w:rPr>
        <w:t>Vayanos</w:t>
      </w:r>
      <w:proofErr w:type="spellEnd"/>
      <w:r w:rsidR="009B2D08" w:rsidRPr="00CE0DE7">
        <w:rPr>
          <w:sz w:val="20"/>
          <w:szCs w:val="20"/>
          <w:lang w:val="en-GB" w:eastAsia="zh-CN"/>
        </w:rPr>
        <w:t xml:space="preserve"> and Wang </w:t>
      </w:r>
      <w:r w:rsidR="00C339DB" w:rsidRPr="00CE0DE7">
        <w:rPr>
          <w:sz w:val="20"/>
          <w:szCs w:val="20"/>
          <w:lang w:val="en-GB" w:eastAsia="zh-CN"/>
        </w:rPr>
        <w:fldChar w:fldCharType="begin" w:fldLock="1"/>
      </w:r>
      <w:r w:rsidR="00C339DB" w:rsidRPr="00CE0DE7">
        <w:rPr>
          <w:sz w:val="20"/>
          <w:szCs w:val="20"/>
          <w:lang w:val="en-GB" w:eastAsia="zh-CN"/>
        </w:rPr>
        <w:instrText>ADDIN CSL_CITATION {"citationItems":[{"id":"ITEM-1","itemData":{"ISSN":"0893-9454","abstract":"We analyze how asymmetric information and imperfect competition affect liquidity and asset prices. Our model has three periods: Agents are identical in the first, become heterogeneous and trade in the second, and consume asset payoffs in the third. We show that asymmetric information in the second period raises ex ante expected asset returns in the first, comparing both to the case where all private signals are made public and to that where private signals are not observed. Imperfect competition can instead lower expected returns. Each imperfection can move common measures of illiquidity in opposite directions. © The Author 2011. Published by Oxford University Press on behalf of The Society for Financial Studies. All rights reserved.","author":[{"dropping-particle":"","family":"Vayanos","given":"Dimitri","non-dropping-particle":"","parse-names":false,"suffix":""},{"dropping-particle":"","family":"Wang","given":"Jiang","non-dropping-particle":"","parse-names":false,"suffix":""}],"container-title":"Review of Financial Studies","id":"ITEM-1","issue":"5","issued":{"date-parts":[["2012","5","1"]]},"page":"1339-1365","publisher":"Oxford Academic","title":"Liquidity and asset returns Under asymmetric information and imperfect competition","type":"article-journal","volume":"25"},"suppress-author":1,"uris":["http://www.mendeley.com/documents/?uuid=c06d6347-7e54-384c-b984-98dfe90a35ed"]}],"mendeley":{"formattedCitation":"(2012)","plainTextFormattedCitation":"(2012)","previouslyFormattedCitation":"(2012)"},"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(2012)</w:t>
      </w:r>
      <w:r w:rsidR="00C339DB" w:rsidRPr="00CE0DE7">
        <w:rPr>
          <w:sz w:val="20"/>
          <w:szCs w:val="20"/>
          <w:lang w:val="en-GB" w:eastAsia="zh-CN"/>
        </w:rPr>
        <w:fldChar w:fldCharType="end"/>
      </w:r>
      <w:r w:rsidR="009B2D08" w:rsidRPr="00CE0DE7">
        <w:rPr>
          <w:sz w:val="20"/>
          <w:szCs w:val="20"/>
          <w:lang w:val="en-GB" w:eastAsia="zh-CN"/>
        </w:rPr>
        <w:t xml:space="preserve"> show that</w:t>
      </w:r>
      <w:r w:rsidR="00364023" w:rsidRPr="00CE0DE7">
        <w:rPr>
          <w:sz w:val="20"/>
          <w:szCs w:val="20"/>
          <w:lang w:val="en-GB" w:eastAsia="zh-CN"/>
        </w:rPr>
        <w:t xml:space="preserve"> </w:t>
      </w:r>
      <w:r w:rsidR="009B2D08" w:rsidRPr="00CE0DE7">
        <w:rPr>
          <w:sz w:val="20"/>
          <w:szCs w:val="20"/>
          <w:lang w:val="en-GB" w:eastAsia="zh-CN"/>
        </w:rPr>
        <w:t>the level of asset liquidity is higher when investor risk aversion is low and asset return volatility decrease</w:t>
      </w:r>
      <w:r w:rsidR="005E1162" w:rsidRPr="00CE0DE7">
        <w:rPr>
          <w:sz w:val="20"/>
          <w:szCs w:val="20"/>
          <w:lang w:val="en-GB" w:eastAsia="zh-CN"/>
        </w:rPr>
        <w:t>s</w:t>
      </w:r>
      <w:r w:rsidR="009B2D08" w:rsidRPr="00CE0DE7">
        <w:rPr>
          <w:sz w:val="20"/>
          <w:szCs w:val="20"/>
          <w:lang w:val="en-GB" w:eastAsia="zh-CN"/>
        </w:rPr>
        <w:t xml:space="preserve"> in a market with liquidity demanders and suppliers</w:t>
      </w:r>
      <w:r w:rsidR="00364023" w:rsidRPr="00CE0DE7">
        <w:rPr>
          <w:sz w:val="20"/>
          <w:szCs w:val="20"/>
          <w:lang w:val="en-GB" w:eastAsia="zh-CN"/>
        </w:rPr>
        <w:t xml:space="preserve"> and in the presence of information asymmetry and imperfect competition.</w:t>
      </w:r>
      <w:r w:rsidR="00114542" w:rsidRPr="00CE0DE7">
        <w:rPr>
          <w:sz w:val="20"/>
          <w:szCs w:val="20"/>
          <w:lang w:val="en-GB" w:eastAsia="zh-CN"/>
        </w:rPr>
        <w:t xml:space="preserve"> </w:t>
      </w:r>
    </w:p>
    <w:p w14:paraId="23DAFD6B" w14:textId="754CFD38" w:rsidR="00D67CF7" w:rsidRPr="00CE0DE7" w:rsidRDefault="009B2D08" w:rsidP="00BD081C">
      <w:pPr>
        <w:spacing w:line="480" w:lineRule="auto"/>
        <w:ind w:firstLine="425"/>
        <w:jc w:val="both"/>
        <w:rPr>
          <w:sz w:val="20"/>
          <w:szCs w:val="20"/>
          <w:lang w:val="en-GB" w:eastAsia="zh-CN"/>
        </w:rPr>
      </w:pPr>
      <w:r w:rsidRPr="00CE0DE7">
        <w:rPr>
          <w:sz w:val="20"/>
          <w:szCs w:val="20"/>
          <w:lang w:val="en-GB" w:eastAsia="zh-CN"/>
        </w:rPr>
        <w:t xml:space="preserve">Empirically, by decomposing the macroeconomic uncertainty into </w:t>
      </w:r>
      <w:r w:rsidRPr="00CE0DE7">
        <w:rPr>
          <w:i/>
          <w:sz w:val="20"/>
          <w:szCs w:val="20"/>
          <w:lang w:val="en-GB" w:eastAsia="zh-CN"/>
        </w:rPr>
        <w:t>good</w:t>
      </w:r>
      <w:r w:rsidRPr="00CE0DE7">
        <w:rPr>
          <w:sz w:val="20"/>
          <w:szCs w:val="20"/>
          <w:lang w:val="en-GB" w:eastAsia="zh-CN"/>
        </w:rPr>
        <w:t xml:space="preserve"> and </w:t>
      </w:r>
      <w:r w:rsidRPr="00CE0DE7">
        <w:rPr>
          <w:i/>
          <w:sz w:val="20"/>
          <w:szCs w:val="20"/>
          <w:lang w:val="en-GB" w:eastAsia="zh-CN"/>
        </w:rPr>
        <w:t>bad</w:t>
      </w:r>
      <w:r w:rsidRPr="00CE0DE7">
        <w:rPr>
          <w:sz w:val="20"/>
          <w:szCs w:val="20"/>
          <w:lang w:val="en-GB" w:eastAsia="zh-CN"/>
        </w:rPr>
        <w:t xml:space="preserve"> components which are </w:t>
      </w:r>
      <w:r w:rsidR="002F347B" w:rsidRPr="00CE0DE7">
        <w:rPr>
          <w:sz w:val="20"/>
          <w:szCs w:val="20"/>
          <w:lang w:val="en-GB" w:eastAsia="zh-CN"/>
        </w:rPr>
        <w:t xml:space="preserve">respectively </w:t>
      </w:r>
      <w:r w:rsidRPr="00CE0DE7">
        <w:rPr>
          <w:sz w:val="20"/>
          <w:szCs w:val="20"/>
          <w:lang w:val="en-GB" w:eastAsia="zh-CN"/>
        </w:rPr>
        <w:t>associated with positive and negative innovations to macroeconomic growth, Segal</w:t>
      </w:r>
      <w:r w:rsidR="007A49F2" w:rsidRPr="00CE0DE7">
        <w:rPr>
          <w:sz w:val="20"/>
          <w:szCs w:val="20"/>
          <w:lang w:val="en-GB" w:eastAsia="zh-CN"/>
        </w:rPr>
        <w:t xml:space="preserve"> et al. </w:t>
      </w:r>
      <w:r w:rsidR="00C339DB" w:rsidRPr="00CE0DE7">
        <w:rPr>
          <w:sz w:val="20"/>
          <w:szCs w:val="20"/>
          <w:lang w:val="en-GB" w:eastAsia="zh-CN"/>
        </w:rPr>
        <w:fldChar w:fldCharType="begin" w:fldLock="1"/>
      </w:r>
      <w:r w:rsidR="00C339DB" w:rsidRPr="00CE0DE7">
        <w:rPr>
          <w:sz w:val="20"/>
          <w:szCs w:val="20"/>
          <w:lang w:val="en-GB" w:eastAsia="zh-CN"/>
        </w:rPr>
        <w:instrText>ADDIN CSL_CITATION {"citationItems":[{"id":"ITEM-1","itemData":{"ISSN":"0304405X","abstract":"Does macroeconomic uncertainty increase or decrease aggregate growth and asset prices? To address this question, we decompose aggregate uncertainty into 'good' and 'bad' volatility components, associated with positive and negative innovations to macroeconomic growth. We document that in line with our theoretical framework, these two uncertainties have opposite impact on aggregate growth and asset prices. Good uncertainty predicts an increase in future economic activity, such as consumption, output, and investment, and is positively related to valuation ratios, while bad uncertainty forecasts a decline in economic growth and depresses asset prices. Further, the market price of risk and equity beta of good uncertainty are positive, while negative for bad uncertainty. Hence, both uncertainty risks contribute positively to risk premia, and help explain the cross-section of expected returns beyond cash flow risk.","author":[{"dropping-particle":"","family":"Segal","given":"Gill","non-dropping-particle":"","parse-names":false,"suffix":""},{"dropping-particle":"","family":"Shaliastovich","given":"Ivan","non-dropping-particle":"","parse-names":false,"suffix":""},{"dropping-particle":"","family":"Yaron","given":"Amir","non-dropping-particle":"","parse-names":false,"suffix":""}],"container-title":"Journal of Financial Economics","id":"ITEM-1","issue":"2","issued":{"date-parts":[["2015","8","1"]]},"page":"369-397","publisher":"Elsevier B.V.","title":"Good and bad uncertainty: Macroeconomic and financial market implications","type":"article-journal","volume":"117"},"suppress-author":1,"uris":["http://www.mendeley.com/documents/?uuid=80197f1b-91db-311e-ae81-fee266443903"]}],"mendeley":{"formattedCitation":"(2015)","plainTextFormattedCitation":"(2015)","previouslyFormattedCitation":"(2015)"},"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(2015)</w:t>
      </w:r>
      <w:r w:rsidR="00C339DB" w:rsidRPr="00CE0DE7">
        <w:rPr>
          <w:sz w:val="20"/>
          <w:szCs w:val="20"/>
          <w:lang w:val="en-GB" w:eastAsia="zh-CN"/>
        </w:rPr>
        <w:fldChar w:fldCharType="end"/>
      </w:r>
      <w:r w:rsidRPr="00CE0DE7">
        <w:rPr>
          <w:sz w:val="20"/>
          <w:szCs w:val="20"/>
          <w:lang w:val="en-GB" w:eastAsia="zh-CN"/>
        </w:rPr>
        <w:t xml:space="preserve"> </w:t>
      </w:r>
      <w:r w:rsidR="002F347B" w:rsidRPr="00CE0DE7">
        <w:rPr>
          <w:sz w:val="20"/>
          <w:szCs w:val="20"/>
          <w:lang w:val="en-GB" w:eastAsia="zh-CN"/>
        </w:rPr>
        <w:t xml:space="preserve">posit </w:t>
      </w:r>
      <w:r w:rsidRPr="00CE0DE7">
        <w:rPr>
          <w:sz w:val="20"/>
          <w:szCs w:val="20"/>
          <w:lang w:val="en-GB" w:eastAsia="zh-CN"/>
        </w:rPr>
        <w:t>that these two uncertaint</w:t>
      </w:r>
      <w:r w:rsidR="002F347B" w:rsidRPr="00CE0DE7">
        <w:rPr>
          <w:sz w:val="20"/>
          <w:szCs w:val="20"/>
          <w:lang w:val="en-GB" w:eastAsia="zh-CN"/>
        </w:rPr>
        <w:t>y types</w:t>
      </w:r>
      <w:r w:rsidRPr="00CE0DE7">
        <w:rPr>
          <w:sz w:val="20"/>
          <w:szCs w:val="20"/>
          <w:lang w:val="en-GB" w:eastAsia="zh-CN"/>
        </w:rPr>
        <w:t xml:space="preserve"> </w:t>
      </w:r>
      <w:r w:rsidR="00114542" w:rsidRPr="00CE0DE7">
        <w:rPr>
          <w:sz w:val="20"/>
          <w:szCs w:val="20"/>
          <w:lang w:val="en-GB" w:eastAsia="zh-CN"/>
        </w:rPr>
        <w:t>exhibit</w:t>
      </w:r>
      <w:r w:rsidRPr="00CE0DE7">
        <w:rPr>
          <w:sz w:val="20"/>
          <w:szCs w:val="20"/>
          <w:lang w:val="en-GB" w:eastAsia="zh-CN"/>
        </w:rPr>
        <w:t xml:space="preserve"> opposite </w:t>
      </w:r>
      <w:r w:rsidR="00AF1F4D" w:rsidRPr="00CE0DE7">
        <w:rPr>
          <w:sz w:val="20"/>
          <w:szCs w:val="20"/>
          <w:lang w:val="en-GB" w:eastAsia="zh-CN"/>
        </w:rPr>
        <w:t>impact</w:t>
      </w:r>
      <w:r w:rsidRPr="00CE0DE7">
        <w:rPr>
          <w:sz w:val="20"/>
          <w:szCs w:val="20"/>
          <w:lang w:val="en-GB" w:eastAsia="zh-CN"/>
        </w:rPr>
        <w:t xml:space="preserve"> on economic growth and asset prices. </w:t>
      </w:r>
      <w:r w:rsidR="00114542" w:rsidRPr="00CE0DE7">
        <w:rPr>
          <w:sz w:val="20"/>
          <w:szCs w:val="20"/>
          <w:lang w:val="en-GB" w:eastAsia="zh-CN"/>
        </w:rPr>
        <w:t xml:space="preserve">In a similar </w:t>
      </w:r>
      <w:r w:rsidRPr="00CE0DE7">
        <w:rPr>
          <w:sz w:val="20"/>
          <w:szCs w:val="20"/>
          <w:lang w:val="en-GB" w:eastAsia="zh-CN"/>
        </w:rPr>
        <w:t xml:space="preserve">framework, Chiu </w:t>
      </w:r>
      <w:r w:rsidR="00C339DB" w:rsidRPr="00CE0DE7">
        <w:rPr>
          <w:sz w:val="20"/>
          <w:szCs w:val="20"/>
          <w:lang w:val="en-GB" w:eastAsia="zh-CN"/>
        </w:rPr>
        <w:fldChar w:fldCharType="begin" w:fldLock="1"/>
      </w:r>
      <w:r w:rsidR="00E67DF0" w:rsidRPr="00CE0DE7">
        <w:rPr>
          <w:sz w:val="20"/>
          <w:szCs w:val="20"/>
          <w:lang w:val="en-GB" w:eastAsia="zh-CN"/>
        </w:rPr>
        <w:instrText>ADDIN CSL_CITATION {"citationItems":[{"id":"ITEM-1","itemData":{"ISSN":"15446123","abstract":"In this study we provide evidence regarding the effect of macroeconomic uncertainty on stock market liquidity by analyzing the time-series relation between both types of macroeconomic uncertainty shocks: good and bad uncertainty and various measures of liquidity. Our study also sheds light on whether the impact of macroeconomic uncertainty on liquidity varies with information environment by examining the effects of investor competition over information on the relation between good and bad uncertainty and liquidity in the Taiwan markets. We find that there is a negative (positive) relation between bad (good) uncertainty and the subsequent liquidity of stocks. We also find that the magnitude of the impact of bad uncertainty on stock market liquidity is larger than good uncertainty. On the other side, macroeconomic uncertainty would exerts a larger impact on liquidity when the market is imperfectly competitive.","author":[{"dropping-particle":"","family":"Chiu","given":"Yen Chen","non-dropping-particle":"","parse-names":false,"suffix":""}],"container-title":"Finance Research Letters","id":"ITEM-1","issued":{"date-parts":[["2020","5","1"]]},"page":"101262","publisher":"Elsevier Ltd","title":"Macroeconomic uncertainty, information competition, and liquidity","type":"article-journal","volume":"34"},"suppress-author":1,"uris":["http://www.mendeley.com/documents/?uuid=88b43f44-8df2-332b-ac7a-65ef056d436d"]}],"mendeley":{"formattedCitation":"(2020)","plainTextFormattedCitation":"(2020)","previouslyFormattedCitation":"(2020)"},"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(2020)</w:t>
      </w:r>
      <w:r w:rsidR="00C339DB" w:rsidRPr="00CE0DE7">
        <w:rPr>
          <w:sz w:val="20"/>
          <w:szCs w:val="20"/>
          <w:lang w:val="en-GB" w:eastAsia="zh-CN"/>
        </w:rPr>
        <w:fldChar w:fldCharType="end"/>
      </w:r>
      <w:r w:rsidR="007A49F2" w:rsidRPr="00CE0DE7">
        <w:rPr>
          <w:sz w:val="20"/>
          <w:szCs w:val="20"/>
          <w:lang w:val="en-GB" w:eastAsia="zh-CN"/>
        </w:rPr>
        <w:t xml:space="preserve"> </w:t>
      </w:r>
      <w:r w:rsidR="00114542" w:rsidRPr="00CE0DE7">
        <w:rPr>
          <w:sz w:val="20"/>
          <w:szCs w:val="20"/>
          <w:lang w:val="en-GB" w:eastAsia="zh-CN"/>
        </w:rPr>
        <w:t xml:space="preserve">documents </w:t>
      </w:r>
      <w:r w:rsidRPr="00CE0DE7">
        <w:rPr>
          <w:sz w:val="20"/>
          <w:szCs w:val="20"/>
          <w:lang w:val="en-GB" w:eastAsia="zh-CN"/>
        </w:rPr>
        <w:t xml:space="preserve">that </w:t>
      </w:r>
      <w:r w:rsidRPr="00CE0DE7">
        <w:rPr>
          <w:i/>
          <w:iCs/>
          <w:sz w:val="20"/>
          <w:szCs w:val="20"/>
          <w:lang w:val="en-GB" w:eastAsia="zh-CN"/>
        </w:rPr>
        <w:t>good</w:t>
      </w:r>
      <w:r w:rsidRPr="00CE0DE7">
        <w:rPr>
          <w:sz w:val="20"/>
          <w:szCs w:val="20"/>
          <w:lang w:val="en-GB" w:eastAsia="zh-CN"/>
        </w:rPr>
        <w:t xml:space="preserve"> </w:t>
      </w:r>
      <w:r w:rsidR="002F347B" w:rsidRPr="00CE0DE7">
        <w:rPr>
          <w:sz w:val="20"/>
          <w:szCs w:val="20"/>
          <w:lang w:val="en-GB" w:eastAsia="zh-CN"/>
        </w:rPr>
        <w:t>(</w:t>
      </w:r>
      <w:r w:rsidR="002F347B" w:rsidRPr="00CE0DE7">
        <w:rPr>
          <w:i/>
          <w:iCs/>
          <w:sz w:val="20"/>
          <w:szCs w:val="20"/>
          <w:lang w:val="en-GB" w:eastAsia="zh-CN"/>
        </w:rPr>
        <w:t>bad</w:t>
      </w:r>
      <w:r w:rsidR="002F347B" w:rsidRPr="00CE0DE7">
        <w:rPr>
          <w:sz w:val="20"/>
          <w:szCs w:val="20"/>
          <w:lang w:val="en-GB" w:eastAsia="zh-CN"/>
        </w:rPr>
        <w:t>)</w:t>
      </w:r>
      <w:r w:rsidRPr="00CE0DE7">
        <w:rPr>
          <w:sz w:val="20"/>
          <w:szCs w:val="20"/>
          <w:lang w:val="en-GB" w:eastAsia="zh-CN"/>
        </w:rPr>
        <w:t xml:space="preserve"> macroeconomic uncertainty is positively </w:t>
      </w:r>
      <w:r w:rsidR="002F347B" w:rsidRPr="00CE0DE7">
        <w:rPr>
          <w:sz w:val="20"/>
          <w:szCs w:val="20"/>
          <w:lang w:val="en-GB" w:eastAsia="zh-CN"/>
        </w:rPr>
        <w:t xml:space="preserve">(negatively) </w:t>
      </w:r>
      <w:r w:rsidRPr="00CE0DE7">
        <w:rPr>
          <w:sz w:val="20"/>
          <w:szCs w:val="20"/>
          <w:lang w:val="en-GB" w:eastAsia="zh-CN"/>
        </w:rPr>
        <w:t xml:space="preserve">related to subsequent stock liquidity. Utilizing information in the options market, Chung and </w:t>
      </w:r>
      <w:proofErr w:type="spellStart"/>
      <w:r w:rsidRPr="00CE0DE7">
        <w:rPr>
          <w:sz w:val="20"/>
          <w:szCs w:val="20"/>
          <w:lang w:val="en-GB" w:eastAsia="zh-CN"/>
        </w:rPr>
        <w:t>Chuwonganant</w:t>
      </w:r>
      <w:proofErr w:type="spellEnd"/>
      <w:r w:rsidRPr="00CE0DE7">
        <w:rPr>
          <w:sz w:val="20"/>
          <w:szCs w:val="20"/>
          <w:lang w:val="en-GB" w:eastAsia="zh-CN"/>
        </w:rPr>
        <w:t xml:space="preserve"> </w:t>
      </w:r>
      <w:r w:rsidR="00C339DB" w:rsidRPr="00CE0DE7">
        <w:rPr>
          <w:sz w:val="20"/>
          <w:szCs w:val="20"/>
          <w:lang w:val="en-GB" w:eastAsia="zh-CN"/>
        </w:rPr>
        <w:fldChar w:fldCharType="begin" w:fldLock="1"/>
      </w:r>
      <w:r w:rsidR="00E67DF0" w:rsidRPr="00CE0DE7">
        <w:rPr>
          <w:sz w:val="20"/>
          <w:szCs w:val="20"/>
          <w:lang w:val="en-GB" w:eastAsia="zh-CN"/>
        </w:rPr>
        <w:instrText>ADDIN CSL_CITATION {"citationItems":[{"id":"ITEM-1","itemData":{"ISSN":"0304405X","abstract":"In this study we show that market uncertainty [measured by the Chicago Board Options Exchange Market Volatility Index (VIX)] exerts a large market-wide impact on liquidity, which gives rise to co-movements in individual asset liquidity. The effect of VIX on stock liquidity is greater than the combined effects of all other common determinants of stock liquidity. We show that the uncertainty elasticity of liquidity (UEL: percent change in liquidity given a 1% change in VIX) has increased around regulatory changes in the US markets that increased the role of public traders in liquidity provision, reduced the minimum allowable price variation, weakened the affirmative obligation of NASDAQ dealers, and abolished the specialist system on the NYSE. © 2014 Elsevier B.V.","author":[{"dropping-particle":"","family":"Chung","given":"Kee H.","non-dropping-particle":"","parse-names":false,"suffix":""},{"dropping-particle":"","family":"Chuwonganant","given":"Chairat","non-dropping-particle":"","parse-names":false,"suffix":""}],"container-title":"Journal of Financial Economics","id":"ITEM-1","issue":"3","issued":{"date-parts":[["2014","9","1"]]},"page":"476-499","publisher":"Elsevier","title":"Uncertainty, market structure, and liquidity","type":"article-journal","volume":"113"},"suppress-author":1,"uris":["http://www.mendeley.com/documents/?uuid=2fb8e6f0-0787-3423-9bc1-164dbeca43f9"]}],"mendeley":{"formattedCitation":"(2014)","plainTextFormattedCitation":"(2014)","previouslyFormattedCitation":"(2014)"},"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(2014)</w:t>
      </w:r>
      <w:r w:rsidR="00C339DB" w:rsidRPr="00CE0DE7">
        <w:rPr>
          <w:sz w:val="20"/>
          <w:szCs w:val="20"/>
          <w:lang w:val="en-GB" w:eastAsia="zh-CN"/>
        </w:rPr>
        <w:fldChar w:fldCharType="end"/>
      </w:r>
      <w:r w:rsidRPr="00CE0DE7">
        <w:rPr>
          <w:sz w:val="20"/>
          <w:szCs w:val="20"/>
          <w:lang w:val="en-GB" w:eastAsia="zh-CN"/>
        </w:rPr>
        <w:t xml:space="preserve"> </w:t>
      </w:r>
      <w:r w:rsidR="00C50B35" w:rsidRPr="00CE0DE7">
        <w:rPr>
          <w:sz w:val="20"/>
          <w:szCs w:val="20"/>
          <w:lang w:val="en-GB" w:eastAsia="zh-CN"/>
        </w:rPr>
        <w:t>show</w:t>
      </w:r>
      <w:r w:rsidRPr="00CE0DE7">
        <w:rPr>
          <w:sz w:val="20"/>
          <w:szCs w:val="20"/>
          <w:lang w:val="en-GB" w:eastAsia="zh-CN"/>
        </w:rPr>
        <w:t xml:space="preserve"> that market uncertainty displays a stronger </w:t>
      </w:r>
      <w:r w:rsidR="007348DB" w:rsidRPr="00CE0DE7">
        <w:rPr>
          <w:sz w:val="20"/>
          <w:szCs w:val="20"/>
          <w:lang w:val="en-GB" w:eastAsia="zh-CN"/>
        </w:rPr>
        <w:t>impact</w:t>
      </w:r>
      <w:r w:rsidRPr="00CE0DE7">
        <w:rPr>
          <w:sz w:val="20"/>
          <w:szCs w:val="20"/>
          <w:lang w:val="en-GB" w:eastAsia="zh-CN"/>
        </w:rPr>
        <w:t xml:space="preserve"> on stock liquidity than the combined effect of other determinants of stock liquidity. In addition, the uncertainty elasticity of liquidity </w:t>
      </w:r>
      <w:r w:rsidR="00AF1F4D" w:rsidRPr="00CE0DE7">
        <w:rPr>
          <w:sz w:val="20"/>
          <w:szCs w:val="20"/>
          <w:lang w:val="en-GB" w:eastAsia="zh-CN"/>
        </w:rPr>
        <w:t xml:space="preserve">rises </w:t>
      </w:r>
      <w:r w:rsidRPr="00CE0DE7">
        <w:rPr>
          <w:sz w:val="20"/>
          <w:szCs w:val="20"/>
          <w:lang w:val="en-GB" w:eastAsia="zh-CN"/>
        </w:rPr>
        <w:t xml:space="preserve">in the presence of regulatory change in the US market. </w:t>
      </w:r>
      <w:r w:rsidR="00C50B35" w:rsidRPr="00CE0DE7">
        <w:rPr>
          <w:sz w:val="20"/>
          <w:szCs w:val="20"/>
          <w:lang w:val="en-GB" w:eastAsia="zh-CN"/>
        </w:rPr>
        <w:t xml:space="preserve">These findings are in line with theoretical predictions in </w:t>
      </w:r>
      <w:proofErr w:type="spellStart"/>
      <w:r w:rsidRPr="00CE0DE7">
        <w:rPr>
          <w:sz w:val="20"/>
          <w:szCs w:val="20"/>
          <w:lang w:val="en-GB" w:eastAsia="zh-CN"/>
        </w:rPr>
        <w:t>Brunnermeier</w:t>
      </w:r>
      <w:proofErr w:type="spellEnd"/>
      <w:r w:rsidRPr="00CE0DE7">
        <w:rPr>
          <w:sz w:val="20"/>
          <w:szCs w:val="20"/>
          <w:lang w:val="en-GB" w:eastAsia="zh-CN"/>
        </w:rPr>
        <w:t xml:space="preserve"> and Pedersen </w:t>
      </w:r>
      <w:r w:rsidR="00C339DB" w:rsidRPr="00CE0DE7">
        <w:rPr>
          <w:sz w:val="20"/>
          <w:szCs w:val="20"/>
          <w:lang w:val="en-GB" w:eastAsia="zh-CN"/>
        </w:rPr>
        <w:fldChar w:fldCharType="begin" w:fldLock="1"/>
      </w:r>
      <w:r w:rsidR="00E67DF0" w:rsidRPr="00CE0DE7">
        <w:rPr>
          <w:sz w:val="20"/>
          <w:szCs w:val="20"/>
          <w:lang w:val="en-GB" w:eastAsia="zh-CN"/>
        </w:rPr>
        <w:instrText>ADDIN CSL_CITATION {"citationItems":[{"id":"ITEM-1","itemData":{"ISSN":"0893-9454","abstract":"We provide a model that links an asset's market liquidity (i.e., the ease with which it is traded) and traders' funding liquidity (i.e., the ease with which they can obtain funding). Traders provide market liquidity, and their ability to do so depends on their availability of funding. Conversely, traders' funding, i.e., their capital and margin requirements, depends on the assets' market liquidity. We show that, under certain conditions, margins are destabilizing and market liquidity and funding liquidity are mutually reinforcing, leading to liquidity spirals. The model explains the empirically documented features that market liquidity (i) can suddenly dry up, (ii) has commonality across securities, (iii) is related to volatility, (iv) is subject to \"flight to quality,\" and (v) co-moves with the market. The model provides new testable predictions, including that speculators' capital is a driver of market liquidity and risk premiums.","author":[{"dropping-particle":"","family":"Brunnermeier","given":"Markus K.","non-dropping-particle":"","parse-names":false,"suffix":""},{"dropping-particle":"","family":"Pedersen","given":"Lasse Heje","non-dropping-particle":"","parse-names":false,"suffix":""}],"container-title":"Review of Financial Studies","id":"ITEM-1","issue":"6","issued":{"date-parts":[["2009","6","1"]]},"page":"2201-2238","publisher":"Oxford Academic","title":"Market liquidity and funding liquidity","type":"article-journal","volume":"22"},"suppress-author":1,"uris":["http://www.mendeley.com/documents/?uuid=cadf4d2b-b270-3032-a614-feec81edd64e"]}],"mendeley":{"formattedCitation":"(2009)","plainTextFormattedCitation":"(2009)","previouslyFormattedCitation":"(2009)"},"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(2009)</w:t>
      </w:r>
      <w:r w:rsidR="00C339DB" w:rsidRPr="00CE0DE7">
        <w:rPr>
          <w:sz w:val="20"/>
          <w:szCs w:val="20"/>
          <w:lang w:val="en-GB" w:eastAsia="zh-CN"/>
        </w:rPr>
        <w:fldChar w:fldCharType="end"/>
      </w:r>
      <w:r w:rsidR="00060AF6" w:rsidRPr="00CE0DE7">
        <w:rPr>
          <w:sz w:val="20"/>
          <w:szCs w:val="20"/>
          <w:lang w:val="en-GB" w:eastAsia="zh-CN"/>
        </w:rPr>
        <w:t xml:space="preserve"> </w:t>
      </w:r>
      <w:r w:rsidRPr="00CE0DE7">
        <w:rPr>
          <w:sz w:val="20"/>
          <w:szCs w:val="20"/>
          <w:lang w:val="en-GB" w:eastAsia="zh-CN"/>
        </w:rPr>
        <w:t>that a higher level of market uncertainty weakens market makers’ liquidity-provision capacit</w:t>
      </w:r>
      <w:r w:rsidR="00D67CF7" w:rsidRPr="00CE0DE7">
        <w:rPr>
          <w:sz w:val="20"/>
          <w:szCs w:val="20"/>
          <w:lang w:val="en-GB" w:eastAsia="zh-CN"/>
        </w:rPr>
        <w:t xml:space="preserve">y. </w:t>
      </w:r>
    </w:p>
    <w:p w14:paraId="691182A9" w14:textId="5B9EF294" w:rsidR="00F86A1B" w:rsidRPr="00CE0DE7" w:rsidRDefault="009B2D08" w:rsidP="00BD081C">
      <w:pPr>
        <w:spacing w:line="480" w:lineRule="auto"/>
        <w:ind w:firstLine="425"/>
        <w:jc w:val="both"/>
        <w:rPr>
          <w:sz w:val="20"/>
          <w:szCs w:val="20"/>
          <w:lang w:val="en-GB" w:eastAsia="zh-CN"/>
        </w:rPr>
      </w:pPr>
      <w:r w:rsidRPr="00CE0DE7">
        <w:rPr>
          <w:sz w:val="20"/>
          <w:szCs w:val="20"/>
          <w:lang w:val="en-GB" w:eastAsia="zh-CN"/>
        </w:rPr>
        <w:lastRenderedPageBreak/>
        <w:t>In a parallel strand of the literature, the VRP</w:t>
      </w:r>
      <w:r w:rsidR="007348DB" w:rsidRPr="00CE0DE7">
        <w:rPr>
          <w:sz w:val="20"/>
          <w:szCs w:val="20"/>
          <w:lang w:val="en-GB" w:eastAsia="zh-CN"/>
        </w:rPr>
        <w:t>,</w:t>
      </w:r>
      <w:r w:rsidRPr="00CE0DE7">
        <w:rPr>
          <w:sz w:val="20"/>
          <w:szCs w:val="20"/>
          <w:lang w:val="en-GB" w:eastAsia="zh-CN"/>
        </w:rPr>
        <w:t xml:space="preserve"> </w:t>
      </w:r>
      <w:r w:rsidR="007348DB" w:rsidRPr="00CE0DE7">
        <w:rPr>
          <w:sz w:val="20"/>
          <w:szCs w:val="20"/>
          <w:lang w:val="en-GB" w:eastAsia="zh-CN"/>
        </w:rPr>
        <w:t xml:space="preserve">induced by consumption uncertainty of an economy, </w:t>
      </w:r>
      <w:r w:rsidRPr="00CE0DE7">
        <w:rPr>
          <w:sz w:val="20"/>
          <w:szCs w:val="20"/>
          <w:lang w:val="en-GB" w:eastAsia="zh-CN"/>
        </w:rPr>
        <w:t>reflects inves</w:t>
      </w:r>
      <w:r w:rsidR="007419EC" w:rsidRPr="00CE0DE7">
        <w:rPr>
          <w:sz w:val="20"/>
          <w:szCs w:val="20"/>
          <w:lang w:val="en-GB" w:eastAsia="zh-CN"/>
        </w:rPr>
        <w:t>tor risk aversion</w:t>
      </w:r>
      <w:r w:rsidR="007348DB" w:rsidRPr="00CE0DE7">
        <w:rPr>
          <w:sz w:val="20"/>
          <w:szCs w:val="20"/>
          <w:lang w:val="en-GB" w:eastAsia="zh-CN"/>
        </w:rPr>
        <w:t xml:space="preserve"> </w:t>
      </w:r>
      <w:r w:rsidR="00C339DB" w:rsidRPr="00CE0DE7">
        <w:rPr>
          <w:sz w:val="20"/>
          <w:szCs w:val="20"/>
          <w:lang w:val="en-GB" w:eastAsia="zh-CN"/>
        </w:rPr>
        <w:fldChar w:fldCharType="begin" w:fldLock="1"/>
      </w:r>
      <w:r w:rsidR="00DC30A0">
        <w:rPr>
          <w:sz w:val="20"/>
          <w:szCs w:val="20"/>
          <w:lang w:val="en-GB" w:eastAsia="zh-CN"/>
        </w:rPr>
        <w:instrText>ADDIN CSL_CITATION {"citationItems":[{"id":"ITEM-1","itemData":{"ISSN":"0893-9454","abstract":"Motivated by the implications from a stylized self-contained general equilibrium model incorporating the effects of time-varying economic uncertainty, we show that the difference between implied and realized variation, or the variance risk premium, is able to explain a nontrivial fraction of the time-series variation in post-1990 aggregate stock market returns, with high (low) premia predicting high (low) future returns. Our empirical results depend crucially on the use of \"model-free,\" as opposed to Black-Scholes, options implied volatilities, along with accurate realized variation measures constructed from high-frequency intraday as opposed to daily data. The magnitude of the predictability is particularly strong at the intermediate quarterly return horizon, where it dominates that afforded by other popular predictor variables, such as the P/E ratio, the default spread, and the consumption-wealth ratio.","author":[{"dropping-particle":"","family":"Bollerslev","given":"Tim","non-dropping-particle":"","parse-names":false,"suffix":""},{"dropping-particle":"","family":"Tauchen","given":"George","non-dropping-particle":"","parse-names":false,"suffix":""},{"dropping-particle":"","family":"Zhou","given":"Hao","non-dropping-particle":"","parse-names":false,"suffix":""}],"container-title":"Review of Financial Studies","id":"ITEM-1","issue":"11","issued":{"date-parts":[["2009","11","1"]]},"page":"4463-4492","publisher":"Oxford Academic","title":"Expected stock returns and variance risk premia","type":"article-journal","volume":"22"},"uris":["http://www.mendeley.com/documents/?uuid=45d1ad30-ca4b-3155-bafd-b3e4bfaf3cf7"]},{"id":"ITEM-2","itemData":{"ISSN":"0304405X","abstract":"This paper investigates the empirical characteristics of investor risk aversion over equity return states by estimating a time-varying pricing kernel, which we call the empirical pricing kernel (EPK). We estimate the EPK on a monthly basis from 1991 to 1995, using S&amp;P 500 index option data and a stochastic volatility model for the S&amp;P 500 return process. We find that the EPK exhibits counter cyclical risk aversion over S&amp;P 500 return states. We also find that hedging performance is significantly improved when we use hedge ratios based the EPK rather than a time-invariant pricing kernel. © 2002 Elsevier Science B.V. All rights reserved.","author":[{"dropping-particle":"V.","family":"Rosenberg","given":"Joshua","non-dropping-particle":"","parse-names":false,"suffix":""},{"dropping-particle":"","family":"Engle","given":"Robert F.","non-dropping-particle":"","parse-names":false,"suffix":""}],"container-title":"Journal of Financial Economics","id":"ITEM-2","issue":"3","issued":{"date-parts":[["2002","6","1"]]},"page":"341-372","publisher":"North-Holland","title":"Empirical pricing kernels","type":"article-journal","volume":"64"},"uris":["http://www.mendeley.com/documents/?uuid=6860a418-16c8-37ac-aab7-6148b6cdfcbd"]}],"mendeley":{"formattedCitation":"(Rosenberg and Engle 2002; Bollerslev et al. 2009)","plainTextFormattedCitation":"(Rosenberg and Engle 2002; Bollerslev et al. 2009)","previouslyFormattedCitation":"(Rosenberg and Engle 2002; Bollerslev et al. 2009)"},"properties":{"noteIndex":0},"schema":"https://github.com/citation-style-language/schema/raw/master/csl-citation.json"}</w:instrText>
      </w:r>
      <w:r w:rsidR="00C339DB" w:rsidRPr="00CE0DE7">
        <w:rPr>
          <w:sz w:val="20"/>
          <w:szCs w:val="20"/>
          <w:lang w:val="en-GB" w:eastAsia="zh-CN"/>
        </w:rPr>
        <w:fldChar w:fldCharType="separate"/>
      </w:r>
      <w:r w:rsidR="00C339DB" w:rsidRPr="00CE0DE7">
        <w:rPr>
          <w:noProof/>
          <w:sz w:val="20"/>
          <w:szCs w:val="20"/>
          <w:lang w:val="en-GB" w:eastAsia="zh-CN"/>
        </w:rPr>
        <w:t>(Rosenberg and Engle 2002; Bollerslev et al. 2009)</w:t>
      </w:r>
      <w:r w:rsidR="00C339DB" w:rsidRPr="00CE0DE7">
        <w:rPr>
          <w:sz w:val="20"/>
          <w:szCs w:val="20"/>
          <w:lang w:val="en-GB" w:eastAsia="zh-CN"/>
        </w:rPr>
        <w:fldChar w:fldCharType="end"/>
      </w:r>
      <w:r w:rsidR="007D50AC" w:rsidRPr="00CE0DE7">
        <w:rPr>
          <w:sz w:val="20"/>
          <w:szCs w:val="20"/>
          <w:lang w:val="en-GB" w:eastAsia="zh-CN"/>
        </w:rPr>
        <w:t xml:space="preserve">, and </w:t>
      </w:r>
      <w:bookmarkStart w:id="1" w:name="_Hlk52625119"/>
      <w:r w:rsidR="007D50AC" w:rsidRPr="00CE0DE7">
        <w:rPr>
          <w:sz w:val="20"/>
          <w:szCs w:val="20"/>
          <w:lang w:val="en-GB" w:eastAsia="zh-CN"/>
        </w:rPr>
        <w:t>can be expressed as a nonlinear function of</w:t>
      </w:r>
      <w:r w:rsidR="00B74A2F" w:rsidRPr="00CE0DE7">
        <w:rPr>
          <w:sz w:val="20"/>
          <w:szCs w:val="20"/>
          <w:lang w:val="en-GB" w:eastAsia="zh-CN"/>
        </w:rPr>
        <w:t xml:space="preserve"> or a proxy for</w:t>
      </w:r>
      <w:r w:rsidR="007D50AC" w:rsidRPr="00CE0DE7">
        <w:rPr>
          <w:sz w:val="20"/>
          <w:szCs w:val="20"/>
          <w:lang w:val="en-GB" w:eastAsia="zh-CN"/>
        </w:rPr>
        <w:t xml:space="preserve"> the aggregate degree of risk aversion</w:t>
      </w:r>
      <w:bookmarkEnd w:id="1"/>
      <w:r w:rsidR="007D50AC" w:rsidRPr="00CE0DE7">
        <w:rPr>
          <w:sz w:val="20"/>
          <w:szCs w:val="20"/>
          <w:lang w:val="en-GB" w:eastAsia="zh-CN"/>
        </w:rPr>
        <w:t xml:space="preserve"> </w:t>
      </w:r>
      <w:r w:rsidR="009D63B4" w:rsidRPr="00CE0DE7">
        <w:rPr>
          <w:sz w:val="20"/>
          <w:szCs w:val="20"/>
          <w:lang w:val="en-GB" w:eastAsia="zh-CN"/>
        </w:rPr>
        <w:fldChar w:fldCharType="begin" w:fldLock="1"/>
      </w:r>
      <w:r w:rsidR="00DC30A0">
        <w:rPr>
          <w:sz w:val="20"/>
          <w:szCs w:val="20"/>
          <w:lang w:val="en-GB" w:eastAsia="zh-CN"/>
        </w:rPr>
        <w:instrText>ADDIN CSL_CITATION {"citationItems":[{"id":"ITEM-1","itemData":{"ISSN":"00251909","abstract":"This study formalizes the departure between risk-neutral and physical index return volatilities, termed volatility spreads. Theoretically, the departure between risk-neutral and physical index volatility is connected to the higher-order physical return moments and the parameters of the pricing kernel process. This theory predicts positive volatility spreads when investors are risk averse, and when the physical index distribution is negatively skewed and leptokurtic. Our empirical evidence is supportive of the theoretical implications of risk aversion, exposure to tail events, and fatter left-tails of the physical index distribution in markets where volatility is traded. © 2006 INFORMS.","author":[{"dropping-particle":"","family":"Bakshi","given":"Gurdip","non-dropping-particle":"","parse-names":false,"suffix":""},{"dropping-particle":"","family":"Madan","given":"Dilip","non-dropping-particle":"","parse-names":false,"suffix":""}],"container-title":"Management Science","id":"ITEM-1","issue":"12","issued":{"date-parts":[["2006","12","1"]]},"page":"1945-1956","publisher":"INFORMS","title":"A theory of volatility spreads","type":"article-journal","volume":"52"},"uris":["http://www.mendeley.com/documents/?uuid=378e2283-b4b5-3557-aab4-2479efbdeea6"]},{"id":"ITEM-2","itemData":{"ISSN":"0893-9454","abstract":"Motivated by the implications from a stylized self-contained general equilibrium model incorporating the effects of time-varying economic uncertainty, we show that the difference between implied and realized variation, or the variance risk premium, is able to explain a nontrivial fraction of the time-series variation in post-1990 aggregate stock market returns, with high (low) premia predicting high (low) future returns. Our empirical results depend crucially on the use of \"model-free,\" as opposed to Black-Scholes, options implied volatilities, along with accurate realized variation measures constructed from high-frequency intraday as opposed to daily data. The magnitude of the predictability is particularly strong at the intermediate quarterly return horizon, where it dominates that afforded by other popular predictor variables, such as the P/E ratio, the default spread, and the consumption-wealth ratio.","author":[{"dropping-particle":"","family":"Bollerslev","given":"Tim","non-dropping-particle":"","parse-names":false,"suffix":""},{"dropping-particle":"","family":"Tauchen","given":"George","non-dropping-particle":"","parse-names":false,"suffix":""},{"dropping-particle":"","family":"Zhou","given":"Hao","non-dropping-particle":"","parse-names":false,"suffix":""}],"container-title":"Review of Financial Studies","id":"ITEM-2","issue":"11","issued":{"date-parts":[["2009","11","1"]]},"page":"4463-4492","publisher":"Oxford Academic","title":"Expected stock returns and variance risk premia","type":"article-journal","volume":"22"},"uris":["http://www.mendeley.com/documents/?uuid=45d1ad30-ca4b-3155-bafd-b3e4bfaf3cf7"]}],"mendeley":{"formattedCitation":"(Bakshi and Madan 2006; Bollerslev et al. 2009)","plainTextFormattedCitation":"(Bakshi and Madan 2006; Bollerslev et al. 2009)","previouslyFormattedCitation":"(Bakshi and Madan 2006; Bollerslev et al. 2009)"},"properties":{"noteIndex":0},"schema":"https://github.com/citation-style-language/schema/raw/master/csl-citation.json"}</w:instrText>
      </w:r>
      <w:r w:rsidR="009D63B4" w:rsidRPr="00CE0DE7">
        <w:rPr>
          <w:sz w:val="20"/>
          <w:szCs w:val="20"/>
          <w:lang w:val="en-GB" w:eastAsia="zh-CN"/>
        </w:rPr>
        <w:fldChar w:fldCharType="separate"/>
      </w:r>
      <w:r w:rsidR="009D63B4" w:rsidRPr="00CE0DE7">
        <w:rPr>
          <w:noProof/>
          <w:sz w:val="20"/>
          <w:szCs w:val="20"/>
          <w:lang w:val="en-GB" w:eastAsia="zh-CN"/>
        </w:rPr>
        <w:t>(Bakshi and Madan 2006; Bollerslev et al. 2009)</w:t>
      </w:r>
      <w:r w:rsidR="009D63B4" w:rsidRPr="00CE0DE7">
        <w:rPr>
          <w:sz w:val="20"/>
          <w:szCs w:val="20"/>
          <w:lang w:val="en-GB" w:eastAsia="zh-CN"/>
        </w:rPr>
        <w:fldChar w:fldCharType="end"/>
      </w:r>
      <w:r w:rsidR="007D50AC" w:rsidRPr="00CE0DE7">
        <w:rPr>
          <w:sz w:val="20"/>
          <w:szCs w:val="20"/>
          <w:lang w:val="en-GB" w:eastAsia="zh-CN"/>
        </w:rPr>
        <w:t xml:space="preserve">. </w:t>
      </w:r>
      <w:r w:rsidRPr="00CE0DE7">
        <w:rPr>
          <w:sz w:val="20"/>
          <w:szCs w:val="20"/>
          <w:lang w:val="en-GB" w:eastAsia="zh-CN"/>
        </w:rPr>
        <w:t xml:space="preserve">As indicated in </w:t>
      </w:r>
      <w:r w:rsidRPr="00CE0DE7">
        <w:rPr>
          <w:noProof/>
          <w:sz w:val="20"/>
          <w:szCs w:val="20"/>
          <w:lang w:val="en-GB" w:eastAsia="zh-CN"/>
        </w:rPr>
        <w:t xml:space="preserve">Drechsler and Yaron </w:t>
      </w:r>
      <w:r w:rsidR="009D63B4" w:rsidRPr="00CE0DE7">
        <w:rPr>
          <w:noProof/>
          <w:sz w:val="20"/>
          <w:szCs w:val="20"/>
          <w:lang w:val="en-GB" w:eastAsia="zh-CN"/>
        </w:rPr>
        <w:fldChar w:fldCharType="begin" w:fldLock="1"/>
      </w:r>
      <w:r w:rsidR="009D63B4" w:rsidRPr="00CE0DE7">
        <w:rPr>
          <w:noProof/>
          <w:sz w:val="20"/>
          <w:szCs w:val="20"/>
          <w:lang w:val="en-GB" w:eastAsia="zh-CN"/>
        </w:rPr>
        <w:instrText>ADDIN CSL_CITATION {"citationItems":[{"id":"ITEM-1","itemData":{"ISSN":"0893-9454","abstract":"Uncertainty plays a key role in economics, finance, and decision sciences. Financial markets, in particular derivative markets, provide fertile ground for understanding how perceptions of economic uncertainty and cash-flow risk manifest themselves in asset prices. We demonstrate that the variance premium, defined as the difference between the squared VIX index and expected realized variance, captures attitudes toward uncertainty. We show conditions under which the variance premium displays significant time variation and return predictability. A calibrated, generalized long-run risks model generates a variance premium with time variation and return predictability that is consistent with the data, while simultaneously matching the levels and volatilities of the market return and risk-free rate. Our evidence indicates an important role for transient non-Gaussian shocks to fundamentals that affect agents' views of economic uncertainty and prices. © The Author 2010.","author":[{"dropping-particle":"","family":"Drechsler","given":"Itamar","non-dropping-particle":"","parse-names":false,"suffix":""},{"dropping-particle":"","family":"Yaron","given":"Amir","non-dropping-particle":"","parse-names":false,"suffix":""}],"container-title":"Review of Financial Studies","id":"ITEM-1","issue":"1","issued":{"date-parts":[["2011","1","1"]]},"page":"1-45","publisher":"Oxford Academic","title":"What's vol got to do with it","type":"article-journal","volume":"24"},"suppress-author":1,"uris":["http://www.mendeley.com/documents/?uuid=5678d2c9-a394-3c94-b405-0115086bc06a"]}],"mendeley":{"formattedCitation":"(2011)","plainTextFormattedCitation":"(2011)","previouslyFormattedCitation":"(2011)"},"properties":{"noteIndex":0},"schema":"https://github.com/citation-style-language/schema/raw/master/csl-citation.json"}</w:instrText>
      </w:r>
      <w:r w:rsidR="009D63B4" w:rsidRPr="00CE0DE7">
        <w:rPr>
          <w:noProof/>
          <w:sz w:val="20"/>
          <w:szCs w:val="20"/>
          <w:lang w:val="en-GB" w:eastAsia="zh-CN"/>
        </w:rPr>
        <w:fldChar w:fldCharType="separate"/>
      </w:r>
      <w:r w:rsidR="009D63B4" w:rsidRPr="00CE0DE7">
        <w:rPr>
          <w:noProof/>
          <w:sz w:val="20"/>
          <w:szCs w:val="20"/>
          <w:lang w:val="en-GB" w:eastAsia="zh-CN"/>
        </w:rPr>
        <w:t>(2011)</w:t>
      </w:r>
      <w:r w:rsidR="009D63B4" w:rsidRPr="00CE0DE7">
        <w:rPr>
          <w:noProof/>
          <w:sz w:val="20"/>
          <w:szCs w:val="20"/>
          <w:lang w:val="en-GB" w:eastAsia="zh-CN"/>
        </w:rPr>
        <w:fldChar w:fldCharType="end"/>
      </w:r>
      <w:r w:rsidRPr="00CE0DE7">
        <w:rPr>
          <w:noProof/>
          <w:sz w:val="20"/>
          <w:szCs w:val="20"/>
          <w:lang w:val="en-GB" w:eastAsia="zh-CN"/>
        </w:rPr>
        <w:t>,</w:t>
      </w:r>
      <w:r w:rsidRPr="00CE0DE7">
        <w:rPr>
          <w:sz w:val="20"/>
          <w:szCs w:val="20"/>
          <w:lang w:val="en-GB" w:eastAsia="zh-CN"/>
        </w:rPr>
        <w:t xml:space="preserve"> the VRP is particularly </w:t>
      </w:r>
      <w:r w:rsidR="00D67CF7" w:rsidRPr="00CE0DE7">
        <w:rPr>
          <w:sz w:val="20"/>
          <w:szCs w:val="20"/>
          <w:lang w:val="en-GB" w:eastAsia="zh-CN"/>
        </w:rPr>
        <w:t xml:space="preserve">informative </w:t>
      </w:r>
      <w:r w:rsidRPr="00CE0DE7">
        <w:rPr>
          <w:sz w:val="20"/>
          <w:szCs w:val="20"/>
          <w:lang w:val="en-GB" w:eastAsia="zh-CN"/>
        </w:rPr>
        <w:t>for unravelling the connection</w:t>
      </w:r>
      <w:r w:rsidR="002F347B" w:rsidRPr="00CE0DE7">
        <w:rPr>
          <w:sz w:val="20"/>
          <w:szCs w:val="20"/>
          <w:lang w:val="en-GB" w:eastAsia="zh-CN"/>
        </w:rPr>
        <w:t xml:space="preserve">s </w:t>
      </w:r>
      <w:r w:rsidR="00D67CF7" w:rsidRPr="00CE0DE7">
        <w:rPr>
          <w:sz w:val="20"/>
          <w:szCs w:val="20"/>
          <w:lang w:val="en-GB" w:eastAsia="zh-CN"/>
        </w:rPr>
        <w:t>between</w:t>
      </w:r>
      <w:r w:rsidR="002F347B" w:rsidRPr="00CE0DE7">
        <w:rPr>
          <w:sz w:val="20"/>
          <w:szCs w:val="20"/>
          <w:lang w:val="en-GB" w:eastAsia="zh-CN"/>
        </w:rPr>
        <w:t xml:space="preserve"> </w:t>
      </w:r>
      <w:r w:rsidRPr="00CE0DE7">
        <w:rPr>
          <w:sz w:val="20"/>
          <w:szCs w:val="20"/>
          <w:lang w:val="en-GB" w:eastAsia="zh-CN"/>
        </w:rPr>
        <w:t xml:space="preserve">uncertainty, dynamics of </w:t>
      </w:r>
      <w:r w:rsidR="00D67CF7" w:rsidRPr="00CE0DE7">
        <w:rPr>
          <w:sz w:val="20"/>
          <w:szCs w:val="20"/>
          <w:lang w:val="en-GB" w:eastAsia="zh-CN"/>
        </w:rPr>
        <w:t>an</w:t>
      </w:r>
      <w:r w:rsidRPr="00CE0DE7">
        <w:rPr>
          <w:sz w:val="20"/>
          <w:szCs w:val="20"/>
          <w:lang w:val="en-GB" w:eastAsia="zh-CN"/>
        </w:rPr>
        <w:t xml:space="preserve"> economy, preferences, and </w:t>
      </w:r>
      <w:r w:rsidR="00D67CF7" w:rsidRPr="00CE0DE7">
        <w:rPr>
          <w:sz w:val="20"/>
          <w:szCs w:val="20"/>
          <w:lang w:val="en-GB" w:eastAsia="zh-CN"/>
        </w:rPr>
        <w:t xml:space="preserve">asset </w:t>
      </w:r>
      <w:r w:rsidRPr="00CE0DE7">
        <w:rPr>
          <w:sz w:val="20"/>
          <w:szCs w:val="20"/>
          <w:lang w:val="en-GB" w:eastAsia="zh-CN"/>
        </w:rPr>
        <w:t>prices</w:t>
      </w:r>
      <w:r w:rsidR="00D6128F" w:rsidRPr="00CE0DE7">
        <w:rPr>
          <w:sz w:val="20"/>
          <w:szCs w:val="20"/>
          <w:lang w:val="en-GB" w:eastAsia="zh-CN"/>
        </w:rPr>
        <w:t xml:space="preserve">. </w:t>
      </w:r>
      <w:r w:rsidR="00D67CF7" w:rsidRPr="00CE0DE7">
        <w:rPr>
          <w:iCs/>
          <w:noProof/>
          <w:sz w:val="20"/>
          <w:szCs w:val="20"/>
          <w:lang w:val="en-GB" w:eastAsia="zh-CN"/>
        </w:rPr>
        <w:t xml:space="preserve">The </w:t>
      </w:r>
      <w:r w:rsidR="00AF1F4D" w:rsidRPr="00CE0DE7">
        <w:rPr>
          <w:iCs/>
          <w:noProof/>
          <w:sz w:val="20"/>
          <w:szCs w:val="20"/>
          <w:lang w:val="en-GB" w:eastAsia="zh-CN"/>
        </w:rPr>
        <w:t>paper</w:t>
      </w:r>
      <w:r w:rsidR="00D67CF7" w:rsidRPr="00CE0DE7">
        <w:rPr>
          <w:iCs/>
          <w:noProof/>
          <w:sz w:val="20"/>
          <w:szCs w:val="20"/>
          <w:lang w:val="en-GB" w:eastAsia="zh-CN"/>
        </w:rPr>
        <w:t xml:space="preserve"> </w:t>
      </w:r>
      <w:r w:rsidR="00DA561B" w:rsidRPr="00CE0DE7">
        <w:rPr>
          <w:rFonts w:eastAsia="cmr10"/>
          <w:iCs/>
          <w:sz w:val="20"/>
          <w:szCs w:val="20"/>
          <w:lang w:val="en-GB" w:eastAsia="zh-CN"/>
        </w:rPr>
        <w:t xml:space="preserve">demonstrates that the </w:t>
      </w:r>
      <w:r w:rsidR="00D67CF7" w:rsidRPr="00CE0DE7">
        <w:rPr>
          <w:rFonts w:eastAsiaTheme="minorEastAsia"/>
          <w:iCs/>
          <w:sz w:val="20"/>
          <w:szCs w:val="20"/>
          <w:lang w:val="en-GB" w:eastAsia="zh-CN"/>
        </w:rPr>
        <w:t xml:space="preserve">VRP </w:t>
      </w:r>
      <w:r w:rsidR="00DA561B" w:rsidRPr="00CE0DE7">
        <w:rPr>
          <w:rFonts w:eastAsia="cmr10"/>
          <w:iCs/>
          <w:sz w:val="20"/>
          <w:szCs w:val="20"/>
          <w:lang w:val="en-GB" w:eastAsia="zh-CN"/>
        </w:rPr>
        <w:t>is a useful proxy for agents’ perception of uncertainty and the risk of influential shocks to the economic state vecto</w:t>
      </w:r>
      <w:r w:rsidR="0099371C" w:rsidRPr="00CE0DE7">
        <w:rPr>
          <w:rFonts w:eastAsiaTheme="minorEastAsia"/>
          <w:iCs/>
          <w:sz w:val="20"/>
          <w:szCs w:val="20"/>
          <w:lang w:val="en-GB" w:eastAsia="zh-CN"/>
        </w:rPr>
        <w:t>r</w:t>
      </w:r>
      <w:r w:rsidR="00DA561B" w:rsidRPr="00CE0DE7">
        <w:rPr>
          <w:rFonts w:eastAsia="cmr10"/>
          <w:iCs/>
          <w:sz w:val="20"/>
          <w:szCs w:val="20"/>
          <w:lang w:val="en-GB" w:eastAsia="zh-CN"/>
        </w:rPr>
        <w:t xml:space="preserve"> </w:t>
      </w:r>
      <w:r w:rsidR="0099371C" w:rsidRPr="00CE0DE7">
        <w:rPr>
          <w:rFonts w:eastAsiaTheme="minorEastAsia"/>
          <w:iCs/>
          <w:sz w:val="20"/>
          <w:szCs w:val="20"/>
          <w:lang w:val="en-GB" w:eastAsia="zh-CN"/>
        </w:rPr>
        <w:t xml:space="preserve">and </w:t>
      </w:r>
      <w:r w:rsidRPr="00CE0DE7">
        <w:rPr>
          <w:sz w:val="20"/>
          <w:szCs w:val="20"/>
          <w:lang w:val="en-GB" w:eastAsia="zh-CN"/>
        </w:rPr>
        <w:t xml:space="preserve">bears a close relation to the risk aversion of a representative agent. Assuming a stochastic volatility process for </w:t>
      </w:r>
      <w:r w:rsidR="007D50AC" w:rsidRPr="00CE0DE7">
        <w:rPr>
          <w:sz w:val="20"/>
          <w:szCs w:val="20"/>
          <w:lang w:val="en-GB" w:eastAsia="zh-CN"/>
        </w:rPr>
        <w:t xml:space="preserve">asset </w:t>
      </w:r>
      <w:r w:rsidRPr="00CE0DE7">
        <w:rPr>
          <w:sz w:val="20"/>
          <w:szCs w:val="20"/>
          <w:lang w:val="en-GB" w:eastAsia="zh-CN"/>
        </w:rPr>
        <w:t xml:space="preserve">returns, </w:t>
      </w:r>
      <w:r w:rsidRPr="00CE0DE7">
        <w:rPr>
          <w:noProof/>
          <w:sz w:val="20"/>
          <w:szCs w:val="20"/>
          <w:lang w:val="en-GB" w:eastAsia="zh-CN"/>
        </w:rPr>
        <w:t xml:space="preserve">Bollerslev et al. </w:t>
      </w:r>
      <w:r w:rsidR="009D63B4" w:rsidRPr="00CE0DE7">
        <w:rPr>
          <w:noProof/>
          <w:sz w:val="20"/>
          <w:szCs w:val="20"/>
          <w:lang w:val="en-GB" w:eastAsia="zh-CN"/>
        </w:rPr>
        <w:fldChar w:fldCharType="begin" w:fldLock="1"/>
      </w:r>
      <w:r w:rsidR="008648CB" w:rsidRPr="00CE0DE7">
        <w:rPr>
          <w:noProof/>
          <w:sz w:val="20"/>
          <w:szCs w:val="20"/>
          <w:lang w:val="en-GB" w:eastAsia="zh-CN"/>
        </w:rPr>
        <w:instrText>ADDIN CSL_CITATION {"citationItems":[{"id":"ITEM-1","itemData":{"ISSN":"03044076","abstract":"This paper proposes a method for constructing a volatility risk premium, or investor risk aversion, index. The method is intuitive and simple to implement, relying on the sample moments of the recently popularized model-free realized and option-implied volatility measures. A small-scale Monte Carlo experiment confirms that the procedure works well in practice. Implementing the procedure with actual S&amp;P500 option-implied volatilities and high-frequency five-minute-based realized volatilities indicates significant temporal dependencies in the estimated stochastic volatility risk premium, which we in turn relate to a set of macro-finance state variables. We also find that the extracted volatility risk premium helps predict future stock market returns. © 2010 Elsevier B.V. All rights reserved.","author":[{"dropping-particle":"","family":"Bollerslev","given":"Tim","non-dropping-particle":"","parse-names":false,"suffix":""},{"dropping-particle":"","family":"Gibson","given":"Michael","non-dropping-particle":"","parse-names":false,"suffix":""},{"dropping-particle":"","family":"Zhou","given":"Hao","non-dropping-particle":"","parse-names":false,"suffix":""}],"container-title":"Journal of Econometrics","id":"ITEM-1","issue":"1","issued":{"date-parts":[["2011","1","1"]]},"page":"235-245","publisher":"North-Holland","title":"Dynamic estimation of volatility risk premia and investor risk aversion from option-implied and realized volatilities","type":"article-journal","volume":"160"},"suppress-author":1,"uris":["http://www.mendeley.com/documents/?uuid=ca6a5d39-7483-3660-a4aa-80938fbb185e"]}],"mendeley":{"formattedCitation":"(2011)","plainTextFormattedCitation":"(2011)","previouslyFormattedCitation":"(2011)"},"properties":{"noteIndex":0},"schema":"https://github.com/citation-style-language/schema/raw/master/csl-citation.json"}</w:instrText>
      </w:r>
      <w:r w:rsidR="009D63B4" w:rsidRPr="00CE0DE7">
        <w:rPr>
          <w:noProof/>
          <w:sz w:val="20"/>
          <w:szCs w:val="20"/>
          <w:lang w:val="en-GB" w:eastAsia="zh-CN"/>
        </w:rPr>
        <w:fldChar w:fldCharType="separate"/>
      </w:r>
      <w:r w:rsidR="009D63B4" w:rsidRPr="00CE0DE7">
        <w:rPr>
          <w:noProof/>
          <w:sz w:val="20"/>
          <w:szCs w:val="20"/>
          <w:lang w:val="en-GB" w:eastAsia="zh-CN"/>
        </w:rPr>
        <w:t>(2011)</w:t>
      </w:r>
      <w:r w:rsidR="009D63B4" w:rsidRPr="00CE0DE7">
        <w:rPr>
          <w:noProof/>
          <w:sz w:val="20"/>
          <w:szCs w:val="20"/>
          <w:lang w:val="en-GB" w:eastAsia="zh-CN"/>
        </w:rPr>
        <w:fldChar w:fldCharType="end"/>
      </w:r>
      <w:r w:rsidRPr="00CE0DE7">
        <w:rPr>
          <w:sz w:val="20"/>
          <w:szCs w:val="20"/>
          <w:lang w:val="en-GB" w:eastAsia="zh-CN"/>
        </w:rPr>
        <w:t xml:space="preserve"> argue that the </w:t>
      </w:r>
      <w:r w:rsidR="007D50AC" w:rsidRPr="00CE0DE7">
        <w:rPr>
          <w:sz w:val="20"/>
          <w:szCs w:val="20"/>
          <w:lang w:val="en-GB" w:eastAsia="zh-CN"/>
        </w:rPr>
        <w:t xml:space="preserve">VRP </w:t>
      </w:r>
      <w:r w:rsidRPr="00CE0DE7">
        <w:rPr>
          <w:sz w:val="20"/>
          <w:szCs w:val="20"/>
          <w:lang w:val="en-GB" w:eastAsia="zh-CN"/>
        </w:rPr>
        <w:t>is related to risk aversion within the standard intertemporal asset pricing framework.</w:t>
      </w:r>
      <w:r w:rsidR="007D50AC" w:rsidRPr="00CE0DE7">
        <w:rPr>
          <w:sz w:val="20"/>
          <w:szCs w:val="20"/>
          <w:lang w:val="en-GB" w:eastAsia="zh-CN"/>
        </w:rPr>
        <w:t xml:space="preserve"> </w:t>
      </w:r>
      <w:r w:rsidR="001F6343">
        <w:rPr>
          <w:sz w:val="20"/>
          <w:szCs w:val="20"/>
          <w:lang w:val="en-GB" w:eastAsia="zh-CN"/>
        </w:rPr>
        <w:t xml:space="preserve">Using a cost-free production-based equilibrium model, Ruan and Zhang </w:t>
      </w:r>
      <w:r w:rsidR="00513C23">
        <w:rPr>
          <w:sz w:val="20"/>
          <w:szCs w:val="20"/>
          <w:lang w:val="en-GB" w:eastAsia="zh-CN"/>
        </w:rPr>
        <w:fldChar w:fldCharType="begin" w:fldLock="1"/>
      </w:r>
      <w:r w:rsidR="00513C23">
        <w:rPr>
          <w:sz w:val="20"/>
          <w:szCs w:val="20"/>
          <w:lang w:val="en-GB" w:eastAsia="zh-CN"/>
        </w:rPr>
        <w:instrText>ADDIN CSL_CITATION {"citationItems":[{"id":"ITEM-1","itemData":{"ISSN":"01651889","abstract":"This paper extends the production-based equilibrium model studied by Zhang et al. (2012), in which the stock return has constant volatility and the investor has a constant relative risk aversion (CRRA) utility function, into more general settings where the volatility of the stock return is stochastic and with jumps, and the investor has recursive preferences. The recursive preferences help us to separately find that the higher the elasticity of intertemporal substitution (EIS) and the relative risk aversion (RRA), the higher the equity and variance risk premiums. In equilibrium, risk premiums are determined by the diffusive and jump risks from the stock return and its volatility innovation. The empirical analysis documents that the production-based equilibrium model in a cost-free economy can explain well the equity premium puzzle and the term structure of the variance risk premium (VRP). In addition, our equilibrium model also explains the return predictability of VRP.","author":[{"dropping-particle":"","family":"Ruan","given":"Xinfeng","non-dropping-particle":"","parse-names":false,"suffix":""},{"dropping-particle":"","family":"Zhang","given":"Jin E.","non-dropping-particle":"","parse-names":false,"suffix":""}],"container-title":"Journal of Economic Dynamics and Control","id":"ITEM-1","issued":{"date-parts":[["2018"]]},"page":"42-60","publisher":"Elsevier B.V.","title":"Equilibrium variance risk premium in a cost-free production economy","type":"article-journal","volume":"96"},"suppress-author":1,"uris":["http://www.mendeley.com/documents/?uuid=64bc7525-b8bd-4c1b-9632-750ca6784f90"]}],"mendeley":{"formattedCitation":"(2018)","plainTextFormattedCitation":"(2018)","previouslyFormattedCitation":"(2018)"},"properties":{"noteIndex":0},"schema":"https://github.com/citation-style-language/schema/raw/master/csl-citation.json"}</w:instrText>
      </w:r>
      <w:r w:rsidR="00513C23">
        <w:rPr>
          <w:sz w:val="20"/>
          <w:szCs w:val="20"/>
          <w:lang w:val="en-GB" w:eastAsia="zh-CN"/>
        </w:rPr>
        <w:fldChar w:fldCharType="separate"/>
      </w:r>
      <w:r w:rsidR="00513C23" w:rsidRPr="00513C23">
        <w:rPr>
          <w:noProof/>
          <w:sz w:val="20"/>
          <w:szCs w:val="20"/>
          <w:lang w:val="en-GB" w:eastAsia="zh-CN"/>
        </w:rPr>
        <w:t>(2018)</w:t>
      </w:r>
      <w:r w:rsidR="00513C23">
        <w:rPr>
          <w:sz w:val="20"/>
          <w:szCs w:val="20"/>
          <w:lang w:val="en-GB" w:eastAsia="zh-CN"/>
        </w:rPr>
        <w:fldChar w:fldCharType="end"/>
      </w:r>
      <w:r w:rsidR="001F6343">
        <w:rPr>
          <w:sz w:val="20"/>
          <w:szCs w:val="20"/>
          <w:lang w:val="en-GB" w:eastAsia="zh-CN"/>
        </w:rPr>
        <w:t xml:space="preserve"> find a positive relation between VRP and risk aversion.</w:t>
      </w:r>
    </w:p>
    <w:p w14:paraId="324B493E" w14:textId="527C1FB6" w:rsidR="009B2D08" w:rsidRPr="00CE0DE7" w:rsidRDefault="009B2D08" w:rsidP="00BD081C">
      <w:pPr>
        <w:spacing w:line="480" w:lineRule="auto"/>
        <w:ind w:firstLine="425"/>
        <w:jc w:val="both"/>
        <w:rPr>
          <w:sz w:val="20"/>
          <w:szCs w:val="20"/>
          <w:lang w:val="en-GB" w:eastAsia="zh-CN"/>
        </w:rPr>
      </w:pPr>
      <w:r w:rsidRPr="00CE0DE7">
        <w:rPr>
          <w:sz w:val="20"/>
          <w:szCs w:val="20"/>
          <w:lang w:val="en-GB" w:eastAsia="zh-CN"/>
        </w:rPr>
        <w:t xml:space="preserve">Based on these studies, we </w:t>
      </w:r>
      <w:r w:rsidR="00D6128F" w:rsidRPr="00CE0DE7">
        <w:rPr>
          <w:sz w:val="20"/>
          <w:szCs w:val="20"/>
          <w:lang w:val="en-GB" w:eastAsia="zh-CN"/>
        </w:rPr>
        <w:t xml:space="preserve">infer </w:t>
      </w:r>
      <w:r w:rsidRPr="00CE0DE7">
        <w:rPr>
          <w:sz w:val="20"/>
          <w:szCs w:val="20"/>
          <w:lang w:val="en-GB" w:eastAsia="zh-CN"/>
        </w:rPr>
        <w:t xml:space="preserve">that </w:t>
      </w:r>
      <w:r w:rsidR="00566CAE" w:rsidRPr="00CE0DE7">
        <w:rPr>
          <w:sz w:val="20"/>
          <w:szCs w:val="20"/>
          <w:lang w:val="en-GB" w:eastAsia="zh-CN"/>
        </w:rPr>
        <w:t xml:space="preserve">by capturing investor risk aversion and/or macroeconomic uncertainty, </w:t>
      </w:r>
      <w:r w:rsidRPr="00CE0DE7">
        <w:rPr>
          <w:sz w:val="20"/>
          <w:szCs w:val="20"/>
          <w:lang w:val="en-GB" w:eastAsia="zh-CN"/>
        </w:rPr>
        <w:t xml:space="preserve">the VRP impacts market </w:t>
      </w:r>
      <w:r w:rsidR="00566CAE" w:rsidRPr="00CE0DE7">
        <w:rPr>
          <w:sz w:val="20"/>
          <w:szCs w:val="20"/>
          <w:lang w:val="en-GB" w:eastAsia="zh-CN"/>
        </w:rPr>
        <w:t>returns and liquidity.</w:t>
      </w:r>
    </w:p>
    <w:p w14:paraId="0D459ECD" w14:textId="77777777" w:rsidR="009B2D08" w:rsidRPr="00CE0DE7" w:rsidRDefault="009B2D08" w:rsidP="0086345E">
      <w:pPr>
        <w:spacing w:line="480" w:lineRule="auto"/>
        <w:rPr>
          <w:sz w:val="20"/>
          <w:szCs w:val="20"/>
          <w:lang w:val="en-GB" w:eastAsia="zh-CN"/>
        </w:rPr>
      </w:pPr>
    </w:p>
    <w:p w14:paraId="202ADD50" w14:textId="77777777" w:rsidR="009B2D08" w:rsidRPr="00CE0DE7" w:rsidRDefault="009B2D08" w:rsidP="0093745C">
      <w:pPr>
        <w:pStyle w:val="1"/>
        <w:spacing w:after="240"/>
        <w:jc w:val="both"/>
        <w:rPr>
          <w:b w:val="0"/>
          <w:i/>
          <w:sz w:val="20"/>
          <w:szCs w:val="20"/>
          <w:lang w:val="en-GB" w:eastAsia="zh-CN"/>
        </w:rPr>
      </w:pPr>
      <w:r w:rsidRPr="00CE0DE7">
        <w:rPr>
          <w:b w:val="0"/>
          <w:i/>
          <w:sz w:val="20"/>
          <w:szCs w:val="20"/>
          <w:lang w:val="en-GB" w:eastAsia="zh-CN"/>
        </w:rPr>
        <w:t>2.2 The relation between stock returns and liquidity</w:t>
      </w:r>
    </w:p>
    <w:p w14:paraId="4F4AEBC9" w14:textId="71AA6BA0" w:rsidR="00542477" w:rsidRPr="00CE0DE7" w:rsidRDefault="00B45EDE" w:rsidP="00BD081C">
      <w:pPr>
        <w:adjustRightInd w:val="0"/>
        <w:snapToGrid w:val="0"/>
        <w:spacing w:line="480" w:lineRule="auto"/>
        <w:ind w:firstLine="425"/>
        <w:jc w:val="both"/>
        <w:rPr>
          <w:iCs/>
          <w:sz w:val="20"/>
          <w:szCs w:val="20"/>
          <w:lang w:val="en-GB" w:eastAsia="zh-CN"/>
        </w:rPr>
      </w:pPr>
      <w:r w:rsidRPr="00CE0DE7">
        <w:rPr>
          <w:sz w:val="20"/>
          <w:szCs w:val="20"/>
          <w:lang w:val="en-GB" w:eastAsia="zh-CN"/>
        </w:rPr>
        <w:t xml:space="preserve">There exists a voluminous literature on the relation between liquidity and stock returns. </w:t>
      </w:r>
      <w:r w:rsidR="00F21B6D" w:rsidRPr="00CE0DE7">
        <w:rPr>
          <w:iCs/>
          <w:noProof/>
          <w:sz w:val="20"/>
          <w:szCs w:val="20"/>
          <w:lang w:val="en-GB" w:eastAsia="zh-CN"/>
        </w:rPr>
        <w:t xml:space="preserve">Amihud and Mendelson </w:t>
      </w:r>
      <w:r w:rsidR="009D63B4" w:rsidRPr="00CE0DE7">
        <w:rPr>
          <w:iCs/>
          <w:noProof/>
          <w:sz w:val="20"/>
          <w:szCs w:val="20"/>
          <w:lang w:val="en-GB" w:eastAsia="zh-CN"/>
        </w:rPr>
        <w:fldChar w:fldCharType="begin" w:fldLock="1"/>
      </w:r>
      <w:r w:rsidR="009D63B4" w:rsidRPr="00CE0DE7">
        <w:rPr>
          <w:iCs/>
          <w:noProof/>
          <w:sz w:val="20"/>
          <w:szCs w:val="20"/>
          <w:lang w:val="en-GB" w:eastAsia="zh-CN"/>
        </w:rPr>
        <w:instrText>ADDIN CSL_CITATION {"citationItems":[{"id":"ITEM-1","itemData":{"ISSN":"0304405X","abstract":"This paper studies the effect of the bid-ask spread on asset pricing. We analyze a model in which investors with different expected holding periods trade assets with different relative spreads. The resulting testable hypothesis is that market-observed expexted return is an increasing and concave function of the spread. We test this hypothesis, and the empirical results are consistent with the predictions of the model. © 1986.","author":[{"dropping-particle":"","family":"Amihud","given":"Yakov","non-dropping-particle":"","parse-names":false,"suffix":""},{"dropping-particle":"","family":"Mendelson","given":"Haim","non-dropping-particle":"","parse-names":false,"suffix":""}],"container-title":"Journal of Financial Economics","id":"ITEM-1","issue":"2","issued":{"date-parts":[["1986","12","1"]]},"page":"223-249","publisher":"North-Holland","title":"Asset pricing and the bid-ask spread","type":"article-journal","volume":"17"},"suppress-author":1,"uris":["http://www.mendeley.com/documents/?uuid=05159087-4967-35f7-bf25-5e2c82e2f391"]}],"mendeley":{"formattedCitation":"(1986)","plainTextFormattedCitation":"(1986)","previouslyFormattedCitation":"(1986)"},"properties":{"noteIndex":0},"schema":"https://github.com/citation-style-language/schema/raw/master/csl-citation.json"}</w:instrText>
      </w:r>
      <w:r w:rsidR="009D63B4" w:rsidRPr="00CE0DE7">
        <w:rPr>
          <w:iCs/>
          <w:noProof/>
          <w:sz w:val="20"/>
          <w:szCs w:val="20"/>
          <w:lang w:val="en-GB" w:eastAsia="zh-CN"/>
        </w:rPr>
        <w:fldChar w:fldCharType="separate"/>
      </w:r>
      <w:r w:rsidR="009D63B4" w:rsidRPr="00CE0DE7">
        <w:rPr>
          <w:iCs/>
          <w:noProof/>
          <w:sz w:val="20"/>
          <w:szCs w:val="20"/>
          <w:lang w:val="en-GB" w:eastAsia="zh-CN"/>
        </w:rPr>
        <w:t>(1986)</w:t>
      </w:r>
      <w:r w:rsidR="009D63B4" w:rsidRPr="00CE0DE7">
        <w:rPr>
          <w:iCs/>
          <w:noProof/>
          <w:sz w:val="20"/>
          <w:szCs w:val="20"/>
          <w:lang w:val="en-GB" w:eastAsia="zh-CN"/>
        </w:rPr>
        <w:fldChar w:fldCharType="end"/>
      </w:r>
      <w:r w:rsidR="00F21B6D" w:rsidRPr="00CE0DE7">
        <w:rPr>
          <w:iCs/>
          <w:sz w:val="20"/>
          <w:szCs w:val="20"/>
          <w:lang w:val="en-GB" w:eastAsia="zh-CN"/>
        </w:rPr>
        <w:t xml:space="preserve"> adopt the bid-ask spread as a proxy for illiquidity and discover that expected stock return</w:t>
      </w:r>
      <w:r w:rsidR="00107833" w:rsidRPr="00CE0DE7">
        <w:rPr>
          <w:iCs/>
          <w:sz w:val="20"/>
          <w:szCs w:val="20"/>
          <w:lang w:val="en-GB" w:eastAsia="zh-CN"/>
        </w:rPr>
        <w:t>s</w:t>
      </w:r>
      <w:r w:rsidR="00F21B6D" w:rsidRPr="00CE0DE7">
        <w:rPr>
          <w:iCs/>
          <w:sz w:val="20"/>
          <w:szCs w:val="20"/>
          <w:lang w:val="en-GB" w:eastAsia="zh-CN"/>
        </w:rPr>
        <w:t xml:space="preserve"> </w:t>
      </w:r>
      <w:r w:rsidR="00107833" w:rsidRPr="00CE0DE7">
        <w:rPr>
          <w:iCs/>
          <w:sz w:val="20"/>
          <w:szCs w:val="20"/>
          <w:lang w:val="en-GB" w:eastAsia="zh-CN"/>
        </w:rPr>
        <w:t>are</w:t>
      </w:r>
      <w:r w:rsidR="00F21B6D" w:rsidRPr="00CE0DE7">
        <w:rPr>
          <w:iCs/>
          <w:sz w:val="20"/>
          <w:szCs w:val="20"/>
          <w:lang w:val="en-GB" w:eastAsia="zh-CN"/>
        </w:rPr>
        <w:t xml:space="preserve"> an increasing and concave function of illiquidity. </w:t>
      </w:r>
      <w:r w:rsidR="00107833" w:rsidRPr="00CE0DE7">
        <w:rPr>
          <w:iCs/>
          <w:sz w:val="20"/>
          <w:szCs w:val="20"/>
          <w:lang w:val="en-GB" w:eastAsia="zh-CN"/>
        </w:rPr>
        <w:t xml:space="preserve">Since then, </w:t>
      </w:r>
      <w:r w:rsidR="00F21B6D" w:rsidRPr="00CE0DE7">
        <w:rPr>
          <w:iCs/>
          <w:sz w:val="20"/>
          <w:szCs w:val="20"/>
          <w:lang w:val="en-GB" w:eastAsia="zh-CN"/>
        </w:rPr>
        <w:t>alternative measures of liquidity</w:t>
      </w:r>
      <w:r w:rsidR="00542477" w:rsidRPr="00CE0DE7">
        <w:rPr>
          <w:iCs/>
          <w:sz w:val="20"/>
          <w:szCs w:val="20"/>
          <w:lang w:val="en-GB" w:eastAsia="zh-CN"/>
        </w:rPr>
        <w:t xml:space="preserve"> </w:t>
      </w:r>
      <w:r w:rsidR="00107833" w:rsidRPr="00CE0DE7">
        <w:rPr>
          <w:iCs/>
          <w:sz w:val="20"/>
          <w:szCs w:val="20"/>
          <w:lang w:val="en-GB" w:eastAsia="zh-CN"/>
        </w:rPr>
        <w:t>have been</w:t>
      </w:r>
      <w:r w:rsidR="00542477" w:rsidRPr="00CE0DE7">
        <w:rPr>
          <w:iCs/>
          <w:sz w:val="20"/>
          <w:szCs w:val="20"/>
          <w:lang w:val="en-GB" w:eastAsia="zh-CN"/>
        </w:rPr>
        <w:t xml:space="preserve"> proposed in the literature</w:t>
      </w:r>
      <w:r w:rsidR="00F21B6D" w:rsidRPr="00CE0DE7">
        <w:rPr>
          <w:iCs/>
          <w:sz w:val="20"/>
          <w:szCs w:val="20"/>
          <w:lang w:val="en-GB" w:eastAsia="zh-CN"/>
        </w:rPr>
        <w:t>, such as the marginal cost of trading, dollar trading volume, and turnover ratio</w:t>
      </w:r>
      <w:r w:rsidR="00542477" w:rsidRPr="00CE0DE7">
        <w:rPr>
          <w:iCs/>
          <w:sz w:val="20"/>
          <w:szCs w:val="20"/>
          <w:lang w:val="en-GB" w:eastAsia="zh-CN"/>
        </w:rPr>
        <w:t xml:space="preserve"> with </w:t>
      </w:r>
      <w:r w:rsidR="00F21B6D" w:rsidRPr="00CE0DE7">
        <w:rPr>
          <w:iCs/>
          <w:sz w:val="20"/>
          <w:szCs w:val="20"/>
          <w:lang w:val="en-GB" w:eastAsia="zh-CN"/>
        </w:rPr>
        <w:t xml:space="preserve">consistent conclusions </w:t>
      </w:r>
      <w:r w:rsidR="009D63B4" w:rsidRPr="00CE0DE7">
        <w:rPr>
          <w:iCs/>
          <w:noProof/>
          <w:sz w:val="20"/>
          <w:szCs w:val="20"/>
          <w:lang w:val="en-GB" w:eastAsia="zh-CN"/>
        </w:rPr>
        <w:fldChar w:fldCharType="begin" w:fldLock="1"/>
      </w:r>
      <w:r w:rsidR="00ED66D4" w:rsidRPr="00CE0DE7">
        <w:rPr>
          <w:iCs/>
          <w:noProof/>
          <w:sz w:val="20"/>
          <w:szCs w:val="20"/>
          <w:lang w:val="en-GB" w:eastAsia="zh-CN"/>
        </w:rPr>
        <w:instrText>ADDIN CSL_CITATION {"citationItems":[{"id":"ITEM-1","itemData":{"ISSN":"0304405X","abstract":"Models of price formation in securities markets suggest that privately informed investors create significant illiquidity costs for uninformed investors, implying that the required rates of return should be higher for securities that are relatively illiquid. We investigate the empirical relation between monthly stock returns and measures of illiquity obtained from intraday data. We find a significant relation between required rates of return and these measures after adjusting for the Fama and French risk factors, and also after accounting for the effects of the stock price level.","author":[{"dropping-particle":"","family":"Brennan","given":"Michael J.","non-dropping-particle":"","parse-names":false,"suffix":""},{"dropping-particle":"","family":"Subrahmanyam","given":"Avanidhar","non-dropping-particle":"","parse-names":false,"suffix":""}],"container-title":"Journal of Financial Economics","id":"ITEM-1","issue":"3","issued":{"date-parts":[["1996","7","1"]]},"page":"441-464","publisher":"Elsevier","title":"Market microstructure and asset pricing: On the compensation for illiquidity in stock returns","type":"article-journal","volume":"41"},"uris":["http://www.mendeley.com/documents/?uuid=81e28b72-9627-397f-90b6-67c37cef2409"]}],"mendeley":{"formattedCitation":"(Brennan and Subrahmanyam 1996)","plainTextFormattedCitation":"(Brennan and Subrahmanyam 1996)","previouslyFormattedCitation":"(Brennan and Subrahmanyam 1996)"},"properties":{"noteIndex":0},"schema":"https://github.com/citation-style-language/schema/raw/master/csl-citation.json"}</w:instrText>
      </w:r>
      <w:r w:rsidR="009D63B4" w:rsidRPr="00CE0DE7">
        <w:rPr>
          <w:iCs/>
          <w:noProof/>
          <w:sz w:val="20"/>
          <w:szCs w:val="20"/>
          <w:lang w:val="en-GB" w:eastAsia="zh-CN"/>
        </w:rPr>
        <w:fldChar w:fldCharType="separate"/>
      </w:r>
      <w:r w:rsidR="009D63B4" w:rsidRPr="00CE0DE7">
        <w:rPr>
          <w:iCs/>
          <w:noProof/>
          <w:sz w:val="20"/>
          <w:szCs w:val="20"/>
          <w:lang w:val="en-GB" w:eastAsia="zh-CN"/>
        </w:rPr>
        <w:t>(Brennan and Subrahmanyam 1996)</w:t>
      </w:r>
      <w:r w:rsidR="009D63B4" w:rsidRPr="00CE0DE7">
        <w:rPr>
          <w:iCs/>
          <w:noProof/>
          <w:sz w:val="20"/>
          <w:szCs w:val="20"/>
          <w:lang w:val="en-GB" w:eastAsia="zh-CN"/>
        </w:rPr>
        <w:fldChar w:fldCharType="end"/>
      </w:r>
      <w:r w:rsidR="00542477" w:rsidRPr="00CE0DE7">
        <w:rPr>
          <w:iCs/>
          <w:sz w:val="20"/>
          <w:szCs w:val="20"/>
          <w:lang w:val="en-GB" w:eastAsia="zh-CN"/>
        </w:rPr>
        <w:t>.</w:t>
      </w:r>
      <w:r w:rsidR="00F21B6D" w:rsidRPr="00CE0DE7">
        <w:rPr>
          <w:iCs/>
          <w:sz w:val="20"/>
          <w:szCs w:val="20"/>
          <w:lang w:val="en-GB" w:eastAsia="zh-CN"/>
        </w:rPr>
        <w:t xml:space="preserve"> </w:t>
      </w:r>
    </w:p>
    <w:p w14:paraId="738A16E4" w14:textId="3B009F57" w:rsidR="00E741D6" w:rsidRPr="00CE0DE7" w:rsidRDefault="009B2D08" w:rsidP="00BD081C">
      <w:pPr>
        <w:adjustRightInd w:val="0"/>
        <w:snapToGrid w:val="0"/>
        <w:spacing w:line="480" w:lineRule="auto"/>
        <w:ind w:firstLine="425"/>
        <w:jc w:val="both"/>
        <w:rPr>
          <w:sz w:val="20"/>
          <w:szCs w:val="20"/>
          <w:lang w:val="en-GB" w:eastAsia="zh-CN"/>
        </w:rPr>
      </w:pPr>
      <w:r w:rsidRPr="00CE0DE7">
        <w:rPr>
          <w:sz w:val="20"/>
          <w:szCs w:val="20"/>
          <w:lang w:val="en-GB" w:eastAsia="zh-CN"/>
        </w:rPr>
        <w:t>A number of theories and empirical results suggest that liquidity has substantial predictive power for future ret</w:t>
      </w:r>
      <w:r w:rsidR="00542477" w:rsidRPr="00CE0DE7">
        <w:rPr>
          <w:sz w:val="20"/>
          <w:szCs w:val="20"/>
          <w:lang w:val="en-GB" w:eastAsia="zh-CN"/>
        </w:rPr>
        <w:t xml:space="preserve">urns at both firm and </w:t>
      </w:r>
      <w:r w:rsidRPr="00CE0DE7">
        <w:rPr>
          <w:sz w:val="20"/>
          <w:szCs w:val="20"/>
          <w:lang w:val="en-GB" w:eastAsia="zh-CN"/>
        </w:rPr>
        <w:t>market level</w:t>
      </w:r>
      <w:r w:rsidR="00542477" w:rsidRPr="00CE0DE7">
        <w:rPr>
          <w:sz w:val="20"/>
          <w:szCs w:val="20"/>
          <w:lang w:val="en-GB" w:eastAsia="zh-CN"/>
        </w:rPr>
        <w:t>s</w:t>
      </w:r>
      <w:r w:rsidRPr="00CE0DE7">
        <w:rPr>
          <w:sz w:val="20"/>
          <w:szCs w:val="20"/>
          <w:lang w:val="en-GB" w:eastAsia="zh-CN"/>
        </w:rPr>
        <w:t xml:space="preserve"> </w:t>
      </w:r>
      <w:r w:rsidR="0086345E">
        <w:rPr>
          <w:sz w:val="20"/>
          <w:szCs w:val="20"/>
          <w:lang w:val="en-GB" w:eastAsia="zh-CN"/>
        </w:rPr>
        <w:fldChar w:fldCharType="begin" w:fldLock="1"/>
      </w:r>
      <w:r w:rsidR="0086345E">
        <w:rPr>
          <w:sz w:val="20"/>
          <w:szCs w:val="20"/>
          <w:lang w:val="en-GB" w:eastAsia="zh-CN"/>
        </w:rPr>
        <w:instrText>ADDIN CSL_CITATION {"citationItems":[{"id":"ITEM-1","itemData":{"ISSN":"1556-5068","abstract":"I assemble an annual time series of bid-ask spreads on Dow Jones stocks from 1900-2000, along with an annual estimate of the weighted-average commission rate for trading NYSE stocks since 1925. Spreads are cyclical, especially during periods of market turmoil. The sum of half-spreads and one-way commissions, multiplied by annual turnover, is an estimate of the annual proportional cost of aggregate equity trading. This cost drives a wedge between aggregate gross equity returns and net equity returns. This wedge can account for only a small part of the observed equity premium, but all else equal the gross equity premium is perhaps 1% lower today than it was early in the 1900's. Finally, I present evidence that the transaction cost measures that also proxy for liquidity - spreads and turnover - predict stock returns one year or more ahead. High spreads predict high stock returns; high turnover predicts low stock returns. These liquidity variables dominate traditional predictor variables, such as the dividend yield. The evidence suggests that time-series variation in aggregate liquidity is an important determinant of conditional expected stock market returns.","author":[{"dropping-particle":"","family":"Jones","given":"Charles M.","non-dropping-particle":"","parse-names":false,"suffix":""}],"container-title":"SSRN Electronic Journal","id":"ITEM-1","issued":{"date-parts":[["2002","8","19"]]},"page":"https://ssrn.com/abstract=313681","title":"A century of stock market liquidity and trading costs","type":"article-journal"},"uris":["http://www.mendeley.com/documents/?uuid=a7c15298-f57b-3cea-a41a-8c1432609dd5"]},{"id":"ITEM-2","itemData":{"ISSN":"13864181","abstract":"We build a model that helps to explain why increases in liquidity-such as lower bid-ask spreads, a lower price impact of trade, or higher turnover-predict lower subsequent returns in both firm-level and aggregate data. The model features a class of irrational investors, who underreact to the information contained in order flow, thereby boosting liquidity. In the presence of short-sales constraints, high liquidity is a symptom of the fact that the market is dominated by these irrational investors, and hence is overvalued. This theory can also explain how managers might successfully time the market for seasoned equity offerings, by simply following a rule of thumb that involves issuing when the SEO market is particularly liquid. Empirically, we find that: (i) aggregate measures of equity issuance and share turnover are highly correlated; yet (ii) in a multiple regression, both have incremental predictive power for future equal-weighted market returns. © 2003 Elsevier B.V. All rights reserved.","author":[{"dropping-particle":"","family":"Baker","given":"Malcolm","non-dropping-particle":"","parse-names":false,"suffix":""},{"dropping-particle":"","family":"Stein","given":"Jeremy C.","non-dropping-particle":"","parse-names":false,"suffix":""}],"container-title":"Journal of Financial Markets","id":"ITEM-2","issue":"3","issued":{"date-parts":[["2004","6","1"]]},"page":"271-299","publisher":"North-Holland","title":"Market liquidity as a sentiment indicator","type":"article-journal","volume":"7"},"uris":["http://www.mendeley.com/documents/?uuid=9e47bc2e-30b1-36f9-b70b-7103dd8da346"]},{"id":"ITEM-3","itemData":{"ISSN":"14697696","abstract":"It is widely recognized that market risk cannot solely explain the cross-sectional asset returns. Since the seminal work of Fama and French (1992), an extensive amount of literature has introduced ...","author":[{"dropping-particle":"","family":"Li","given":"Guangchuan","non-dropping-particle":"","parse-names":false,"suffix":""},{"dropping-particle":"","family":"Lu","given":"Lei","non-dropping-particle":"","parse-names":false,"suffix":""},{"dropping-particle":"","family":"Wu","given":"Bo","non-dropping-particle":"","parse-names":false,"suffix":""},{"dropping-particle":"","family":"Zhang","given":"Zhou","non-dropping-particle":"","parse-names":false,"suffix":""}],"container-title":"Quantitative Finance","id":"ITEM-3","issue":"6","issued":{"date-parts":[["2014"]]},"page":"947-957","publisher":"Routledge","title":"Asymmetric information, illiquidity and asset returns: Evidence from China","type":"article-journal","volume":"14"},"uris":["http://www.mendeley.com/documents/?uuid=0c6421c4-9184-3396-9dbe-f65b86786aca"]},{"id":"ITEM-4","itemData":{"author":[{"dropping-particle":"","family":"Kalli","given":"M","non-dropping-particle":"","parse-names":false,"suffix":""},{"dropping-particle":"","family":"Studies","given":"M Ellington","non-dropping-particle":"","parse-names":false,"suffix":""}],"container-title":"Review of Financial Studies","id":"ITEM-4","issued":{"date-parts":[["2019"]]},"page":"In press.","title":"Stock market liquidity and return predictability: A bayesian nonparametric approach","type":"article-journal"},"uris":["http://www.mendeley.com/documents/?uuid=3a46f3fb-80ef-34d0-b9b4-89e80bd20158"]},{"id":"ITEM-5","itemData":{"ISSN":"10629408","abstract":"This paper examines the relationships among liquidity, earnings management, and stock expected returns by using a sample of Chinese listed firms to investigate 22,022 firm–year observations from 1998 to 2018. Our study reveals that an increase in stock liquidity is associated with a decrease in the degree of earnings management. This result is robust to the use of alternative measures when endogeneity concerns are controlled for. Moreover, the findings indicate that the stock liquidity component of earnings management is positively associated with future stock returns in Chinese firms. Our results reveal that the stock liquidity component of short-termism in managerial decisions plays a critical role in determining future stock returns.","author":[{"dropping-particle":"","family":"Huang","given":"Hung Yi","non-dropping-particle":"","parse-names":false,"suffix":""},{"dropping-particle":"","family":"Ho","given":"Kung Cheng","non-dropping-particle":"","parse-names":false,"suffix":""}],"container-title":"North American Journal of Economics and Finance","id":"ITEM-5","issued":{"date-parts":[["2020","11","1"]]},"page":"101261","publisher":"Elsevier Inc.","title":"Liquidity, earnings management, and stock expected returns","type":"article-journal","volume":"54"},"uris":["http://www.mendeley.com/documents/?uuid=867dd636-d9d0-31ed-b771-94e3eda3827d"]},{"id":"ITEM-6","itemData":{"ISSN":"01651765","abstract":"We examine the relationship between stock liquidity and returns before, during and after the 2007–2009 financial crisis. We obtain evidence of a positive association for Germany and the UK, whereas China exhibits the opposite result and the US provides inconclusive evidence.","author":[{"dropping-particle":"","family":"Liu","given":"Guy","non-dropping-particle":"","parse-names":false,"suffix":""},{"dropping-particle":"","family":"Gregoriou","given":"Andros","non-dropping-particle":"","parse-names":false,"suffix":""},{"dropping-particle":"","family":"Bo","given":"Yibo","non-dropping-particle":"","parse-names":false,"suffix":""}],"container-title":"Economics Letters","id":"ITEM-6","issued":{"date-parts":[["2020","1","1"]]},"page":"108500","publisher":"Elsevier B.V.","title":"How do markets value stock liquidity? Comparative evidence from the UK, the US, Germany and China","type":"article-journal","volume":"186"},"uris":["http://www.mendeley.com/documents/?uuid=f58bdc2c-e17f-390c-8b4f-f77425bbe758"]}],"mendeley":{"formattedCitation":"(Jones 2002; Baker and Stein 2004; Li et al. 2014; Kalli and Studies 2019; Liu et al. 2020; Huang and Ho 2020)","manualFormatting":"(e.g., Jones 2002; Baker and Stein 2004; Li et al. 2014; Kalli and Studies 2019; Liu et al. 2020; Huang and Ho 2020)","plainTextFormattedCitation":"(Jones 2002; Baker and Stein 2004; Li et al. 2014; Kalli and Studies 2019; Liu et al. 2020; Huang and Ho 2020)"},"properties":{"noteIndex":0},"schema":"https://github.com/citation-style-language/schema/raw/master/csl-citation.json"}</w:instrText>
      </w:r>
      <w:r w:rsidR="0086345E">
        <w:rPr>
          <w:sz w:val="20"/>
          <w:szCs w:val="20"/>
          <w:lang w:val="en-GB" w:eastAsia="zh-CN"/>
        </w:rPr>
        <w:fldChar w:fldCharType="separate"/>
      </w:r>
      <w:r w:rsidR="0086345E" w:rsidRPr="0086345E">
        <w:rPr>
          <w:noProof/>
          <w:sz w:val="20"/>
          <w:szCs w:val="20"/>
          <w:lang w:val="en-GB" w:eastAsia="zh-CN"/>
        </w:rPr>
        <w:t>(</w:t>
      </w:r>
      <w:r w:rsidR="0086345E">
        <w:rPr>
          <w:noProof/>
          <w:sz w:val="20"/>
          <w:szCs w:val="20"/>
          <w:lang w:val="en-GB" w:eastAsia="zh-CN"/>
        </w:rPr>
        <w:t xml:space="preserve">e.g., </w:t>
      </w:r>
      <w:r w:rsidR="0086345E" w:rsidRPr="0086345E">
        <w:rPr>
          <w:noProof/>
          <w:sz w:val="20"/>
          <w:szCs w:val="20"/>
          <w:lang w:val="en-GB" w:eastAsia="zh-CN"/>
        </w:rPr>
        <w:t>Jones 2002; Baker and Stein 2004; Li et al. 2014; Kalli and Studies 2019; Liu et al. 2020; Huang and Ho 2020)</w:t>
      </w:r>
      <w:r w:rsidR="0086345E">
        <w:rPr>
          <w:sz w:val="20"/>
          <w:szCs w:val="20"/>
          <w:lang w:val="en-GB" w:eastAsia="zh-CN"/>
        </w:rPr>
        <w:fldChar w:fldCharType="end"/>
      </w:r>
      <w:r w:rsidRPr="00CE0DE7">
        <w:rPr>
          <w:sz w:val="20"/>
          <w:szCs w:val="20"/>
          <w:lang w:val="en-GB" w:eastAsia="zh-CN"/>
        </w:rPr>
        <w:t xml:space="preserve">. </w:t>
      </w:r>
      <w:r w:rsidR="00D6128F" w:rsidRPr="00CE0DE7">
        <w:rPr>
          <w:sz w:val="20"/>
          <w:szCs w:val="20"/>
          <w:lang w:val="en-GB" w:eastAsia="zh-CN"/>
        </w:rPr>
        <w:t xml:space="preserve">This </w:t>
      </w:r>
      <w:r w:rsidRPr="00CE0DE7">
        <w:rPr>
          <w:sz w:val="20"/>
          <w:szCs w:val="20"/>
          <w:lang w:val="en-GB" w:eastAsia="zh-CN"/>
        </w:rPr>
        <w:t xml:space="preserve">predictability can be attributed to transaction cost due to adverse selection </w:t>
      </w:r>
      <w:r w:rsidR="009D63B4" w:rsidRPr="00CE0DE7">
        <w:rPr>
          <w:sz w:val="20"/>
          <w:szCs w:val="20"/>
          <w:lang w:val="en-GB" w:eastAsia="zh-CN"/>
        </w:rPr>
        <w:fldChar w:fldCharType="begin" w:fldLock="1"/>
      </w:r>
      <w:r w:rsidR="008648CB" w:rsidRPr="00CE0DE7">
        <w:rPr>
          <w:sz w:val="20"/>
          <w:szCs w:val="20"/>
          <w:lang w:val="en-GB" w:eastAsia="zh-CN"/>
        </w:rPr>
        <w:instrText>ADDIN CSL_CITATION {"citationItems":[{"id":"ITEM-1","itemData":{"ISSN":"0304405X","abstract":"This paper investigates the effect of trade size on security prices. We show that trade size introduces an adverse selection problem into security trading because, given that they wish to trade, informed traders perfer to trade larger amounts at any given price. As a result, market makers' pricing strategies must also depend on trade size, with large trades being made at less favorable prices. Our model provides one explanation for the price effect of block trades and demonstrates that both the size and the sequence of trades matter in determining the price-trade size relationship. © 1987.","author":[{"dropping-particle":"","family":"Easley","given":"David","non-dropping-particle":"","parse-names":false,"suffix":""},{"dropping-particle":"","family":"O'Hara","given":"Maureen","non-dropping-particle":"","parse-names":false,"suffix":""}],"container-title":"Journal of Financial Economics","id":"ITEM-1","issue":"1","issued":{"date-parts":[["1987","9","1"]]},"page":"69-90","publisher":"North-Holland","title":"Price, trade size, and information in securities markets","type":"article-journal","volume":"19"},"uris":["http://www.mendeley.com/documents/?uuid=1d3023a6-4dde-39c2-b68b-4e915ab3bfd2"]},{"id":"ITEM-2","itemData":{"ISSN":"0304405X","abstract":"The presence of traders with superior information leads to a positive bid-ask spread even when the specialist is risk-neutral and makes zero expected profits. The resulting transaction prices convey information, and the expectation of the average spread squared times volume is bounded by a number that is independent of insider activity. The serial correlation of transaction price differences is a function of the proportion of the spread due to adverse selection. A bid-ask spread implies a divergence between observed returns and realizable returns. Observed returns are approximately realizable returns plus what the uninformed anticipate losing to the insiders. © 1985.","author":[{"dropping-particle":"","family":"Glosten","given":"Lawrence R.","non-dropping-particle":"","parse-names":false,"suffix":""},{"dropping-particle":"","family":"Milgrom","given":"Paul R.","non-dropping-particle":"","parse-names":false,"suffix":""}],"container-title":"Journal of Financial Economics","id":"ITEM-2","issue":"1","issued":{"date-parts":[["1985","3","1"]]},"page":"71-100","publisher":"North-Holland","title":"Bid, ask and transaction prices in a specialist market with heterogeneously informed traders","type":"article-journal","volume":"14"},"uris":["http://www.mendeley.com/documents/?uuid=cf9a956d-7a54-3ee9-9254-8369c1069f50"]},{"id":"ITEM-3","itemData":{"ISSN":"15406261","abstract":"Market liquidity is modeled as being determined by the demand and supply of immediacy. Exogenous liquidity events coupled with the risk of delayed trade create a demand for immediacy. Market makers supply immediacy by their continuous presence and willingness to bear risk during the time period between the arrival of final buyers and sellers. In the long run the number of market makers adjusts to equate the supply and demand for immediacy. This determines the equilibrium level of liquidity in the market. The lower is the autocorrelation in rates of return, the higher is the equilibrium level of liquidity. 1988 The American Finance Association","author":[{"dropping-particle":"","family":"Grossman","given":"Sanford J.","non-dropping-particle":"","parse-names":false,"suffix":""},{"dropping-particle":"","family":"Miller","given":"Merton H.","non-dropping-particle":"","parse-names":false,"suffix":""}],"container-title":"The Journal of Finance","id":"ITEM-3","issue":"3","issued":{"date-parts":[["1988"]]},"page":"617-633","title":"Liquidity and Market Structure","type":"article-journal","volume":"43"},"uris":["http://www.mendeley.com/documents/?uuid=306d790e-52d0-373b-9d9d-2caa67514e0b"]},{"id":"ITEM-4","itemData":{"ISSN":"00221082","author":[{"dropping-particle":"","family":"Stoll","given":"Hans R.","non-dropping-particle":"","parse-names":false,"suffix":""}],"container-title":"The Journal of Finance","id":"ITEM-4","issue":"4","issued":{"date-parts":[["1978","9","1"]]},"page":"1133-1151","publisher":"John Wiley &amp; Sons, Ltd","title":"The supply of dealer services in securities markets","type":"article-journal","volume":"33"},"uris":["http://www.mendeley.com/documents/?uuid=e0a6780c-fa9f-3959-9660-862196059967"]}],"mendeley":{"formattedCitation":"(Stoll 1978; Glosten and Milgrom 1985; Easley and O’Hara 1987; Grossman and Miller 1988)","manualFormatting":"(e.g., Stoll 1978; Glosten and Milgrom 1985; Easley and O’Hara 1987; Grossman and Miller 1988)","plainTextFormattedCitation":"(Stoll 1978; Glosten and Milgrom 1985; Easley and O’Hara 1987; Grossman and Miller 1988)","previouslyFormattedCitation":"(Stoll 1978; Glosten and Milgrom 1985; Easley and O’Hara 1987; Grossman and Miller 1988)"},"properties":{"noteIndex":0},"schema":"https://github.com/citation-style-language/schema/raw/master/csl-citation.json"}</w:instrText>
      </w:r>
      <w:r w:rsidR="009D63B4" w:rsidRPr="00CE0DE7">
        <w:rPr>
          <w:sz w:val="20"/>
          <w:szCs w:val="20"/>
          <w:lang w:val="en-GB" w:eastAsia="zh-CN"/>
        </w:rPr>
        <w:fldChar w:fldCharType="separate"/>
      </w:r>
      <w:r w:rsidR="009D63B4" w:rsidRPr="00CE0DE7">
        <w:rPr>
          <w:noProof/>
          <w:sz w:val="20"/>
          <w:szCs w:val="20"/>
          <w:lang w:val="en-GB" w:eastAsia="zh-CN"/>
        </w:rPr>
        <w:t>(</w:t>
      </w:r>
      <w:r w:rsidR="008648CB" w:rsidRPr="00CE0DE7">
        <w:rPr>
          <w:noProof/>
          <w:sz w:val="20"/>
          <w:szCs w:val="20"/>
          <w:lang w:val="en-GB" w:eastAsia="zh-CN"/>
        </w:rPr>
        <w:t xml:space="preserve">e.g., </w:t>
      </w:r>
      <w:r w:rsidR="009D63B4" w:rsidRPr="00CE0DE7">
        <w:rPr>
          <w:noProof/>
          <w:sz w:val="20"/>
          <w:szCs w:val="20"/>
          <w:lang w:val="en-GB" w:eastAsia="zh-CN"/>
        </w:rPr>
        <w:t>Stoll 1978; Glosten and Milgrom 1985; Easley and O’Hara 1987; Grossman and Miller 1988)</w:t>
      </w:r>
      <w:r w:rsidR="009D63B4" w:rsidRPr="00CE0DE7">
        <w:rPr>
          <w:sz w:val="20"/>
          <w:szCs w:val="20"/>
          <w:lang w:val="en-GB" w:eastAsia="zh-CN"/>
        </w:rPr>
        <w:fldChar w:fldCharType="end"/>
      </w:r>
      <w:r w:rsidRPr="00CE0DE7">
        <w:rPr>
          <w:sz w:val="20"/>
          <w:szCs w:val="20"/>
          <w:lang w:val="en-GB" w:eastAsia="zh-CN"/>
        </w:rPr>
        <w:t xml:space="preserve">. If transaction costs are high, investors discount </w:t>
      </w:r>
      <w:r w:rsidR="00107833" w:rsidRPr="00CE0DE7">
        <w:rPr>
          <w:sz w:val="20"/>
          <w:szCs w:val="20"/>
          <w:lang w:val="en-GB" w:eastAsia="zh-CN"/>
        </w:rPr>
        <w:t>risky</w:t>
      </w:r>
      <w:r w:rsidRPr="00CE0DE7">
        <w:rPr>
          <w:sz w:val="20"/>
          <w:szCs w:val="20"/>
          <w:lang w:val="en-GB" w:eastAsia="zh-CN"/>
        </w:rPr>
        <w:t xml:space="preserve"> asset</w:t>
      </w:r>
      <w:r w:rsidR="00107833" w:rsidRPr="00CE0DE7">
        <w:rPr>
          <w:sz w:val="20"/>
          <w:szCs w:val="20"/>
          <w:lang w:val="en-GB" w:eastAsia="zh-CN"/>
        </w:rPr>
        <w:t>s</w:t>
      </w:r>
      <w:r w:rsidRPr="00CE0DE7">
        <w:rPr>
          <w:sz w:val="20"/>
          <w:szCs w:val="20"/>
          <w:lang w:val="en-GB" w:eastAsia="zh-CN"/>
        </w:rPr>
        <w:t xml:space="preserve"> a</w:t>
      </w:r>
      <w:r w:rsidR="00107833" w:rsidRPr="00CE0DE7">
        <w:rPr>
          <w:sz w:val="20"/>
          <w:szCs w:val="20"/>
          <w:lang w:val="en-GB" w:eastAsia="zh-CN"/>
        </w:rPr>
        <w:t>t a higher rate and</w:t>
      </w:r>
      <w:r w:rsidRPr="00CE0DE7">
        <w:rPr>
          <w:sz w:val="20"/>
          <w:szCs w:val="20"/>
          <w:lang w:val="en-GB" w:eastAsia="zh-CN"/>
        </w:rPr>
        <w:t xml:space="preserve"> require higher </w:t>
      </w:r>
      <w:r w:rsidR="00AF1F4D" w:rsidRPr="00CE0DE7">
        <w:rPr>
          <w:sz w:val="20"/>
          <w:szCs w:val="20"/>
          <w:lang w:val="en-GB" w:eastAsia="zh-CN"/>
        </w:rPr>
        <w:t>expected</w:t>
      </w:r>
      <w:r w:rsidR="00107833" w:rsidRPr="00CE0DE7">
        <w:rPr>
          <w:sz w:val="20"/>
          <w:szCs w:val="20"/>
          <w:lang w:val="en-GB" w:eastAsia="zh-CN"/>
        </w:rPr>
        <w:t xml:space="preserve"> returns. As a result, </w:t>
      </w:r>
      <w:r w:rsidRPr="00CE0DE7">
        <w:rPr>
          <w:sz w:val="20"/>
          <w:szCs w:val="20"/>
          <w:lang w:val="en-GB" w:eastAsia="zh-CN"/>
        </w:rPr>
        <w:t>stocks are observed to have lower liquidity. Empirically, higher transaction costs, lower turnover, and higher illiquidity ratio</w:t>
      </w:r>
      <w:r w:rsidR="00826B9E" w:rsidRPr="00CE0DE7">
        <w:rPr>
          <w:sz w:val="20"/>
          <w:szCs w:val="20"/>
          <w:lang w:val="en-GB" w:eastAsia="zh-CN"/>
        </w:rPr>
        <w:t>s</w:t>
      </w:r>
      <w:r w:rsidRPr="00CE0DE7">
        <w:rPr>
          <w:sz w:val="20"/>
          <w:szCs w:val="20"/>
          <w:lang w:val="en-GB" w:eastAsia="zh-CN"/>
        </w:rPr>
        <w:t xml:space="preserve"> are associated with higher future returns </w:t>
      </w:r>
      <w:r w:rsidR="009D63B4" w:rsidRPr="00CE0DE7">
        <w:rPr>
          <w:sz w:val="20"/>
          <w:szCs w:val="20"/>
          <w:lang w:val="en-GB" w:eastAsia="zh-CN"/>
        </w:rPr>
        <w:fldChar w:fldCharType="begin" w:fldLock="1"/>
      </w:r>
      <w:r w:rsidR="00E67DF0" w:rsidRPr="00CE0DE7">
        <w:rPr>
          <w:sz w:val="20"/>
          <w:szCs w:val="20"/>
          <w:lang w:val="en-GB" w:eastAsia="zh-CN"/>
        </w:rPr>
        <w:instrText>ADDIN CSL_CITATION {"citationItems":[{"id":"ITEM-1","itemData":{"ISSN":"10575219","abstract":"This paper re-examines the liquidity effect on stock expected returns in the NYSE over the period 1926-2008, the pre-1963 period, for which there is a lack of research, and the post-1963 period. The results from the entire sample of 1926-2008 show that expected returns increase with the stock level illiquidity. However, illiquidity level has explanatory power in the cross-sectional variation of stock expected returns only over the post-1963 period, and is, both economically and statistically, insignificant for the whole sample and the pre-1963 period. These findings are robust after taking into account various characteristics such as size and risk controls. On the other hand, evidence from the entire sample and the pre-1963 sample suggests that the systematic liquidity risk plays a significant role in the cross-sectional variation of stock expected returns. The different result for the pre- and post-1963 is explained by the portfolio shifts occurred during the economic downturns. © 2013 Elsevier Inc.","author":[{"dropping-particle":"","family":"Baradarannia","given":"M. Reza","non-dropping-particle":"","parse-names":false,"suffix":""},{"dropping-particle":"","family":"Peat","given":"Maurice","non-dropping-particle":"","parse-names":false,"suffix":""}],"container-title":"International Review of Financial Analysis","id":"ITEM-1","issued":{"date-parts":[["2013","9","1"]]},"page":"10-23","publisher":"North-Holland","title":"Liquidity and expected returns-Evidence from 1926-2008","type":"article-journal","volume":"29"},"uris":["http://www.mendeley.com/documents/?uuid=8c2bfce9-72e0-3eec-ac40-07f882dc30f2"]},{"id":"ITEM-2","itemData":{"ISSN":"0893-9454","abstract":"Given the cross-sectional and temporal variation in their liquidity, emerging equity markets provide an ideal setting to examine the impact of liquidity on expected returns. Our main liquidity measure is a transformation of the proportion of zero daily firm returns, averaged over the month. We find that it significantly predicts future returns, whereas alternative measures such as turnover do not. Consistent with liquidity being a priced factor, unexpected liquidity shocks are positively correlated with contemporaneous return shocks and negatively correlated with shocks to the dividend yield. We consider a simple asset-pricing model with liquidity and the market portfolio as risk factors and transaction costs that are proportional to liquidity. The model differentiates between integrated and segmented countries and time periods. Our results suggest that local market liquidity is an important driver of expected returns in emerging markets, and that the liberalization process has not fully eliminated its impact.","author":[{"dropping-particle":"","family":"Bekaert","given":"Geert","non-dropping-particle":"","parse-names":false,"suffix":""},{"dropping-particle":"","family":"Harvey","given":"Campbell R.","non-dropping-particle":"","parse-names":false,"suffix":""},{"dropping-particle":"","family":"Lundblad","given":"Christian","non-dropping-particle":"","parse-names":false,"suffix":""}],"container-title":"Review of Financial Studies","id":"ITEM-2","issue":"6","issued":{"date-parts":[["2007","11","1"]]},"page":"1783-1831","publisher":"Oxford Academic","title":"Liquidity and expected returns: Lessons from emerging markets","type":"article-journal","volume":"20"},"uris":["http://www.mendeley.com/documents/?uuid=9b979aeb-830a-3713-86af-ebf0a9534ba7"]},{"id":"ITEM-3","itemData":{"ISSN":"0304405X","abstract":"This paper constructs and analyzes various measures of trading costs in US equity markets covering the period 1926–2015. These measures contain statistically and economically significant predictive signals for stock market returns and real economic activity. We decompose illiquidity proxies into a component capturing aggregate volatility and a residual. The predictive content of these components differs in important ways. Specifically, we find strong evidence that the component of illiquidity uncorrelated with volatility forecasts stock market returns. Both the volatility and residual components of illiquidity contain information regarding future economic activity.","author":[{"dropping-particle":"","family":"Chen","given":"Yong","non-dropping-particle":"","parse-names":false,"suffix":""},{"dropping-particle":"","family":"Eaton","given":"Gregory W.","non-dropping-particle":"","parse-names":false,"suffix":""},{"dropping-particle":"","family":"Paye","given":"Bradley S.","non-dropping-particle":"","parse-names":false,"suffix":""}],"container-title":"Journal of Financial Economics","id":"ITEM-3","issue":"1","issued":{"date-parts":[["2018","10","1"]]},"page":"48-73","publisher":"Elsevier B.V.","title":"Micro(structure) before macro? The predictive power of aggregate illiquidity for stock returns and economic activity","type":"article-journal","volume":"130"},"uris":["http://www.mendeley.com/documents/?uuid=227e4311-1557-3b55-81ae-20a6f2b7a507"]},{"id":"ITEM-4","itemData":{"ISSN":"0304405X","abstract":"The presence of traders with superior information leads to a positive bid-ask spread even when the specialist is risk-neutral and makes zero expected profits. The resulting transaction prices convey information, and the expectation of the average spread squared times volume is bounded by a number that is independent of insider activity. The serial correlation of transaction price differences is a function of the proportion of the spread due to adverse selection. A bid-ask spread implies a divergence between observed returns and realizable returns. Observed returns are approximately realizable returns plus what the uninformed anticipate losing to the insiders. © 1985.","author":[{"dropping-particle":"","family":"Glosten","given":"Lawrence R.","non-dropping-particle":"","parse-names":false,"suffix":""},{"dropping-particle":"","family":"Milgrom","given":"Paul R.","non-dropping-particle":"","parse-names":false,"suffix":""}],"container-title":"Journal of Financial Economics","id":"ITEM-4","issue":"1","issued":{"date-parts":[["1985","3","1"]]},"page":"71-100","publisher":"North-Holland","title":"Bid, ask and transaction prices in a specialist market with heterogeneously informed traders","type":"article-journal","volume":"14"},"uris":["http://www.mendeley.com/documents/?uuid=cf9a956d-7a54-3ee9-9254-8369c1069f50"]},{"id":"ITEM-5","itemData":{"ISSN":"00463892","abstract":"We examine the time-series relation between aggregate bid-ask spreads and conditional equity premium. We document that average marketwide relative effective bid-ask spreads forecast aggregate market returns only when controlling for average idiosyncratic variance. This control allows us to document the otherwise elusive relation between illiquidity and returns. The reason is that idiosyncratic variance correlates positively with spreads but has a negative effect on conditional equity premium, causing an omitted variable bias. Our results are robust to standard return predictors, alternative illiquidity measures, and out-of-sample tests. These findings are important because they provide strong support for the literature's conjecture that marketwide liquidity is an important asset pricing risk factor.","author":[{"dropping-particle":"","family":"Guo","given":"Hui","non-dropping-particle":"","parse-names":false,"suffix":""},{"dropping-particle":"","family":"Mortal","given":"Sandra","non-dropping-particle":"","parse-names":false,"suffix":""},{"dropping-particle":"","family":"Savickas","given":"Robert","non-dropping-particle":"","parse-names":false,"suffix":""},{"dropping-particle":"","family":"Wood","given":"Robert","non-dropping-particle":"","parse-names":false,"suffix":""}],"container-title":"Financial Management","id":"ITEM-5","issue":"3","issued":{"date-parts":[["2017","9","1"]]},"page":"743-766","publisher":"John Wiley and Sons Inc.","title":"Market illiquidity and conditional equity premium","type":"article-journal","volume":"46"},"uris":["http://www.mendeley.com/documents/?uuid=53e452e2-2a18-3102-a2f0-eb73a2512406"]},{"id":"ITEM-6","itemData":{"ISSN":"0893-9454","abstract":"Transaction costs are important for a host of empirical analyses from market efficiency to international market research. But transaction costs estimates are not always available, or where available, are cumbersome to use and expensive to purchase. We present a model that requires only the time series of daily security returns to endogenously estimate the effective transaction costs for any firm, exchange, or time period. The feature of the data that allows for the estimation of transaction costs is the incidence of zero returns. Incorporating zero returns in the return-generating process, the model provides continuous estimates of average round-trip transaction costs from 1963 to 1990 that are 1.2% and 10.3% for large and small decile firms, respectively. These estimates are highly correlated (85%), with the most commonly used transaction cost estimators. © 1999 The Society for Financial Studies.","author":[{"dropping-particle":"","family":"Lesmond","given":"David A.","non-dropping-particle":"","parse-names":false,"suffix":""},{"dropping-particle":"","family":"Ogden","given":"Joseph P.","non-dropping-particle":"","parse-names":false,"suffix":""},{"dropping-particle":"","family":"Trzcinka","given":"Charles A.","non-dropping-particle":"","parse-names":false,"suffix":""}],"container-title":"Review of Financial Studies","id":"ITEM-6","issue":"5","issued":{"date-parts":[["1999","10","1"]]},"page":"1113-1141","publisher":"Oxford University Press","title":"A new estimate of transaction costs","type":"article-journal","volume":"12"},"uris":["http://www.mendeley.com/documents/?uuid=55eb0571-6f90-3960-b4c0-642570f9d76a"]},{"id":"ITEM-7","itemData":{"ISSN":"10440283","abstract":"We examine the volume-synchronized probability of informed trading metric (the VPIN flow toxicity metric, developed by Easley, Lopez de Prado, &amp; O'Hara, 2012) as a real-time risk management tool for liquidity deteriorations in the U.S. equity markets. We find that VPIN provides information about market liquidity and stock return volatility on ex-ante basis. These results indicate that VPIN can be a useful risk-management tool for market makers, regulators and traders in the U.S. equity markets. We also document that VPIN is negatively associated with volume and number of trades, but positively associated with trade size and volume fragmentation. These findings suggest that VPIN indicates the adverse selection problem of liquidity providers by capturing the information in volume.","author":[{"dropping-particle":"","family":"Yildiz","given":"Serhat","non-dropping-particle":"","parse-names":false,"suffix":""},{"dropping-particle":"","family":"Ness","given":"Bonnie","non-dropping-particle":"Van","parse-names":false,"suffix":""},{"dropping-particle":"","family":"Ness","given":"Robert","non-dropping-particle":"Van","parse-names":false,"suffix":""}],"container-title":"Global Finance Journal","id":"ITEM-7","issued":{"date-parts":[["2020","8","1"]]},"page":"100479","publisher":"Elsevier B.V.","title":"VPIN, liquidity, and return volatility in the U.S. equity markets","type":"article-journal","volume":"45"},"uris":["http://www.mendeley.com/documents/?uuid=c1fd87b9-5e2e-3e81-a17d-511b07e1f077"]}],"mendeley":{"formattedCitation":"(Glosten and Milgrom 1985; Lesmond et al. 1999; Bekaert et al. 2007; Baradarannia and Peat 2013; Guo et al. 2017; Chen et al. 2018; Yildiz et al. 2020)","plainTextFormattedCitation":"(Glosten and Milgrom 1985; Lesmond et al. 1999; Bekaert et al. 2007; Baradarannia and Peat 2013; Guo et al. 2017; Chen et al. 2018; Yildiz et al. 2020)","previouslyFormattedCitation":"(Glosten and Milgrom 1985; Lesmond et al. 1999; Bekaert et al. 2007; Baradarannia and Peat 2013; Guo et al. 2017; Chen et al. 2018; Yildiz et al. 2020)"},"properties":{"noteIndex":0},"schema":"https://github.com/citation-style-language/schema/raw/master/csl-citation.json"}</w:instrText>
      </w:r>
      <w:r w:rsidR="009D63B4" w:rsidRPr="00CE0DE7">
        <w:rPr>
          <w:sz w:val="20"/>
          <w:szCs w:val="20"/>
          <w:lang w:val="en-GB" w:eastAsia="zh-CN"/>
        </w:rPr>
        <w:fldChar w:fldCharType="separate"/>
      </w:r>
      <w:r w:rsidR="009D63B4" w:rsidRPr="00CE0DE7">
        <w:rPr>
          <w:noProof/>
          <w:sz w:val="20"/>
          <w:szCs w:val="20"/>
          <w:lang w:val="en-GB" w:eastAsia="zh-CN"/>
        </w:rPr>
        <w:t>(Glosten and Milgrom 1985; Lesmond et al. 1999; Bekaert et al. 2007; Baradarannia and Peat 2013; Guo et al. 2017; Chen et al. 2018; Yildiz et al. 2020)</w:t>
      </w:r>
      <w:r w:rsidR="009D63B4" w:rsidRPr="00CE0DE7">
        <w:rPr>
          <w:sz w:val="20"/>
          <w:szCs w:val="20"/>
          <w:lang w:val="en-GB" w:eastAsia="zh-CN"/>
        </w:rPr>
        <w:fldChar w:fldCharType="end"/>
      </w:r>
      <w:r w:rsidR="001D1D9B" w:rsidRPr="00CE0DE7">
        <w:rPr>
          <w:sz w:val="20"/>
          <w:szCs w:val="20"/>
          <w:lang w:val="en-GB" w:eastAsia="zh-CN"/>
        </w:rPr>
        <w:t>.</w:t>
      </w:r>
    </w:p>
    <w:p w14:paraId="085708D8" w14:textId="5A123605" w:rsidR="00F4567A" w:rsidRPr="00CE0DE7" w:rsidRDefault="009B2D08" w:rsidP="00BD081C">
      <w:pPr>
        <w:adjustRightInd w:val="0"/>
        <w:snapToGrid w:val="0"/>
        <w:spacing w:line="480" w:lineRule="auto"/>
        <w:ind w:firstLine="425"/>
        <w:jc w:val="both"/>
        <w:rPr>
          <w:sz w:val="20"/>
          <w:szCs w:val="20"/>
          <w:lang w:val="en-GB" w:eastAsia="zh-CN"/>
        </w:rPr>
      </w:pPr>
      <w:r w:rsidRPr="00CE0DE7">
        <w:rPr>
          <w:sz w:val="20"/>
          <w:szCs w:val="20"/>
          <w:lang w:val="en-GB" w:eastAsia="zh-CN"/>
        </w:rPr>
        <w:t xml:space="preserve">Meanwhile, there also exists empirical </w:t>
      </w:r>
      <w:r w:rsidR="00AF1F4D" w:rsidRPr="00CE0DE7">
        <w:rPr>
          <w:sz w:val="20"/>
          <w:szCs w:val="20"/>
          <w:lang w:val="en-GB" w:eastAsia="zh-CN"/>
        </w:rPr>
        <w:t xml:space="preserve">support for </w:t>
      </w:r>
      <w:r w:rsidRPr="00CE0DE7">
        <w:rPr>
          <w:sz w:val="20"/>
          <w:szCs w:val="20"/>
          <w:lang w:val="en-GB" w:eastAsia="zh-CN"/>
        </w:rPr>
        <w:t xml:space="preserve">past returns and future illiquidity. </w:t>
      </w:r>
      <w:r w:rsidR="009D63B4" w:rsidRPr="00CE0DE7">
        <w:rPr>
          <w:noProof/>
          <w:sz w:val="20"/>
          <w:szCs w:val="20"/>
          <w:lang w:val="en-GB" w:eastAsia="zh-CN"/>
        </w:rPr>
        <w:t>Lakonishok and Smidt</w:t>
      </w:r>
      <w:r w:rsidRPr="00CE0DE7">
        <w:rPr>
          <w:noProof/>
          <w:sz w:val="20"/>
          <w:szCs w:val="20"/>
          <w:lang w:val="en-GB" w:eastAsia="zh-CN"/>
        </w:rPr>
        <w:t xml:space="preserve"> </w:t>
      </w:r>
      <w:r w:rsidR="009D63B4" w:rsidRPr="00CE0DE7">
        <w:rPr>
          <w:noProof/>
          <w:sz w:val="20"/>
          <w:szCs w:val="20"/>
          <w:lang w:val="en-GB" w:eastAsia="zh-CN"/>
        </w:rPr>
        <w:fldChar w:fldCharType="begin" w:fldLock="1"/>
      </w:r>
      <w:r w:rsidR="009D63B4" w:rsidRPr="00CE0DE7">
        <w:rPr>
          <w:noProof/>
          <w:sz w:val="20"/>
          <w:szCs w:val="20"/>
          <w:lang w:val="en-GB" w:eastAsia="zh-CN"/>
        </w:rPr>
        <w:instrText>ADDIN CSL_CITATION {"citationItems":[{"id":"ITEM-1","itemData":{"ISSN":"00221082","abstract":"Capital gains taxes create incentives to trade. Our major finding is that turnover is higher for winners (stocks, the prices of which have increased) than for losers, which is not consistent with the tax prediction. However, the turnover in December and January is evidence of tax‐motivated trading; there is a relatively high turnover for losers in December and for winners in January. We conclude that taxes influence turnover, but other motives for trading are more important. We were unable to find evidence that changing the length of the holding period required to qualify for long‐term capital gains treatment affected turnover. 1986 The American Finance Association","author":[{"dropping-particle":"","family":"Lakonishok","given":"Josef","non-dropping-particle":"","parse-names":false,"suffix":""},{"dropping-particle":"","family":"Smidt","given":"Seymour","non-dropping-particle":"","parse-names":false,"suffix":""}],"container-title":"The Journal of Finance","id":"ITEM-1","issue":"4","issued":{"date-parts":[["1986","9","1"]]},"page":"951-974","publisher":"John Wiley &amp; Sons, Ltd","title":"Volume for winners and losers: Taxation and other motives for stock trading","type":"article-journal","volume":"41"},"suppress-author":1,"uris":["http://www.mendeley.com/documents/?uuid=c5ca358c-5f84-3a6b-9dd9-82073dbdb9e5"]}],"mendeley":{"formattedCitation":"(1986)","plainTextFormattedCitation":"(1986)","previouslyFormattedCitation":"(1986)"},"properties":{"noteIndex":0},"schema":"https://github.com/citation-style-language/schema/raw/master/csl-citation.json"}</w:instrText>
      </w:r>
      <w:r w:rsidR="009D63B4" w:rsidRPr="00CE0DE7">
        <w:rPr>
          <w:noProof/>
          <w:sz w:val="20"/>
          <w:szCs w:val="20"/>
          <w:lang w:val="en-GB" w:eastAsia="zh-CN"/>
        </w:rPr>
        <w:fldChar w:fldCharType="separate"/>
      </w:r>
      <w:r w:rsidR="009D63B4" w:rsidRPr="00CE0DE7">
        <w:rPr>
          <w:noProof/>
          <w:sz w:val="20"/>
          <w:szCs w:val="20"/>
          <w:lang w:val="en-GB" w:eastAsia="zh-CN"/>
        </w:rPr>
        <w:t>(1986)</w:t>
      </w:r>
      <w:r w:rsidR="009D63B4" w:rsidRPr="00CE0DE7">
        <w:rPr>
          <w:noProof/>
          <w:sz w:val="20"/>
          <w:szCs w:val="20"/>
          <w:lang w:val="en-GB" w:eastAsia="zh-CN"/>
        </w:rPr>
        <w:fldChar w:fldCharType="end"/>
      </w:r>
      <w:r w:rsidRPr="00CE0DE7">
        <w:rPr>
          <w:sz w:val="20"/>
          <w:szCs w:val="20"/>
          <w:lang w:val="en-GB" w:eastAsia="zh-CN"/>
        </w:rPr>
        <w:t xml:space="preserve"> </w:t>
      </w:r>
      <w:r w:rsidR="005716AB" w:rsidRPr="00CE0DE7">
        <w:rPr>
          <w:sz w:val="20"/>
          <w:szCs w:val="20"/>
          <w:lang w:val="en-GB" w:eastAsia="zh-CN"/>
        </w:rPr>
        <w:t>show</w:t>
      </w:r>
      <w:r w:rsidRPr="00CE0DE7">
        <w:rPr>
          <w:sz w:val="20"/>
          <w:szCs w:val="20"/>
          <w:lang w:val="en-GB" w:eastAsia="zh-CN"/>
        </w:rPr>
        <w:t xml:space="preserve"> that higher daily positive price movement leads to a higher level of liquidity for individual stocks. Similarly, </w:t>
      </w:r>
      <w:r w:rsidRPr="00CE0DE7">
        <w:rPr>
          <w:noProof/>
          <w:sz w:val="20"/>
          <w:szCs w:val="20"/>
          <w:lang w:val="en-GB" w:eastAsia="zh-CN"/>
        </w:rPr>
        <w:t xml:space="preserve">Smirlock and Starks </w:t>
      </w:r>
      <w:r w:rsidR="009D63B4" w:rsidRPr="00CE0DE7">
        <w:rPr>
          <w:noProof/>
          <w:sz w:val="20"/>
          <w:szCs w:val="20"/>
          <w:lang w:val="en-GB" w:eastAsia="zh-CN"/>
        </w:rPr>
        <w:fldChar w:fldCharType="begin" w:fldLock="1"/>
      </w:r>
      <w:r w:rsidR="009D63B4" w:rsidRPr="00CE0DE7">
        <w:rPr>
          <w:noProof/>
          <w:sz w:val="20"/>
          <w:szCs w:val="20"/>
          <w:lang w:val="en-GB" w:eastAsia="zh-CN"/>
        </w:rPr>
        <w:instrText>ADDIN CSL_CITATION {"citationItems":[{"id":"ITEM-1","itemData":{"ISSN":"03784266","abstract":"This paper investigates the empirical relationship between absolute stock price changes and trading volume in the stock market. Using Granger causality tests we find that there is a significant causal relationship between absolute price changes and volume at the firm level and that this relationship is stronger in periods surrounding earnings announcements. We view this as suggesting that information arrival follows a sequential rather than a simultaneous process, although the results do not support an extreme version of either information arrival model. © 1988.","author":[{"dropping-particle":"","family":"Smirlock","given":"Michael","non-dropping-particle":"","parse-names":false,"suffix":""},{"dropping-particle":"","family":"Starks","given":"Laura","non-dropping-particle":"","parse-names":false,"suffix":""}],"container-title":"Journal of Banking and Finance","id":"ITEM-1","issue":"1","issued":{"date-parts":[["1988","3","1"]]},"page":"31-41","publisher":"North-Holland","title":"An empirical analysis of the stock price-volume relationship","type":"article-journal","volume":"12"},"suppress-author":1,"uris":["http://www.mendeley.com/documents/?uuid=120f7970-c453-3afb-8111-7db5ec9678bd"]}],"mendeley":{"formattedCitation":"(1988)","plainTextFormattedCitation":"(1988)","previouslyFormattedCitation":"(1988)"},"properties":{"noteIndex":0},"schema":"https://github.com/citation-style-language/schema/raw/master/csl-citation.json"}</w:instrText>
      </w:r>
      <w:r w:rsidR="009D63B4" w:rsidRPr="00CE0DE7">
        <w:rPr>
          <w:noProof/>
          <w:sz w:val="20"/>
          <w:szCs w:val="20"/>
          <w:lang w:val="en-GB" w:eastAsia="zh-CN"/>
        </w:rPr>
        <w:fldChar w:fldCharType="separate"/>
      </w:r>
      <w:r w:rsidR="009D63B4" w:rsidRPr="00CE0DE7">
        <w:rPr>
          <w:noProof/>
          <w:sz w:val="20"/>
          <w:szCs w:val="20"/>
          <w:lang w:val="en-GB" w:eastAsia="zh-CN"/>
        </w:rPr>
        <w:t>(1988)</w:t>
      </w:r>
      <w:r w:rsidR="009D63B4" w:rsidRPr="00CE0DE7">
        <w:rPr>
          <w:noProof/>
          <w:sz w:val="20"/>
          <w:szCs w:val="20"/>
          <w:lang w:val="en-GB" w:eastAsia="zh-CN"/>
        </w:rPr>
        <w:fldChar w:fldCharType="end"/>
      </w:r>
      <w:r w:rsidRPr="00CE0DE7">
        <w:rPr>
          <w:sz w:val="20"/>
          <w:szCs w:val="20"/>
          <w:lang w:val="en-GB" w:eastAsia="zh-CN"/>
        </w:rPr>
        <w:t xml:space="preserve"> document that trading volume is caused by the variability of stock returns, </w:t>
      </w:r>
      <w:r w:rsidRPr="00CE0DE7">
        <w:rPr>
          <w:sz w:val="20"/>
          <w:szCs w:val="20"/>
          <w:lang w:val="en-GB" w:eastAsia="zh-CN"/>
        </w:rPr>
        <w:lastRenderedPageBreak/>
        <w:t xml:space="preserve">and this relation tends to be stronger </w:t>
      </w:r>
      <w:r w:rsidR="00826B9E" w:rsidRPr="00CE0DE7">
        <w:rPr>
          <w:sz w:val="20"/>
          <w:szCs w:val="20"/>
          <w:lang w:val="en-GB" w:eastAsia="zh-CN"/>
        </w:rPr>
        <w:t xml:space="preserve">around </w:t>
      </w:r>
      <w:r w:rsidRPr="00CE0DE7">
        <w:rPr>
          <w:sz w:val="20"/>
          <w:szCs w:val="20"/>
          <w:lang w:val="en-GB" w:eastAsia="zh-CN"/>
        </w:rPr>
        <w:t>earnings announcement</w:t>
      </w:r>
      <w:r w:rsidR="00826B9E" w:rsidRPr="00CE0DE7">
        <w:rPr>
          <w:sz w:val="20"/>
          <w:szCs w:val="20"/>
          <w:lang w:val="en-GB" w:eastAsia="zh-CN"/>
        </w:rPr>
        <w:t>s</w:t>
      </w:r>
      <w:r w:rsidRPr="00CE0DE7">
        <w:rPr>
          <w:sz w:val="20"/>
          <w:szCs w:val="20"/>
          <w:lang w:val="en-GB" w:eastAsia="zh-CN"/>
        </w:rPr>
        <w:t xml:space="preserve">. The results imply that the delivery of information to investors follows a sequential process as past returns provide information to improve volume forecasts. At the aggregate market level, Chordia et al. </w:t>
      </w:r>
      <w:r w:rsidR="009D63B4" w:rsidRPr="00CE0DE7">
        <w:rPr>
          <w:sz w:val="20"/>
          <w:szCs w:val="20"/>
          <w:lang w:val="en-GB" w:eastAsia="zh-CN"/>
        </w:rPr>
        <w:fldChar w:fldCharType="begin" w:fldLock="1"/>
      </w:r>
      <w:r w:rsidR="00ED66D4" w:rsidRPr="00CE0DE7">
        <w:rPr>
          <w:sz w:val="20"/>
          <w:szCs w:val="20"/>
          <w:lang w:val="en-GB" w:eastAsia="zh-CN"/>
        </w:rPr>
        <w:instrText>ADDIN CSL_CITATION {"citationItems":[{"id":"ITEM-1","itemData":{"ISSN":"00221082","abstract":"Previous studies of liquidity span short time periods and focus on the individual security. In contrast, we study aggregate market spreads, depths, and trading activity for U.S. equities over an extended time sample. Daily changes in market averages of liquidity and trading activity are highly volatile and negatively serially dependent. Liquidity plummets significantly in down markets. Recent market volatility induces a decrease in trading activity and spreads. There are strong day-of-the-week effects; Fridays accompany a significant decrease in trading activity and liquidity, while Tuesdays display the opposite pattern. Long- and short-term interest rates influence liquidity. Depth and trading activity increase just prior to major macroeconomic announcements.","author":[{"dropping-particle":"","family":"Chordia","given":"Tarun","non-dropping-particle":"","parse-names":false,"suffix":""},{"dropping-particle":"","family":"Roll","given":"Richard","non-dropping-particle":"","parse-names":false,"suffix":""},{"dropping-particle":"","family":"Subrahmanyam","given":"Avanidhar","non-dropping-particle":"","parse-names":false,"suffix":""}],"container-title":"Journal of Finance","id":"ITEM-1","issue":"2","issued":{"date-parts":[["2001","4","1"]]},"page":"501-530","publisher":"John Wiley &amp; Sons, Ltd","title":"Market liquidity and trading activity","type":"article-journal","volume":"56"},"suppress-author":1,"uris":["http://www.mendeley.com/documents/?uuid=3204b6f0-9d0d-38da-a366-89ea1dace215"]}],"mendeley":{"formattedCitation":"(2001)","plainTextFormattedCitation":"(2001)","previouslyFormattedCitation":"(2001)"},"properties":{"noteIndex":0},"schema":"https://github.com/citation-style-language/schema/raw/master/csl-citation.json"}</w:instrText>
      </w:r>
      <w:r w:rsidR="009D63B4" w:rsidRPr="00CE0DE7">
        <w:rPr>
          <w:sz w:val="20"/>
          <w:szCs w:val="20"/>
          <w:lang w:val="en-GB" w:eastAsia="zh-CN"/>
        </w:rPr>
        <w:fldChar w:fldCharType="separate"/>
      </w:r>
      <w:r w:rsidR="009D63B4" w:rsidRPr="00CE0DE7">
        <w:rPr>
          <w:noProof/>
          <w:sz w:val="20"/>
          <w:szCs w:val="20"/>
          <w:lang w:val="en-GB" w:eastAsia="zh-CN"/>
        </w:rPr>
        <w:t>(2001)</w:t>
      </w:r>
      <w:r w:rsidR="009D63B4" w:rsidRPr="00CE0DE7">
        <w:rPr>
          <w:sz w:val="20"/>
          <w:szCs w:val="20"/>
          <w:lang w:val="en-GB" w:eastAsia="zh-CN"/>
        </w:rPr>
        <w:fldChar w:fldCharType="end"/>
      </w:r>
      <w:r w:rsidRPr="00CE0DE7">
        <w:rPr>
          <w:sz w:val="20"/>
          <w:szCs w:val="20"/>
          <w:lang w:val="en-GB" w:eastAsia="zh-CN"/>
        </w:rPr>
        <w:t xml:space="preserve"> </w:t>
      </w:r>
      <w:r w:rsidR="00AF1F4D" w:rsidRPr="00CE0DE7">
        <w:rPr>
          <w:sz w:val="20"/>
          <w:szCs w:val="20"/>
          <w:lang w:val="en-GB" w:eastAsia="zh-CN"/>
        </w:rPr>
        <w:t>document</w:t>
      </w:r>
      <w:r w:rsidRPr="00CE0DE7">
        <w:rPr>
          <w:sz w:val="20"/>
          <w:szCs w:val="20"/>
          <w:lang w:val="en-GB" w:eastAsia="zh-CN"/>
        </w:rPr>
        <w:t xml:space="preserve"> that liquidity increases in </w:t>
      </w:r>
      <w:r w:rsidR="007B3218" w:rsidRPr="00CE0DE7">
        <w:rPr>
          <w:sz w:val="20"/>
          <w:szCs w:val="20"/>
          <w:lang w:val="en-GB" w:eastAsia="zh-CN"/>
        </w:rPr>
        <w:t xml:space="preserve">recent </w:t>
      </w:r>
      <w:r w:rsidRPr="00CE0DE7">
        <w:rPr>
          <w:sz w:val="20"/>
          <w:szCs w:val="20"/>
          <w:lang w:val="en-GB" w:eastAsia="zh-CN"/>
        </w:rPr>
        <w:t xml:space="preserve">down markets but decreases in </w:t>
      </w:r>
      <w:r w:rsidR="007B3218" w:rsidRPr="00CE0DE7">
        <w:rPr>
          <w:sz w:val="20"/>
          <w:szCs w:val="20"/>
          <w:lang w:val="en-GB" w:eastAsia="zh-CN"/>
        </w:rPr>
        <w:t xml:space="preserve">recent </w:t>
      </w:r>
      <w:r w:rsidRPr="00CE0DE7">
        <w:rPr>
          <w:sz w:val="20"/>
          <w:szCs w:val="20"/>
          <w:lang w:val="en-GB" w:eastAsia="zh-CN"/>
        </w:rPr>
        <w:t>up markets</w:t>
      </w:r>
      <w:r w:rsidR="00AF1F4D" w:rsidRPr="00CE0DE7">
        <w:rPr>
          <w:sz w:val="20"/>
          <w:szCs w:val="20"/>
          <w:lang w:val="en-GB" w:eastAsia="zh-CN"/>
        </w:rPr>
        <w:t>,</w:t>
      </w:r>
      <w:r w:rsidRPr="00CE0DE7">
        <w:rPr>
          <w:sz w:val="20"/>
          <w:szCs w:val="20"/>
          <w:lang w:val="en-GB" w:eastAsia="zh-CN"/>
        </w:rPr>
        <w:t xml:space="preserve"> as </w:t>
      </w:r>
      <w:r w:rsidR="00826B9E" w:rsidRPr="00CE0DE7">
        <w:rPr>
          <w:sz w:val="20"/>
          <w:szCs w:val="20"/>
          <w:lang w:val="en-GB" w:eastAsia="zh-CN"/>
        </w:rPr>
        <w:t>the latter</w:t>
      </w:r>
      <w:r w:rsidRPr="00CE0DE7">
        <w:rPr>
          <w:sz w:val="20"/>
          <w:szCs w:val="20"/>
          <w:lang w:val="en-GB" w:eastAsia="zh-CN"/>
        </w:rPr>
        <w:t xml:space="preserve"> attract</w:t>
      </w:r>
      <w:r w:rsidR="00AF1F4D" w:rsidRPr="00CE0DE7">
        <w:rPr>
          <w:sz w:val="20"/>
          <w:szCs w:val="20"/>
          <w:lang w:val="en-GB" w:eastAsia="zh-CN"/>
        </w:rPr>
        <w:t>s</w:t>
      </w:r>
      <w:r w:rsidRPr="00CE0DE7">
        <w:rPr>
          <w:sz w:val="20"/>
          <w:szCs w:val="20"/>
          <w:lang w:val="en-GB" w:eastAsia="zh-CN"/>
        </w:rPr>
        <w:t xml:space="preserve"> more investors and</w:t>
      </w:r>
      <w:r w:rsidR="00AF1F4D" w:rsidRPr="00CE0DE7">
        <w:rPr>
          <w:sz w:val="20"/>
          <w:szCs w:val="20"/>
          <w:lang w:val="en-GB" w:eastAsia="zh-CN"/>
        </w:rPr>
        <w:t xml:space="preserve"> </w:t>
      </w:r>
      <w:r w:rsidRPr="00CE0DE7">
        <w:rPr>
          <w:sz w:val="20"/>
          <w:szCs w:val="20"/>
          <w:lang w:val="en-GB" w:eastAsia="zh-CN"/>
        </w:rPr>
        <w:t>prompt</w:t>
      </w:r>
      <w:r w:rsidR="00AF1F4D" w:rsidRPr="00CE0DE7">
        <w:rPr>
          <w:sz w:val="20"/>
          <w:szCs w:val="20"/>
          <w:lang w:val="en-GB" w:eastAsia="zh-CN"/>
        </w:rPr>
        <w:t>s</w:t>
      </w:r>
      <w:r w:rsidRPr="00CE0DE7">
        <w:rPr>
          <w:sz w:val="20"/>
          <w:szCs w:val="20"/>
          <w:lang w:val="en-GB" w:eastAsia="zh-CN"/>
        </w:rPr>
        <w:t xml:space="preserve"> changes in optimal portfolio compositions</w:t>
      </w:r>
      <w:r w:rsidR="00F4567A" w:rsidRPr="00CE0DE7">
        <w:rPr>
          <w:sz w:val="20"/>
          <w:szCs w:val="20"/>
          <w:lang w:val="en-GB" w:eastAsia="zh-CN"/>
        </w:rPr>
        <w:t>.</w:t>
      </w:r>
    </w:p>
    <w:p w14:paraId="47F2FDB8" w14:textId="07AF3D94" w:rsidR="00F4567A" w:rsidRPr="00CE0DE7" w:rsidRDefault="00F4567A" w:rsidP="00BD081C">
      <w:pPr>
        <w:adjustRightInd w:val="0"/>
        <w:snapToGrid w:val="0"/>
        <w:spacing w:line="480" w:lineRule="auto"/>
        <w:ind w:firstLine="425"/>
        <w:jc w:val="both"/>
        <w:rPr>
          <w:sz w:val="20"/>
          <w:szCs w:val="20"/>
          <w:lang w:val="en-GB" w:eastAsia="zh-CN"/>
        </w:rPr>
      </w:pPr>
      <w:r w:rsidRPr="00CE0DE7">
        <w:rPr>
          <w:iCs/>
          <w:noProof/>
          <w:sz w:val="20"/>
          <w:szCs w:val="20"/>
          <w:lang w:val="en-GB" w:eastAsia="zh-CN"/>
        </w:rPr>
        <w:t xml:space="preserve">Chordia et al. </w:t>
      </w:r>
      <w:r w:rsidR="009D63B4" w:rsidRPr="00CE0DE7">
        <w:rPr>
          <w:iCs/>
          <w:noProof/>
          <w:sz w:val="20"/>
          <w:szCs w:val="20"/>
          <w:lang w:val="en-GB" w:eastAsia="zh-CN"/>
        </w:rPr>
        <w:fldChar w:fldCharType="begin" w:fldLock="1"/>
      </w:r>
      <w:r w:rsidR="00E67DF0" w:rsidRPr="00CE0DE7">
        <w:rPr>
          <w:iCs/>
          <w:noProof/>
          <w:sz w:val="20"/>
          <w:szCs w:val="20"/>
          <w:lang w:val="en-GB" w:eastAsia="zh-CN"/>
        </w:rPr>
        <w:instrText>ADDIN CSL_CITATION {"citationItems":[{"id":"ITEM-1","itemData":{"ISSN":"0304405X","abstract":"Traditionally, volume has provided the link between trading activity and returns. We focus on a hitherto unexplored but intuitive measure of trading activity: the aggregate daily order imbalance, buy orders less sell orders, on the New York Stock Exchange. Order imbalance increases following market declines and vice versa, which reveals that investors are contrarians on aggregate. Order imbalances in either direction, excess buy or sell orders, reduce liquidity. Market-wide returns are strongly affected by contemporaneous and lagged order imbalances. Market returns reverse themselves after high-negative-imbalance, large-negative-return days. Even after controlling for aggregate volume and liquidity, market returns are affected by order imbalance. © 2002 Published by Elsevier Science B.V.","author":[{"dropping-particle":"","family":"Chordia","given":"Tarun","non-dropping-particle":"","parse-names":false,"suffix":""},{"dropping-particle":"","family":"Roll","given":"Richard","non-dropping-particle":"","parse-names":false,"suffix":""},{"dropping-particle":"","family":"Subrahmanyam","given":"Avanidhar","non-dropping-particle":"","parse-names":false,"suffix":""}],"container-title":"Journal of Financial Economics","id":"ITEM-1","issue":"1","issued":{"date-parts":[["2002","7","1"]]},"page":"111-130","publisher":"North-Holland","title":"Order imbalance, liquidity, and market returns","type":"article-journal","volume":"65"},"suppress-author":1,"uris":["http://www.mendeley.com/documents/?uuid=6c5df18d-c7f7-39eb-9d91-469e24fc045f"]}],"mendeley":{"formattedCitation":"(2002)","plainTextFormattedCitation":"(2002)","previouslyFormattedCitation":"(2002)"},"properties":{"noteIndex":0},"schema":"https://github.com/citation-style-language/schema/raw/master/csl-citation.json"}</w:instrText>
      </w:r>
      <w:r w:rsidR="009D63B4" w:rsidRPr="00CE0DE7">
        <w:rPr>
          <w:iCs/>
          <w:noProof/>
          <w:sz w:val="20"/>
          <w:szCs w:val="20"/>
          <w:lang w:val="en-GB" w:eastAsia="zh-CN"/>
        </w:rPr>
        <w:fldChar w:fldCharType="separate"/>
      </w:r>
      <w:r w:rsidR="009D63B4" w:rsidRPr="00CE0DE7">
        <w:rPr>
          <w:iCs/>
          <w:noProof/>
          <w:sz w:val="20"/>
          <w:szCs w:val="20"/>
          <w:lang w:val="en-GB" w:eastAsia="zh-CN"/>
        </w:rPr>
        <w:t>(2002)</w:t>
      </w:r>
      <w:r w:rsidR="009D63B4" w:rsidRPr="00CE0DE7">
        <w:rPr>
          <w:iCs/>
          <w:noProof/>
          <w:sz w:val="20"/>
          <w:szCs w:val="20"/>
          <w:lang w:val="en-GB" w:eastAsia="zh-CN"/>
        </w:rPr>
        <w:fldChar w:fldCharType="end"/>
      </w:r>
      <w:r w:rsidRPr="00CE0DE7">
        <w:rPr>
          <w:iCs/>
          <w:sz w:val="20"/>
          <w:szCs w:val="20"/>
          <w:lang w:val="en-GB" w:eastAsia="zh-CN"/>
        </w:rPr>
        <w:t xml:space="preserve"> employ </w:t>
      </w:r>
      <w:r w:rsidR="007A49F2" w:rsidRPr="00CE0DE7">
        <w:rPr>
          <w:iCs/>
          <w:sz w:val="20"/>
          <w:szCs w:val="20"/>
          <w:lang w:val="en-GB" w:eastAsia="zh-CN"/>
        </w:rPr>
        <w:t xml:space="preserve">the inventory model of </w:t>
      </w:r>
      <w:r w:rsidRPr="00CE0DE7">
        <w:rPr>
          <w:iCs/>
          <w:sz w:val="20"/>
          <w:szCs w:val="20"/>
          <w:lang w:val="en-GB" w:eastAsia="zh-CN"/>
        </w:rPr>
        <w:t xml:space="preserve">Stoll </w:t>
      </w:r>
      <w:r w:rsidR="009D63B4" w:rsidRPr="00CE0DE7">
        <w:rPr>
          <w:iCs/>
          <w:sz w:val="20"/>
          <w:szCs w:val="20"/>
          <w:lang w:val="en-GB" w:eastAsia="zh-CN"/>
        </w:rPr>
        <w:fldChar w:fldCharType="begin" w:fldLock="1"/>
      </w:r>
      <w:r w:rsidR="009D63B4" w:rsidRPr="00CE0DE7">
        <w:rPr>
          <w:iCs/>
          <w:sz w:val="20"/>
          <w:szCs w:val="20"/>
          <w:lang w:val="en-GB" w:eastAsia="zh-CN"/>
        </w:rPr>
        <w:instrText>ADDIN CSL_CITATION {"citationItems":[{"id":"ITEM-1","itemData":{"ISSN":"00221082","author":[{"dropping-particle":"","family":"Stoll","given":"Hans R.","non-dropping-particle":"","parse-names":false,"suffix":""}],"container-title":"The Journal of Finance","id":"ITEM-1","issue":"4","issued":{"date-parts":[["1978","9","1"]]},"page":"1133-1151","publisher":"John Wiley &amp; Sons, Ltd","title":"The supply of dealer services in securities markets","type":"article-journal","volume":"33"},"suppress-author":1,"uris":["http://www.mendeley.com/documents/?uuid=e0a6780c-fa9f-3959-9660-862196059967"]}],"mendeley":{"formattedCitation":"(1978)","plainTextFormattedCitation":"(1978)","previouslyFormattedCitation":"(1978)"},"properties":{"noteIndex":0},"schema":"https://github.com/citation-style-language/schema/raw/master/csl-citation.json"}</w:instrText>
      </w:r>
      <w:r w:rsidR="009D63B4" w:rsidRPr="00CE0DE7">
        <w:rPr>
          <w:iCs/>
          <w:sz w:val="20"/>
          <w:szCs w:val="20"/>
          <w:lang w:val="en-GB" w:eastAsia="zh-CN"/>
        </w:rPr>
        <w:fldChar w:fldCharType="separate"/>
      </w:r>
      <w:r w:rsidR="009D63B4" w:rsidRPr="00CE0DE7">
        <w:rPr>
          <w:iCs/>
          <w:noProof/>
          <w:sz w:val="20"/>
          <w:szCs w:val="20"/>
          <w:lang w:val="en-GB" w:eastAsia="zh-CN"/>
        </w:rPr>
        <w:t>(1978)</w:t>
      </w:r>
      <w:r w:rsidR="009D63B4" w:rsidRPr="00CE0DE7">
        <w:rPr>
          <w:iCs/>
          <w:sz w:val="20"/>
          <w:szCs w:val="20"/>
          <w:lang w:val="en-GB" w:eastAsia="zh-CN"/>
        </w:rPr>
        <w:fldChar w:fldCharType="end"/>
      </w:r>
      <w:r w:rsidRPr="00CE0DE7">
        <w:rPr>
          <w:iCs/>
          <w:sz w:val="20"/>
          <w:szCs w:val="20"/>
          <w:lang w:val="en-GB" w:eastAsia="zh-CN"/>
        </w:rPr>
        <w:t xml:space="preserve"> and </w:t>
      </w:r>
      <w:r w:rsidR="007A49F2" w:rsidRPr="00CE0DE7">
        <w:rPr>
          <w:iCs/>
          <w:sz w:val="20"/>
          <w:szCs w:val="20"/>
          <w:lang w:val="en-GB" w:eastAsia="zh-CN"/>
        </w:rPr>
        <w:t>conjecture</w:t>
      </w:r>
      <w:r w:rsidRPr="00CE0DE7">
        <w:rPr>
          <w:iCs/>
          <w:sz w:val="20"/>
          <w:szCs w:val="20"/>
          <w:lang w:val="en-GB" w:eastAsia="zh-CN"/>
        </w:rPr>
        <w:t xml:space="preserve"> that liquidity is driven by the inventory holding cost, which arises from financing constraints and risk. </w:t>
      </w:r>
      <w:r w:rsidR="00107833" w:rsidRPr="00CE0DE7">
        <w:rPr>
          <w:iCs/>
          <w:sz w:val="20"/>
          <w:szCs w:val="20"/>
          <w:lang w:val="en-GB" w:eastAsia="zh-CN"/>
        </w:rPr>
        <w:t>This</w:t>
      </w:r>
      <w:r w:rsidRPr="00CE0DE7">
        <w:rPr>
          <w:iCs/>
          <w:sz w:val="20"/>
          <w:szCs w:val="20"/>
          <w:lang w:val="en-GB" w:eastAsia="zh-CN"/>
        </w:rPr>
        <w:t xml:space="preserve"> inventory cost theory offers a plausible explanation for the observed phenomenon of liquidity drying up in falling markets </w:t>
      </w:r>
      <w:r w:rsidR="009D63B4" w:rsidRPr="00CE0DE7">
        <w:rPr>
          <w:iCs/>
          <w:sz w:val="20"/>
          <w:szCs w:val="20"/>
          <w:lang w:val="en-GB" w:eastAsia="zh-CN"/>
        </w:rPr>
        <w:fldChar w:fldCharType="begin" w:fldLock="1"/>
      </w:r>
      <w:r w:rsidR="00ED66D4" w:rsidRPr="00CE0DE7">
        <w:rPr>
          <w:iCs/>
          <w:sz w:val="20"/>
          <w:szCs w:val="20"/>
          <w:lang w:val="en-GB" w:eastAsia="zh-CN"/>
        </w:rPr>
        <w:instrText>ADDIN CSL_CITATION {"citationItems":[{"id":"ITEM-1","itemData":{"ISSN":"0033-5533","abstract":"We model a run on a financial market, in which each risk-neutral investor fears having to liquidate shares after a run, but before prices can recover back to fundamental values. To avoid having to possibly liquidate shares at the marginal postrun price - in which case the risk-averse market-making sector will already hold a lot of share inventory and thus be more reluctant to absorb additional shares - each investor may prefer selling today at the average in-run price, thereby causing the run itself. Liquidity runs and crises are not caused by liquidity shocks per se, but by the fear of future liquidity shocks.","author":[{"dropping-particle":"","family":"Bernardo","given":"A. E.","non-dropping-particle":"","parse-names":false,"suffix":""},{"dropping-particle":"","family":"Welch","given":"I.","non-dropping-particle":"","parse-names":false,"suffix":""}],"container-title":"The Quarterly Journal of Economics","id":"ITEM-1","issue":"1","issued":{"date-parts":[["2004","2","1"]]},"page":"135-158","publisher":"Oxford Academic","title":"Liquidity and financial market runs","type":"article-journal","volume":"119"},"uris":["http://www.mendeley.com/documents/?uuid=f25dfce9-3786-34f9-b117-b99ec85cbcc3"]},{"id":"ITEM-2","itemData":{"ISSN":"00221082","abstract":"Consistent with recent theoretical models where binding capital constraints lead to sudden liquidity dry-ups, we find that negative market returns decrease stock liquidity, especially during times of tightness in the funding market. The asymmetric effect of changes in aggregate asset values on liquidity and commonality in liquidity cannot be fully explained by changes in demand for liquidity or volatility effects. We document interindustry spillover effects in liquidity, which are likely to arise from capital constraints in the market making sector. We also find economically significant returns to supplying liquidity following periods of large drops in market valuations. © 2009 the American Finance Association.","author":[{"dropping-particle":"","family":"Hameed","given":"Allaudeen","non-dropping-particle":"","parse-names":false,"suffix":""},{"dropping-particle":"","family":"Kang","given":"Wenjin","non-dropping-particle":"","parse-names":false,"suffix":""},{"dropping-particle":"","family":"Viswanathan","given":"S.","non-dropping-particle":"","parse-names":false,"suffix":""}],"container-title":"Journal of Finance","id":"ITEM-2","issue":"1","issued":{"date-parts":[["2010","2"]]},"page":"257-293","title":"Stock market declines and liquidity","type":"article-journal","volume":"65"},"uris":["http://www.mendeley.com/documents/?uuid=b938c4bf-95d5-34da-af37-b24ad42ed209"]}],"mendeley":{"formattedCitation":"(Bernardo and Welch 2004; Hameed et al. 2010)","plainTextFormattedCitation":"(Bernardo and Welch 2004; Hameed et al. 2010)","previouslyFormattedCitation":"(Bernardo and Welch 2004; Hameed et al. 2010)"},"properties":{"noteIndex":0},"schema":"https://github.com/citation-style-language/schema/raw/master/csl-citation.json"}</w:instrText>
      </w:r>
      <w:r w:rsidR="009D63B4" w:rsidRPr="00CE0DE7">
        <w:rPr>
          <w:iCs/>
          <w:sz w:val="20"/>
          <w:szCs w:val="20"/>
          <w:lang w:val="en-GB" w:eastAsia="zh-CN"/>
        </w:rPr>
        <w:fldChar w:fldCharType="separate"/>
      </w:r>
      <w:r w:rsidR="009D63B4" w:rsidRPr="00CE0DE7">
        <w:rPr>
          <w:iCs/>
          <w:noProof/>
          <w:sz w:val="20"/>
          <w:szCs w:val="20"/>
          <w:lang w:val="en-GB" w:eastAsia="zh-CN"/>
        </w:rPr>
        <w:t>(Bernardo and Welch 2004; Hameed et al. 2010)</w:t>
      </w:r>
      <w:r w:rsidR="009D63B4" w:rsidRPr="00CE0DE7">
        <w:rPr>
          <w:iCs/>
          <w:sz w:val="20"/>
          <w:szCs w:val="20"/>
          <w:lang w:val="en-GB" w:eastAsia="zh-CN"/>
        </w:rPr>
        <w:fldChar w:fldCharType="end"/>
      </w:r>
      <w:r w:rsidRPr="00CE0DE7">
        <w:rPr>
          <w:iCs/>
          <w:sz w:val="20"/>
          <w:szCs w:val="20"/>
          <w:lang w:val="en-GB" w:eastAsia="zh-CN"/>
        </w:rPr>
        <w:t xml:space="preserve">. </w:t>
      </w:r>
      <w:r w:rsidR="00107833" w:rsidRPr="00CE0DE7">
        <w:rPr>
          <w:iCs/>
          <w:sz w:val="20"/>
          <w:szCs w:val="20"/>
          <w:lang w:val="en-GB" w:eastAsia="zh-CN"/>
        </w:rPr>
        <w:t>A</w:t>
      </w:r>
      <w:r w:rsidRPr="00CE0DE7">
        <w:rPr>
          <w:sz w:val="20"/>
          <w:szCs w:val="20"/>
          <w:lang w:val="en-GB" w:eastAsia="zh-CN"/>
        </w:rPr>
        <w:t xml:space="preserve">nother explanation for the positive association between past returns and liquidity is the cost of participation. </w:t>
      </w:r>
      <w:r w:rsidR="00107833" w:rsidRPr="00CE0DE7">
        <w:rPr>
          <w:sz w:val="20"/>
          <w:szCs w:val="20"/>
          <w:lang w:val="en-GB" w:eastAsia="zh-CN"/>
        </w:rPr>
        <w:t xml:space="preserve">The participation model of </w:t>
      </w:r>
      <w:r w:rsidRPr="00CE0DE7">
        <w:rPr>
          <w:iCs/>
          <w:noProof/>
          <w:sz w:val="20"/>
          <w:szCs w:val="20"/>
          <w:lang w:val="en-GB" w:eastAsia="zh-CN"/>
        </w:rPr>
        <w:t xml:space="preserve">Orosel </w:t>
      </w:r>
      <w:r w:rsidR="009D63B4" w:rsidRPr="00CE0DE7">
        <w:rPr>
          <w:iCs/>
          <w:noProof/>
          <w:sz w:val="20"/>
          <w:szCs w:val="20"/>
          <w:lang w:val="en-GB" w:eastAsia="zh-CN"/>
        </w:rPr>
        <w:fldChar w:fldCharType="begin" w:fldLock="1"/>
      </w:r>
      <w:r w:rsidR="009D63B4" w:rsidRPr="00CE0DE7">
        <w:rPr>
          <w:iCs/>
          <w:noProof/>
          <w:sz w:val="20"/>
          <w:szCs w:val="20"/>
          <w:lang w:val="en-GB" w:eastAsia="zh-CN"/>
        </w:rPr>
        <w:instrText>ADDIN CSL_CITATION {"citationItems":[{"id":"ITEM-1","itemData":{"ISSN":"0893-9454","abstract":"We analyze an overlapping generations model with fixed costs of stock market participation. Participation in the stock market is determined endogenously and covaries positively with preceding innovations in dividends. The equilibrium share price is positively related to market participation of the same period and to information about future dividends. There is \"rational trend chasing\" in the sense that, although all agents are rational, market participation rises after an increase of the share price and falls after a decrease. Finally, we show that the endogenous fluctuations of market participation lead to increased volatility of the share price.","author":[{"dropping-particle":"","family":"Orosel","given":"Gerhard O.","non-dropping-particle":"","parse-names":false,"suffix":""}],"container-title":"Review of Financial Studies","id":"ITEM-1","issue":"3","issued":{"date-parts":[["1998","7","1"]]},"page":"521-557","publisher":"Oxford University Press","title":"Participation costs, trend chasing, and volatility of stock prices","type":"article-journal","volume":"11"},"suppress-author":1,"uris":["http://www.mendeley.com/documents/?uuid=87d77ba2-1dab-3fd3-9846-1b2c0a582bf8"]}],"mendeley":{"formattedCitation":"(1998)","plainTextFormattedCitation":"(1998)","previouslyFormattedCitation":"(1998)"},"properties":{"noteIndex":0},"schema":"https://github.com/citation-style-language/schema/raw/master/csl-citation.json"}</w:instrText>
      </w:r>
      <w:r w:rsidR="009D63B4" w:rsidRPr="00CE0DE7">
        <w:rPr>
          <w:iCs/>
          <w:noProof/>
          <w:sz w:val="20"/>
          <w:szCs w:val="20"/>
          <w:lang w:val="en-GB" w:eastAsia="zh-CN"/>
        </w:rPr>
        <w:fldChar w:fldCharType="separate"/>
      </w:r>
      <w:r w:rsidR="009D63B4" w:rsidRPr="00CE0DE7">
        <w:rPr>
          <w:iCs/>
          <w:noProof/>
          <w:sz w:val="20"/>
          <w:szCs w:val="20"/>
          <w:lang w:val="en-GB" w:eastAsia="zh-CN"/>
        </w:rPr>
        <w:t>(1998)</w:t>
      </w:r>
      <w:r w:rsidR="009D63B4" w:rsidRPr="00CE0DE7">
        <w:rPr>
          <w:iCs/>
          <w:noProof/>
          <w:sz w:val="20"/>
          <w:szCs w:val="20"/>
          <w:lang w:val="en-GB" w:eastAsia="zh-CN"/>
        </w:rPr>
        <w:fldChar w:fldCharType="end"/>
      </w:r>
      <w:r w:rsidR="00107833" w:rsidRPr="00CE0DE7">
        <w:rPr>
          <w:iCs/>
          <w:sz w:val="20"/>
          <w:szCs w:val="20"/>
          <w:lang w:val="en-GB" w:eastAsia="zh-CN"/>
        </w:rPr>
        <w:t xml:space="preserve"> </w:t>
      </w:r>
      <w:r w:rsidRPr="00CE0DE7">
        <w:rPr>
          <w:iCs/>
          <w:sz w:val="20"/>
          <w:szCs w:val="20"/>
          <w:lang w:val="en-GB" w:eastAsia="zh-CN"/>
        </w:rPr>
        <w:t xml:space="preserve">assumes </w:t>
      </w:r>
      <w:r w:rsidR="00D53257" w:rsidRPr="00CE0DE7">
        <w:rPr>
          <w:iCs/>
          <w:sz w:val="20"/>
          <w:szCs w:val="20"/>
          <w:lang w:val="en-GB" w:eastAsia="zh-CN"/>
        </w:rPr>
        <w:t xml:space="preserve">that </w:t>
      </w:r>
      <w:proofErr w:type="spellStart"/>
      <w:r w:rsidRPr="00CE0DE7">
        <w:rPr>
          <w:iCs/>
          <w:sz w:val="20"/>
          <w:szCs w:val="20"/>
          <w:lang w:val="en-GB" w:eastAsia="zh-CN"/>
        </w:rPr>
        <w:t>sidelined</w:t>
      </w:r>
      <w:proofErr w:type="spellEnd"/>
      <w:r w:rsidRPr="00CE0DE7">
        <w:rPr>
          <w:iCs/>
          <w:sz w:val="20"/>
          <w:szCs w:val="20"/>
          <w:lang w:val="en-GB" w:eastAsia="zh-CN"/>
        </w:rPr>
        <w:t xml:space="preserve"> investors do not invest in the stock market because of the participation costs such as trading and information costs. High stock market returns will induce these investors to increase their estimates of </w:t>
      </w:r>
      <w:r w:rsidR="00107833" w:rsidRPr="00CE0DE7">
        <w:rPr>
          <w:iCs/>
          <w:sz w:val="20"/>
          <w:szCs w:val="20"/>
          <w:lang w:val="en-GB" w:eastAsia="zh-CN"/>
        </w:rPr>
        <w:t xml:space="preserve">investment </w:t>
      </w:r>
      <w:r w:rsidRPr="00CE0DE7">
        <w:rPr>
          <w:iCs/>
          <w:sz w:val="20"/>
          <w:szCs w:val="20"/>
          <w:lang w:val="en-GB" w:eastAsia="zh-CN"/>
        </w:rPr>
        <w:t xml:space="preserve">profitability </w:t>
      </w:r>
      <w:r w:rsidR="00107833" w:rsidRPr="00CE0DE7">
        <w:rPr>
          <w:iCs/>
          <w:sz w:val="20"/>
          <w:szCs w:val="20"/>
          <w:lang w:val="en-GB" w:eastAsia="zh-CN"/>
        </w:rPr>
        <w:t>and become</w:t>
      </w:r>
      <w:r w:rsidRPr="00CE0DE7">
        <w:rPr>
          <w:iCs/>
          <w:sz w:val="20"/>
          <w:szCs w:val="20"/>
          <w:lang w:val="en-GB" w:eastAsia="zh-CN"/>
        </w:rPr>
        <w:t xml:space="preserve"> more willing to participate. </w:t>
      </w:r>
      <w:r w:rsidRPr="00CE0DE7">
        <w:rPr>
          <w:sz w:val="20"/>
          <w:szCs w:val="20"/>
          <w:lang w:val="en-GB" w:eastAsia="zh-CN"/>
        </w:rPr>
        <w:t xml:space="preserve">With a large sample of 46 countries, </w:t>
      </w:r>
      <w:r w:rsidRPr="00CE0DE7">
        <w:rPr>
          <w:noProof/>
          <w:sz w:val="20"/>
          <w:szCs w:val="20"/>
          <w:lang w:val="en-GB" w:eastAsia="zh-CN"/>
        </w:rPr>
        <w:t xml:space="preserve">Griffin et al. </w:t>
      </w:r>
      <w:r w:rsidR="009D63B4" w:rsidRPr="00CE0DE7">
        <w:rPr>
          <w:noProof/>
          <w:sz w:val="20"/>
          <w:szCs w:val="20"/>
          <w:lang w:val="en-GB" w:eastAsia="zh-CN"/>
        </w:rPr>
        <w:fldChar w:fldCharType="begin" w:fldLock="1"/>
      </w:r>
      <w:r w:rsidR="009D63B4" w:rsidRPr="00CE0DE7">
        <w:rPr>
          <w:noProof/>
          <w:sz w:val="20"/>
          <w:szCs w:val="20"/>
          <w:lang w:val="en-GB" w:eastAsia="zh-CN"/>
        </w:rPr>
        <w:instrText>ADDIN CSL_CITATION {"citationItems":[{"id":"ITEM-1","itemData":{"ISSN":"0893-9454","abstract":"This article investigates the dynamic relation between market-wide trading activity and returns in 46 markets. Many stock markets exhibit a strong positive relation between turnover and past returns. These findings stand up in the face of various controls for volatility, alternative definitions of turnover, differing sample periods, and are present at both the weekly and daily frequency. The relation is more statistically and economically significant in countries with high levels of corruption, with short-sale restrictions, and in which market volatility is high. © The Author 2006.","author":[{"dropping-particle":"","family":"Griffin","given":"John M.","non-dropping-particle":"","parse-names":false,"suffix":""},{"dropping-particle":"","family":"Nardari","given":"Federico","non-dropping-particle":"","parse-names":false,"suffix":""},{"dropping-particle":"","family":"Stulz","given":"René M.","non-dropping-particle":"","parse-names":false,"suffix":""}],"container-title":"Review of Financial Studies","id":"ITEM-1","issue":"3","issued":{"date-parts":[["2007","5","1"]]},"page":"905-951","publisher":"Oxford Academic","title":"Do investors trade more when stocks have performed well? Evidence from 46 countries","type":"article-journal","volume":"20"},"suppress-author":1,"uris":["http://www.mendeley.com/documents/?uuid=a29253ec-2c3b-3802-b68c-1691dc1cf6c0"]}],"mendeley":{"formattedCitation":"(2007)","plainTextFormattedCitation":"(2007)","previouslyFormattedCitation":"(2007)"},"properties":{"noteIndex":0},"schema":"https://github.com/citation-style-language/schema/raw/master/csl-citation.json"}</w:instrText>
      </w:r>
      <w:r w:rsidR="009D63B4" w:rsidRPr="00CE0DE7">
        <w:rPr>
          <w:noProof/>
          <w:sz w:val="20"/>
          <w:szCs w:val="20"/>
          <w:lang w:val="en-GB" w:eastAsia="zh-CN"/>
        </w:rPr>
        <w:fldChar w:fldCharType="separate"/>
      </w:r>
      <w:r w:rsidR="009D63B4" w:rsidRPr="00CE0DE7">
        <w:rPr>
          <w:noProof/>
          <w:sz w:val="20"/>
          <w:szCs w:val="20"/>
          <w:lang w:val="en-GB" w:eastAsia="zh-CN"/>
        </w:rPr>
        <w:t>(2007)</w:t>
      </w:r>
      <w:r w:rsidR="009D63B4" w:rsidRPr="00CE0DE7">
        <w:rPr>
          <w:noProof/>
          <w:sz w:val="20"/>
          <w:szCs w:val="20"/>
          <w:lang w:val="en-GB" w:eastAsia="zh-CN"/>
        </w:rPr>
        <w:fldChar w:fldCharType="end"/>
      </w:r>
      <w:r w:rsidRPr="00CE0DE7">
        <w:rPr>
          <w:sz w:val="20"/>
          <w:szCs w:val="20"/>
          <w:lang w:val="en-GB" w:eastAsia="zh-CN"/>
        </w:rPr>
        <w:t xml:space="preserve"> find a positive relationship between past returns and future trading activity.</w:t>
      </w:r>
      <w:r w:rsidRPr="00CE0DE7">
        <w:rPr>
          <w:color w:val="000000"/>
          <w:sz w:val="20"/>
          <w:szCs w:val="20"/>
          <w:lang w:val="en-GB" w:eastAsia="zh-CN"/>
        </w:rPr>
        <w:t xml:space="preserve"> </w:t>
      </w:r>
      <w:r w:rsidRPr="00CE0DE7">
        <w:rPr>
          <w:iCs/>
          <w:color w:val="000000"/>
          <w:sz w:val="20"/>
          <w:szCs w:val="20"/>
          <w:lang w:val="en-GB" w:eastAsia="zh-CN"/>
        </w:rPr>
        <w:t>Similarly</w:t>
      </w:r>
      <w:r w:rsidR="00D02EFD" w:rsidRPr="00CE0DE7">
        <w:rPr>
          <w:iCs/>
          <w:color w:val="000000"/>
          <w:sz w:val="20"/>
          <w:szCs w:val="20"/>
          <w:lang w:val="en-GB" w:eastAsia="zh-CN"/>
        </w:rPr>
        <w:t xml:space="preserve">, Bekaert et al. </w:t>
      </w:r>
      <w:r w:rsidR="009D63B4" w:rsidRPr="00CE0DE7">
        <w:rPr>
          <w:iCs/>
          <w:color w:val="000000"/>
          <w:sz w:val="20"/>
          <w:szCs w:val="20"/>
          <w:lang w:val="en-GB" w:eastAsia="zh-CN"/>
        </w:rPr>
        <w:fldChar w:fldCharType="begin" w:fldLock="1"/>
      </w:r>
      <w:r w:rsidR="009D63B4" w:rsidRPr="00CE0DE7">
        <w:rPr>
          <w:iCs/>
          <w:color w:val="000000"/>
          <w:sz w:val="20"/>
          <w:szCs w:val="20"/>
          <w:lang w:val="en-GB" w:eastAsia="zh-CN"/>
        </w:rPr>
        <w:instrText>ADDIN CSL_CITATION {"citationItems":[{"id":"ITEM-1","itemData":{"ISSN":"0893-9454","abstract":"Given the cross-sectional and temporal variation in their liquidity, emerging equity markets provide an ideal setting to examine the impact of liquidity on expected returns. Our main liquidity measure is a transformation of the proportion of zero daily firm returns, averaged over the month. We find that it significantly predicts future returns, whereas alternative measures such as turnover do not. Consistent with liquidity being a priced factor, unexpected liquidity shocks are positively correlated with contemporaneous return shocks and negatively correlated with shocks to the dividend yield. We consider a simple asset-pricing model with liquidity and the market portfolio as risk factors and transaction costs that are proportional to liquidity. The model differentiates between integrated and segmented countries and time periods. Our results suggest that local market liquidity is an important driver of expected returns in emerging markets, and that the liberalization process has not fully eliminated its impact.","author":[{"dropping-particle":"","family":"Bekaert","given":"Geert","non-dropping-particle":"","parse-names":false,"suffix":""},{"dropping-particle":"","family":"Harvey","given":"Campbell R.","non-dropping-particle":"","parse-names":false,"suffix":""},{"dropping-particle":"","family":"Lundblad","given":"Christian","non-dropping-particle":"","parse-names":false,"suffix":""}],"container-title":"Review of Financial Studies","id":"ITEM-1","issue":"6","issued":{"date-parts":[["2007","11","1"]]},"page":"1783-1831","publisher":"Oxford Academic","title":"Liquidity and expected returns: Lessons from emerging markets","type":"article-journal","volume":"20"},"suppress-author":1,"uris":["http://www.mendeley.com/documents/?uuid=9b979aeb-830a-3713-86af-ebf0a9534ba7"]}],"mendeley":{"formattedCitation":"(2007)","plainTextFormattedCitation":"(2007)","previouslyFormattedCitation":"(2007)"},"properties":{"noteIndex":0},"schema":"https://github.com/citation-style-language/schema/raw/master/csl-citation.json"}</w:instrText>
      </w:r>
      <w:r w:rsidR="009D63B4" w:rsidRPr="00CE0DE7">
        <w:rPr>
          <w:iCs/>
          <w:color w:val="000000"/>
          <w:sz w:val="20"/>
          <w:szCs w:val="20"/>
          <w:lang w:val="en-GB" w:eastAsia="zh-CN"/>
        </w:rPr>
        <w:fldChar w:fldCharType="separate"/>
      </w:r>
      <w:r w:rsidR="009D63B4" w:rsidRPr="00CE0DE7">
        <w:rPr>
          <w:iCs/>
          <w:noProof/>
          <w:color w:val="000000"/>
          <w:sz w:val="20"/>
          <w:szCs w:val="20"/>
          <w:lang w:val="en-GB" w:eastAsia="zh-CN"/>
        </w:rPr>
        <w:t>(2007)</w:t>
      </w:r>
      <w:r w:rsidR="009D63B4" w:rsidRPr="00CE0DE7">
        <w:rPr>
          <w:iCs/>
          <w:color w:val="000000"/>
          <w:sz w:val="20"/>
          <w:szCs w:val="20"/>
          <w:lang w:val="en-GB" w:eastAsia="zh-CN"/>
        </w:rPr>
        <w:fldChar w:fldCharType="end"/>
      </w:r>
      <w:r w:rsidR="00D02EFD" w:rsidRPr="00CE0DE7">
        <w:rPr>
          <w:iCs/>
          <w:color w:val="000000"/>
          <w:sz w:val="20"/>
          <w:szCs w:val="20"/>
          <w:lang w:val="en-GB" w:eastAsia="zh-CN"/>
        </w:rPr>
        <w:t xml:space="preserve"> </w:t>
      </w:r>
      <w:r w:rsidR="00107833" w:rsidRPr="00CE0DE7">
        <w:rPr>
          <w:iCs/>
          <w:color w:val="000000"/>
          <w:sz w:val="20"/>
          <w:szCs w:val="20"/>
          <w:lang w:val="en-GB" w:eastAsia="zh-CN"/>
        </w:rPr>
        <w:t xml:space="preserve">offer </w:t>
      </w:r>
      <w:r w:rsidR="00D02EFD" w:rsidRPr="00CE0DE7">
        <w:rPr>
          <w:iCs/>
          <w:color w:val="000000"/>
          <w:sz w:val="20"/>
          <w:szCs w:val="20"/>
          <w:lang w:val="en-GB" w:eastAsia="zh-CN"/>
        </w:rPr>
        <w:t>supportive evidence in emerging markets.</w:t>
      </w:r>
      <w:r w:rsidR="000162DB" w:rsidRPr="00CE0DE7">
        <w:rPr>
          <w:iCs/>
          <w:sz w:val="20"/>
          <w:szCs w:val="20"/>
          <w:lang w:val="en-GB" w:eastAsia="zh-CN"/>
        </w:rPr>
        <w:t xml:space="preserve"> </w:t>
      </w:r>
    </w:p>
    <w:p w14:paraId="2AF96696" w14:textId="7F67C77C" w:rsidR="00074CA3" w:rsidRPr="00CE0DE7" w:rsidRDefault="00074CA3" w:rsidP="00BD081C">
      <w:pPr>
        <w:adjustRightInd w:val="0"/>
        <w:snapToGrid w:val="0"/>
        <w:spacing w:line="480" w:lineRule="auto"/>
        <w:ind w:firstLine="425"/>
        <w:jc w:val="both"/>
        <w:rPr>
          <w:sz w:val="20"/>
          <w:szCs w:val="20"/>
          <w:lang w:val="en-GB" w:eastAsia="zh-CN"/>
        </w:rPr>
      </w:pPr>
      <w:r w:rsidRPr="00CE0DE7">
        <w:rPr>
          <w:sz w:val="20"/>
          <w:szCs w:val="20"/>
          <w:lang w:val="en-GB" w:eastAsia="zh-CN"/>
        </w:rPr>
        <w:t>From a behavioural finance perspective, when irrational investors are excessively optimistic about the markets, they tend to trade more actively and boost liquidity. Conversely, over-pessimistic</w:t>
      </w:r>
      <w:r w:rsidR="00933424" w:rsidRPr="00CE0DE7">
        <w:rPr>
          <w:sz w:val="20"/>
          <w:szCs w:val="20"/>
          <w:lang w:val="en-GB" w:eastAsia="zh-CN"/>
        </w:rPr>
        <w:t xml:space="preserve"> investors </w:t>
      </w:r>
      <w:r w:rsidRPr="00CE0DE7">
        <w:rPr>
          <w:sz w:val="20"/>
          <w:szCs w:val="20"/>
          <w:lang w:val="en-GB" w:eastAsia="zh-CN"/>
        </w:rPr>
        <w:t>avoid trading and reduc</w:t>
      </w:r>
      <w:r w:rsidR="00933424" w:rsidRPr="00CE0DE7">
        <w:rPr>
          <w:sz w:val="20"/>
          <w:szCs w:val="20"/>
          <w:lang w:val="en-GB" w:eastAsia="zh-CN"/>
        </w:rPr>
        <w:t>e</w:t>
      </w:r>
      <w:r w:rsidRPr="00CE0DE7">
        <w:rPr>
          <w:sz w:val="20"/>
          <w:szCs w:val="20"/>
          <w:lang w:val="en-GB" w:eastAsia="zh-CN"/>
        </w:rPr>
        <w:t xml:space="preserve"> market turnover. In both cases, stock prices eventually revert to fundamental values. Hence, behavioural theories imply that liquidity and future returns are negatively related </w:t>
      </w:r>
      <w:r w:rsidR="009D63B4" w:rsidRPr="00CE0DE7">
        <w:rPr>
          <w:noProof/>
          <w:sz w:val="20"/>
          <w:szCs w:val="20"/>
          <w:lang w:val="en-GB" w:eastAsia="zh-CN"/>
        </w:rPr>
        <w:fldChar w:fldCharType="begin" w:fldLock="1"/>
      </w:r>
      <w:r w:rsidR="00DC30A0">
        <w:rPr>
          <w:noProof/>
          <w:sz w:val="20"/>
          <w:szCs w:val="20"/>
          <w:lang w:val="en-GB" w:eastAsia="zh-CN"/>
        </w:rPr>
        <w:instrText>ADDIN CSL_CITATION {"citationItems":[{"id":"ITEM-1","itemData":{"ISSN":"13864181","abstract":"We build a model that helps to explain why increases in liquidity-such as lower bid-ask spreads, a lower price impact of trade, or higher turnover-predict lower subsequent returns in both firm-level and aggregate data. The model features a class of irrational investors, who underreact to the information contained in order flow, thereby boosting liquidity. In the presence of short-sales constraints, high liquidity is a symptom of the fact that the market is dominated by these irrational investors, and hence is overvalued. This theory can also explain how managers might successfully time the market for seasoned equity offerings, by simply following a rule of thumb that involves issuing when the SEO market is particularly liquid. Empirically, we find that: (i) aggregate measures of equity issuance and share turnover are highly correlated; yet (ii) in a multiple regression, both have incremental predictive power for future equal-weighted market returns. © 2003 Elsevier B.V. All rights reserved.","author":[{"dropping-particle":"","family":"Baker","given":"Malcolm","non-dropping-particle":"","parse-names":false,"suffix":""},{"dropping-particle":"","family":"Stein","given":"Jeremy C.","non-dropping-particle":"","parse-names":false,"suffix":""}],"container-title":"Journal of Financial Markets","id":"ITEM-1","issue":"3","issued":{"date-parts":[["2004","6","1"]]},"page":"271-299","publisher":"North-Holland","title":"Market liquidity as a sentiment indicator","type":"article-journal","volume":"7"},"uris":["http://www.mendeley.com/documents/?uuid=9e47bc2e-30b1-36f9-b70b-7103dd8da346"]},{"id":"ITEM-2","itemData":{"ISSN":"08953309","abstract":"T he last several decades have witnessed a shift away from a fully rational paradigm of financial markets towards one in which investor behavior is influenced by psychological biases. Two principal factors have contributed to this evolution: a body of evidence showing how psychological bias affects the behavior of economic actors; and an accumulation of evidence that is hard to reconcile with fully rational models of security market trading volumes and returns. In particular, asset markets exhibit trading volumes that are high, with individuals and asset managers trading aggressively, even when such trading results in high risk and low net returns. Moreover, asset prices display patterns of predictability that are difficult to reconcile with rational expectations-based theories of price formation. In this paper, we discuss the role of overconfidence as an explanation for these patterns. Overconfidence means having mistaken valuations and believing in them too strongly. It might seem that actors in liquid financial markets should not be very susceptible to overconfidence, because return outcomes are measurable, providing extensive feedback. However, overconfidence has been documented among","author":[{"dropping-particle":"","family":"Daniel","given":"Kent","non-dropping-particle":"","parse-names":false,"suffix":""},{"dropping-particle":"","family":"Hirshleifer","given":"David","non-dropping-particle":"","parse-names":false,"suffix":""}],"container-title":"Journal of Economic Perspectives","id":"ITEM-2","issue":"4","issued":{"date-parts":[["2015","9","1"]]},"page":"61-88","publisher":"American Economic Association","title":"Overconfident investors, predictable returns, and excessive trading","type":"article-journal","volume":"29"},"uris":["http://www.mendeley.com/documents/?uuid=9b9333e0-7308-343f-8283-ba0e24dd8b91"]},{"id":"ITEM-3","itemData":{"ISSN":"00221082","abstract":"This study analyzes the role that two psychological attributes - sensation seeking and overconfidence - play in the tendency of investors to trade stocks. Equity trading data from Finland are combined with data from investor tax filings, driving records, and mandatory psychological profiles. We use these data, obtained from a large population, to construct measures of overconfidence and sensation seeking tendencies. Controlling for a host of variables, including wealth, income, age, number of stocks owned, marital status, and occupation, we find that overconfident investors and those investors most prone to sensation seeking trade more frequently. © 2009 the American Finance Association.","author":[{"dropping-particle":"","family":"Grinblatt","given":"Mark","non-dropping-particle":"","parse-names":false,"suffix":""},{"dropping-particle":"","family":"Keloharju","given":"Matti","non-dropping-particle":"","parse-names":false,"suffix":""}],"container-title":"Journal of Finance","id":"ITEM-3","issue":"2","issued":{"date-parts":[["2009","4","1"]]},"page":"549-578","publisher":"John Wiley &amp; Sons, Ltd","title":"Sensation seeking, overconfidence, and trading activity","type":"article-journal","volume":"64"},"uris":["http://www.mendeley.com/documents/?uuid=52fd83ea-4347-3d37-b0db-210e7848bdc8"]},{"id":"ITEM-4","itemData":{"ISSN":"1556-5068","abstract":"I assemble an annual time series of bid-ask spreads on Dow Jones stocks from 1900-2000, along with an annual estimate of the weighted-average commission rate for trading NYSE stocks since 1925. Spreads are cyclical, especially during periods of market turmoil. The sum of half-spreads and one-way commissions, multiplied by annual turnover, is an estimate of the annual proportional cost of aggregate equity trading. This cost drives a wedge between aggregate gross equity returns and net equity returns. This wedge can account for only a small part of the observed equity premium, but all else equal the gross equity premium is perhaps 1% lower today than it was early in the 1900's. Finally, I present evidence that the transaction cost measures that also proxy for liquidity - spreads and turnover - predict stock returns one year or more ahead. High spreads predict high stock returns; high turnover predicts low stock returns. These liquidity variables dominate traditional predictor variables, such as the dividend yield. The evidence suggests that time-series variation in aggregate liquidity is an important determinant of conditional expected stock market returns.","author":[{"dropping-particle":"","family":"Jones","given":"Charles M.","non-dropping-particle":"","parse-names":false,"suffix":""}],"container-title":"SSRN Electronic Journal","id":"ITEM-4","issued":{"date-parts":[["2002","8","19"]]},"page":"https://ssrn.com/abstract=313681","title":"A century of stock market liquidity and trading costs","type":"article-journal"},"uris":["http://www.mendeley.com/documents/?uuid=a7c15298-f57b-3cea-a41a-8c1432609dd5"]}],"mendeley":{"formattedCitation":"(Jones 2002; Baker and Stein 2004; Grinblatt and Keloharju 2009; Daniel and Hirshleifer 2015)","plainTextFormattedCitation":"(Jones 2002; Baker and Stein 2004; Grinblatt and Keloharju 2009; Daniel and Hirshleifer 2015)","previouslyFormattedCitation":"(Jones 2002; Baker and Stein 2004; Grinblatt and Keloharju 2009; Daniel and Hirshleifer 2015)"},"properties":{"noteIndex":0},"schema":"https://github.com/citation-style-language/schema/raw/master/csl-citation.json"}</w:instrText>
      </w:r>
      <w:r w:rsidR="009D63B4" w:rsidRPr="00CE0DE7">
        <w:rPr>
          <w:noProof/>
          <w:sz w:val="20"/>
          <w:szCs w:val="20"/>
          <w:lang w:val="en-GB" w:eastAsia="zh-CN"/>
        </w:rPr>
        <w:fldChar w:fldCharType="separate"/>
      </w:r>
      <w:r w:rsidR="009D63B4" w:rsidRPr="00CE0DE7">
        <w:rPr>
          <w:noProof/>
          <w:sz w:val="20"/>
          <w:szCs w:val="20"/>
          <w:lang w:val="en-GB" w:eastAsia="zh-CN"/>
        </w:rPr>
        <w:t>(Jones 2002; Baker and Stein 2004; Grinblatt and Keloharju 2009; Daniel and Hirshleifer 2015)</w:t>
      </w:r>
      <w:r w:rsidR="009D63B4" w:rsidRPr="00CE0DE7">
        <w:rPr>
          <w:noProof/>
          <w:sz w:val="20"/>
          <w:szCs w:val="20"/>
          <w:lang w:val="en-GB" w:eastAsia="zh-CN"/>
        </w:rPr>
        <w:fldChar w:fldCharType="end"/>
      </w:r>
      <w:r w:rsidRPr="00CE0DE7">
        <w:rPr>
          <w:sz w:val="20"/>
          <w:szCs w:val="20"/>
          <w:lang w:val="en-GB" w:eastAsia="zh-CN"/>
        </w:rPr>
        <w:t xml:space="preserve">. </w:t>
      </w:r>
    </w:p>
    <w:p w14:paraId="2BC886E1" w14:textId="1090F525" w:rsidR="009B2D08" w:rsidRPr="00CE0DE7" w:rsidRDefault="009B2D08" w:rsidP="00BD081C">
      <w:pPr>
        <w:adjustRightInd w:val="0"/>
        <w:snapToGrid w:val="0"/>
        <w:spacing w:line="480" w:lineRule="auto"/>
        <w:ind w:firstLine="425"/>
        <w:jc w:val="both"/>
        <w:rPr>
          <w:iCs/>
          <w:sz w:val="20"/>
          <w:szCs w:val="20"/>
          <w:lang w:val="en-GB" w:eastAsia="zh-CN"/>
        </w:rPr>
      </w:pPr>
      <w:r w:rsidRPr="00CE0DE7">
        <w:rPr>
          <w:sz w:val="20"/>
          <w:szCs w:val="20"/>
          <w:lang w:val="en-GB" w:eastAsia="zh-CN"/>
        </w:rPr>
        <w:t>Behavio</w:t>
      </w:r>
      <w:r w:rsidR="00594E54" w:rsidRPr="00CE0DE7">
        <w:rPr>
          <w:sz w:val="20"/>
          <w:szCs w:val="20"/>
          <w:lang w:val="en-GB" w:eastAsia="zh-CN"/>
        </w:rPr>
        <w:t>u</w:t>
      </w:r>
      <w:r w:rsidRPr="00CE0DE7">
        <w:rPr>
          <w:sz w:val="20"/>
          <w:szCs w:val="20"/>
          <w:lang w:val="en-GB" w:eastAsia="zh-CN"/>
        </w:rPr>
        <w:t xml:space="preserve">ral finance theories also provide plausible explanations for the association between past returns and liquidity. </w:t>
      </w:r>
      <w:r w:rsidR="002F217E" w:rsidRPr="00CE0DE7">
        <w:rPr>
          <w:iCs/>
          <w:sz w:val="20"/>
          <w:szCs w:val="20"/>
          <w:lang w:val="en-GB" w:eastAsia="zh-CN"/>
        </w:rPr>
        <w:t xml:space="preserve">According to the disposition effect </w:t>
      </w:r>
      <w:r w:rsidR="00933424" w:rsidRPr="00CE0DE7">
        <w:rPr>
          <w:iCs/>
          <w:sz w:val="20"/>
          <w:szCs w:val="20"/>
          <w:lang w:val="en-GB" w:eastAsia="zh-CN"/>
        </w:rPr>
        <w:t>in</w:t>
      </w:r>
      <w:r w:rsidR="002F217E" w:rsidRPr="00CE0DE7">
        <w:rPr>
          <w:iCs/>
          <w:sz w:val="20"/>
          <w:szCs w:val="20"/>
          <w:lang w:val="en-GB" w:eastAsia="zh-CN"/>
        </w:rPr>
        <w:t xml:space="preserve"> </w:t>
      </w:r>
      <w:r w:rsidR="002F217E" w:rsidRPr="00CE0DE7">
        <w:rPr>
          <w:iCs/>
          <w:noProof/>
          <w:sz w:val="20"/>
          <w:szCs w:val="20"/>
          <w:lang w:val="en-GB" w:eastAsia="zh-CN"/>
        </w:rPr>
        <w:t xml:space="preserve">Shefrin and Statman </w:t>
      </w:r>
      <w:r w:rsidR="009D63B4" w:rsidRPr="00CE0DE7">
        <w:rPr>
          <w:iCs/>
          <w:noProof/>
          <w:sz w:val="20"/>
          <w:szCs w:val="20"/>
          <w:lang w:val="en-GB" w:eastAsia="zh-CN"/>
        </w:rPr>
        <w:fldChar w:fldCharType="begin" w:fldLock="1"/>
      </w:r>
      <w:r w:rsidR="009D63B4" w:rsidRPr="00CE0DE7">
        <w:rPr>
          <w:iCs/>
          <w:noProof/>
          <w:sz w:val="20"/>
          <w:szCs w:val="20"/>
          <w:lang w:val="en-GB" w:eastAsia="zh-CN"/>
        </w:rPr>
        <w:instrText>ADDIN CSL_CITATION {"citationItems":[{"id":"ITEM-1","itemData":{"ISSN":"00221082","abstract":"One of the most significant and unique features in Kahneman and Tversky's approach to choice under uncertainty is aversion to loss realization. This paper is concerned with two aspects of this feature. First, we place this behavior pattern into a wider theoretical framework concerning a general disposition to sell winners too early and hold losers too long. This framework includes other elements, namely mental accounting, regret aversion, self‐control, and tax considerations. Second, we discuss evidence which suggests that tax considerations alone cannot explain the observed patterns of loss and gain realization, and that the patterns are consistent with a combined effect of tax considerations and the three other elements of our framework. We also show that the concentration of loss realizations in December is not consistent with fully rational behavior, but is consistent with our theory. 1985 The American Finance Association","author":[{"dropping-particle":"","family":"Shefrin","given":"Hersh","non-dropping-particle":"","parse-names":false,"suffix":""},{"dropping-particle":"","family":"Statman","given":"Meir","non-dropping-particle":"","parse-names":false,"suffix":""}],"container-title":"The Journal of Finance","id":"ITEM-1","issue":"3","issued":{"date-parts":[["1985","7","1"]]},"page":"777-790","publisher":"John Wiley &amp; Sons, Ltd","title":"The disposition to sell winners too early and ride losers too lLong: Theory and evidence","type":"article-journal","volume":"40"},"suppress-author":1,"uris":["http://www.mendeley.com/documents/?uuid=655018ca-1a5d-3941-b5a4-2ab8c05ae3ad"]}],"mendeley":{"formattedCitation":"(1985)","plainTextFormattedCitation":"(1985)","previouslyFormattedCitation":"(1985)"},"properties":{"noteIndex":0},"schema":"https://github.com/citation-style-language/schema/raw/master/csl-citation.json"}</w:instrText>
      </w:r>
      <w:r w:rsidR="009D63B4" w:rsidRPr="00CE0DE7">
        <w:rPr>
          <w:iCs/>
          <w:noProof/>
          <w:sz w:val="20"/>
          <w:szCs w:val="20"/>
          <w:lang w:val="en-GB" w:eastAsia="zh-CN"/>
        </w:rPr>
        <w:fldChar w:fldCharType="separate"/>
      </w:r>
      <w:r w:rsidR="009D63B4" w:rsidRPr="00CE0DE7">
        <w:rPr>
          <w:iCs/>
          <w:noProof/>
          <w:sz w:val="20"/>
          <w:szCs w:val="20"/>
          <w:lang w:val="en-GB" w:eastAsia="zh-CN"/>
        </w:rPr>
        <w:t>(1985)</w:t>
      </w:r>
      <w:r w:rsidR="009D63B4" w:rsidRPr="00CE0DE7">
        <w:rPr>
          <w:iCs/>
          <w:noProof/>
          <w:sz w:val="20"/>
          <w:szCs w:val="20"/>
          <w:lang w:val="en-GB" w:eastAsia="zh-CN"/>
        </w:rPr>
        <w:fldChar w:fldCharType="end"/>
      </w:r>
      <w:r w:rsidR="002F217E" w:rsidRPr="00CE0DE7">
        <w:rPr>
          <w:iCs/>
          <w:sz w:val="20"/>
          <w:szCs w:val="20"/>
          <w:lang w:val="en-GB" w:eastAsia="zh-CN"/>
        </w:rPr>
        <w:t xml:space="preserve">, investors are reluctant to trade in down markets and wish to realize the gains in up markets. This implies that past returns affect investor trading activities and, in turn, </w:t>
      </w:r>
      <w:r w:rsidR="00933424" w:rsidRPr="00CE0DE7">
        <w:rPr>
          <w:iCs/>
          <w:sz w:val="20"/>
          <w:szCs w:val="20"/>
          <w:lang w:val="en-GB" w:eastAsia="zh-CN"/>
        </w:rPr>
        <w:t xml:space="preserve">impact </w:t>
      </w:r>
      <w:r w:rsidR="002F217E" w:rsidRPr="00CE0DE7">
        <w:rPr>
          <w:iCs/>
          <w:sz w:val="20"/>
          <w:szCs w:val="20"/>
          <w:lang w:val="en-GB" w:eastAsia="zh-CN"/>
        </w:rPr>
        <w:t>liquidity.</w:t>
      </w:r>
      <w:r w:rsidR="002F217E" w:rsidRPr="00CE0DE7">
        <w:rPr>
          <w:sz w:val="20"/>
          <w:szCs w:val="20"/>
          <w:lang w:val="en-GB" w:eastAsia="zh-CN"/>
        </w:rPr>
        <w:t xml:space="preserve"> </w:t>
      </w:r>
      <w:r w:rsidRPr="00CE0DE7">
        <w:rPr>
          <w:noProof/>
          <w:sz w:val="20"/>
          <w:szCs w:val="20"/>
          <w:lang w:val="en-GB" w:eastAsia="zh-CN"/>
        </w:rPr>
        <w:t xml:space="preserve">Odean </w:t>
      </w:r>
      <w:r w:rsidR="009D63B4" w:rsidRPr="00CE0DE7">
        <w:rPr>
          <w:noProof/>
          <w:sz w:val="20"/>
          <w:szCs w:val="20"/>
          <w:lang w:val="en-GB" w:eastAsia="zh-CN"/>
        </w:rPr>
        <w:fldChar w:fldCharType="begin" w:fldLock="1"/>
      </w:r>
      <w:r w:rsidR="009D63B4" w:rsidRPr="00CE0DE7">
        <w:rPr>
          <w:noProof/>
          <w:sz w:val="20"/>
          <w:szCs w:val="20"/>
          <w:lang w:val="en-GB" w:eastAsia="zh-CN"/>
        </w:rPr>
        <w:instrText>ADDIN CSL_CITATION {"citationItems":[{"id":"ITEM-1","itemData":{"ISSN":"00221082","abstract":"People are overconfident. Overconfidence affects financial markets. How depends on who in the market is overconfident and on how information is distributed. This paper examines markets in which price-taking traders, a strategic-trading insider, and risk-averse marketmakers are overconfident. Overconfidence increases expected trading volume, increases market depth, and decreases the expected utility of overconfident traders. Its effect on volatility and price quality depend on who is overconfident. Overconfident traders can cause markets to underreact to the information of rational traders. Markets also underreact to abstract, statistical, and highly relevant information, and they overreact to salient, anecdotal, and less relevant information.","author":[{"dropping-particle":"","family":"Odean","given":"Terrance","non-dropping-particle":"","parse-names":false,"suffix":""}],"container-title":"Journal of Finance","id":"ITEM-1","issue":"6","issued":{"date-parts":[["1998","12","1"]]},"page":"1887-1934","publisher":"Blackwell Publishing Inc.","title":"Volume, volatility, price, and profit when all traders are above average","type":"article-journal","volume":"53"},"suppress-author":1,"uris":["http://www.mendeley.com/documents/?uuid=f3d8db0c-97d7-33db-9f73-d84b6f8f7abb"]}],"mendeley":{"formattedCitation":"(1998)","plainTextFormattedCitation":"(1998)","previouslyFormattedCitation":"(1998)"},"properties":{"noteIndex":0},"schema":"https://github.com/citation-style-language/schema/raw/master/csl-citation.json"}</w:instrText>
      </w:r>
      <w:r w:rsidR="009D63B4" w:rsidRPr="00CE0DE7">
        <w:rPr>
          <w:noProof/>
          <w:sz w:val="20"/>
          <w:szCs w:val="20"/>
          <w:lang w:val="en-GB" w:eastAsia="zh-CN"/>
        </w:rPr>
        <w:fldChar w:fldCharType="separate"/>
      </w:r>
      <w:r w:rsidR="009D63B4" w:rsidRPr="00CE0DE7">
        <w:rPr>
          <w:noProof/>
          <w:sz w:val="20"/>
          <w:szCs w:val="20"/>
          <w:lang w:val="en-GB" w:eastAsia="zh-CN"/>
        </w:rPr>
        <w:t>(1998)</w:t>
      </w:r>
      <w:r w:rsidR="009D63B4" w:rsidRPr="00CE0DE7">
        <w:rPr>
          <w:noProof/>
          <w:sz w:val="20"/>
          <w:szCs w:val="20"/>
          <w:lang w:val="en-GB" w:eastAsia="zh-CN"/>
        </w:rPr>
        <w:fldChar w:fldCharType="end"/>
      </w:r>
      <w:r w:rsidRPr="00CE0DE7">
        <w:rPr>
          <w:sz w:val="20"/>
          <w:szCs w:val="20"/>
          <w:lang w:val="en-GB" w:eastAsia="zh-CN"/>
        </w:rPr>
        <w:t xml:space="preserve"> draws </w:t>
      </w:r>
      <w:r w:rsidR="00074CA3" w:rsidRPr="00CE0DE7">
        <w:rPr>
          <w:sz w:val="20"/>
          <w:szCs w:val="20"/>
          <w:lang w:val="en-GB" w:eastAsia="zh-CN"/>
        </w:rPr>
        <w:t>up</w:t>
      </w:r>
      <w:r w:rsidR="0063706D" w:rsidRPr="00CE0DE7">
        <w:rPr>
          <w:sz w:val="20"/>
          <w:szCs w:val="20"/>
          <w:lang w:val="en-GB" w:eastAsia="zh-CN"/>
        </w:rPr>
        <w:t>on the overconfidence theory</w:t>
      </w:r>
      <w:r w:rsidR="00A72F81" w:rsidRPr="00CE0DE7">
        <w:rPr>
          <w:iCs/>
          <w:sz w:val="20"/>
          <w:szCs w:val="20"/>
          <w:lang w:val="en-GB" w:eastAsia="zh-CN"/>
        </w:rPr>
        <w:t xml:space="preserve"> </w:t>
      </w:r>
      <w:r w:rsidR="0063706D" w:rsidRPr="00CE0DE7">
        <w:rPr>
          <w:iCs/>
          <w:sz w:val="20"/>
          <w:szCs w:val="20"/>
          <w:lang w:val="en-GB" w:eastAsia="zh-CN"/>
        </w:rPr>
        <w:t>and argues that</w:t>
      </w:r>
      <w:r w:rsidR="00A72F81" w:rsidRPr="00CE0DE7">
        <w:rPr>
          <w:iCs/>
          <w:sz w:val="20"/>
          <w:szCs w:val="20"/>
          <w:lang w:val="en-GB" w:eastAsia="zh-CN"/>
        </w:rPr>
        <w:t xml:space="preserve"> high market gains (losses) can increase (reduce) investor overconfidence about the precision of their information and their ability to select stocks</w:t>
      </w:r>
      <w:r w:rsidR="0063706D" w:rsidRPr="00CE0DE7">
        <w:rPr>
          <w:iCs/>
          <w:sz w:val="20"/>
          <w:szCs w:val="20"/>
          <w:lang w:val="en-GB" w:eastAsia="zh-CN"/>
        </w:rPr>
        <w:t>.</w:t>
      </w:r>
      <w:r w:rsidR="00A72F81" w:rsidRPr="00CE0DE7">
        <w:rPr>
          <w:iCs/>
          <w:sz w:val="20"/>
          <w:szCs w:val="20"/>
          <w:lang w:val="en-GB" w:eastAsia="zh-CN"/>
        </w:rPr>
        <w:t xml:space="preserve"> </w:t>
      </w:r>
      <w:r w:rsidR="0063706D" w:rsidRPr="00CE0DE7">
        <w:rPr>
          <w:iCs/>
          <w:sz w:val="20"/>
          <w:szCs w:val="20"/>
          <w:lang w:val="en-GB" w:eastAsia="zh-CN"/>
        </w:rPr>
        <w:t>It shows that overconfident</w:t>
      </w:r>
      <w:r w:rsidR="00A72F81" w:rsidRPr="00CE0DE7">
        <w:rPr>
          <w:iCs/>
          <w:sz w:val="20"/>
          <w:szCs w:val="20"/>
          <w:lang w:val="en-GB" w:eastAsia="zh-CN"/>
        </w:rPr>
        <w:t xml:space="preserve"> investors tend to trade more frequently in the following period</w:t>
      </w:r>
      <w:r w:rsidR="0063706D" w:rsidRPr="00CE0DE7">
        <w:rPr>
          <w:iCs/>
          <w:sz w:val="20"/>
          <w:szCs w:val="20"/>
          <w:lang w:val="en-GB" w:eastAsia="zh-CN"/>
        </w:rPr>
        <w:t xml:space="preserve"> thus pushing up liquidity</w:t>
      </w:r>
      <w:r w:rsidR="00A72F81" w:rsidRPr="00CE0DE7">
        <w:rPr>
          <w:iCs/>
          <w:sz w:val="20"/>
          <w:szCs w:val="20"/>
          <w:lang w:val="en-GB" w:eastAsia="zh-CN"/>
        </w:rPr>
        <w:t xml:space="preserve">. </w:t>
      </w:r>
      <w:r w:rsidR="0063706D" w:rsidRPr="00CE0DE7">
        <w:rPr>
          <w:iCs/>
          <w:sz w:val="20"/>
          <w:szCs w:val="20"/>
          <w:lang w:val="en-GB" w:eastAsia="zh-CN"/>
        </w:rPr>
        <w:t xml:space="preserve">Supportive empirical evidence at the market level is offered in </w:t>
      </w:r>
      <w:r w:rsidRPr="00CE0DE7">
        <w:rPr>
          <w:noProof/>
          <w:sz w:val="20"/>
          <w:szCs w:val="20"/>
          <w:lang w:val="en-GB" w:eastAsia="zh-CN"/>
        </w:rPr>
        <w:t xml:space="preserve">Gervais and Odean </w:t>
      </w:r>
      <w:r w:rsidR="009D63B4" w:rsidRPr="00CE0DE7">
        <w:rPr>
          <w:noProof/>
          <w:sz w:val="20"/>
          <w:szCs w:val="20"/>
          <w:lang w:val="en-GB" w:eastAsia="zh-CN"/>
        </w:rPr>
        <w:fldChar w:fldCharType="begin" w:fldLock="1"/>
      </w:r>
      <w:r w:rsidR="009D63B4" w:rsidRPr="00CE0DE7">
        <w:rPr>
          <w:noProof/>
          <w:sz w:val="20"/>
          <w:szCs w:val="20"/>
          <w:lang w:val="en-GB" w:eastAsia="zh-CN"/>
        </w:rPr>
        <w:instrText>ADDIN CSL_CITATION {"citationItems":[{"id":"ITEM-1","itemData":{"abstract":"We develop a multiperiod market model describing both the process by which traders learn about their ability and how a bias in this learning can create overconfident traders. A trader in our model initially does not know his own ability. He infers this ability from his successes and failures. In assessing his ability the trader takes too much credit for his successes. This leads him to become overconfident. A trader's expected level of over-confidence increases in the early stages of his career. Then, with more experience, he comes to better recognize his own ability. The patterns in trading volume, expected profits , price volatility, and expected prices resulting from this endogenous overconfidence are analyzed. It is a common feature of human existence that we constantly learn about our own abilities by observing the consequences of our actions. For most people there is an attribution bias to this learning: we tend to overestimate the degree to which we are responsible for our own successes [Wolosin, Sherman, and Till (1973), Langer and Roth (1975), Miller and Ross (1975)]. As Hastorf, Schneider, and Polifka (1970) write, \"We are prone to attribute success to our own dispositions and failure to external forces.\" In this article we develop a multiperiod market model describing both the process by which traders learn about their ability and how a bias in this learning can create overconfident traders. Traders in our model initially do not know their ability. They learn about their ability through experience. Traders who successfully forecast next period dividends improperly update their beliefs; they overweight the possibility that their success was due to superior ability. In so doing they become overconfident. In our model, a trader's level of overconfidence changes dynamically with his successes and failures. A trader is not overconfident when he begins to trade. Ex ante, his expected overconfidence increases over his first several trading periods and then declines. Thus the greatest overconfidence in a The authors would like to thank","author":[{"dropping-particle":"","family":"Gervais","given":"Simon","non-dropping-particle":"","parse-names":false,"suffix":""},{"dropping-particle":"","family":"Odean","given":"Terrance","non-dropping-particle":"","parse-names":false,"suffix":""}],"container-title":"Review of Financial Studies","id":"ITEM-1","issue":"1","issued":{"date-parts":[["2001"]]},"page":"1-27","title":"Learning to be overconfident","type":"article-journal","volume":"14"},"suppress-author":1,"uris":["http://www.mendeley.com/documents/?uuid=8c003914-320f-377d-a8a8-840fdf2b6e12"]}],"mendeley":{"formattedCitation":"(2001)","plainTextFormattedCitation":"(2001)","previouslyFormattedCitation":"(2001)"},"properties":{"noteIndex":0},"schema":"https://github.com/citation-style-language/schema/raw/master/csl-citation.json"}</w:instrText>
      </w:r>
      <w:r w:rsidR="009D63B4" w:rsidRPr="00CE0DE7">
        <w:rPr>
          <w:noProof/>
          <w:sz w:val="20"/>
          <w:szCs w:val="20"/>
          <w:lang w:val="en-GB" w:eastAsia="zh-CN"/>
        </w:rPr>
        <w:fldChar w:fldCharType="separate"/>
      </w:r>
      <w:r w:rsidR="009D63B4" w:rsidRPr="00CE0DE7">
        <w:rPr>
          <w:noProof/>
          <w:sz w:val="20"/>
          <w:szCs w:val="20"/>
          <w:lang w:val="en-GB" w:eastAsia="zh-CN"/>
        </w:rPr>
        <w:t>(2001)</w:t>
      </w:r>
      <w:r w:rsidR="009D63B4" w:rsidRPr="00CE0DE7">
        <w:rPr>
          <w:noProof/>
          <w:sz w:val="20"/>
          <w:szCs w:val="20"/>
          <w:lang w:val="en-GB" w:eastAsia="zh-CN"/>
        </w:rPr>
        <w:fldChar w:fldCharType="end"/>
      </w:r>
      <w:r w:rsidRPr="00CE0DE7">
        <w:rPr>
          <w:sz w:val="20"/>
          <w:szCs w:val="20"/>
          <w:lang w:val="en-GB" w:eastAsia="zh-CN"/>
        </w:rPr>
        <w:t xml:space="preserve"> </w:t>
      </w:r>
      <w:r w:rsidR="00074CA3" w:rsidRPr="00CE0DE7">
        <w:rPr>
          <w:sz w:val="20"/>
          <w:szCs w:val="20"/>
          <w:lang w:val="en-GB" w:eastAsia="zh-CN"/>
        </w:rPr>
        <w:t xml:space="preserve">and Statman et al. </w:t>
      </w:r>
      <w:r w:rsidR="009D63B4" w:rsidRPr="00CE0DE7">
        <w:rPr>
          <w:sz w:val="20"/>
          <w:szCs w:val="20"/>
          <w:lang w:val="en-GB" w:eastAsia="zh-CN"/>
        </w:rPr>
        <w:fldChar w:fldCharType="begin" w:fldLock="1"/>
      </w:r>
      <w:r w:rsidR="009D63B4" w:rsidRPr="00CE0DE7">
        <w:rPr>
          <w:sz w:val="20"/>
          <w:szCs w:val="20"/>
          <w:lang w:val="en-GB" w:eastAsia="zh-CN"/>
        </w:rPr>
        <w:instrText>ADDIN CSL_CITATION {"citationItems":[{"id":"ITEM-1","itemData":{"ISSN":"0893-9454","abstract":"The proposition that investors are overconfident about their valuation and trading skills can explain high observed trading volume. With biased self-attribution, the level of investor overconfidence and thus trading volume varies with past returns. We test the trading volume predictions of formal overconfidence models and find that share turnover is positively related to lagged returns for many months. The relationship holds for both market-wide and individual security turnover, which we interpret as evidence of investor overconfidence and the disposition effect, respectively. Security volume is more responsive to market return shocks than to security return shocks, and both relationships are more pronounced in small-cap stocks and in earlier periods where individual investors hold a greater proportion of shares. (JEL G11, G12). © The Author 2006. Published by Oxford University Press on behalf of The Society for Financial Studies. All rights reserved.","author":[{"dropping-particle":"","family":"Statman","given":"Meir","non-dropping-particle":"","parse-names":false,"suffix":""},{"dropping-particle":"","family":"Thorley","given":"Steven","non-dropping-particle":"","parse-names":false,"suffix":""},{"dropping-particle":"","family":"Vorkink","given":"Keith","non-dropping-particle":"","parse-names":false,"suffix":""}],"container-title":"Review of Financial Studies","id":"ITEM-1","issue":"4","issued":{"date-parts":[["2006","12","1"]]},"page":"1531-1565","publisher":"Oxford Academic","title":"Investor overconfidence and trading volume","type":"article-journal","volume":"19"},"suppress-author":1,"uris":["http://www.mendeley.com/documents/?uuid=251901ab-67e8-361a-8688-7b4f531e15cf"]}],"mendeley":{"formattedCitation":"(2006)","plainTextFormattedCitation":"(2006)","previouslyFormattedCitation":"(2006)"},"properties":{"noteIndex":0},"schema":"https://github.com/citation-style-language/schema/raw/master/csl-citation.json"}</w:instrText>
      </w:r>
      <w:r w:rsidR="009D63B4" w:rsidRPr="00CE0DE7">
        <w:rPr>
          <w:sz w:val="20"/>
          <w:szCs w:val="20"/>
          <w:lang w:val="en-GB" w:eastAsia="zh-CN"/>
        </w:rPr>
        <w:fldChar w:fldCharType="separate"/>
      </w:r>
      <w:r w:rsidR="009D63B4" w:rsidRPr="00CE0DE7">
        <w:rPr>
          <w:noProof/>
          <w:sz w:val="20"/>
          <w:szCs w:val="20"/>
          <w:lang w:val="en-GB" w:eastAsia="zh-CN"/>
        </w:rPr>
        <w:t>(2006)</w:t>
      </w:r>
      <w:r w:rsidR="009D63B4" w:rsidRPr="00CE0DE7">
        <w:rPr>
          <w:sz w:val="20"/>
          <w:szCs w:val="20"/>
          <w:lang w:val="en-GB" w:eastAsia="zh-CN"/>
        </w:rPr>
        <w:fldChar w:fldCharType="end"/>
      </w:r>
      <w:r w:rsidR="0063706D" w:rsidRPr="00CE0DE7">
        <w:rPr>
          <w:sz w:val="20"/>
          <w:szCs w:val="20"/>
          <w:lang w:val="en-GB" w:eastAsia="zh-CN"/>
        </w:rPr>
        <w:t>.</w:t>
      </w:r>
      <w:r w:rsidR="00074CA3" w:rsidRPr="00CE0DE7">
        <w:rPr>
          <w:sz w:val="20"/>
          <w:szCs w:val="20"/>
          <w:lang w:val="en-GB" w:eastAsia="zh-CN"/>
        </w:rPr>
        <w:t xml:space="preserve"> </w:t>
      </w:r>
    </w:p>
    <w:p w14:paraId="2BA87772" w14:textId="3D9C2383" w:rsidR="00953215" w:rsidRDefault="009B2D08" w:rsidP="00BD081C">
      <w:pPr>
        <w:adjustRightInd w:val="0"/>
        <w:snapToGrid w:val="0"/>
        <w:spacing w:line="480" w:lineRule="auto"/>
        <w:ind w:firstLine="425"/>
        <w:jc w:val="both"/>
        <w:rPr>
          <w:sz w:val="20"/>
          <w:szCs w:val="20"/>
          <w:lang w:val="en-GB" w:eastAsia="zh-CN"/>
        </w:rPr>
      </w:pPr>
      <w:r w:rsidRPr="00CE0DE7">
        <w:rPr>
          <w:sz w:val="20"/>
          <w:szCs w:val="20"/>
          <w:lang w:val="en-GB" w:eastAsia="zh-CN"/>
        </w:rPr>
        <w:t xml:space="preserve">To sum up, the literature </w:t>
      </w:r>
      <w:r w:rsidR="0063706D" w:rsidRPr="00CE0DE7">
        <w:rPr>
          <w:sz w:val="20"/>
          <w:szCs w:val="20"/>
          <w:lang w:val="en-GB" w:eastAsia="zh-CN"/>
        </w:rPr>
        <w:t xml:space="preserve">sees inconclusive evidence </w:t>
      </w:r>
      <w:r w:rsidRPr="00CE0DE7">
        <w:rPr>
          <w:sz w:val="20"/>
          <w:szCs w:val="20"/>
          <w:lang w:val="en-GB" w:eastAsia="zh-CN"/>
        </w:rPr>
        <w:t xml:space="preserve">on the </w:t>
      </w:r>
      <w:r w:rsidR="0063706D" w:rsidRPr="00CE0DE7">
        <w:rPr>
          <w:sz w:val="20"/>
          <w:szCs w:val="20"/>
          <w:lang w:val="en-GB" w:eastAsia="zh-CN"/>
        </w:rPr>
        <w:t xml:space="preserve">causal relation between </w:t>
      </w:r>
      <w:r w:rsidR="000E1B37" w:rsidRPr="00CE0DE7">
        <w:rPr>
          <w:sz w:val="20"/>
          <w:szCs w:val="20"/>
          <w:lang w:val="en-GB" w:eastAsia="zh-CN"/>
        </w:rPr>
        <w:t xml:space="preserve">stock </w:t>
      </w:r>
      <w:r w:rsidRPr="00CE0DE7">
        <w:rPr>
          <w:sz w:val="20"/>
          <w:szCs w:val="20"/>
          <w:lang w:val="en-GB" w:eastAsia="zh-CN"/>
        </w:rPr>
        <w:t>return</w:t>
      </w:r>
      <w:r w:rsidR="000E1B37" w:rsidRPr="00CE0DE7">
        <w:rPr>
          <w:sz w:val="20"/>
          <w:szCs w:val="20"/>
          <w:lang w:val="en-GB" w:eastAsia="zh-CN"/>
        </w:rPr>
        <w:t xml:space="preserve">s </w:t>
      </w:r>
      <w:r w:rsidR="0063706D" w:rsidRPr="00CE0DE7">
        <w:rPr>
          <w:sz w:val="20"/>
          <w:szCs w:val="20"/>
          <w:lang w:val="en-GB" w:eastAsia="zh-CN"/>
        </w:rPr>
        <w:t>and</w:t>
      </w:r>
      <w:r w:rsidR="000E1B37" w:rsidRPr="00CE0DE7">
        <w:rPr>
          <w:sz w:val="20"/>
          <w:szCs w:val="20"/>
          <w:lang w:val="en-GB" w:eastAsia="zh-CN"/>
        </w:rPr>
        <w:t xml:space="preserve"> </w:t>
      </w:r>
      <w:r w:rsidRPr="00CE0DE7">
        <w:rPr>
          <w:sz w:val="20"/>
          <w:szCs w:val="20"/>
          <w:lang w:val="en-GB" w:eastAsia="zh-CN"/>
        </w:rPr>
        <w:t>liquidity</w:t>
      </w:r>
      <w:r w:rsidR="0063706D" w:rsidRPr="00CE0DE7">
        <w:rPr>
          <w:sz w:val="20"/>
          <w:szCs w:val="20"/>
          <w:lang w:val="en-GB" w:eastAsia="zh-CN"/>
        </w:rPr>
        <w:t>. And we are n</w:t>
      </w:r>
      <w:r w:rsidRPr="00CE0DE7">
        <w:rPr>
          <w:sz w:val="20"/>
          <w:szCs w:val="20"/>
          <w:lang w:val="en-GB" w:eastAsia="zh-CN"/>
        </w:rPr>
        <w:t xml:space="preserve">ot aware of prior studies that directly examine the impact of the VRP on liquidity. </w:t>
      </w:r>
    </w:p>
    <w:p w14:paraId="48D49A38" w14:textId="77777777" w:rsidR="00B24C85" w:rsidRPr="00CE0DE7" w:rsidRDefault="00B24C85" w:rsidP="00BD081C">
      <w:pPr>
        <w:adjustRightInd w:val="0"/>
        <w:snapToGrid w:val="0"/>
        <w:spacing w:line="480" w:lineRule="auto"/>
        <w:ind w:firstLine="425"/>
        <w:jc w:val="both"/>
        <w:rPr>
          <w:sz w:val="20"/>
          <w:szCs w:val="20"/>
          <w:lang w:val="en-GB" w:eastAsia="zh-CN"/>
        </w:rPr>
      </w:pPr>
    </w:p>
    <w:p w14:paraId="592339D7" w14:textId="79EDC4BA" w:rsidR="00F144F6" w:rsidRPr="00CE0DE7" w:rsidRDefault="00BB008D" w:rsidP="0084429E">
      <w:pPr>
        <w:pStyle w:val="1"/>
        <w:rPr>
          <w:sz w:val="20"/>
          <w:szCs w:val="20"/>
          <w:lang w:eastAsia="zh-CN"/>
        </w:rPr>
      </w:pPr>
      <w:r w:rsidRPr="00CE0DE7">
        <w:rPr>
          <w:sz w:val="20"/>
          <w:szCs w:val="20"/>
          <w:lang w:eastAsia="zh-CN"/>
        </w:rPr>
        <w:lastRenderedPageBreak/>
        <w:t>3</w:t>
      </w:r>
      <w:r w:rsidR="00AD04A8" w:rsidRPr="00CE0DE7">
        <w:rPr>
          <w:sz w:val="20"/>
          <w:szCs w:val="20"/>
          <w:lang w:eastAsia="zh-CN"/>
        </w:rPr>
        <w:t>.</w:t>
      </w:r>
      <w:r w:rsidR="00301D33" w:rsidRPr="00CE0DE7">
        <w:rPr>
          <w:sz w:val="20"/>
          <w:szCs w:val="20"/>
        </w:rPr>
        <w:t xml:space="preserve"> </w:t>
      </w:r>
      <w:r w:rsidR="00EB3619" w:rsidRPr="00CE0DE7">
        <w:rPr>
          <w:sz w:val="20"/>
          <w:szCs w:val="20"/>
        </w:rPr>
        <w:t>Data</w:t>
      </w:r>
      <w:r w:rsidR="00A935DF" w:rsidRPr="00CE0DE7">
        <w:rPr>
          <w:sz w:val="20"/>
          <w:szCs w:val="20"/>
          <w:lang w:eastAsia="zh-CN"/>
        </w:rPr>
        <w:t xml:space="preserve"> and variables</w:t>
      </w:r>
    </w:p>
    <w:p w14:paraId="31A1169F" w14:textId="77777777" w:rsidR="00F722C0" w:rsidRPr="00CE0DE7" w:rsidRDefault="00F722C0" w:rsidP="00D51ACE">
      <w:pPr>
        <w:rPr>
          <w:sz w:val="20"/>
          <w:szCs w:val="20"/>
          <w:lang w:eastAsia="zh-CN"/>
        </w:rPr>
      </w:pPr>
    </w:p>
    <w:p w14:paraId="24F602FB" w14:textId="479CF941" w:rsidR="00555766" w:rsidRPr="00CE0DE7" w:rsidRDefault="00953215" w:rsidP="00D51ACE">
      <w:pPr>
        <w:pStyle w:val="2"/>
        <w:spacing w:before="0" w:after="240"/>
        <w:rPr>
          <w:rStyle w:val="a7"/>
          <w:rFonts w:eastAsia="宋体" w:cs="Times New Roman"/>
          <w:i/>
          <w:iCs w:val="0"/>
          <w:sz w:val="20"/>
          <w:szCs w:val="20"/>
        </w:rPr>
      </w:pPr>
      <w:r w:rsidRPr="00CE0DE7">
        <w:rPr>
          <w:rStyle w:val="a7"/>
          <w:rFonts w:cs="Times New Roman"/>
          <w:i/>
          <w:iCs w:val="0"/>
          <w:sz w:val="20"/>
          <w:szCs w:val="20"/>
          <w:lang w:eastAsia="zh-CN"/>
        </w:rPr>
        <w:t xml:space="preserve">3.1 </w:t>
      </w:r>
      <w:r w:rsidR="00BE0037" w:rsidRPr="00CE0DE7">
        <w:rPr>
          <w:rStyle w:val="a7"/>
          <w:rFonts w:cs="Times New Roman"/>
          <w:i/>
          <w:iCs w:val="0"/>
          <w:sz w:val="20"/>
          <w:szCs w:val="20"/>
          <w:lang w:eastAsia="zh-CN"/>
        </w:rPr>
        <w:t>The v</w:t>
      </w:r>
      <w:r w:rsidR="0084429E" w:rsidRPr="00CE0DE7">
        <w:rPr>
          <w:rStyle w:val="a7"/>
          <w:rFonts w:cs="Times New Roman"/>
          <w:i/>
          <w:iCs w:val="0"/>
          <w:sz w:val="20"/>
          <w:szCs w:val="20"/>
        </w:rPr>
        <w:t xml:space="preserve">ariance </w:t>
      </w:r>
      <w:r w:rsidR="00E95AD1" w:rsidRPr="00CE0DE7">
        <w:rPr>
          <w:rStyle w:val="a7"/>
          <w:rFonts w:cs="Times New Roman"/>
          <w:i/>
          <w:iCs w:val="0"/>
          <w:sz w:val="20"/>
          <w:szCs w:val="20"/>
          <w:lang w:eastAsia="zh-CN"/>
        </w:rPr>
        <w:t>r</w:t>
      </w:r>
      <w:r w:rsidR="0084429E" w:rsidRPr="00CE0DE7">
        <w:rPr>
          <w:rStyle w:val="a7"/>
          <w:rFonts w:cs="Times New Roman"/>
          <w:i/>
          <w:iCs w:val="0"/>
          <w:sz w:val="20"/>
          <w:szCs w:val="20"/>
        </w:rPr>
        <w:t xml:space="preserve">isk </w:t>
      </w:r>
      <w:r w:rsidR="00E95AD1" w:rsidRPr="00CE0DE7">
        <w:rPr>
          <w:rStyle w:val="a7"/>
          <w:rFonts w:cs="Times New Roman"/>
          <w:i/>
          <w:iCs w:val="0"/>
          <w:sz w:val="20"/>
          <w:szCs w:val="20"/>
          <w:lang w:eastAsia="zh-CN"/>
        </w:rPr>
        <w:t>p</w:t>
      </w:r>
      <w:r w:rsidR="0084429E" w:rsidRPr="00CE0DE7">
        <w:rPr>
          <w:rStyle w:val="a7"/>
          <w:rFonts w:cs="Times New Roman"/>
          <w:i/>
          <w:iCs w:val="0"/>
          <w:sz w:val="20"/>
          <w:szCs w:val="20"/>
        </w:rPr>
        <w:t xml:space="preserve">remium </w:t>
      </w:r>
      <w:r w:rsidR="005A7DC1" w:rsidRPr="00CE0DE7">
        <w:rPr>
          <w:rStyle w:val="a7"/>
          <w:rFonts w:cs="Times New Roman"/>
          <w:i/>
          <w:iCs w:val="0"/>
          <w:sz w:val="20"/>
          <w:szCs w:val="20"/>
        </w:rPr>
        <w:t>(VRP)</w:t>
      </w:r>
    </w:p>
    <w:p w14:paraId="73878E7A" w14:textId="02A81C74" w:rsidR="005A7DC1" w:rsidRPr="00CE0DE7" w:rsidRDefault="005A7DC1" w:rsidP="00BD081C">
      <w:pPr>
        <w:widowControl w:val="0"/>
        <w:autoSpaceDE w:val="0"/>
        <w:autoSpaceDN w:val="0"/>
        <w:adjustRightInd w:val="0"/>
        <w:spacing w:line="480" w:lineRule="auto"/>
        <w:ind w:firstLine="425"/>
        <w:jc w:val="both"/>
        <w:rPr>
          <w:color w:val="000000"/>
          <w:sz w:val="20"/>
          <w:szCs w:val="20"/>
          <w:lang w:val="en-GB" w:eastAsia="zh-CN"/>
        </w:rPr>
      </w:pPr>
      <w:r w:rsidRPr="00CE0DE7">
        <w:rPr>
          <w:color w:val="000000"/>
          <w:sz w:val="20"/>
          <w:szCs w:val="20"/>
          <w:lang w:val="en-GB" w:eastAsia="zh-CN"/>
        </w:rPr>
        <w:t xml:space="preserve">Following </w:t>
      </w:r>
      <w:r w:rsidRPr="00CE0DE7">
        <w:rPr>
          <w:noProof/>
          <w:color w:val="000000"/>
          <w:sz w:val="20"/>
          <w:szCs w:val="20"/>
          <w:lang w:val="en-GB" w:eastAsia="zh-CN"/>
        </w:rPr>
        <w:t xml:space="preserve">Bollerslev et al. </w:t>
      </w:r>
      <w:r w:rsidR="009D63B4" w:rsidRPr="00CE0DE7">
        <w:rPr>
          <w:noProof/>
          <w:color w:val="000000"/>
          <w:sz w:val="20"/>
          <w:szCs w:val="20"/>
          <w:lang w:val="en-GB" w:eastAsia="zh-CN"/>
        </w:rPr>
        <w:fldChar w:fldCharType="begin" w:fldLock="1"/>
      </w:r>
      <w:r w:rsidR="00DC30A0">
        <w:rPr>
          <w:noProof/>
          <w:color w:val="000000"/>
          <w:sz w:val="20"/>
          <w:szCs w:val="20"/>
          <w:lang w:val="en-GB" w:eastAsia="zh-CN"/>
        </w:rPr>
        <w:instrText>ADDIN CSL_CITATION {"citationItems":[{"id":"ITEM-1","itemData":{"ISSN":"0893-9454","abstract":"Motivated by the implications from a stylized self-contained general equilibrium model incorporating the effects of time-varying economic uncertainty, we show that the difference between implied and realized variation, or the variance risk premium, is able to explain a nontrivial fraction of the time-series variation in post-1990 aggregate stock market returns, with high (low) premia predicting high (low) future returns. Our empirical results depend crucially on the use of \"model-free,\" as opposed to Black-Scholes, options implied volatilities, along with accurate realized variation measures constructed from high-frequency intraday as opposed to daily data. The magnitude of the predictability is particularly strong at the intermediate quarterly return horizon, where it dominates that afforded by other popular predictor variables, such as the P/E ratio, the default spread, and the consumption-wealth ratio.","author":[{"dropping-particle":"","family":"Bollerslev","given":"Tim","non-dropping-particle":"","parse-names":false,"suffix":""},{"dropping-particle":"","family":"Tauchen","given":"George","non-dropping-particle":"","parse-names":false,"suffix":""},{"dropping-particle":"","family":"Zhou","given":"Hao","non-dropping-particle":"","parse-names":false,"suffix":""}],"container-title":"Review of Financial Studies","id":"ITEM-1","issue":"11","issued":{"date-parts":[["2009","11","1"]]},"page":"4463-4492","publisher":"Oxford Academic","title":"Expected stock returns and variance risk premia","type":"article-journal","volume":"22"},"suppress-author":1,"uris":["http://www.mendeley.com/documents/?uuid=45d1ad30-ca4b-3155-bafd-b3e4bfaf3cf7"]}],"mendeley":{"formattedCitation":"(2009)","plainTextFormattedCitation":"(2009)","previouslyFormattedCitation":"(2009)"},"properties":{"noteIndex":0},"schema":"https://github.com/citation-style-language/schema/raw/master/csl-citation.json"}</w:instrText>
      </w:r>
      <w:r w:rsidR="009D63B4" w:rsidRPr="00CE0DE7">
        <w:rPr>
          <w:noProof/>
          <w:color w:val="000000"/>
          <w:sz w:val="20"/>
          <w:szCs w:val="20"/>
          <w:lang w:val="en-GB" w:eastAsia="zh-CN"/>
        </w:rPr>
        <w:fldChar w:fldCharType="separate"/>
      </w:r>
      <w:r w:rsidR="009D63B4" w:rsidRPr="00CE0DE7">
        <w:rPr>
          <w:noProof/>
          <w:color w:val="000000"/>
          <w:sz w:val="20"/>
          <w:szCs w:val="20"/>
          <w:lang w:val="en-GB" w:eastAsia="zh-CN"/>
        </w:rPr>
        <w:t>(2009)</w:t>
      </w:r>
      <w:r w:rsidR="009D63B4" w:rsidRPr="00CE0DE7">
        <w:rPr>
          <w:noProof/>
          <w:color w:val="000000"/>
          <w:sz w:val="20"/>
          <w:szCs w:val="20"/>
          <w:lang w:val="en-GB" w:eastAsia="zh-CN"/>
        </w:rPr>
        <w:fldChar w:fldCharType="end"/>
      </w:r>
      <w:r w:rsidRPr="00CE0DE7">
        <w:rPr>
          <w:color w:val="000000"/>
          <w:sz w:val="20"/>
          <w:szCs w:val="20"/>
          <w:lang w:val="en-GB" w:eastAsia="zh-CN"/>
        </w:rPr>
        <w:t xml:space="preserve">, </w:t>
      </w:r>
      <w:r w:rsidRPr="00CE0DE7">
        <w:rPr>
          <w:noProof/>
          <w:color w:val="000000"/>
          <w:sz w:val="20"/>
          <w:szCs w:val="20"/>
          <w:lang w:val="en-GB" w:eastAsia="zh-CN"/>
        </w:rPr>
        <w:t xml:space="preserve">Drechsler and Yaron </w:t>
      </w:r>
      <w:r w:rsidR="009D63B4" w:rsidRPr="00CE0DE7">
        <w:rPr>
          <w:noProof/>
          <w:color w:val="000000"/>
          <w:sz w:val="20"/>
          <w:szCs w:val="20"/>
          <w:lang w:val="en-GB" w:eastAsia="zh-CN"/>
        </w:rPr>
        <w:fldChar w:fldCharType="begin" w:fldLock="1"/>
      </w:r>
      <w:r w:rsidR="009D63B4" w:rsidRPr="00CE0DE7">
        <w:rPr>
          <w:noProof/>
          <w:color w:val="000000"/>
          <w:sz w:val="20"/>
          <w:szCs w:val="20"/>
          <w:lang w:val="en-GB" w:eastAsia="zh-CN"/>
        </w:rPr>
        <w:instrText>ADDIN CSL_CITATION {"citationItems":[{"id":"ITEM-1","itemData":{"ISSN":"0893-9454","abstract":"Uncertainty plays a key role in economics, finance, and decision sciences. Financial markets, in particular derivative markets, provide fertile ground for understanding how perceptions of economic uncertainty and cash-flow risk manifest themselves in asset prices. We demonstrate that the variance premium, defined as the difference between the squared VIX index and expected realized variance, captures attitudes toward uncertainty. We show conditions under which the variance premium displays significant time variation and return predictability. A calibrated, generalized long-run risks model generates a variance premium with time variation and return predictability that is consistent with the data, while simultaneously matching the levels and volatilities of the market return and risk-free rate. Our evidence indicates an important role for transient non-Gaussian shocks to fundamentals that affect agents' views of economic uncertainty and prices. © The Author 2010.","author":[{"dropping-particle":"","family":"Drechsler","given":"Itamar","non-dropping-particle":"","parse-names":false,"suffix":""},{"dropping-particle":"","family":"Yaron","given":"Amir","non-dropping-particle":"","parse-names":false,"suffix":""}],"container-title":"Review of Financial Studies","id":"ITEM-1","issue":"1","issued":{"date-parts":[["2011","1","1"]]},"page":"1-45","publisher":"Oxford Academic","title":"What's vol got to do with it","type":"article-journal","volume":"24"},"suppress-author":1,"uris":["http://www.mendeley.com/documents/?uuid=5678d2c9-a394-3c94-b405-0115086bc06a"]}],"mendeley":{"formattedCitation":"(2011)","plainTextFormattedCitation":"(2011)","previouslyFormattedCitation":"(2011)"},"properties":{"noteIndex":0},"schema":"https://github.com/citation-style-language/schema/raw/master/csl-citation.json"}</w:instrText>
      </w:r>
      <w:r w:rsidR="009D63B4" w:rsidRPr="00CE0DE7">
        <w:rPr>
          <w:noProof/>
          <w:color w:val="000000"/>
          <w:sz w:val="20"/>
          <w:szCs w:val="20"/>
          <w:lang w:val="en-GB" w:eastAsia="zh-CN"/>
        </w:rPr>
        <w:fldChar w:fldCharType="separate"/>
      </w:r>
      <w:r w:rsidR="009D63B4" w:rsidRPr="00CE0DE7">
        <w:rPr>
          <w:noProof/>
          <w:color w:val="000000"/>
          <w:sz w:val="20"/>
          <w:szCs w:val="20"/>
          <w:lang w:val="en-GB" w:eastAsia="zh-CN"/>
        </w:rPr>
        <w:t>(2011)</w:t>
      </w:r>
      <w:r w:rsidR="009D63B4" w:rsidRPr="00CE0DE7">
        <w:rPr>
          <w:noProof/>
          <w:color w:val="000000"/>
          <w:sz w:val="20"/>
          <w:szCs w:val="20"/>
          <w:lang w:val="en-GB" w:eastAsia="zh-CN"/>
        </w:rPr>
        <w:fldChar w:fldCharType="end"/>
      </w:r>
      <w:r w:rsidRPr="00CE0DE7">
        <w:rPr>
          <w:color w:val="000000"/>
          <w:sz w:val="20"/>
          <w:szCs w:val="20"/>
          <w:lang w:val="en-GB" w:eastAsia="zh-CN"/>
        </w:rPr>
        <w:t xml:space="preserve">, </w:t>
      </w:r>
      <w:r w:rsidR="007A49F2" w:rsidRPr="00CE0DE7">
        <w:rPr>
          <w:color w:val="000000"/>
          <w:sz w:val="20"/>
          <w:szCs w:val="20"/>
          <w:lang w:val="en-GB" w:eastAsia="zh-CN"/>
        </w:rPr>
        <w:t xml:space="preserve">and </w:t>
      </w:r>
      <w:proofErr w:type="spellStart"/>
      <w:r w:rsidR="007A49F2" w:rsidRPr="00CE0DE7">
        <w:rPr>
          <w:color w:val="000000"/>
          <w:sz w:val="20"/>
          <w:szCs w:val="20"/>
          <w:lang w:val="en-GB" w:eastAsia="zh-CN"/>
        </w:rPr>
        <w:t>Carr</w:t>
      </w:r>
      <w:proofErr w:type="spellEnd"/>
      <w:r w:rsidR="007A49F2" w:rsidRPr="00CE0DE7">
        <w:rPr>
          <w:color w:val="000000"/>
          <w:sz w:val="20"/>
          <w:szCs w:val="20"/>
          <w:lang w:val="en-GB" w:eastAsia="zh-CN"/>
        </w:rPr>
        <w:t xml:space="preserve"> and Wu </w:t>
      </w:r>
      <w:r w:rsidR="009D63B4" w:rsidRPr="00CE0DE7">
        <w:rPr>
          <w:color w:val="000000"/>
          <w:sz w:val="20"/>
          <w:szCs w:val="20"/>
          <w:lang w:val="en-GB" w:eastAsia="zh-CN"/>
        </w:rPr>
        <w:fldChar w:fldCharType="begin" w:fldLock="1"/>
      </w:r>
      <w:r w:rsidR="00196F3B" w:rsidRPr="00CE0DE7">
        <w:rPr>
          <w:color w:val="000000"/>
          <w:sz w:val="20"/>
          <w:szCs w:val="20"/>
          <w:lang w:val="en-GB" w:eastAsia="zh-CN"/>
        </w:rPr>
        <w:instrText>ADDIN CSL_CITATION {"citationItems":[{"id":"ITEM-1","itemData":{"ISSN":"0893-9454","abstract":"We propose a direct and robust method for quantifying the variance risk premium on financial assets. We show that the risk-neutral expected value of return variance, also known as the variance swap rate, is well approximated by the value of a particular portfolio of options. We propose to use the difference between the realized variance and this synthetic variance swap rate to quantify the variance risk premium. Using a large options data set, we synthesize variance swap rates and investigate the historical behavior of variance risk premiums on five stock indexes and 35 individual stocks.","author":[{"dropping-particle":"","family":"Carr","given":"Peter","non-dropping-particle":"","parse-names":false,"suffix":""},{"dropping-particle":"","family":"Wu","given":"Liuren","non-dropping-particle":"","parse-names":false,"suffix":""}],"container-title":"Review of Financial Studies","id":"ITEM-1","issue":"3","issued":{"date-parts":[["2009","3","1"]]},"page":"1311-1341","publisher":"Oxford Academic","title":"Variance risk premiums","type":"article-journal","volume":"22"},"suppress-author":1,"uris":["http://www.mendeley.com/documents/?uuid=0426de84-6cb6-3640-a7f2-ebc4779a7f8c"]}],"mendeley":{"formattedCitation":"(2009)","plainTextFormattedCitation":"(2009)","previouslyFormattedCitation":"(2009)"},"properties":{"noteIndex":0},"schema":"https://github.com/citation-style-language/schema/raw/master/csl-citation.json"}</w:instrText>
      </w:r>
      <w:r w:rsidR="009D63B4" w:rsidRPr="00CE0DE7">
        <w:rPr>
          <w:color w:val="000000"/>
          <w:sz w:val="20"/>
          <w:szCs w:val="20"/>
          <w:lang w:val="en-GB" w:eastAsia="zh-CN"/>
        </w:rPr>
        <w:fldChar w:fldCharType="separate"/>
      </w:r>
      <w:r w:rsidR="009D63B4" w:rsidRPr="00CE0DE7">
        <w:rPr>
          <w:noProof/>
          <w:color w:val="000000"/>
          <w:sz w:val="20"/>
          <w:szCs w:val="20"/>
          <w:lang w:val="en-GB" w:eastAsia="zh-CN"/>
        </w:rPr>
        <w:t>(2009)</w:t>
      </w:r>
      <w:r w:rsidR="009D63B4" w:rsidRPr="00CE0DE7">
        <w:rPr>
          <w:color w:val="000000"/>
          <w:sz w:val="20"/>
          <w:szCs w:val="20"/>
          <w:lang w:val="en-GB" w:eastAsia="zh-CN"/>
        </w:rPr>
        <w:fldChar w:fldCharType="end"/>
      </w:r>
      <w:r w:rsidR="007A49F2" w:rsidRPr="00CE0DE7">
        <w:rPr>
          <w:color w:val="000000"/>
          <w:sz w:val="20"/>
          <w:szCs w:val="20"/>
          <w:lang w:val="en-GB" w:eastAsia="zh-CN"/>
        </w:rPr>
        <w:t xml:space="preserve">, </w:t>
      </w:r>
      <w:r w:rsidRPr="00CE0DE7">
        <w:rPr>
          <w:color w:val="000000"/>
          <w:sz w:val="20"/>
          <w:szCs w:val="20"/>
          <w:lang w:val="en-GB" w:eastAsia="zh-CN"/>
        </w:rPr>
        <w:t xml:space="preserve">we define the </w:t>
      </w:r>
      <w:r w:rsidR="00171A1C" w:rsidRPr="00CE0DE7">
        <w:rPr>
          <w:color w:val="000000"/>
          <w:sz w:val="20"/>
          <w:szCs w:val="20"/>
          <w:lang w:val="en-GB" w:eastAsia="zh-CN"/>
        </w:rPr>
        <w:t>VRP</w:t>
      </w:r>
      <w:r w:rsidRPr="00CE0DE7">
        <w:rPr>
          <w:color w:val="000000"/>
          <w:sz w:val="20"/>
          <w:szCs w:val="20"/>
          <w:lang w:val="en-GB" w:eastAsia="zh-CN"/>
        </w:rPr>
        <w:t xml:space="preserve"> as the difference between </w:t>
      </w:r>
      <w:r w:rsidRPr="00CE0DE7">
        <w:rPr>
          <w:rFonts w:eastAsia="cmr10"/>
          <w:color w:val="000000"/>
          <w:sz w:val="20"/>
          <w:szCs w:val="20"/>
          <w:lang w:val="en-GB" w:eastAsia="zh-CN"/>
        </w:rPr>
        <w:t>risk-neutral and physical expected variances</w:t>
      </w:r>
      <w:r w:rsidR="00022A17" w:rsidRPr="00CE0DE7">
        <w:rPr>
          <w:rFonts w:eastAsiaTheme="minorEastAsia"/>
          <w:color w:val="000000"/>
          <w:sz w:val="20"/>
          <w:szCs w:val="20"/>
          <w:lang w:val="en-GB" w:eastAsia="zh-CN"/>
        </w:rPr>
        <w:t xml:space="preserve"> as follows</w:t>
      </w:r>
      <w:r w:rsidR="00BF0ECB" w:rsidRPr="00CE0DE7">
        <w:rPr>
          <w:color w:val="000000"/>
          <w:sz w:val="20"/>
          <w:szCs w:val="20"/>
          <w:lang w:val="en-GB" w:eastAsia="zh-CN"/>
        </w:rPr>
        <w:t>:</w:t>
      </w:r>
    </w:p>
    <w:p w14:paraId="5FBA66F7" w14:textId="46EBDB56" w:rsidR="00461FBF" w:rsidRPr="00CE0DE7" w:rsidRDefault="00EA2354" w:rsidP="00272A52">
      <w:pPr>
        <w:widowControl w:val="0"/>
        <w:autoSpaceDE w:val="0"/>
        <w:autoSpaceDN w:val="0"/>
        <w:adjustRightInd w:val="0"/>
        <w:spacing w:before="120" w:after="120" w:line="480" w:lineRule="auto"/>
        <w:ind w:firstLine="720"/>
        <w:jc w:val="right"/>
        <w:rPr>
          <w:color w:val="000000"/>
          <w:sz w:val="20"/>
          <w:szCs w:val="20"/>
          <w:lang w:val="en-GB" w:eastAsia="zh-CN"/>
        </w:rPr>
      </w:pPr>
      <w:r w:rsidRPr="00CE0DE7">
        <w:rPr>
          <w:color w:val="000000"/>
          <w:sz w:val="20"/>
          <w:szCs w:val="20"/>
          <w:lang w:val="en-GB" w:eastAsia="zh-CN"/>
        </w:rPr>
        <w:t xml:space="preserve">                                   </w:t>
      </w:r>
      <w:r w:rsidR="004971D2" w:rsidRPr="004971D2">
        <w:rPr>
          <w:color w:val="000000"/>
          <w:position w:val="-12"/>
          <w:sz w:val="20"/>
          <w:szCs w:val="20"/>
          <w:lang w:val="en-GB" w:eastAsia="zh-CN"/>
        </w:rPr>
        <w:object w:dxaOrig="2659" w:dyaOrig="340" w14:anchorId="4B221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18.8pt" o:ole="">
            <v:imagedata r:id="rId10" o:title=""/>
          </v:shape>
          <o:OLEObject Type="Embed" ProgID="Equation.DSMT4" ShapeID="_x0000_i1025" DrawAspect="Content" ObjectID="_1674838641" r:id="rId11"/>
        </w:object>
      </w:r>
      <w:r w:rsidRPr="00CE0DE7">
        <w:rPr>
          <w:color w:val="000000"/>
          <w:sz w:val="20"/>
          <w:szCs w:val="20"/>
          <w:lang w:val="en-GB" w:eastAsia="zh-CN"/>
        </w:rPr>
        <w:t xml:space="preserve">        </w:t>
      </w:r>
      <w:r w:rsidR="00FC684C" w:rsidRPr="00CE0DE7">
        <w:rPr>
          <w:color w:val="000000"/>
          <w:sz w:val="20"/>
          <w:szCs w:val="20"/>
          <w:lang w:val="en-GB" w:eastAsia="zh-CN"/>
        </w:rPr>
        <w:t xml:space="preserve">             </w:t>
      </w:r>
      <w:r w:rsidR="008276B8" w:rsidRPr="00CE0DE7">
        <w:rPr>
          <w:color w:val="000000"/>
          <w:sz w:val="20"/>
          <w:szCs w:val="20"/>
          <w:lang w:val="en-GB" w:eastAsia="zh-CN"/>
        </w:rPr>
        <w:t xml:space="preserve">  </w:t>
      </w:r>
      <w:r w:rsidR="00FC684C" w:rsidRPr="00CE0DE7">
        <w:rPr>
          <w:color w:val="000000"/>
          <w:sz w:val="20"/>
          <w:szCs w:val="20"/>
          <w:lang w:val="en-GB" w:eastAsia="zh-CN"/>
        </w:rPr>
        <w:t xml:space="preserve">   </w:t>
      </w:r>
      <w:r w:rsidR="004971D2">
        <w:rPr>
          <w:color w:val="000000"/>
          <w:sz w:val="20"/>
          <w:szCs w:val="20"/>
          <w:lang w:val="en-GB" w:eastAsia="zh-CN"/>
        </w:rPr>
        <w:t xml:space="preserve">        </w:t>
      </w:r>
      <w:r w:rsidR="00FC684C" w:rsidRPr="00CE0DE7">
        <w:rPr>
          <w:color w:val="000000"/>
          <w:sz w:val="20"/>
          <w:szCs w:val="20"/>
          <w:lang w:val="en-GB" w:eastAsia="zh-CN"/>
        </w:rPr>
        <w:t xml:space="preserve">          </w:t>
      </w:r>
      <w:r w:rsidRPr="00CE0DE7">
        <w:rPr>
          <w:color w:val="000000"/>
          <w:sz w:val="20"/>
          <w:szCs w:val="20"/>
          <w:lang w:val="en-GB" w:eastAsia="zh-CN"/>
        </w:rPr>
        <w:t xml:space="preserve">              (</w:t>
      </w:r>
      <w:r w:rsidR="00FC684C" w:rsidRPr="00CE0DE7">
        <w:rPr>
          <w:color w:val="000000"/>
          <w:sz w:val="20"/>
          <w:szCs w:val="20"/>
          <w:lang w:val="en-GB" w:eastAsia="zh-CN"/>
        </w:rPr>
        <w:t>1</w:t>
      </w:r>
      <w:r w:rsidRPr="00CE0DE7">
        <w:rPr>
          <w:color w:val="000000"/>
          <w:sz w:val="20"/>
          <w:szCs w:val="20"/>
          <w:lang w:val="en-GB" w:eastAsia="zh-CN"/>
        </w:rPr>
        <w:t>)</w:t>
      </w:r>
    </w:p>
    <w:p w14:paraId="0163FFC4" w14:textId="53F95F24" w:rsidR="0084429E" w:rsidRPr="00CE0DE7" w:rsidRDefault="00FC684C" w:rsidP="00272A52">
      <w:pPr>
        <w:autoSpaceDE w:val="0"/>
        <w:autoSpaceDN w:val="0"/>
        <w:adjustRightInd w:val="0"/>
        <w:snapToGrid w:val="0"/>
        <w:spacing w:line="480" w:lineRule="auto"/>
        <w:jc w:val="both"/>
        <w:rPr>
          <w:sz w:val="20"/>
          <w:szCs w:val="20"/>
          <w:lang w:val="en-GB" w:eastAsia="zh-CN"/>
        </w:rPr>
      </w:pPr>
      <w:r w:rsidRPr="00CE0DE7">
        <w:rPr>
          <w:color w:val="000000"/>
          <w:sz w:val="20"/>
          <w:szCs w:val="20"/>
          <w:lang w:val="en-GB" w:eastAsia="zh-CN"/>
        </w:rPr>
        <w:t xml:space="preserve">where </w:t>
      </w:r>
      <w:r w:rsidRPr="00CE0DE7">
        <w:rPr>
          <w:i/>
          <w:color w:val="000000"/>
          <w:sz w:val="20"/>
          <w:szCs w:val="20"/>
          <w:lang w:val="en-GB" w:eastAsia="zh-CN"/>
        </w:rPr>
        <w:t>Q</w:t>
      </w:r>
      <w:r w:rsidRPr="00CE0DE7">
        <w:rPr>
          <w:color w:val="000000"/>
          <w:sz w:val="20"/>
          <w:szCs w:val="20"/>
          <w:lang w:val="en-GB" w:eastAsia="zh-CN"/>
        </w:rPr>
        <w:t xml:space="preserve"> and </w:t>
      </w:r>
      <w:r w:rsidRPr="00CE0DE7">
        <w:rPr>
          <w:i/>
          <w:color w:val="000000"/>
          <w:sz w:val="20"/>
          <w:szCs w:val="20"/>
          <w:lang w:val="en-GB" w:eastAsia="zh-CN"/>
        </w:rPr>
        <w:t>P</w:t>
      </w:r>
      <w:r w:rsidRPr="00CE0DE7">
        <w:rPr>
          <w:color w:val="000000"/>
          <w:sz w:val="20"/>
          <w:szCs w:val="20"/>
          <w:lang w:val="en-GB" w:eastAsia="zh-CN"/>
        </w:rPr>
        <w:t xml:space="preserve"> represent the risk-neutral and physical probability measures, respectively, and </w:t>
      </w:r>
      <m:oMath>
        <m:r>
          <w:rPr>
            <w:rFonts w:ascii="Cambria Math" w:hAnsi="Cambria Math"/>
            <w:color w:val="000000"/>
            <w:sz w:val="20"/>
            <w:szCs w:val="20"/>
            <w:lang w:val="en-GB" w:eastAsia="zh-CN"/>
          </w:rPr>
          <m:t>E</m:t>
        </m:r>
        <m:d>
          <m:dPr>
            <m:ctrlPr>
              <w:rPr>
                <w:rFonts w:ascii="Cambria Math" w:hAnsi="Cambria Math"/>
                <w:i/>
                <w:color w:val="000000"/>
                <w:sz w:val="20"/>
                <w:szCs w:val="20"/>
                <w:lang w:val="en-GB" w:eastAsia="zh-CN"/>
              </w:rPr>
            </m:ctrlPr>
          </m:dPr>
          <m:e>
            <m:r>
              <w:rPr>
                <w:rFonts w:ascii="Cambria Math" w:hAnsi="Cambria Math"/>
                <w:color w:val="000000"/>
                <w:sz w:val="20"/>
                <w:szCs w:val="20"/>
                <w:lang w:val="en-GB" w:eastAsia="zh-CN"/>
              </w:rPr>
              <m:t>∙</m:t>
            </m:r>
          </m:e>
        </m:d>
        <m:r>
          <w:rPr>
            <w:rFonts w:ascii="Cambria Math" w:hAnsi="Cambria Math"/>
            <w:color w:val="000000"/>
            <w:sz w:val="20"/>
            <w:szCs w:val="20"/>
            <w:lang w:val="en-GB" w:eastAsia="zh-CN"/>
          </w:rPr>
          <m:t xml:space="preserve"> </m:t>
        </m:r>
      </m:oMath>
      <w:r w:rsidRPr="00CE0DE7">
        <w:rPr>
          <w:color w:val="000000"/>
          <w:sz w:val="20"/>
          <w:szCs w:val="20"/>
          <w:lang w:val="en-GB" w:eastAsia="zh-CN"/>
        </w:rPr>
        <w:t xml:space="preserve">is the expectation operator. We follow the literature </w:t>
      </w:r>
      <w:r w:rsidRPr="00CE0DE7">
        <w:rPr>
          <w:noProof/>
          <w:sz w:val="20"/>
          <w:szCs w:val="20"/>
          <w:lang w:val="en-GB" w:eastAsia="zh-CN"/>
        </w:rPr>
        <w:t xml:space="preserve">and </w:t>
      </w:r>
      <w:r w:rsidR="005A7DC1" w:rsidRPr="00CE0DE7">
        <w:rPr>
          <w:sz w:val="20"/>
          <w:szCs w:val="20"/>
          <w:lang w:val="en-GB" w:eastAsia="zh-CN"/>
        </w:rPr>
        <w:t>employ the VIX index</w:t>
      </w:r>
      <w:r w:rsidR="007A49F2" w:rsidRPr="00CE0DE7">
        <w:rPr>
          <w:sz w:val="20"/>
          <w:szCs w:val="20"/>
          <w:lang w:val="en-GB" w:eastAsia="zh-CN"/>
        </w:rPr>
        <w:t xml:space="preserve"> constructed via</w:t>
      </w:r>
      <w:r w:rsidR="005A7DC1" w:rsidRPr="00CE0DE7">
        <w:rPr>
          <w:sz w:val="20"/>
          <w:szCs w:val="20"/>
          <w:lang w:val="en-GB" w:eastAsia="zh-CN"/>
        </w:rPr>
        <w:t xml:space="preserve"> the model-free implied volatility approach as the measure of</w:t>
      </w:r>
      <w:r w:rsidR="006016FB" w:rsidRPr="00CE0DE7">
        <w:rPr>
          <w:sz w:val="20"/>
          <w:szCs w:val="20"/>
          <w:lang w:val="en-GB" w:eastAsia="zh-CN"/>
        </w:rPr>
        <w:t xml:space="preserve"> </w:t>
      </w:r>
      <m:oMath>
        <m:sSubSup>
          <m:sSubSupPr>
            <m:ctrlPr>
              <w:rPr>
                <w:rFonts w:ascii="Cambria Math" w:hAnsi="Cambria Math"/>
                <w:i/>
                <w:sz w:val="20"/>
                <w:szCs w:val="20"/>
                <w:lang w:val="en-GB" w:eastAsia="zh-CN"/>
              </w:rPr>
            </m:ctrlPr>
          </m:sSubSupPr>
          <m:e>
            <m:r>
              <w:rPr>
                <w:rFonts w:ascii="Cambria Math" w:hAnsi="Cambria Math"/>
                <w:sz w:val="20"/>
                <w:szCs w:val="20"/>
                <w:lang w:val="en-GB" w:eastAsia="zh-CN"/>
              </w:rPr>
              <m:t>E</m:t>
            </m:r>
          </m:e>
          <m:sub>
            <m:r>
              <w:rPr>
                <w:rFonts w:ascii="Cambria Math" w:hAnsi="Cambria Math"/>
                <w:sz w:val="20"/>
                <w:szCs w:val="20"/>
                <w:lang w:val="en-GB" w:eastAsia="zh-CN"/>
              </w:rPr>
              <m:t>t</m:t>
            </m:r>
          </m:sub>
          <m:sup>
            <m:r>
              <w:rPr>
                <w:rFonts w:ascii="Cambria Math" w:hAnsi="Cambria Math"/>
                <w:sz w:val="20"/>
                <w:szCs w:val="20"/>
                <w:lang w:val="en-GB" w:eastAsia="zh-CN"/>
              </w:rPr>
              <m:t>Q</m:t>
            </m:r>
          </m:sup>
        </m:sSubSup>
        <m:d>
          <m:dPr>
            <m:ctrlPr>
              <w:rPr>
                <w:rFonts w:ascii="Cambria Math" w:hAnsi="Cambria Math"/>
                <w:i/>
                <w:sz w:val="20"/>
                <w:szCs w:val="20"/>
                <w:lang w:val="en-GB" w:eastAsia="zh-CN"/>
              </w:rPr>
            </m:ctrlPr>
          </m:dPr>
          <m:e>
            <m:sSub>
              <m:sSubPr>
                <m:ctrlPr>
                  <w:rPr>
                    <w:rFonts w:ascii="Cambria Math" w:hAnsi="Cambria Math"/>
                    <w:i/>
                    <w:sz w:val="20"/>
                    <w:szCs w:val="20"/>
                    <w:lang w:val="en-GB" w:eastAsia="zh-CN"/>
                  </w:rPr>
                </m:ctrlPr>
              </m:sSubPr>
              <m:e>
                <m:r>
                  <w:rPr>
                    <w:rFonts w:ascii="Cambria Math" w:hAnsi="Cambria Math"/>
                    <w:sz w:val="20"/>
                    <w:szCs w:val="20"/>
                    <w:lang w:val="en-GB" w:eastAsia="zh-CN"/>
                  </w:rPr>
                  <m:t>Var</m:t>
                </m:r>
              </m:e>
              <m:sub>
                <m:r>
                  <w:rPr>
                    <w:rFonts w:ascii="Cambria Math" w:hAnsi="Cambria Math"/>
                    <w:sz w:val="20"/>
                    <w:szCs w:val="20"/>
                    <w:lang w:val="en-GB" w:eastAsia="zh-CN"/>
                  </w:rPr>
                  <m:t>t,t+1</m:t>
                </m:r>
              </m:sub>
            </m:sSub>
          </m:e>
        </m:d>
      </m:oMath>
      <w:r w:rsidRPr="00CE0DE7">
        <w:rPr>
          <w:sz w:val="20"/>
          <w:szCs w:val="20"/>
          <w:lang w:val="en-GB" w:eastAsia="zh-CN"/>
        </w:rPr>
        <w:t xml:space="preserve"> </w:t>
      </w:r>
      <w:r w:rsidR="005A7DC1" w:rsidRPr="00CE0DE7">
        <w:rPr>
          <w:sz w:val="20"/>
          <w:szCs w:val="20"/>
          <w:lang w:val="en-GB" w:eastAsia="zh-CN"/>
        </w:rPr>
        <w:t>observ</w:t>
      </w:r>
      <w:r w:rsidR="007A49F2" w:rsidRPr="00CE0DE7">
        <w:rPr>
          <w:sz w:val="20"/>
          <w:szCs w:val="20"/>
          <w:lang w:val="en-GB" w:eastAsia="zh-CN"/>
        </w:rPr>
        <w:t xml:space="preserve">ed </w:t>
      </w:r>
      <w:r w:rsidR="005A7DC1" w:rsidRPr="00CE0DE7">
        <w:rPr>
          <w:sz w:val="20"/>
          <w:szCs w:val="20"/>
          <w:lang w:val="en-GB" w:eastAsia="zh-CN"/>
        </w:rPr>
        <w:t xml:space="preserve">at time </w:t>
      </w:r>
      <w:r w:rsidR="005A7DC1" w:rsidRPr="00CE0DE7">
        <w:rPr>
          <w:i/>
          <w:iCs/>
          <w:sz w:val="20"/>
          <w:szCs w:val="20"/>
          <w:lang w:val="en-GB" w:eastAsia="zh-CN"/>
        </w:rPr>
        <w:t>t</w:t>
      </w:r>
      <w:r w:rsidR="007A49F2" w:rsidRPr="00CE0DE7">
        <w:rPr>
          <w:sz w:val="20"/>
          <w:szCs w:val="20"/>
          <w:lang w:val="en-GB" w:eastAsia="zh-CN"/>
        </w:rPr>
        <w:t xml:space="preserve"> (Britten-Jones and Neuberger, 2000; Jiang and Tian, 2005).</w:t>
      </w:r>
      <w:r w:rsidR="005A7DC1" w:rsidRPr="00CE0DE7">
        <w:rPr>
          <w:sz w:val="20"/>
          <w:szCs w:val="20"/>
          <w:lang w:val="en-GB" w:eastAsia="zh-CN"/>
        </w:rPr>
        <w:t xml:space="preserve"> </w:t>
      </w:r>
    </w:p>
    <w:p w14:paraId="5EF70915" w14:textId="5E348A17" w:rsidR="0084429E" w:rsidRPr="00CE0DE7" w:rsidRDefault="005A7DC1" w:rsidP="00BD081C">
      <w:pPr>
        <w:autoSpaceDE w:val="0"/>
        <w:autoSpaceDN w:val="0"/>
        <w:adjustRightInd w:val="0"/>
        <w:snapToGrid w:val="0"/>
        <w:spacing w:line="480" w:lineRule="auto"/>
        <w:ind w:firstLine="425"/>
        <w:jc w:val="both"/>
        <w:rPr>
          <w:sz w:val="20"/>
          <w:szCs w:val="20"/>
          <w:lang w:val="en-GB" w:eastAsia="zh-CN"/>
        </w:rPr>
      </w:pPr>
      <w:r w:rsidRPr="00CE0DE7">
        <w:rPr>
          <w:sz w:val="20"/>
          <w:szCs w:val="20"/>
          <w:lang w:val="en-GB" w:eastAsia="zh-CN"/>
        </w:rPr>
        <w:t xml:space="preserve">The literature, however, </w:t>
      </w:r>
      <w:r w:rsidR="00D758BD" w:rsidRPr="00CE0DE7">
        <w:rPr>
          <w:sz w:val="20"/>
          <w:szCs w:val="20"/>
          <w:lang w:val="en-GB" w:eastAsia="zh-CN"/>
        </w:rPr>
        <w:t xml:space="preserve">disagrees </w:t>
      </w:r>
      <w:r w:rsidRPr="00CE0DE7">
        <w:rPr>
          <w:sz w:val="20"/>
          <w:szCs w:val="20"/>
          <w:lang w:val="en-GB" w:eastAsia="zh-CN"/>
        </w:rPr>
        <w:t xml:space="preserve">on </w:t>
      </w:r>
      <w:r w:rsidR="001D07E4" w:rsidRPr="00CE0DE7">
        <w:rPr>
          <w:sz w:val="20"/>
          <w:szCs w:val="20"/>
          <w:lang w:val="en-GB" w:eastAsia="zh-CN"/>
        </w:rPr>
        <w:t xml:space="preserve">the </w:t>
      </w:r>
      <w:r w:rsidR="00D758BD" w:rsidRPr="00CE0DE7">
        <w:rPr>
          <w:sz w:val="20"/>
          <w:szCs w:val="20"/>
          <w:lang w:val="en-GB" w:eastAsia="zh-CN"/>
        </w:rPr>
        <w:t>proxy for</w:t>
      </w:r>
      <w:r w:rsidRPr="00CE0DE7">
        <w:rPr>
          <w:sz w:val="20"/>
          <w:szCs w:val="20"/>
          <w:lang w:val="en-GB" w:eastAsia="zh-CN"/>
        </w:rPr>
        <w:t xml:space="preserve"> expected rea</w:t>
      </w:r>
      <w:r w:rsidR="009A04DD" w:rsidRPr="00CE0DE7">
        <w:rPr>
          <w:sz w:val="20"/>
          <w:szCs w:val="20"/>
          <w:lang w:val="en-GB" w:eastAsia="zh-CN"/>
        </w:rPr>
        <w:t xml:space="preserve">lized volatility. For </w:t>
      </w:r>
      <w:r w:rsidR="00AD04A8" w:rsidRPr="00CE0DE7">
        <w:rPr>
          <w:sz w:val="20"/>
          <w:szCs w:val="20"/>
          <w:lang w:val="en-GB" w:eastAsia="zh-CN"/>
        </w:rPr>
        <w:t>instance</w:t>
      </w:r>
      <w:r w:rsidR="009A04DD" w:rsidRPr="00CE0DE7">
        <w:rPr>
          <w:sz w:val="20"/>
          <w:szCs w:val="20"/>
          <w:lang w:val="en-GB" w:eastAsia="zh-CN"/>
        </w:rPr>
        <w:t xml:space="preserve">, </w:t>
      </w:r>
      <w:r w:rsidRPr="00CE0DE7">
        <w:rPr>
          <w:noProof/>
          <w:sz w:val="20"/>
          <w:szCs w:val="20"/>
          <w:lang w:val="en-GB" w:eastAsia="zh-CN"/>
        </w:rPr>
        <w:t xml:space="preserve">Bollerslev et al. </w:t>
      </w:r>
      <w:r w:rsidR="00293D1A" w:rsidRPr="00CE0DE7">
        <w:rPr>
          <w:noProof/>
          <w:sz w:val="20"/>
          <w:szCs w:val="20"/>
          <w:lang w:val="en-GB" w:eastAsia="zh-CN"/>
        </w:rPr>
        <w:fldChar w:fldCharType="begin" w:fldLock="1"/>
      </w:r>
      <w:r w:rsidR="00DC30A0">
        <w:rPr>
          <w:noProof/>
          <w:sz w:val="20"/>
          <w:szCs w:val="20"/>
          <w:lang w:val="en-GB" w:eastAsia="zh-CN"/>
        </w:rPr>
        <w:instrText>ADDIN CSL_CITATION {"citationItems":[{"id":"ITEM-1","itemData":{"ISSN":"0893-9454","abstract":"Motivated by the implications from a stylized self-contained general equilibrium model incorporating the effects of time-varying economic uncertainty, we show that the difference between implied and realized variation, or the variance risk premium, is able to explain a nontrivial fraction of the time-series variation in post-1990 aggregate stock market returns, with high (low) premia predicting high (low) future returns. Our empirical results depend crucially on the use of \"model-free,\" as opposed to Black-Scholes, options implied volatilities, along with accurate realized variation measures constructed from high-frequency intraday as opposed to daily data. The magnitude of the predictability is particularly strong at the intermediate quarterly return horizon, where it dominates that afforded by other popular predictor variables, such as the P/E ratio, the default spread, and the consumption-wealth ratio.","author":[{"dropping-particle":"","family":"Bollerslev","given":"Tim","non-dropping-particle":"","parse-names":false,"suffix":""},{"dropping-particle":"","family":"Tauchen","given":"George","non-dropping-particle":"","parse-names":false,"suffix":""},{"dropping-particle":"","family":"Zhou","given":"Hao","non-dropping-particle":"","parse-names":false,"suffix":""}],"container-title":"Review of Financial Studies","id":"ITEM-1","issue":"11","issued":{"date-parts":[["2009","11","1"]]},"page":"4463-4492","publisher":"Oxford Academic","title":"Expected stock returns and variance risk premia","type":"article-journal","volume":"22"},"suppress-author":1,"uris":["http://www.mendeley.com/documents/?uuid=45d1ad30-ca4b-3155-bafd-b3e4bfaf3cf7"]}],"mendeley":{"formattedCitation":"(2009)","plainTextFormattedCitation":"(2009)","previouslyFormattedCitation":"(2009)"},"properties":{"noteIndex":0},"schema":"https://github.com/citation-style-language/schema/raw/master/csl-citation.json"}</w:instrText>
      </w:r>
      <w:r w:rsidR="00293D1A" w:rsidRPr="00CE0DE7">
        <w:rPr>
          <w:noProof/>
          <w:sz w:val="20"/>
          <w:szCs w:val="20"/>
          <w:lang w:val="en-GB" w:eastAsia="zh-CN"/>
        </w:rPr>
        <w:fldChar w:fldCharType="separate"/>
      </w:r>
      <w:r w:rsidR="00293D1A" w:rsidRPr="00CE0DE7">
        <w:rPr>
          <w:noProof/>
          <w:sz w:val="20"/>
          <w:szCs w:val="20"/>
          <w:lang w:val="en-GB" w:eastAsia="zh-CN"/>
        </w:rPr>
        <w:t>(2009)</w:t>
      </w:r>
      <w:r w:rsidR="00293D1A" w:rsidRPr="00CE0DE7">
        <w:rPr>
          <w:noProof/>
          <w:sz w:val="20"/>
          <w:szCs w:val="20"/>
          <w:lang w:val="en-GB" w:eastAsia="zh-CN"/>
        </w:rPr>
        <w:fldChar w:fldCharType="end"/>
      </w:r>
      <w:r w:rsidRPr="00CE0DE7">
        <w:rPr>
          <w:sz w:val="20"/>
          <w:szCs w:val="20"/>
          <w:lang w:val="en-GB" w:eastAsia="zh-CN"/>
        </w:rPr>
        <w:t xml:space="preserve"> use the </w:t>
      </w:r>
      <w:r w:rsidRPr="00CE0DE7">
        <w:rPr>
          <w:i/>
          <w:sz w:val="20"/>
          <w:szCs w:val="20"/>
          <w:lang w:val="en-GB" w:eastAsia="zh-CN"/>
        </w:rPr>
        <w:t>ex post</w:t>
      </w:r>
      <w:r w:rsidRPr="00CE0DE7">
        <w:rPr>
          <w:sz w:val="20"/>
          <w:szCs w:val="20"/>
          <w:lang w:val="en-GB" w:eastAsia="zh-CN"/>
        </w:rPr>
        <w:t xml:space="preserve"> realized return variation over the</w:t>
      </w:r>
      <w:r w:rsidR="00022A17" w:rsidRPr="00CE0DE7">
        <w:rPr>
          <w:sz w:val="20"/>
          <w:szCs w:val="20"/>
          <w:lang w:val="en-GB" w:eastAsia="zh-CN"/>
        </w:rPr>
        <w:t xml:space="preserve"> time interval</w:t>
      </w:r>
      <w:r w:rsidRPr="00CE0DE7">
        <w:rPr>
          <w:sz w:val="20"/>
          <w:szCs w:val="20"/>
          <w:lang w:val="en-GB" w:eastAsia="zh-CN"/>
        </w:rPr>
        <w:t xml:space="preserve"> [</w:t>
      </w:r>
      <w:r w:rsidRPr="00CE0DE7">
        <w:rPr>
          <w:i/>
          <w:iCs/>
          <w:sz w:val="20"/>
          <w:szCs w:val="20"/>
          <w:lang w:val="en-GB" w:eastAsia="zh-CN"/>
        </w:rPr>
        <w:t>t</w:t>
      </w:r>
      <w:r w:rsidRPr="00CE0DE7">
        <w:rPr>
          <w:sz w:val="20"/>
          <w:szCs w:val="20"/>
          <w:lang w:val="en-GB" w:eastAsia="zh-CN"/>
        </w:rPr>
        <w:t>-</w:t>
      </w:r>
      <w:r w:rsidR="006016FB" w:rsidRPr="00CE0DE7">
        <w:rPr>
          <w:sz w:val="20"/>
          <w:szCs w:val="20"/>
          <w:lang w:val="en-GB" w:eastAsia="zh-CN"/>
        </w:rPr>
        <w:t>1</w:t>
      </w:r>
      <w:r w:rsidRPr="00CE0DE7">
        <w:rPr>
          <w:sz w:val="20"/>
          <w:szCs w:val="20"/>
          <w:lang w:val="en-GB" w:eastAsia="zh-CN"/>
        </w:rPr>
        <w:t xml:space="preserve">, </w:t>
      </w:r>
      <w:r w:rsidRPr="00CE0DE7">
        <w:rPr>
          <w:i/>
          <w:iCs/>
          <w:sz w:val="20"/>
          <w:szCs w:val="20"/>
          <w:lang w:val="en-GB" w:eastAsia="zh-CN"/>
        </w:rPr>
        <w:t>t</w:t>
      </w:r>
      <w:r w:rsidRPr="00CE0DE7">
        <w:rPr>
          <w:sz w:val="20"/>
          <w:szCs w:val="20"/>
          <w:lang w:val="en-GB" w:eastAsia="zh-CN"/>
        </w:rPr>
        <w:t>], which is the lagged realized variance over [</w:t>
      </w:r>
      <w:r w:rsidRPr="00CE0DE7">
        <w:rPr>
          <w:i/>
          <w:iCs/>
          <w:sz w:val="20"/>
          <w:szCs w:val="20"/>
          <w:lang w:val="en-GB" w:eastAsia="zh-CN"/>
        </w:rPr>
        <w:t>t</w:t>
      </w:r>
      <w:r w:rsidRPr="00CE0DE7">
        <w:rPr>
          <w:sz w:val="20"/>
          <w:szCs w:val="20"/>
          <w:lang w:val="en-GB" w:eastAsia="zh-CN"/>
        </w:rPr>
        <w:t xml:space="preserve">, </w:t>
      </w:r>
      <w:r w:rsidRPr="00CE0DE7">
        <w:rPr>
          <w:i/>
          <w:iCs/>
          <w:sz w:val="20"/>
          <w:szCs w:val="20"/>
          <w:lang w:val="en-GB" w:eastAsia="zh-CN"/>
        </w:rPr>
        <w:t>t</w:t>
      </w:r>
      <w:r w:rsidRPr="00CE0DE7">
        <w:rPr>
          <w:sz w:val="20"/>
          <w:szCs w:val="20"/>
          <w:lang w:val="en-GB" w:eastAsia="zh-CN"/>
        </w:rPr>
        <w:t xml:space="preserve">+1]. The method is valid under the assumption that realized volatility is a martingale process. </w:t>
      </w:r>
      <w:r w:rsidR="007A49F2" w:rsidRPr="00CE0DE7">
        <w:rPr>
          <w:sz w:val="20"/>
          <w:szCs w:val="20"/>
          <w:lang w:val="en-GB" w:eastAsia="zh-CN"/>
        </w:rPr>
        <w:t xml:space="preserve">Following the usual practice in the variance swap market, </w:t>
      </w:r>
      <w:r w:rsidR="007A49F2" w:rsidRPr="00CE0DE7">
        <w:rPr>
          <w:noProof/>
          <w:sz w:val="20"/>
          <w:szCs w:val="20"/>
          <w:lang w:val="en-GB" w:eastAsia="zh-CN"/>
        </w:rPr>
        <w:t xml:space="preserve">Carr and Wu </w:t>
      </w:r>
      <w:r w:rsidR="00293D1A" w:rsidRPr="00CE0DE7">
        <w:rPr>
          <w:noProof/>
          <w:sz w:val="20"/>
          <w:szCs w:val="20"/>
          <w:lang w:val="en-GB" w:eastAsia="zh-CN"/>
        </w:rPr>
        <w:fldChar w:fldCharType="begin" w:fldLock="1"/>
      </w:r>
      <w:r w:rsidR="00196F3B" w:rsidRPr="00CE0DE7">
        <w:rPr>
          <w:noProof/>
          <w:sz w:val="20"/>
          <w:szCs w:val="20"/>
          <w:lang w:val="en-GB" w:eastAsia="zh-CN"/>
        </w:rPr>
        <w:instrText>ADDIN CSL_CITATION {"citationItems":[{"id":"ITEM-1","itemData":{"ISSN":"0893-9454","abstract":"We propose a direct and robust method for quantifying the variance risk premium on financial assets. We show that the risk-neutral expected value of return variance, also known as the variance swap rate, is well approximated by the value of a particular portfolio of options. We propose to use the difference between the realized variance and this synthetic variance swap rate to quantify the variance risk premium. Using a large options data set, we synthesize variance swap rates and investigate the historical behavior of variance risk premiums on five stock indexes and 35 individual stocks.","author":[{"dropping-particle":"","family":"Carr","given":"Peter","non-dropping-particle":"","parse-names":false,"suffix":""},{"dropping-particle":"","family":"Wu","given":"Liuren","non-dropping-particle":"","parse-names":false,"suffix":""}],"container-title":"Review of Financial Studies","id":"ITEM-1","issue":"3","issued":{"date-parts":[["2009","3","1"]]},"page":"1311-1341","publisher":"Oxford Academic","title":"Variance risk premiums","type":"article-journal","volume":"22"},"suppress-author":1,"uris":["http://www.mendeley.com/documents/?uuid=0426de84-6cb6-3640-a7f2-ebc4779a7f8c"]}],"mendeley":{"formattedCitation":"(2009)","plainTextFormattedCitation":"(2009)","previouslyFormattedCitation":"(2009)"},"properties":{"noteIndex":0},"schema":"https://github.com/citation-style-language/schema/raw/master/csl-citation.json"}</w:instrText>
      </w:r>
      <w:r w:rsidR="00293D1A" w:rsidRPr="00CE0DE7">
        <w:rPr>
          <w:noProof/>
          <w:sz w:val="20"/>
          <w:szCs w:val="20"/>
          <w:lang w:val="en-GB" w:eastAsia="zh-CN"/>
        </w:rPr>
        <w:fldChar w:fldCharType="separate"/>
      </w:r>
      <w:r w:rsidR="00293D1A" w:rsidRPr="00CE0DE7">
        <w:rPr>
          <w:noProof/>
          <w:sz w:val="20"/>
          <w:szCs w:val="20"/>
          <w:lang w:val="en-GB" w:eastAsia="zh-CN"/>
        </w:rPr>
        <w:t>(2009)</w:t>
      </w:r>
      <w:r w:rsidR="00293D1A" w:rsidRPr="00CE0DE7">
        <w:rPr>
          <w:noProof/>
          <w:sz w:val="20"/>
          <w:szCs w:val="20"/>
          <w:lang w:val="en-GB" w:eastAsia="zh-CN"/>
        </w:rPr>
        <w:fldChar w:fldCharType="end"/>
      </w:r>
      <w:r w:rsidR="007A49F2" w:rsidRPr="00CE0DE7">
        <w:rPr>
          <w:sz w:val="20"/>
          <w:szCs w:val="20"/>
          <w:lang w:val="en-GB" w:eastAsia="zh-CN"/>
        </w:rPr>
        <w:t xml:space="preserve"> use </w:t>
      </w:r>
      <w:r w:rsidR="007A49F2" w:rsidRPr="00CE0DE7">
        <w:rPr>
          <w:i/>
          <w:sz w:val="20"/>
          <w:szCs w:val="20"/>
          <w:lang w:val="en-GB" w:eastAsia="zh-CN"/>
        </w:rPr>
        <w:t>ex post</w:t>
      </w:r>
      <w:r w:rsidR="007A49F2" w:rsidRPr="00CE0DE7">
        <w:rPr>
          <w:sz w:val="20"/>
          <w:szCs w:val="20"/>
          <w:lang w:val="en-GB" w:eastAsia="zh-CN"/>
        </w:rPr>
        <w:t xml:space="preserve"> forward realized variance from daily price as the measure of expected realized variance. </w:t>
      </w:r>
      <w:r w:rsidRPr="00CE0DE7">
        <w:rPr>
          <w:noProof/>
          <w:color w:val="000000"/>
          <w:sz w:val="20"/>
          <w:szCs w:val="20"/>
          <w:lang w:val="en-GB" w:eastAsia="zh-CN"/>
        </w:rPr>
        <w:t xml:space="preserve">Drechsler and Yaron </w:t>
      </w:r>
      <w:r w:rsidR="00293D1A" w:rsidRPr="00CE0DE7">
        <w:rPr>
          <w:noProof/>
          <w:color w:val="000000"/>
          <w:sz w:val="20"/>
          <w:szCs w:val="20"/>
          <w:lang w:val="en-GB" w:eastAsia="zh-CN"/>
        </w:rPr>
        <w:fldChar w:fldCharType="begin" w:fldLock="1"/>
      </w:r>
      <w:r w:rsidR="00293D1A" w:rsidRPr="00CE0DE7">
        <w:rPr>
          <w:noProof/>
          <w:color w:val="000000"/>
          <w:sz w:val="20"/>
          <w:szCs w:val="20"/>
          <w:lang w:val="en-GB" w:eastAsia="zh-CN"/>
        </w:rPr>
        <w:instrText>ADDIN CSL_CITATION {"citationItems":[{"id":"ITEM-1","itemData":{"ISSN":"0893-9454","abstract":"Uncertainty plays a key role in economics, finance, and decision sciences. Financial markets, in particular derivative markets, provide fertile ground for understanding how perceptions of economic uncertainty and cash-flow risk manifest themselves in asset prices. We demonstrate that the variance premium, defined as the difference between the squared VIX index and expected realized variance, captures attitudes toward uncertainty. We show conditions under which the variance premium displays significant time variation and return predictability. A calibrated, generalized long-run risks model generates a variance premium with time variation and return predictability that is consistent with the data, while simultaneously matching the levels and volatilities of the market return and risk-free rate. Our evidence indicates an important role for transient non-Gaussian shocks to fundamentals that affect agents' views of economic uncertainty and prices. © The Author 2010.","author":[{"dropping-particle":"","family":"Drechsler","given":"Itamar","non-dropping-particle":"","parse-names":false,"suffix":""},{"dropping-particle":"","family":"Yaron","given":"Amir","non-dropping-particle":"","parse-names":false,"suffix":""}],"container-title":"Review of Financial Studies","id":"ITEM-1","issue":"1","issued":{"date-parts":[["2011","1","1"]]},"page":"1-45","publisher":"Oxford Academic","title":"What's vol got to do with it","type":"article-journal","volume":"24"},"suppress-author":1,"uris":["http://www.mendeley.com/documents/?uuid=5678d2c9-a394-3c94-b405-0115086bc06a"]}],"mendeley":{"formattedCitation":"(2011)","plainTextFormattedCitation":"(2011)","previouslyFormattedCitation":"(2011)"},"properties":{"noteIndex":0},"schema":"https://github.com/citation-style-language/schema/raw/master/csl-citation.json"}</w:instrText>
      </w:r>
      <w:r w:rsidR="00293D1A" w:rsidRPr="00CE0DE7">
        <w:rPr>
          <w:noProof/>
          <w:color w:val="000000"/>
          <w:sz w:val="20"/>
          <w:szCs w:val="20"/>
          <w:lang w:val="en-GB" w:eastAsia="zh-CN"/>
        </w:rPr>
        <w:fldChar w:fldCharType="separate"/>
      </w:r>
      <w:r w:rsidR="00293D1A" w:rsidRPr="00CE0DE7">
        <w:rPr>
          <w:noProof/>
          <w:color w:val="000000"/>
          <w:sz w:val="20"/>
          <w:szCs w:val="20"/>
          <w:lang w:val="en-GB" w:eastAsia="zh-CN"/>
        </w:rPr>
        <w:t>(2011)</w:t>
      </w:r>
      <w:r w:rsidR="00293D1A" w:rsidRPr="00CE0DE7">
        <w:rPr>
          <w:noProof/>
          <w:color w:val="000000"/>
          <w:sz w:val="20"/>
          <w:szCs w:val="20"/>
          <w:lang w:val="en-GB" w:eastAsia="zh-CN"/>
        </w:rPr>
        <w:fldChar w:fldCharType="end"/>
      </w:r>
      <w:r w:rsidR="007A49F2" w:rsidRPr="00CE0DE7">
        <w:rPr>
          <w:noProof/>
          <w:color w:val="000000"/>
          <w:sz w:val="20"/>
          <w:szCs w:val="20"/>
          <w:lang w:val="en-GB" w:eastAsia="zh-CN"/>
        </w:rPr>
        <w:t>, however,</w:t>
      </w:r>
      <w:r w:rsidRPr="00CE0DE7">
        <w:rPr>
          <w:color w:val="000000"/>
          <w:sz w:val="20"/>
          <w:szCs w:val="20"/>
          <w:lang w:val="en-GB" w:eastAsia="zh-CN"/>
        </w:rPr>
        <w:t xml:space="preserve"> argue that </w:t>
      </w:r>
      <w:r w:rsidR="001D07E4" w:rsidRPr="00CE0DE7">
        <w:rPr>
          <w:color w:val="000000"/>
          <w:sz w:val="20"/>
          <w:szCs w:val="20"/>
          <w:lang w:val="en-GB" w:eastAsia="zh-CN"/>
        </w:rPr>
        <w:t>intraday</w:t>
      </w:r>
      <w:r w:rsidRPr="00CE0DE7">
        <w:rPr>
          <w:color w:val="000000"/>
          <w:sz w:val="20"/>
          <w:szCs w:val="20"/>
          <w:lang w:val="en-GB" w:eastAsia="zh-CN"/>
        </w:rPr>
        <w:t xml:space="preserve"> S&amp;P 500 cash index returns may be subject to </w:t>
      </w:r>
      <w:r w:rsidR="006B1B70" w:rsidRPr="00CE0DE7">
        <w:rPr>
          <w:color w:val="000000"/>
          <w:sz w:val="20"/>
          <w:szCs w:val="20"/>
          <w:lang w:val="en-GB" w:eastAsia="zh-CN"/>
        </w:rPr>
        <w:t>autocorrelation</w:t>
      </w:r>
      <w:r w:rsidR="007A49F2" w:rsidRPr="00CE0DE7">
        <w:rPr>
          <w:color w:val="000000"/>
          <w:sz w:val="20"/>
          <w:szCs w:val="20"/>
          <w:lang w:val="en-GB" w:eastAsia="zh-CN"/>
        </w:rPr>
        <w:t xml:space="preserve"> when summing up 500 </w:t>
      </w:r>
      <w:r w:rsidRPr="00CE0DE7">
        <w:rPr>
          <w:color w:val="000000"/>
          <w:sz w:val="20"/>
          <w:szCs w:val="20"/>
          <w:lang w:val="en-GB" w:eastAsia="zh-CN"/>
        </w:rPr>
        <w:t xml:space="preserve">individual stock prices. </w:t>
      </w:r>
      <w:r w:rsidR="007A49F2" w:rsidRPr="00CE0DE7">
        <w:rPr>
          <w:color w:val="000000"/>
          <w:sz w:val="20"/>
          <w:szCs w:val="20"/>
          <w:lang w:val="en-GB" w:eastAsia="zh-CN"/>
        </w:rPr>
        <w:t xml:space="preserve">Hence, </w:t>
      </w:r>
      <w:r w:rsidRPr="00CE0DE7">
        <w:rPr>
          <w:color w:val="000000"/>
          <w:sz w:val="20"/>
          <w:szCs w:val="20"/>
          <w:lang w:val="en-GB" w:eastAsia="zh-CN"/>
        </w:rPr>
        <w:t>they consider the high frequency S&amp;P 500 futures realized variance forecasts</w:t>
      </w:r>
      <w:r w:rsidR="00A07F1A" w:rsidRPr="00CE0DE7">
        <w:rPr>
          <w:color w:val="000000"/>
          <w:sz w:val="20"/>
          <w:szCs w:val="20"/>
          <w:lang w:val="en-GB" w:eastAsia="zh-CN"/>
        </w:rPr>
        <w:t>,</w:t>
      </w:r>
      <w:r w:rsidRPr="00CE0DE7">
        <w:rPr>
          <w:color w:val="000000"/>
          <w:sz w:val="20"/>
          <w:szCs w:val="20"/>
          <w:lang w:val="en-GB" w:eastAsia="zh-CN"/>
        </w:rPr>
        <w:t xml:space="preserve"> by projecting </w:t>
      </w:r>
      <w:r w:rsidR="00A07F1A" w:rsidRPr="00CE0DE7">
        <w:rPr>
          <w:color w:val="000000"/>
          <w:sz w:val="20"/>
          <w:szCs w:val="20"/>
          <w:lang w:val="en-GB" w:eastAsia="zh-CN"/>
        </w:rPr>
        <w:t>such</w:t>
      </w:r>
      <w:r w:rsidRPr="00CE0DE7">
        <w:rPr>
          <w:color w:val="000000"/>
          <w:sz w:val="20"/>
          <w:szCs w:val="20"/>
          <w:lang w:val="en-GB" w:eastAsia="zh-CN"/>
        </w:rPr>
        <w:t xml:space="preserve"> variance on VIX and lagged index realized variance. </w:t>
      </w:r>
    </w:p>
    <w:p w14:paraId="04EBC397" w14:textId="0F04064E" w:rsidR="005A7DC1" w:rsidRPr="00CE0DE7" w:rsidRDefault="005A7DC1" w:rsidP="00BD081C">
      <w:pPr>
        <w:autoSpaceDE w:val="0"/>
        <w:autoSpaceDN w:val="0"/>
        <w:adjustRightInd w:val="0"/>
        <w:snapToGrid w:val="0"/>
        <w:spacing w:line="480" w:lineRule="auto"/>
        <w:ind w:firstLine="425"/>
        <w:jc w:val="both"/>
        <w:rPr>
          <w:color w:val="000000"/>
          <w:sz w:val="20"/>
          <w:szCs w:val="20"/>
          <w:lang w:val="en-GB"/>
        </w:rPr>
      </w:pPr>
      <w:r w:rsidRPr="00CE0DE7">
        <w:rPr>
          <w:color w:val="000000"/>
          <w:sz w:val="20"/>
          <w:szCs w:val="20"/>
          <w:lang w:val="en-GB" w:eastAsia="zh-CN"/>
        </w:rPr>
        <w:t xml:space="preserve">Due to the advantages and disadvantages of the </w:t>
      </w:r>
      <w:r w:rsidR="00687191" w:rsidRPr="00CE0DE7">
        <w:rPr>
          <w:color w:val="000000"/>
          <w:sz w:val="20"/>
          <w:szCs w:val="20"/>
          <w:lang w:val="en-GB" w:eastAsia="zh-CN"/>
        </w:rPr>
        <w:t xml:space="preserve">aforementioned </w:t>
      </w:r>
      <w:r w:rsidRPr="00CE0DE7">
        <w:rPr>
          <w:color w:val="000000"/>
          <w:sz w:val="20"/>
          <w:szCs w:val="20"/>
          <w:lang w:val="en-GB" w:eastAsia="zh-CN"/>
        </w:rPr>
        <w:t xml:space="preserve">measures, we construct all </w:t>
      </w:r>
      <w:r w:rsidR="00D758BD" w:rsidRPr="00CE0DE7">
        <w:rPr>
          <w:color w:val="000000"/>
          <w:sz w:val="20"/>
          <w:szCs w:val="20"/>
          <w:lang w:val="en-GB" w:eastAsia="zh-CN"/>
        </w:rPr>
        <w:t>three</w:t>
      </w:r>
      <w:r w:rsidRPr="00CE0DE7">
        <w:rPr>
          <w:color w:val="000000"/>
          <w:sz w:val="20"/>
          <w:szCs w:val="20"/>
          <w:lang w:val="en-GB" w:eastAsia="zh-CN"/>
        </w:rPr>
        <w:t xml:space="preserve"> </w:t>
      </w:r>
      <w:r w:rsidR="00687191" w:rsidRPr="00CE0DE7">
        <w:rPr>
          <w:color w:val="000000"/>
          <w:sz w:val="20"/>
          <w:szCs w:val="20"/>
          <w:lang w:val="en-GB" w:eastAsia="zh-CN"/>
        </w:rPr>
        <w:t xml:space="preserve">VRP </w:t>
      </w:r>
      <w:r w:rsidRPr="00CE0DE7">
        <w:rPr>
          <w:color w:val="000000"/>
          <w:sz w:val="20"/>
          <w:szCs w:val="20"/>
          <w:lang w:val="en-GB" w:eastAsia="zh-CN"/>
        </w:rPr>
        <w:t xml:space="preserve">measures </w:t>
      </w:r>
      <w:r w:rsidR="007A49F2" w:rsidRPr="00CE0DE7">
        <w:rPr>
          <w:color w:val="000000"/>
          <w:sz w:val="20"/>
          <w:szCs w:val="20"/>
          <w:lang w:val="en-GB" w:eastAsia="zh-CN"/>
        </w:rPr>
        <w:t xml:space="preserve">following </w:t>
      </w:r>
      <w:r w:rsidRPr="00CE0DE7">
        <w:rPr>
          <w:noProof/>
          <w:color w:val="000000"/>
          <w:sz w:val="20"/>
          <w:szCs w:val="20"/>
          <w:lang w:val="en-GB" w:eastAsia="zh-CN"/>
        </w:rPr>
        <w:t xml:space="preserve">Bollerslev et al. </w:t>
      </w:r>
      <w:r w:rsidR="00293D1A" w:rsidRPr="00CE0DE7">
        <w:rPr>
          <w:noProof/>
          <w:color w:val="000000"/>
          <w:sz w:val="20"/>
          <w:szCs w:val="20"/>
          <w:lang w:val="en-GB" w:eastAsia="zh-CN"/>
        </w:rPr>
        <w:fldChar w:fldCharType="begin" w:fldLock="1"/>
      </w:r>
      <w:r w:rsidR="00DC30A0">
        <w:rPr>
          <w:noProof/>
          <w:color w:val="000000"/>
          <w:sz w:val="20"/>
          <w:szCs w:val="20"/>
          <w:lang w:val="en-GB" w:eastAsia="zh-CN"/>
        </w:rPr>
        <w:instrText>ADDIN CSL_CITATION {"citationItems":[{"id":"ITEM-1","itemData":{"ISSN":"0893-9454","abstract":"Motivated by the implications from a stylized self-contained general equilibrium model incorporating the effects of time-varying economic uncertainty, we show that the difference between implied and realized variation, or the variance risk premium, is able to explain a nontrivial fraction of the time-series variation in post-1990 aggregate stock market returns, with high (low) premia predicting high (low) future returns. Our empirical results depend crucially on the use of \"model-free,\" as opposed to Black-Scholes, options implied volatilities, along with accurate realized variation measures constructed from high-frequency intraday as opposed to daily data. The magnitude of the predictability is particularly strong at the intermediate quarterly return horizon, where it dominates that afforded by other popular predictor variables, such as the P/E ratio, the default spread, and the consumption-wealth ratio.","author":[{"dropping-particle":"","family":"Bollerslev","given":"Tim","non-dropping-particle":"","parse-names":false,"suffix":""},{"dropping-particle":"","family":"Tauchen","given":"George","non-dropping-particle":"","parse-names":false,"suffix":""},{"dropping-particle":"","family":"Zhou","given":"Hao","non-dropping-particle":"","parse-names":false,"suffix":""}],"container-title":"Review of Financial Studies","id":"ITEM-1","issue":"11","issued":{"date-parts":[["2009","11","1"]]},"page":"4463-4492","publisher":"Oxford Academic","title":"Expected stock returns and variance risk premia","type":"article-journal","volume":"22"},"suppress-author":1,"uris":["http://www.mendeley.com/documents/?uuid=45d1ad30-ca4b-3155-bafd-b3e4bfaf3cf7"]}],"mendeley":{"formattedCitation":"(2009)","plainTextFormattedCitation":"(2009)","previouslyFormattedCitation":"(2009)"},"properties":{"noteIndex":0},"schema":"https://github.com/citation-style-language/schema/raw/master/csl-citation.json"}</w:instrText>
      </w:r>
      <w:r w:rsidR="00293D1A" w:rsidRPr="00CE0DE7">
        <w:rPr>
          <w:noProof/>
          <w:color w:val="000000"/>
          <w:sz w:val="20"/>
          <w:szCs w:val="20"/>
          <w:lang w:val="en-GB" w:eastAsia="zh-CN"/>
        </w:rPr>
        <w:fldChar w:fldCharType="separate"/>
      </w:r>
      <w:r w:rsidR="00293D1A" w:rsidRPr="00CE0DE7">
        <w:rPr>
          <w:noProof/>
          <w:color w:val="000000"/>
          <w:sz w:val="20"/>
          <w:szCs w:val="20"/>
          <w:lang w:val="en-GB" w:eastAsia="zh-CN"/>
        </w:rPr>
        <w:t>(2009)</w:t>
      </w:r>
      <w:r w:rsidR="00293D1A" w:rsidRPr="00CE0DE7">
        <w:rPr>
          <w:noProof/>
          <w:color w:val="000000"/>
          <w:sz w:val="20"/>
          <w:szCs w:val="20"/>
          <w:lang w:val="en-GB" w:eastAsia="zh-CN"/>
        </w:rPr>
        <w:fldChar w:fldCharType="end"/>
      </w:r>
      <w:r w:rsidRPr="00CE0DE7">
        <w:rPr>
          <w:color w:val="000000"/>
          <w:sz w:val="20"/>
          <w:szCs w:val="20"/>
          <w:lang w:val="en-GB"/>
        </w:rPr>
        <w:t xml:space="preserve">, </w:t>
      </w:r>
      <w:r w:rsidRPr="00CE0DE7">
        <w:rPr>
          <w:noProof/>
          <w:color w:val="000000"/>
          <w:sz w:val="20"/>
          <w:szCs w:val="20"/>
          <w:lang w:val="en-GB"/>
        </w:rPr>
        <w:t xml:space="preserve">Carr and Wu </w:t>
      </w:r>
      <w:r w:rsidR="00293D1A" w:rsidRPr="00CE0DE7">
        <w:rPr>
          <w:noProof/>
          <w:color w:val="000000"/>
          <w:sz w:val="20"/>
          <w:szCs w:val="20"/>
          <w:lang w:val="en-GB"/>
        </w:rPr>
        <w:fldChar w:fldCharType="begin" w:fldLock="1"/>
      </w:r>
      <w:r w:rsidR="00196F3B" w:rsidRPr="00CE0DE7">
        <w:rPr>
          <w:noProof/>
          <w:color w:val="000000"/>
          <w:sz w:val="20"/>
          <w:szCs w:val="20"/>
          <w:lang w:val="en-GB"/>
        </w:rPr>
        <w:instrText>ADDIN CSL_CITATION {"citationItems":[{"id":"ITEM-1","itemData":{"ISSN":"0893-9454","abstract":"We propose a direct and robust method for quantifying the variance risk premium on financial assets. We show that the risk-neutral expected value of return variance, also known as the variance swap rate, is well approximated by the value of a particular portfolio of options. We propose to use the difference between the realized variance and this synthetic variance swap rate to quantify the variance risk premium. Using a large options data set, we synthesize variance swap rates and investigate the historical behavior of variance risk premiums on five stock indexes and 35 individual stocks.","author":[{"dropping-particle":"","family":"Carr","given":"Peter","non-dropping-particle":"","parse-names":false,"suffix":""},{"dropping-particle":"","family":"Wu","given":"Liuren","non-dropping-particle":"","parse-names":false,"suffix":""}],"container-title":"Review of Financial Studies","id":"ITEM-1","issue":"3","issued":{"date-parts":[["2009","3","1"]]},"page":"1311-1341","publisher":"Oxford Academic","title":"Variance risk premiums","type":"article-journal","volume":"22"},"suppress-author":1,"uris":["http://www.mendeley.com/documents/?uuid=0426de84-6cb6-3640-a7f2-ebc4779a7f8c"]}],"mendeley":{"formattedCitation":"(2009)","plainTextFormattedCitation":"(2009)","previouslyFormattedCitation":"(2009)"},"properties":{"noteIndex":0},"schema":"https://github.com/citation-style-language/schema/raw/master/csl-citation.json"}</w:instrText>
      </w:r>
      <w:r w:rsidR="00293D1A" w:rsidRPr="00CE0DE7">
        <w:rPr>
          <w:noProof/>
          <w:color w:val="000000"/>
          <w:sz w:val="20"/>
          <w:szCs w:val="20"/>
          <w:lang w:val="en-GB"/>
        </w:rPr>
        <w:fldChar w:fldCharType="separate"/>
      </w:r>
      <w:r w:rsidR="00293D1A" w:rsidRPr="00CE0DE7">
        <w:rPr>
          <w:noProof/>
          <w:color w:val="000000"/>
          <w:sz w:val="20"/>
          <w:szCs w:val="20"/>
          <w:lang w:val="en-GB"/>
        </w:rPr>
        <w:t>(2009)</w:t>
      </w:r>
      <w:r w:rsidR="00293D1A" w:rsidRPr="00CE0DE7">
        <w:rPr>
          <w:noProof/>
          <w:color w:val="000000"/>
          <w:sz w:val="20"/>
          <w:szCs w:val="20"/>
          <w:lang w:val="en-GB"/>
        </w:rPr>
        <w:fldChar w:fldCharType="end"/>
      </w:r>
      <w:r w:rsidR="000D2758" w:rsidRPr="00CE0DE7">
        <w:rPr>
          <w:noProof/>
          <w:color w:val="000000"/>
          <w:sz w:val="20"/>
          <w:szCs w:val="20"/>
          <w:lang w:val="en-GB"/>
        </w:rPr>
        <w:t>,</w:t>
      </w:r>
      <w:r w:rsidRPr="00CE0DE7">
        <w:rPr>
          <w:color w:val="000000"/>
          <w:sz w:val="20"/>
          <w:szCs w:val="20"/>
          <w:lang w:val="en-GB"/>
        </w:rPr>
        <w:t xml:space="preserve"> </w:t>
      </w:r>
      <w:r w:rsidRPr="00CE0DE7">
        <w:rPr>
          <w:color w:val="000000"/>
          <w:sz w:val="20"/>
          <w:szCs w:val="20"/>
          <w:lang w:val="en-GB" w:eastAsia="zh-CN"/>
        </w:rPr>
        <w:t xml:space="preserve">and </w:t>
      </w:r>
      <w:r w:rsidRPr="00CE0DE7">
        <w:rPr>
          <w:noProof/>
          <w:color w:val="000000"/>
          <w:sz w:val="20"/>
          <w:szCs w:val="20"/>
          <w:lang w:val="en-GB" w:eastAsia="zh-CN"/>
        </w:rPr>
        <w:t xml:space="preserve">Drechsler and Yaron </w:t>
      </w:r>
      <w:r w:rsidR="00293D1A" w:rsidRPr="00CE0DE7">
        <w:rPr>
          <w:noProof/>
          <w:color w:val="000000"/>
          <w:sz w:val="20"/>
          <w:szCs w:val="20"/>
          <w:lang w:val="en-GB" w:eastAsia="zh-CN"/>
        </w:rPr>
        <w:fldChar w:fldCharType="begin" w:fldLock="1"/>
      </w:r>
      <w:r w:rsidR="00293D1A" w:rsidRPr="00CE0DE7">
        <w:rPr>
          <w:noProof/>
          <w:color w:val="000000"/>
          <w:sz w:val="20"/>
          <w:szCs w:val="20"/>
          <w:lang w:val="en-GB" w:eastAsia="zh-CN"/>
        </w:rPr>
        <w:instrText>ADDIN CSL_CITATION {"citationItems":[{"id":"ITEM-1","itemData":{"ISSN":"0893-9454","abstract":"Uncertainty plays a key role in economics, finance, and decision sciences. Financial markets, in particular derivative markets, provide fertile ground for understanding how perceptions of economic uncertainty and cash-flow risk manifest themselves in asset prices. We demonstrate that the variance premium, defined as the difference between the squared VIX index and expected realized variance, captures attitudes toward uncertainty. We show conditions under which the variance premium displays significant time variation and return predictability. A calibrated, generalized long-run risks model generates a variance premium with time variation and return predictability that is consistent with the data, while simultaneously matching the levels and volatilities of the market return and risk-free rate. Our evidence indicates an important role for transient non-Gaussian shocks to fundamentals that affect agents' views of economic uncertainty and prices. © The Author 2010.","author":[{"dropping-particle":"","family":"Drechsler","given":"Itamar","non-dropping-particle":"","parse-names":false,"suffix":""},{"dropping-particle":"","family":"Yaron","given":"Amir","non-dropping-particle":"","parse-names":false,"suffix":""}],"container-title":"Review of Financial Studies","id":"ITEM-1","issue":"1","issued":{"date-parts":[["2011","1","1"]]},"page":"1-45","publisher":"Oxford Academic","title":"What's vol got to do with it","type":"article-journal","volume":"24"},"suppress-author":1,"uris":["http://www.mendeley.com/documents/?uuid=5678d2c9-a394-3c94-b405-0115086bc06a"]}],"mendeley":{"formattedCitation":"(2011)","plainTextFormattedCitation":"(2011)","previouslyFormattedCitation":"(2011)"},"properties":{"noteIndex":0},"schema":"https://github.com/citation-style-language/schema/raw/master/csl-citation.json"}</w:instrText>
      </w:r>
      <w:r w:rsidR="00293D1A" w:rsidRPr="00CE0DE7">
        <w:rPr>
          <w:noProof/>
          <w:color w:val="000000"/>
          <w:sz w:val="20"/>
          <w:szCs w:val="20"/>
          <w:lang w:val="en-GB" w:eastAsia="zh-CN"/>
        </w:rPr>
        <w:fldChar w:fldCharType="separate"/>
      </w:r>
      <w:r w:rsidR="00293D1A" w:rsidRPr="00CE0DE7">
        <w:rPr>
          <w:noProof/>
          <w:color w:val="000000"/>
          <w:sz w:val="20"/>
          <w:szCs w:val="20"/>
          <w:lang w:val="en-GB" w:eastAsia="zh-CN"/>
        </w:rPr>
        <w:t>(2011)</w:t>
      </w:r>
      <w:r w:rsidR="00293D1A" w:rsidRPr="00CE0DE7">
        <w:rPr>
          <w:noProof/>
          <w:color w:val="000000"/>
          <w:sz w:val="20"/>
          <w:szCs w:val="20"/>
          <w:lang w:val="en-GB" w:eastAsia="zh-CN"/>
        </w:rPr>
        <w:fldChar w:fldCharType="end"/>
      </w:r>
      <w:r w:rsidR="00D758BD" w:rsidRPr="00CE0DE7">
        <w:rPr>
          <w:noProof/>
          <w:color w:val="000000"/>
          <w:sz w:val="20"/>
          <w:szCs w:val="20"/>
          <w:lang w:val="en-GB" w:eastAsia="zh-CN"/>
        </w:rPr>
        <w:t xml:space="preserve"> for </w:t>
      </w:r>
      <w:r w:rsidR="007A49F2" w:rsidRPr="00CE0DE7">
        <w:rPr>
          <w:noProof/>
          <w:color w:val="000000"/>
          <w:sz w:val="20"/>
          <w:szCs w:val="20"/>
          <w:lang w:val="en-GB" w:eastAsia="zh-CN"/>
        </w:rPr>
        <w:t xml:space="preserve">the </w:t>
      </w:r>
      <w:r w:rsidR="00D758BD" w:rsidRPr="00CE0DE7">
        <w:rPr>
          <w:noProof/>
          <w:color w:val="000000"/>
          <w:sz w:val="20"/>
          <w:szCs w:val="20"/>
          <w:lang w:val="en-GB" w:eastAsia="zh-CN"/>
        </w:rPr>
        <w:t>expected realized volatility</w:t>
      </w:r>
      <w:r w:rsidRPr="00CE0DE7">
        <w:rPr>
          <w:color w:val="000000"/>
          <w:sz w:val="20"/>
          <w:szCs w:val="20"/>
          <w:lang w:val="en-GB" w:eastAsia="zh-CN"/>
        </w:rPr>
        <w:t xml:space="preserve">. The </w:t>
      </w:r>
      <w:r w:rsidR="00D758BD" w:rsidRPr="00CE0DE7">
        <w:rPr>
          <w:color w:val="000000"/>
          <w:sz w:val="20"/>
          <w:szCs w:val="20"/>
          <w:lang w:val="en-GB" w:eastAsia="zh-CN"/>
        </w:rPr>
        <w:t xml:space="preserve">VRP thus obtained are denoted by </w:t>
      </w:r>
      <w:r w:rsidRPr="00CE0DE7">
        <w:rPr>
          <w:i/>
          <w:color w:val="000000"/>
          <w:sz w:val="20"/>
          <w:szCs w:val="20"/>
          <w:lang w:val="en-GB" w:eastAsia="zh-CN"/>
        </w:rPr>
        <w:t>VRP</w:t>
      </w:r>
      <w:r w:rsidRPr="00CE0DE7">
        <w:rPr>
          <w:i/>
          <w:color w:val="000000"/>
          <w:sz w:val="20"/>
          <w:szCs w:val="20"/>
          <w:vertAlign w:val="superscript"/>
          <w:lang w:val="en-GB" w:eastAsia="zh-CN"/>
        </w:rPr>
        <w:t>BTZ</w:t>
      </w:r>
      <w:r w:rsidRPr="00CE0DE7">
        <w:rPr>
          <w:color w:val="000000"/>
          <w:sz w:val="20"/>
          <w:szCs w:val="20"/>
          <w:lang w:val="en-GB" w:eastAsia="zh-CN"/>
        </w:rPr>
        <w:t xml:space="preserve">, </w:t>
      </w:r>
      <w:r w:rsidRPr="00CE0DE7">
        <w:rPr>
          <w:i/>
          <w:color w:val="000000"/>
          <w:sz w:val="20"/>
          <w:szCs w:val="20"/>
          <w:lang w:val="en-GB" w:eastAsia="zh-CN"/>
        </w:rPr>
        <w:t>VRP</w:t>
      </w:r>
      <w:r w:rsidRPr="00CE0DE7">
        <w:rPr>
          <w:i/>
          <w:color w:val="000000"/>
          <w:sz w:val="20"/>
          <w:szCs w:val="20"/>
          <w:vertAlign w:val="superscript"/>
          <w:lang w:val="en-GB" w:eastAsia="zh-CN"/>
        </w:rPr>
        <w:t>CW</w:t>
      </w:r>
      <w:r w:rsidRPr="00CE0DE7">
        <w:rPr>
          <w:i/>
          <w:color w:val="000000"/>
          <w:sz w:val="20"/>
          <w:szCs w:val="20"/>
          <w:lang w:val="en-GB" w:eastAsia="zh-CN"/>
        </w:rPr>
        <w:t xml:space="preserve">, </w:t>
      </w:r>
      <w:r w:rsidRPr="00CE0DE7">
        <w:rPr>
          <w:color w:val="000000"/>
          <w:sz w:val="20"/>
          <w:szCs w:val="20"/>
          <w:lang w:val="en-GB"/>
        </w:rPr>
        <w:t xml:space="preserve">and </w:t>
      </w:r>
      <w:r w:rsidRPr="00CE0DE7">
        <w:rPr>
          <w:i/>
          <w:color w:val="000000"/>
          <w:sz w:val="20"/>
          <w:szCs w:val="20"/>
          <w:lang w:val="en-GB" w:eastAsia="zh-CN"/>
        </w:rPr>
        <w:t>VRP</w:t>
      </w:r>
      <w:r w:rsidRPr="00CE0DE7">
        <w:rPr>
          <w:i/>
          <w:color w:val="000000"/>
          <w:sz w:val="20"/>
          <w:szCs w:val="20"/>
          <w:vertAlign w:val="superscript"/>
          <w:lang w:val="en-GB" w:eastAsia="zh-CN"/>
        </w:rPr>
        <w:t>DY</w:t>
      </w:r>
      <w:r w:rsidR="00D758BD" w:rsidRPr="00CE0DE7">
        <w:rPr>
          <w:color w:val="000000"/>
          <w:sz w:val="20"/>
          <w:szCs w:val="20"/>
          <w:lang w:val="en-GB" w:eastAsia="zh-CN"/>
        </w:rPr>
        <w:t>, respectively.</w:t>
      </w:r>
    </w:p>
    <w:p w14:paraId="63BB2436" w14:textId="77777777" w:rsidR="005A7DC1" w:rsidRPr="00CE0DE7" w:rsidRDefault="005A7DC1" w:rsidP="00DD61EB">
      <w:pPr>
        <w:autoSpaceDE w:val="0"/>
        <w:autoSpaceDN w:val="0"/>
        <w:adjustRightInd w:val="0"/>
        <w:snapToGrid w:val="0"/>
        <w:spacing w:line="480" w:lineRule="auto"/>
        <w:jc w:val="both"/>
        <w:rPr>
          <w:color w:val="000000"/>
          <w:sz w:val="20"/>
          <w:szCs w:val="20"/>
          <w:lang w:val="en-GB"/>
        </w:rPr>
      </w:pPr>
    </w:p>
    <w:p w14:paraId="41C361D1" w14:textId="57C74336" w:rsidR="00AB25C5" w:rsidRPr="00CE0DE7" w:rsidRDefault="00953215" w:rsidP="00D51ACE">
      <w:pPr>
        <w:pStyle w:val="2"/>
        <w:spacing w:before="0" w:after="240"/>
        <w:rPr>
          <w:rFonts w:cs="Times New Roman"/>
          <w:color w:val="000000"/>
          <w:sz w:val="20"/>
          <w:szCs w:val="20"/>
          <w:lang w:eastAsia="zh-CN"/>
        </w:rPr>
      </w:pPr>
      <w:r w:rsidRPr="00CE0DE7">
        <w:rPr>
          <w:rStyle w:val="a7"/>
          <w:rFonts w:cs="Times New Roman"/>
          <w:i/>
          <w:iCs w:val="0"/>
          <w:sz w:val="20"/>
          <w:szCs w:val="20"/>
        </w:rPr>
        <w:t xml:space="preserve">3.2 </w:t>
      </w:r>
      <w:r w:rsidR="005A7DC1" w:rsidRPr="00CE0DE7">
        <w:rPr>
          <w:rStyle w:val="a7"/>
          <w:rFonts w:cs="Times New Roman"/>
          <w:i/>
          <w:iCs w:val="0"/>
          <w:sz w:val="20"/>
          <w:szCs w:val="20"/>
        </w:rPr>
        <w:t xml:space="preserve">Illiquidity </w:t>
      </w:r>
    </w:p>
    <w:p w14:paraId="7C6CB8FE" w14:textId="0D378660" w:rsidR="005A7DC1" w:rsidRPr="00CE0DE7" w:rsidRDefault="00AB25C5" w:rsidP="00BD081C">
      <w:pPr>
        <w:adjustRightInd w:val="0"/>
        <w:snapToGrid w:val="0"/>
        <w:spacing w:line="480" w:lineRule="auto"/>
        <w:ind w:firstLine="425"/>
        <w:jc w:val="both"/>
        <w:rPr>
          <w:color w:val="000000"/>
          <w:sz w:val="20"/>
          <w:szCs w:val="20"/>
          <w:lang w:val="en-GB"/>
        </w:rPr>
      </w:pPr>
      <w:r w:rsidRPr="00CE0DE7">
        <w:rPr>
          <w:color w:val="000000"/>
          <w:sz w:val="20"/>
          <w:szCs w:val="20"/>
          <w:lang w:val="en-GB" w:eastAsia="zh-CN"/>
        </w:rPr>
        <w:t>In our paper</w:t>
      </w:r>
      <w:r w:rsidR="005A7DC1" w:rsidRPr="00CE0DE7">
        <w:rPr>
          <w:color w:val="000000"/>
          <w:sz w:val="20"/>
          <w:szCs w:val="20"/>
          <w:lang w:val="en-GB"/>
        </w:rPr>
        <w:t xml:space="preserve">, we employ </w:t>
      </w:r>
      <w:r w:rsidR="00604641" w:rsidRPr="00CE0DE7">
        <w:rPr>
          <w:color w:val="000000"/>
          <w:sz w:val="20"/>
          <w:szCs w:val="20"/>
          <w:lang w:val="en-GB" w:eastAsia="zh-CN"/>
        </w:rPr>
        <w:t xml:space="preserve">the </w:t>
      </w:r>
      <w:r w:rsidR="005A7DC1" w:rsidRPr="00CE0DE7">
        <w:rPr>
          <w:color w:val="000000"/>
          <w:sz w:val="20"/>
          <w:szCs w:val="20"/>
          <w:lang w:val="en-GB"/>
        </w:rPr>
        <w:t>illiquidity ratio</w:t>
      </w:r>
      <w:r w:rsidR="00604641" w:rsidRPr="00CE0DE7">
        <w:rPr>
          <w:color w:val="000000"/>
          <w:sz w:val="20"/>
          <w:szCs w:val="20"/>
          <w:lang w:val="en-GB" w:eastAsia="zh-CN"/>
        </w:rPr>
        <w:t xml:space="preserve"> of </w:t>
      </w:r>
      <w:proofErr w:type="spellStart"/>
      <w:r w:rsidR="00604641" w:rsidRPr="00CE0DE7">
        <w:rPr>
          <w:color w:val="000000"/>
          <w:sz w:val="20"/>
          <w:szCs w:val="20"/>
          <w:lang w:val="en-GB" w:eastAsia="zh-CN"/>
        </w:rPr>
        <w:t>Amihud</w:t>
      </w:r>
      <w:proofErr w:type="spellEnd"/>
      <w:r w:rsidR="00604641" w:rsidRPr="00CE0DE7">
        <w:rPr>
          <w:color w:val="000000"/>
          <w:sz w:val="20"/>
          <w:szCs w:val="20"/>
          <w:lang w:val="en-GB" w:eastAsia="zh-CN"/>
        </w:rPr>
        <w:t xml:space="preserve"> </w:t>
      </w:r>
      <w:r w:rsidR="00293D1A" w:rsidRPr="00CE0DE7">
        <w:rPr>
          <w:color w:val="000000"/>
          <w:sz w:val="20"/>
          <w:szCs w:val="20"/>
          <w:lang w:val="en-GB" w:eastAsia="zh-CN"/>
        </w:rPr>
        <w:fldChar w:fldCharType="begin" w:fldLock="1"/>
      </w:r>
      <w:r w:rsidR="00293D1A" w:rsidRPr="00CE0DE7">
        <w:rPr>
          <w:color w:val="000000"/>
          <w:sz w:val="20"/>
          <w:szCs w:val="20"/>
          <w:lang w:val="en-GB" w:eastAsia="zh-CN"/>
        </w:rPr>
        <w:instrText>ADDIN CSL_CITATION {"citationItems":[{"id":"ITEM-1","itemData":{"ISSN":"13864181","abstract":"This paper shows that over time, expected market illiquidity positively affects ex ante stock excess return, suggesting that expected stock excess return partly represents an illiquidity premium. This complements the cross-sectional positive return-illiquidity relationship. Also, stock returns are negatively related over time to contemporaneous unexpected illiquidity. The illiquidity measure here is the average across stocks of the daily ratio of absolute stock return to dollar volume, which is easily obtained from daily stock data for long time series in most stock markets. Illiquidity affects more strongly small firm stocks, thus explaining time series variations in their premiums over time. © 2002 Elsevier Science B.V. All rights reserved.","author":[{"dropping-particle":"","family":"Amihud","given":"Yakov","non-dropping-particle":"","parse-names":false,"suffix":""}],"container-title":"Journal of Financial Markets","id":"ITEM-1","issue":"1","issued":{"date-parts":[["2002","1","1"]]},"page":"31-56","publisher":"North-Holland","title":"Illiquidity and stock returns: Cross-section and time-series effects","type":"article-journal","volume":"5"},"suppress-author":1,"uris":["http://www.mendeley.com/documents/?uuid=1fd709fb-5eb7-3ddf-a3a4-8f8d7a2b0397"]}],"mendeley":{"formattedCitation":"(2002)","plainTextFormattedCitation":"(2002)","previouslyFormattedCitation":"(2002)"},"properties":{"noteIndex":0},"schema":"https://github.com/citation-style-language/schema/raw/master/csl-citation.json"}</w:instrText>
      </w:r>
      <w:r w:rsidR="00293D1A" w:rsidRPr="00CE0DE7">
        <w:rPr>
          <w:color w:val="000000"/>
          <w:sz w:val="20"/>
          <w:szCs w:val="20"/>
          <w:lang w:val="en-GB" w:eastAsia="zh-CN"/>
        </w:rPr>
        <w:fldChar w:fldCharType="separate"/>
      </w:r>
      <w:r w:rsidR="00293D1A" w:rsidRPr="00CE0DE7">
        <w:rPr>
          <w:noProof/>
          <w:color w:val="000000"/>
          <w:sz w:val="20"/>
          <w:szCs w:val="20"/>
          <w:lang w:val="en-GB" w:eastAsia="zh-CN"/>
        </w:rPr>
        <w:t>(2002)</w:t>
      </w:r>
      <w:r w:rsidR="00293D1A" w:rsidRPr="00CE0DE7">
        <w:rPr>
          <w:color w:val="000000"/>
          <w:sz w:val="20"/>
          <w:szCs w:val="20"/>
          <w:lang w:val="en-GB" w:eastAsia="zh-CN"/>
        </w:rPr>
        <w:fldChar w:fldCharType="end"/>
      </w:r>
      <w:r w:rsidR="00604641" w:rsidRPr="00CE0DE7">
        <w:rPr>
          <w:color w:val="000000"/>
          <w:sz w:val="20"/>
          <w:szCs w:val="20"/>
          <w:lang w:val="en-GB" w:eastAsia="zh-CN"/>
        </w:rPr>
        <w:t xml:space="preserve"> </w:t>
      </w:r>
      <w:r w:rsidR="005A7DC1" w:rsidRPr="00CE0DE7">
        <w:rPr>
          <w:color w:val="000000"/>
          <w:sz w:val="20"/>
          <w:szCs w:val="20"/>
          <w:lang w:val="en-GB"/>
        </w:rPr>
        <w:t xml:space="preserve">based on daily </w:t>
      </w:r>
      <w:r w:rsidR="00604641" w:rsidRPr="00CE0DE7">
        <w:rPr>
          <w:color w:val="000000"/>
          <w:sz w:val="20"/>
          <w:szCs w:val="20"/>
          <w:lang w:val="en-GB" w:eastAsia="zh-CN"/>
        </w:rPr>
        <w:t xml:space="preserve">trading </w:t>
      </w:r>
      <w:r w:rsidR="005A7DC1" w:rsidRPr="00CE0DE7">
        <w:rPr>
          <w:color w:val="000000"/>
          <w:sz w:val="20"/>
          <w:szCs w:val="20"/>
          <w:lang w:val="en-GB"/>
        </w:rPr>
        <w:t xml:space="preserve">volumes and </w:t>
      </w:r>
      <w:r w:rsidR="00604641" w:rsidRPr="00CE0DE7">
        <w:rPr>
          <w:color w:val="000000"/>
          <w:sz w:val="20"/>
          <w:szCs w:val="20"/>
          <w:lang w:val="en-GB" w:eastAsia="zh-CN"/>
        </w:rPr>
        <w:t xml:space="preserve">asset </w:t>
      </w:r>
      <w:r w:rsidR="005A7DC1" w:rsidRPr="00CE0DE7">
        <w:rPr>
          <w:color w:val="000000"/>
          <w:sz w:val="20"/>
          <w:szCs w:val="20"/>
          <w:lang w:val="en-GB"/>
        </w:rPr>
        <w:t>returns</w:t>
      </w:r>
      <w:r w:rsidR="00DE053B" w:rsidRPr="00CE0DE7">
        <w:rPr>
          <w:color w:val="000000"/>
          <w:sz w:val="20"/>
          <w:szCs w:val="20"/>
          <w:lang w:val="en-GB"/>
        </w:rPr>
        <w:t xml:space="preserve"> as the main liquidity measure</w:t>
      </w:r>
      <w:r w:rsidR="005A7DC1" w:rsidRPr="00CE0DE7">
        <w:rPr>
          <w:color w:val="000000"/>
          <w:sz w:val="20"/>
          <w:szCs w:val="20"/>
          <w:lang w:val="en-GB"/>
        </w:rPr>
        <w:t xml:space="preserve">. </w:t>
      </w:r>
      <w:r w:rsidR="00DE053B" w:rsidRPr="00CE0DE7">
        <w:rPr>
          <w:color w:val="000000"/>
          <w:sz w:val="20"/>
          <w:szCs w:val="20"/>
          <w:lang w:val="en-GB"/>
        </w:rPr>
        <w:t>It is defined as</w:t>
      </w:r>
      <w:r w:rsidR="005A7DC1" w:rsidRPr="00CE0DE7">
        <w:rPr>
          <w:color w:val="000000"/>
          <w:sz w:val="20"/>
          <w:szCs w:val="20"/>
          <w:lang w:val="en-GB"/>
        </w:rPr>
        <w:t xml:space="preserve"> the average ratio of absolute stock return</w:t>
      </w:r>
      <w:r w:rsidR="009268D4" w:rsidRPr="00CE0DE7">
        <w:rPr>
          <w:color w:val="000000"/>
          <w:sz w:val="20"/>
          <w:szCs w:val="20"/>
          <w:lang w:val="en-GB"/>
        </w:rPr>
        <w:t>s</w:t>
      </w:r>
      <w:r w:rsidR="005A7DC1" w:rsidRPr="00CE0DE7">
        <w:rPr>
          <w:color w:val="000000"/>
          <w:sz w:val="20"/>
          <w:szCs w:val="20"/>
          <w:lang w:val="en-GB"/>
        </w:rPr>
        <w:t xml:space="preserve"> to the trading volume in dollars on the same day</w:t>
      </w:r>
      <w:r w:rsidR="00DE053B" w:rsidRPr="00CE0DE7">
        <w:rPr>
          <w:color w:val="000000"/>
          <w:sz w:val="20"/>
          <w:szCs w:val="20"/>
          <w:lang w:val="en-GB"/>
        </w:rPr>
        <w:t xml:space="preserve">. </w:t>
      </w:r>
      <w:r w:rsidR="00876525" w:rsidRPr="00CE0DE7">
        <w:rPr>
          <w:color w:val="000000"/>
          <w:sz w:val="20"/>
          <w:szCs w:val="20"/>
          <w:lang w:val="en-GB"/>
        </w:rPr>
        <w:t>T</w:t>
      </w:r>
      <w:r w:rsidR="00DE053B" w:rsidRPr="00CE0DE7">
        <w:rPr>
          <w:color w:val="000000"/>
          <w:sz w:val="20"/>
          <w:szCs w:val="20"/>
          <w:lang w:val="en-GB"/>
        </w:rPr>
        <w:t xml:space="preserve">he illiquidity </w:t>
      </w:r>
      <w:r w:rsidR="00876525" w:rsidRPr="00CE0DE7">
        <w:rPr>
          <w:color w:val="000000"/>
          <w:sz w:val="20"/>
          <w:szCs w:val="20"/>
          <w:lang w:val="en-GB"/>
        </w:rPr>
        <w:t>ratio</w:t>
      </w:r>
      <w:r w:rsidR="00DE053B" w:rsidRPr="00CE0DE7">
        <w:rPr>
          <w:color w:val="000000"/>
          <w:sz w:val="20"/>
          <w:szCs w:val="20"/>
          <w:lang w:val="en-GB"/>
        </w:rPr>
        <w:t xml:space="preserve"> (</w:t>
      </w:r>
      <w:r w:rsidR="00DE053B" w:rsidRPr="00CE0DE7">
        <w:rPr>
          <w:i/>
          <w:color w:val="000000"/>
          <w:sz w:val="20"/>
          <w:szCs w:val="20"/>
          <w:lang w:val="en-GB"/>
        </w:rPr>
        <w:t>ILLIQ</w:t>
      </w:r>
      <w:r w:rsidR="00DE053B" w:rsidRPr="00CE0DE7">
        <w:rPr>
          <w:color w:val="000000"/>
          <w:sz w:val="20"/>
          <w:szCs w:val="20"/>
          <w:lang w:val="en-GB"/>
        </w:rPr>
        <w:t xml:space="preserve">) for stock </w:t>
      </w:r>
      <w:r w:rsidR="00DE053B" w:rsidRPr="00CE0DE7">
        <w:rPr>
          <w:i/>
          <w:color w:val="000000"/>
          <w:sz w:val="20"/>
          <w:szCs w:val="20"/>
          <w:lang w:val="en-GB"/>
        </w:rPr>
        <w:t>i</w:t>
      </w:r>
      <w:r w:rsidR="00DE053B" w:rsidRPr="00CE0DE7">
        <w:rPr>
          <w:color w:val="000000"/>
          <w:sz w:val="20"/>
          <w:szCs w:val="20"/>
          <w:lang w:val="en-GB"/>
        </w:rPr>
        <w:t xml:space="preserve"> in month </w:t>
      </w:r>
      <w:r w:rsidR="00DE053B" w:rsidRPr="00CE0DE7">
        <w:rPr>
          <w:i/>
          <w:color w:val="000000"/>
          <w:sz w:val="20"/>
          <w:szCs w:val="20"/>
          <w:lang w:val="en-GB"/>
        </w:rPr>
        <w:t>t</w:t>
      </w:r>
      <w:r w:rsidR="00DE053B" w:rsidRPr="00CE0DE7">
        <w:rPr>
          <w:color w:val="000000"/>
          <w:sz w:val="20"/>
          <w:szCs w:val="20"/>
          <w:lang w:val="en-GB"/>
        </w:rPr>
        <w:t xml:space="preserve"> is</w:t>
      </w:r>
      <w:r w:rsidR="00022A17" w:rsidRPr="00CE0DE7">
        <w:rPr>
          <w:color w:val="000000"/>
          <w:sz w:val="20"/>
          <w:szCs w:val="20"/>
          <w:lang w:val="en-GB" w:eastAsia="zh-CN"/>
        </w:rPr>
        <w:t xml:space="preserve"> as follows</w:t>
      </w:r>
      <w:r w:rsidR="00DE053B" w:rsidRPr="00CE0DE7">
        <w:rPr>
          <w:color w:val="000000"/>
          <w:sz w:val="20"/>
          <w:szCs w:val="20"/>
          <w:lang w:val="en-GB"/>
        </w:rPr>
        <w:t xml:space="preserve">:  </w:t>
      </w:r>
    </w:p>
    <w:p w14:paraId="5048AA95" w14:textId="024B9173" w:rsidR="005A7DC1" w:rsidRPr="00CE0DE7" w:rsidRDefault="00DE053B" w:rsidP="008276B8">
      <w:pPr>
        <w:adjustRightInd w:val="0"/>
        <w:snapToGrid w:val="0"/>
        <w:spacing w:before="120" w:after="120" w:line="480" w:lineRule="auto"/>
        <w:jc w:val="right"/>
        <w:rPr>
          <w:color w:val="000000"/>
          <w:sz w:val="20"/>
          <w:szCs w:val="20"/>
          <w:lang w:val="en-GB"/>
        </w:rPr>
      </w:pPr>
      <w:r w:rsidRPr="00CE0DE7">
        <w:rPr>
          <w:color w:val="000000"/>
          <w:sz w:val="20"/>
          <w:szCs w:val="20"/>
          <w:lang w:val="en-GB"/>
        </w:rPr>
        <w:t xml:space="preserve">                                                    </w:t>
      </w:r>
      <w:r w:rsidR="004971D2" w:rsidRPr="004971D2">
        <w:rPr>
          <w:color w:val="000000"/>
          <w:position w:val="-26"/>
          <w:sz w:val="20"/>
          <w:szCs w:val="20"/>
          <w:lang w:val="en-GB"/>
        </w:rPr>
        <w:object w:dxaOrig="2100" w:dyaOrig="620" w14:anchorId="655AF0BC">
          <v:shape id="_x0000_i1026" type="#_x0000_t75" style="width:106.45pt;height:29.45pt" o:ole="">
            <v:imagedata r:id="rId12" o:title=""/>
          </v:shape>
          <o:OLEObject Type="Embed" ProgID="Equation.DSMT4" ShapeID="_x0000_i1026" DrawAspect="Content" ObjectID="_1674838642" r:id="rId13"/>
        </w:object>
      </w:r>
      <w:r w:rsidR="00EA2354" w:rsidRPr="00CE0DE7">
        <w:rPr>
          <w:color w:val="000000"/>
          <w:sz w:val="20"/>
          <w:szCs w:val="20"/>
          <w:lang w:val="en-GB"/>
        </w:rPr>
        <w:t xml:space="preserve"> </w:t>
      </w:r>
      <w:r w:rsidR="005A7DC1" w:rsidRPr="00CE0DE7">
        <w:rPr>
          <w:color w:val="000000"/>
          <w:sz w:val="20"/>
          <w:szCs w:val="20"/>
          <w:lang w:val="en-GB"/>
        </w:rPr>
        <w:t xml:space="preserve"> </w:t>
      </w:r>
      <w:r w:rsidR="006016FB" w:rsidRPr="00CE0DE7">
        <w:rPr>
          <w:color w:val="000000"/>
          <w:sz w:val="20"/>
          <w:szCs w:val="20"/>
          <w:lang w:val="en-GB"/>
        </w:rPr>
        <w:t xml:space="preserve">  </w:t>
      </w:r>
      <w:r w:rsidR="005A7DC1" w:rsidRPr="00CE0DE7">
        <w:rPr>
          <w:color w:val="000000"/>
          <w:sz w:val="20"/>
          <w:szCs w:val="20"/>
          <w:lang w:val="en-GB"/>
        </w:rPr>
        <w:t xml:space="preserve">  </w:t>
      </w:r>
      <w:r w:rsidR="00604641" w:rsidRPr="00CE0DE7">
        <w:rPr>
          <w:color w:val="000000"/>
          <w:sz w:val="20"/>
          <w:szCs w:val="20"/>
          <w:lang w:val="en-GB" w:eastAsia="zh-CN"/>
        </w:rPr>
        <w:t xml:space="preserve">  </w:t>
      </w:r>
      <w:r w:rsidR="00FE663B" w:rsidRPr="00CE0DE7">
        <w:rPr>
          <w:color w:val="000000"/>
          <w:sz w:val="20"/>
          <w:szCs w:val="20"/>
          <w:lang w:val="en-GB" w:eastAsia="zh-CN"/>
        </w:rPr>
        <w:t xml:space="preserve">    </w:t>
      </w:r>
      <w:r w:rsidR="00022A17" w:rsidRPr="00CE0DE7">
        <w:rPr>
          <w:color w:val="000000"/>
          <w:sz w:val="20"/>
          <w:szCs w:val="20"/>
          <w:lang w:val="en-GB" w:eastAsia="zh-CN"/>
        </w:rPr>
        <w:t xml:space="preserve">                     </w:t>
      </w:r>
      <w:r w:rsidR="00FE663B" w:rsidRPr="00CE0DE7">
        <w:rPr>
          <w:color w:val="000000"/>
          <w:sz w:val="20"/>
          <w:szCs w:val="20"/>
          <w:lang w:val="en-GB" w:eastAsia="zh-CN"/>
        </w:rPr>
        <w:t xml:space="preserve">   </w:t>
      </w:r>
      <w:r w:rsidR="004971D2">
        <w:rPr>
          <w:color w:val="000000"/>
          <w:sz w:val="20"/>
          <w:szCs w:val="20"/>
          <w:lang w:val="en-GB" w:eastAsia="zh-CN"/>
        </w:rPr>
        <w:t xml:space="preserve">      </w:t>
      </w:r>
      <w:r w:rsidR="00FE663B" w:rsidRPr="00CE0DE7">
        <w:rPr>
          <w:color w:val="000000"/>
          <w:sz w:val="20"/>
          <w:szCs w:val="20"/>
          <w:lang w:val="en-GB" w:eastAsia="zh-CN"/>
        </w:rPr>
        <w:t xml:space="preserve">    </w:t>
      </w:r>
      <w:r w:rsidR="008276B8" w:rsidRPr="00CE0DE7">
        <w:rPr>
          <w:color w:val="000000"/>
          <w:sz w:val="20"/>
          <w:szCs w:val="20"/>
          <w:lang w:val="en-GB" w:eastAsia="zh-CN"/>
        </w:rPr>
        <w:t xml:space="preserve">         </w:t>
      </w:r>
      <w:r w:rsidR="00FE663B" w:rsidRPr="00CE0DE7">
        <w:rPr>
          <w:color w:val="000000"/>
          <w:sz w:val="20"/>
          <w:szCs w:val="20"/>
          <w:lang w:val="en-GB" w:eastAsia="zh-CN"/>
        </w:rPr>
        <w:t xml:space="preserve">         </w:t>
      </w:r>
      <w:r w:rsidR="00EA2354" w:rsidRPr="00CE0DE7">
        <w:rPr>
          <w:color w:val="000000"/>
          <w:sz w:val="20"/>
          <w:szCs w:val="20"/>
          <w:lang w:val="en-GB"/>
        </w:rPr>
        <w:t>(</w:t>
      </w:r>
      <w:r w:rsidR="00604641" w:rsidRPr="00CE0DE7">
        <w:rPr>
          <w:color w:val="000000"/>
          <w:sz w:val="20"/>
          <w:szCs w:val="20"/>
          <w:lang w:val="en-GB" w:eastAsia="zh-CN"/>
        </w:rPr>
        <w:t>2</w:t>
      </w:r>
      <w:r w:rsidR="00EA2354" w:rsidRPr="00CE0DE7">
        <w:rPr>
          <w:color w:val="000000"/>
          <w:sz w:val="20"/>
          <w:szCs w:val="20"/>
          <w:lang w:val="en-GB"/>
        </w:rPr>
        <w:t>)</w:t>
      </w:r>
      <w:r w:rsidR="00BB55E4" w:rsidRPr="00CE0DE7">
        <w:rPr>
          <w:color w:val="000000"/>
          <w:sz w:val="20"/>
          <w:szCs w:val="20"/>
          <w:lang w:val="en-GB"/>
        </w:rPr>
        <w:fldChar w:fldCharType="begin"/>
      </w:r>
      <w:r w:rsidR="00BB55E4" w:rsidRPr="00CE0DE7">
        <w:rPr>
          <w:color w:val="000000"/>
          <w:sz w:val="20"/>
          <w:szCs w:val="20"/>
          <w:lang w:val="en-GB"/>
        </w:rPr>
        <w:instrText xml:space="preserve"> QUOTE </w:instrText>
      </w:r>
      <w:r w:rsidR="0086345E">
        <w:rPr>
          <w:position w:val="-18"/>
          <w:sz w:val="20"/>
          <w:szCs w:val="20"/>
        </w:rPr>
        <w:pict w14:anchorId="6C0109BC">
          <v:shape id="_x0000_i1027" type="#_x0000_t75" style="width:129.6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activeWritingStyle w:lang=&quot;IT&quot; w:vendorID=&quot;64&quot; w:dllVersion=&quot;131078&quot; w:nlCheck=&quot;on&quot; w:optionSet=&quot;0&quot;/&gt;&lt;w:activeWritingStyle w:lang=&quot;EN-GB&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ZH-CN&quot; w:vendorID=&quot;64&quot; w:dllVersion=&quot;131077&quot; w:nlCheck=&quot;on&quot; w:optionSet=&quot;1&quot;/&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docVars&gt;&lt;w:docVar w:name=&quot;EN.InstantFormat&quot; w:val=&quot;&amp;lt;ENInstantFormat&amp;gt;&amp;lt;Enabled&amp;gt;1&amp;lt;/Enabled&amp;gt;&amp;lt;ScanUnformatted&amp;gt;1&amp;lt;/ScanUnformatted&amp;gt;&amp;lt;ScanChanges&amp;gt;1&amp;lt;/ScanChanges&amp;gt;&amp;lt;Suspended&amp;gt;1&amp;lt;/Suspended&amp;gt;&amp;lt;/ENInstantFormat&amp;gt;&quot;/&gt;&lt;/w:docVars&gt;&lt;wsp:rsids&gt;&lt;wsp:rsidRoot wsp:val=&quot;005A7DC1&quot;/&gt;&lt;wsp:rsid wsp:val=&quot;00000683&quot;/&gt;&lt;wsp:rsid wsp:val=&quot;00005520&quot;/&gt;&lt;wsp:rsid wsp:val=&quot;000158DE&quot;/&gt;&lt;wsp:rsid wsp:val=&quot;00020798&quot;/&gt;&lt;wsp:rsid wsp:val=&quot;000210B6&quot;/&gt;&lt;wsp:rsid wsp:val=&quot;000255D7&quot;/&gt;&lt;wsp:rsid wsp:val=&quot;00050567&quot;/&gt;&lt;wsp:rsid wsp:val=&quot;00053812&quot;/&gt;&lt;wsp:rsid wsp:val=&quot;00053D40&quot;/&gt;&lt;wsp:rsid wsp:val=&quot;00057E1A&quot;/&gt;&lt;wsp:rsid wsp:val=&quot;000727CC&quot;/&gt;&lt;wsp:rsid wsp:val=&quot;00083588&quot;/&gt;&lt;wsp:rsid wsp:val=&quot;0008422D&quot;/&gt;&lt;wsp:rsid wsp:val=&quot;000A57FB&quot;/&gt;&lt;wsp:rsid wsp:val=&quot;000F1056&quot;/&gt;&lt;wsp:rsid wsp:val=&quot;00116C90&quot;/&gt;&lt;wsp:rsid wsp:val=&quot;00117BA1&quot;/&gt;&lt;wsp:rsid wsp:val=&quot;00144D02&quot;/&gt;&lt;wsp:rsid wsp:val=&quot;00161E5E&quot;/&gt;&lt;wsp:rsid wsp:val=&quot;00175EDE&quot;/&gt;&lt;wsp:rsid wsp:val=&quot;00195A1C&quot;/&gt;&lt;wsp:rsid wsp:val=&quot;001C04F0&quot;/&gt;&lt;wsp:rsid wsp:val=&quot;001C164C&quot;/&gt;&lt;wsp:rsid wsp:val=&quot;001D289C&quot;/&gt;&lt;wsp:rsid wsp:val=&quot;001E260B&quot;/&gt;&lt;wsp:rsid wsp:val=&quot;0021120D&quot;/&gt;&lt;wsp:rsid wsp:val=&quot;00240657&quot;/&gt;&lt;wsp:rsid wsp:val=&quot;00240D48&quot;/&gt;&lt;wsp:rsid wsp:val=&quot;00245AEA&quot;/&gt;&lt;wsp:rsid wsp:val=&quot;0025152B&quot;/&gt;&lt;wsp:rsid wsp:val=&quot;002538B5&quot;/&gt;&lt;wsp:rsid wsp:val=&quot;00256D49&quot;/&gt;&lt;wsp:rsid wsp:val=&quot;002673B7&quot;/&gt;&lt;wsp:rsid wsp:val=&quot;00277887&quot;/&gt;&lt;wsp:rsid wsp:val=&quot;0028450F&quot;/&gt;&lt;wsp:rsid wsp:val=&quot;00284650&quot;/&gt;&lt;wsp:rsid wsp:val=&quot;00293E74&quot;/&gt;&lt;wsp:rsid wsp:val=&quot;002A1949&quot;/&gt;&lt;wsp:rsid wsp:val=&quot;002A58EF&quot;/&gt;&lt;wsp:rsid wsp:val=&quot;002E1B3E&quot;/&gt;&lt;wsp:rsid wsp:val=&quot;002F2E25&quot;/&gt;&lt;wsp:rsid wsp:val=&quot;00303E18&quot;/&gt;&lt;wsp:rsid wsp:val=&quot;00323776&quot;/&gt;&lt;wsp:rsid wsp:val=&quot;00351057&quot;/&gt;&lt;wsp:rsid wsp:val=&quot;003516E6&quot;/&gt;&lt;wsp:rsid wsp:val=&quot;0035792A&quot;/&gt;&lt;wsp:rsid wsp:val=&quot;003912FE&quot;/&gt;&lt;wsp:rsid wsp:val=&quot;003C1C9F&quot;/&gt;&lt;wsp:rsid wsp:val=&quot;003E0727&quot;/&gt;&lt;wsp:rsid wsp:val=&quot;003E72E1&quot;/&gt;&lt;wsp:rsid wsp:val=&quot;003F3957&quot;/&gt;&lt;wsp:rsid wsp:val=&quot;003F3FAB&quot;/&gt;&lt;wsp:rsid wsp:val=&quot;003F4D95&quot;/&gt;&lt;wsp:rsid wsp:val=&quot;0041501D&quot;/&gt;&lt;wsp:rsid wsp:val=&quot;00431D7D&quot;/&gt;&lt;wsp:rsid wsp:val=&quot;00433AD3&quot;/&gt;&lt;wsp:rsid wsp:val=&quot;00435B8E&quot;/&gt;&lt;wsp:rsid wsp:val=&quot;00451802&quot;/&gt;&lt;wsp:rsid wsp:val=&quot;004910DB&quot;/&gt;&lt;wsp:rsid wsp:val=&quot;004925BD&quot;/&gt;&lt;wsp:rsid wsp:val=&quot;004958E8&quot;/&gt;&lt;wsp:rsid wsp:val=&quot;004E30FE&quot;/&gt;&lt;wsp:rsid wsp:val=&quot;004E6393&quot;/&gt;&lt;wsp:rsid wsp:val=&quot;00510F43&quot;/&gt;&lt;wsp:rsid wsp:val=&quot;00517C4E&quot;/&gt;&lt;wsp:rsid wsp:val=&quot;00542B63&quot;/&gt;&lt;wsp:rsid wsp:val=&quot;0054670A&quot;/&gt;&lt;wsp:rsid wsp:val=&quot;00550E20&quot;/&gt;&lt;wsp:rsid wsp:val=&quot;00555483&quot;/&gt;&lt;wsp:rsid wsp:val=&quot;00584560&quot;/&gt;&lt;wsp:rsid wsp:val=&quot;005A7DC1&quot;/&gt;&lt;wsp:rsid wsp:val=&quot;005C0609&quot;/&gt;&lt;wsp:rsid wsp:val=&quot;005C67B0&quot;/&gt;&lt;wsp:rsid wsp:val=&quot;005D2F2A&quot;/&gt;&lt;wsp:rsid wsp:val=&quot;005E1AB1&quot;/&gt;&lt;wsp:rsid wsp:val=&quot;005E43AC&quot;/&gt;&lt;wsp:rsid wsp:val=&quot;005F30F4&quot;/&gt;&lt;wsp:rsid wsp:val=&quot;006206C5&quot;/&gt;&lt;wsp:rsid wsp:val=&quot;006261FE&quot;/&gt;&lt;wsp:rsid wsp:val=&quot;006467C0&quot;/&gt;&lt;wsp:rsid wsp:val=&quot;00650E71&quot;/&gt;&lt;wsp:rsid wsp:val=&quot;006555F5&quot;/&gt;&lt;wsp:rsid wsp:val=&quot;00683885&quot;/&gt;&lt;wsp:rsid wsp:val=&quot;00683FDC&quot;/&gt;&lt;wsp:rsid wsp:val=&quot;00696E50&quot;/&gt;&lt;wsp:rsid wsp:val=&quot;006B43B7&quot;/&gt;&lt;wsp:rsid wsp:val=&quot;006C2030&quot;/&gt;&lt;wsp:rsid wsp:val=&quot;006E1261&quot;/&gt;&lt;wsp:rsid wsp:val=&quot;006F013F&quot;/&gt;&lt;wsp:rsid wsp:val=&quot;006F0390&quot;/&gt;&lt;wsp:rsid wsp:val=&quot;00703127&quot;/&gt;&lt;wsp:rsid wsp:val=&quot;0070445E&quot;/&gt;&lt;wsp:rsid wsp:val=&quot;0071350B&quot;/&gt;&lt;wsp:rsid wsp:val=&quot;00714E77&quot;/&gt;&lt;wsp:rsid wsp:val=&quot;007244C8&quot;/&gt;&lt;wsp:rsid wsp:val=&quot;00730061&quot;/&gt;&lt;wsp:rsid wsp:val=&quot;00733DAA&quot;/&gt;&lt;wsp:rsid wsp:val=&quot;007471DC&quot;/&gt;&lt;wsp:rsid wsp:val=&quot;007626CE&quot;/&gt;&lt;wsp:rsid wsp:val=&quot;007679DC&quot;/&gt;&lt;wsp:rsid wsp:val=&quot;00783F61&quot;/&gt;&lt;wsp:rsid wsp:val=&quot;007932BF&quot;/&gt;&lt;wsp:rsid wsp:val=&quot;007C1E3E&quot;/&gt;&lt;wsp:rsid wsp:val=&quot;007F311F&quot;/&gt;&lt;wsp:rsid wsp:val=&quot;008013E9&quot;/&gt;&lt;wsp:rsid wsp:val=&quot;00822C28&quot;/&gt;&lt;wsp:rsid wsp:val=&quot;00833C5E&quot;/&gt;&lt;wsp:rsid wsp:val=&quot;00855D08&quot;/&gt;&lt;wsp:rsid wsp:val=&quot;00870715&quot;/&gt;&lt;wsp:rsid wsp:val=&quot;00890F61&quot;/&gt;&lt;wsp:rsid wsp:val=&quot;008A1B4C&quot;/&gt;&lt;wsp:rsid wsp:val=&quot;008B4045&quot;/&gt;&lt;wsp:rsid wsp:val=&quot;008C2F55&quot;/&gt;&lt;wsp:rsid wsp:val=&quot;008C3051&quot;/&gt;&lt;wsp:rsid wsp:val=&quot;008C3F44&quot;/&gt;&lt;wsp:rsid wsp:val=&quot;008D767D&quot;/&gt;&lt;wsp:rsid wsp:val=&quot;008E108F&quot;/&gt;&lt;wsp:rsid wsp:val=&quot;008E7993&quot;/&gt;&lt;wsp:rsid wsp:val=&quot;008F2CFC&quot;/&gt;&lt;wsp:rsid wsp:val=&quot;009013E3&quot;/&gt;&lt;wsp:rsid wsp:val=&quot;009056D0&quot;/&gt;&lt;wsp:rsid wsp:val=&quot;00926EE8&quot;/&gt;&lt;wsp:rsid wsp:val=&quot;00942E36&quot;/&gt;&lt;wsp:rsid wsp:val=&quot;00973A2F&quot;/&gt;&lt;wsp:rsid wsp:val=&quot;009774F3&quot;/&gt;&lt;wsp:rsid wsp:val=&quot;009807CA&quot;/&gt;&lt;wsp:rsid wsp:val=&quot;009912E8&quot;/&gt;&lt;wsp:rsid wsp:val=&quot;00992ADF&quot;/&gt;&lt;wsp:rsid wsp:val=&quot;00992F96&quot;/&gt;&lt;wsp:rsid wsp:val=&quot;00997F60&quot;/&gt;&lt;wsp:rsid wsp:val=&quot;009A04DD&quot;/&gt;&lt;wsp:rsid wsp:val=&quot;009A0DA2&quot;/&gt;&lt;wsp:rsid wsp:val=&quot;009C005B&quot;/&gt;&lt;wsp:rsid wsp:val=&quot;009C26AE&quot;/&gt;&lt;wsp:rsid wsp:val=&quot;009D0287&quot;/&gt;&lt;wsp:rsid wsp:val=&quot;009D46AA&quot;/&gt;&lt;wsp:rsid wsp:val=&quot;009D4ABB&quot;/&gt;&lt;wsp:rsid wsp:val=&quot;009D4BEB&quot;/&gt;&lt;wsp:rsid wsp:val=&quot;009E05D3&quot;/&gt;&lt;wsp:rsid wsp:val=&quot;00A651AF&quot;/&gt;&lt;wsp:rsid wsp:val=&quot;00A732C3&quot;/&gt;&lt;wsp:rsid wsp:val=&quot;00A752D0&quot;/&gt;&lt;wsp:rsid wsp:val=&quot;00A81605&quot;/&gt;&lt;wsp:rsid wsp:val=&quot;00A918FC&quot;/&gt;&lt;wsp:rsid wsp:val=&quot;00AA3728&quot;/&gt;&lt;wsp:rsid wsp:val=&quot;00AB6674&quot;/&gt;&lt;wsp:rsid wsp:val=&quot;00AC4068&quot;/&gt;&lt;wsp:rsid wsp:val=&quot;00AC4F96&quot;/&gt;&lt;wsp:rsid wsp:val=&quot;00AD4288&quot;/&gt;&lt;wsp:rsid wsp:val=&quot;00AE7EC4&quot;/&gt;&lt;wsp:rsid wsp:val=&quot;00AF39FB&quot;/&gt;&lt;wsp:rsid wsp:val=&quot;00AF5042&quot;/&gt;&lt;wsp:rsid wsp:val=&quot;00B016D0&quot;/&gt;&lt;wsp:rsid wsp:val=&quot;00B77A46&quot;/&gt;&lt;wsp:rsid wsp:val=&quot;00B87F23&quot;/&gt;&lt;wsp:rsid wsp:val=&quot;00BB05CE&quot;/&gt;&lt;wsp:rsid wsp:val=&quot;00BB55E4&quot;/&gt;&lt;wsp:rsid wsp:val=&quot;00BC3690&quot;/&gt;&lt;wsp:rsid wsp:val=&quot;00BD6FD2&quot;/&gt;&lt;wsp:rsid wsp:val=&quot;00BE55D2&quot;/&gt;&lt;wsp:rsid wsp:val=&quot;00BE6A20&quot;/&gt;&lt;wsp:rsid wsp:val=&quot;00BF3102&quot;/&gt;&lt;wsp:rsid wsp:val=&quot;00C149D9&quot;/&gt;&lt;wsp:rsid wsp:val=&quot;00C36821&quot;/&gt;&lt;wsp:rsid wsp:val=&quot;00C51A7F&quot;/&gt;&lt;wsp:rsid wsp:val=&quot;00C80E47&quot;/&gt;&lt;wsp:rsid wsp:val=&quot;00C83E48&quot;/&gt;&lt;wsp:rsid wsp:val=&quot;00CC4F12&quot;/&gt;&lt;wsp:rsid wsp:val=&quot;00CD6B14&quot;/&gt;&lt;wsp:rsid wsp:val=&quot;00D07D71&quot;/&gt;&lt;wsp:rsid wsp:val=&quot;00D21365&quot;/&gt;&lt;wsp:rsid wsp:val=&quot;00D225F9&quot;/&gt;&lt;wsp:rsid wsp:val=&quot;00D5023F&quot;/&gt;&lt;wsp:rsid wsp:val=&quot;00D70660&quot;/&gt;&lt;wsp:rsid wsp:val=&quot;00DB7906&quot;/&gt;&lt;wsp:rsid wsp:val=&quot;00DC24A7&quot;/&gt;&lt;wsp:rsid wsp:val=&quot;00DC3ABC&quot;/&gt;&lt;wsp:rsid wsp:val=&quot;00DC7A0C&quot;/&gt;&lt;wsp:rsid wsp:val=&quot;00DD207B&quot;/&gt;&lt;wsp:rsid wsp:val=&quot;00DD3FD6&quot;/&gt;&lt;wsp:rsid wsp:val=&quot;00DD4C6E&quot;/&gt;&lt;wsp:rsid wsp:val=&quot;00DD61EB&quot;/&gt;&lt;wsp:rsid wsp:val=&quot;00DF1BFC&quot;/&gt;&lt;wsp:rsid wsp:val=&quot;00E00557&quot;/&gt;&lt;wsp:rsid wsp:val=&quot;00E02DCC&quot;/&gt;&lt;wsp:rsid wsp:val=&quot;00E15C00&quot;/&gt;&lt;wsp:rsid wsp:val=&quot;00E214E7&quot;/&gt;&lt;wsp:rsid wsp:val=&quot;00E215BE&quot;/&gt;&lt;wsp:rsid wsp:val=&quot;00E3424D&quot;/&gt;&lt;wsp:rsid wsp:val=&quot;00E35CBB&quot;/&gt;&lt;wsp:rsid wsp:val=&quot;00E65A87&quot;/&gt;&lt;wsp:rsid wsp:val=&quot;00E85670&quot;/&gt;&lt;wsp:rsid wsp:val=&quot;00E94F13&quot;/&gt;&lt;wsp:rsid wsp:val=&quot;00EB0F73&quot;/&gt;&lt;wsp:rsid wsp:val=&quot;00EB732A&quot;/&gt;&lt;wsp:rsid wsp:val=&quot;00EC341B&quot;/&gt;&lt;wsp:rsid wsp:val=&quot;00EF2F9A&quot;/&gt;&lt;wsp:rsid wsp:val=&quot;00F07F8A&quot;/&gt;&lt;wsp:rsid wsp:val=&quot;00F40CD1&quot;/&gt;&lt;wsp:rsid wsp:val=&quot;00F44667&quot;/&gt;&lt;wsp:rsid wsp:val=&quot;00F60E1D&quot;/&gt;&lt;wsp:rsid wsp:val=&quot;00F65773&quot;/&gt;&lt;wsp:rsid wsp:val=&quot;00F67FAC&quot;/&gt;&lt;wsp:rsid wsp:val=&quot;00F7154E&quot;/&gt;&lt;wsp:rsid wsp:val=&quot;00F81CD8&quot;/&gt;&lt;wsp:rsid wsp:val=&quot;00F87419&quot;/&gt;&lt;wsp:rsid wsp:val=&quot;00F96EE2&quot;/&gt;&lt;wsp:rsid wsp:val=&quot;00FA61E4&quot;/&gt;&lt;wsp:rsid wsp:val=&quot;00FC6FED&quot;/&gt;&lt;wsp:rsid wsp:val=&quot;00FD00B9&quot;/&gt;&lt;wsp:rsid wsp:val=&quot;00FD0230&quot;/&gt;&lt;wsp:rsid wsp:val=&quot;00FD7C06&quot;/&gt;&lt;wsp:rsid wsp:val=&quot;00FD7CDF&quot;/&gt;&lt;wsp:rsid wsp:val=&quot;00FF04DD&quot;/&gt;&lt;/wsp:rsids&gt;&lt;/w:docPr&gt;&lt;w:body&gt;&lt;wx:sect&gt;&lt;w:p wsp:rsidR=&quot;00000000&quot; wsp:rsidRDefault=&quot;00E94F13&quot; wsp:rsidP=&quot;00E94F13&quot;&gt;&lt;m:oMathPara&gt;&lt;m:oMath&gt;&lt;m:sSub&gt;&lt;m:sSubPr&gt;&lt;m:ctrlPr&gt;&lt;w:rPr&gt;&lt;w:rFonts w:ascii=&quot;Cambria Math&quot; w:h-ansi=&quot;Cambria Math&quot;/&gt;&lt;wx:font wx:val=&quot;Cambria Math&quot;/&gt;&lt;w:color w:val=&quot;000000&quot;/&gt;&lt;w:lang w:val=&quot;EN-GB&quot;/&gt;&lt;/w:rPr&gt;&lt;/m:ctrlPr&gt;&lt;/m:sSubPr&gt;&lt;m:e&gt;&lt;m:r&gt;&lt;w:rPr&gt;&lt;w:rFonts w:ascii=&quot;Cambria Math&quot; w:h-ansi=&quot;Cambria Math&quot;/&gt;&lt;wx:font wx:val=&quot;Cambria Math&quot;/&gt;&lt;w:i/&gt;&lt;w:color w:val=&quot;000000&quot;/&gt;&lt;w:lang w:val=&quot;EN-GB&quot;/&gt;&lt;/w:rPr&gt;&lt;m:t&gt;AILLIQ&lt;/m:t&gt;&lt;/m:r&gt;&lt;/m:e&gt;&lt;m:sub&gt;&lt;m:r&gt;&lt;w:rPr&gt;&lt;w:rFonts w:ascii=&quot;Cambria Math&quot; w:h-ansi=&quot;Cambria Math&quot;/&gt;&lt;wx:font wx:val=&quot;Cambria Math&quot;/&gt;&lt;w:i/&gt;&lt;w:color w:val=&quot;000000&quot;/&gt;&lt;w:lang w:val=&quot;EN-GB&quot;/&gt;&lt;/w:rPr&gt;&lt;m:t&gt;i&lt;/m:t&gt;&lt;/m:r&gt;&lt;/m:sub&gt;&lt;/m:sSub&gt;&lt;m:r&gt;&lt;m:rPr&gt;&lt;m:sty m:val=&quot;p&quot;/&gt;&lt;/m:rPr&gt;&lt;w:rPr&gt;&lt;w:rFonts w:ascii=&quot;Cambria Math&quot; w:h-ansi=&quot;Cambria Math&quot;/&gt;&lt;wx:font wx:val=&quot;Cambria Math&quot;/&gt;&lt;w:color w:val=&quot;000000&quot;/&gt;&lt;w:lang w:val=&quot;EN-GB&quot;/&gt;&lt;/w:rPr&gt;&lt;m:t&gt;=&lt;/m:t&gt;&lt;/m:r&gt;&lt;m:f&gt;&lt;m:fPr&gt;&lt;m:ctrlPr&gt;&lt;w:rPr&gt;&lt;w:rFonts w:ascii=&quot;Cambria Math&quot; w:h-ansi=&quot;Cambria Math&quot;/&gt;&lt;wx:font wx:val=&quot;Cambria Math&quot;/&gt;&lt;w:color w:val=&quot;000000&quot;/&gt;&lt;w:lang w:val=&quot;EN-GB&quot;/&gt;&lt;/w:rPr&gt;&lt;/m:ctrlPr&gt;&lt;/m:fPr&gt;&lt;m:num&gt;&lt;m:r&gt;&lt;w:rPr&gt;&lt;w:rFonts w:ascii=&quot;Cambria Math&quot; w:h-ansi=&quot;Cambria Math&quot;/&gt;&lt;wx:font wx:val=&quot;Cambria Math&quot;/&gt;&lt;w:i/&gt;&lt;w:color w:val=&quot;000000&quot;/&gt;&lt;w:lang w:val=&quot;EN-GB&quot;/&gt;&lt;/w:rPr&gt;&lt;m:t&gt;1&lt;/m:t&gt;&lt;/m:r&gt;&lt;/m:num&gt;&lt;m:den&gt;&lt;m:sSub&gt;&lt;m:sSubPr&gt;&lt;m:ctrlPr&gt;&lt;w:rPr&gt;&lt;w:rFonts w:ascii=&quot;Cambria Math&quot; w:h-ansi=&quot;Cambria Math&quot;/&gt;&lt;wx:font wx:val=&quot;Cambria Math&quot;/&gt;&lt;w:i/&gt;&lt;w:color w:val=&quot;000000&quot;/&gt;&lt;w:lang w:val=&quot;EN-GB&quot;/&gt;&lt;/w:rPr&gt;&lt;/m:ctrlPr&gt;&lt;/m:sSubPr&gt;&lt;m:e&gt;&lt;m:r&gt;&lt;w:rPr&gt;&lt;w:rFonts w:ascii=&quot;Cambria Math&quot; w:h-ansi=&quot;Cambria Math&quot;/&gt;&lt;wx:font wx:val=&quot;Cambria Math&quot;/&gt;&lt;w:i/&gt;&lt;w:color w:val=&quot;000000&quot;/&gt;&lt;w:lang w:val=&quot;EN-GB&quot;/&gt;&lt;/w:rPr&gt;&lt;m:t&gt;D&lt;/m:t&gt;&lt;/m:r&gt;&lt;/m:e&gt;&lt;m:sub&gt;&lt;m:r&gt;&lt;w:rPr&gt;&lt;w:rFonts w:ascii=&quot;Cambria Math&quot; w:h-ansi=&quot;Cambria Math&quot;/&gt;&lt;wx:font wx:val=&quot;Cambria Math&quot;/&gt;&lt;w:i/&gt;&lt;w:color w:val=&quot;000000&quot;/&gt;&lt;w:lang w:val=&quot;EN-GB&quot;/&gt;&lt;/w:rPr&gt;&lt;m:t&gt;i&lt;/m:t&gt;&lt;/m:r&gt;&lt;/m:sub&gt;&lt;/m:sSub&gt;&lt;/m:den&gt;&lt;/m:f&gt;&lt;m:nary&gt;&lt;m:naryPr&gt;&lt;m:chr m:val=&quot;a?‘&quot;/&gt;&lt;m:limLoc m:val=&quot;undOvrtttttttttttttttttttttttttttttttttttttttttttttttttttttttttttttttttttttttttttttttttttttttttttttttttttttttttttttttttttttttttttttttttttttttttttttttttttttttttttttttttttttttttttttttttttttttttttttttttttttttttttttttttttttttttttttttttttttttttttttttttttttttttttttttttttttt&quot;/&gt;&lt;m:ctrlPr&gt;&lt;w:rPr&gt;&lt;w:rFonts w:ascii=&quot;Cambria Math&quot; w:h-ansi=&quot;Cambria Math&quot;/&gt;&lt;wx:font wx:val=&quot;Cambria Math&quot;/&gt;&lt;w:i/&gt;&lt;w:color w:val=&quot;000000&quot;/&gt;&lt;w:lang w:val=&quot;EN-GB&quot;/&gt;&lt;/w:rPr&gt;&lt;/m:ctrlPr&gt;&lt;/m:naryPr&gt;&lt;m:sub&gt;&lt;m:r&gt;&lt;w:rPr&gt;&lt;w:rFonts w:ascii=&quot;Cambria Math&quot; w:h-ansi=&quot;Cambria Math&quot;/&gt;&lt;wx:font wx:val=&quot;Cambria Math&quot;/&gt;&lt;w:i/&gt;&lt;w:color w:val=&quot;000000&quot;/&gt;&lt;w:lang w:val=&quot;EN-GB&quot;/&gt;&lt;/w:rPr&gt;&lt;m:t&gt;d=1&lt;/m:t&gt;&lt;/m:r&gt;&lt;/m:sub&gt;&lt;m:sup&gt;&lt;m:sSub&gt;&lt;m:sSubPr&gt;&lt;m:ctrlPr&gt;&lt;w:rPr&gt;&lt;w:rFonts w:ascii=&quot;Cambria Math&quot; w:h-ansi=&quot;Cambria Math&quot;/&gt;&lt;wx:font wx:val=&quot;Cambria Math&quot;/&gt;&lt;w:i/&gt;&lt;w:color w:val=&quot;000000&quot;/&gt;&lt;w:lang w:val=&quot;EN-GB&quot;/&gt;&lt;/w:rPr&gt;&lt;/m:ctrlPr&gt;&lt;/m:sSubPr&gt;&lt;m:e&gt;&lt;m:r&gt;&lt;w:rPr&gt;&lt;w:rFonts w:ascii=&quot;Cambria Math&quot; w:h-ansi=&quot;Cambria Math&quot;/&gt;&lt;wx:font wx:val=&quot;Cambria Math&quot;/&gt;&lt;w:i/&gt;&lt;w:color w:val=&quot;000000&quot;/&gt;&lt;w:lang w:val=&quot;EN-GB&quot;/&gt;&lt;/w:rPr&gt;&lt;m:t&gt;D&lt;/m:t&gt;&lt;/m:r&gt;&lt;/m:e&gt;&lt;m:sub&gt;&lt;m:r&gt;&lt;w:rPr&gt;&lt;w:rFonts w:ascii=&quot;Cambria Math&quot; w:h-ansi=&quot;Cambria Math&quot;/&gt;&lt;wx:font wx:val=&quot;Cambria Math&quot;/&gt;&lt;w:i/&gt;&lt;w:color w:val=&quot;000000&quot;/&gt;&lt;w:lang w:val=&quot;EN-GB&quot;/&gt;&lt;/w:rPr&gt;&lt;m:t&gt;i&lt;/m:t&gt;&lt;/m:r&gt;&lt;/m:sub&gt;&lt;/m:sSub&gt;&lt;/m:sup&gt;&lt;m:e&gt;&lt;m:f&gt;&lt;m:fPr&gt;&lt;m:ctrlPr&gt;&lt;w:rPr&gt;&lt;w:rFonts w:ascii=&quot;Cambria Math&quot; w:h-ansi=&quot;Cambria Math&quot;/&gt;&lt;wx:font wx:val=&quot;Cambria Math&quot;/&gt;&lt;w:i/&gt;&lt;w:color w:val=&quot;000000&quot;/&gt;&lt;w:lang w:val=&quot;EN-GB&quot;/&gt;&lt;/w:rPr&gt;&lt;/m:ctrlPr&gt;&lt;/m:fPr&gt;&lt;m:num&gt;&lt;m:d&gt;&lt;m:dPr&gt;&lt;m:begChr m:val=&quot;|&quot;/&gt;&lt;m:endChr m:val=&quot;|&quot;/&gt;&lt;m:ctrlPr&gt;&lt;w:rPr&gt;&lt;w:rFonts w:ascii=&quot;Cambria Math&quot; w:h-ansi=&quot;Cambria Math&quot;/&gt;&lt;wx:font wx:val=&quot;Cambria Math&quot;/&gt;&lt;w:i/&gt;&lt;w:color w:val=&quot;000000&quot;/&gt;&lt;w:lang w:val=&quot;EN-GB&quot;/&gt;&lt;/w:rPr&gt;&lt;/m:ctrlPr&gt;&lt;/m:dPr&gt;&lt;m:e&gt;&lt;m:sSub&gt;&lt;m:sSubPr&gt;&lt;m:ctrlPr&gt;&lt;w:rPr&gt;&lt;w:rFonts w:ascii=&quot;Cambria Math&quot; w:h-ansi=&quot;Cambria Math&quot;/&gt;&lt;wx:font wx:val=&quot;Cambria Math&quot;/&gt;&lt;w:i/&gt;&lt;w:color w:val=&quot;000000&quot;/&gt;&lt;w:lang w:val=&quot;EN-GB&quot;/&gt;&lt;/w:rPr&gt;&lt;/m:ctrlPr&gt;&lt;/m:sSubPr&gt;&lt;m:e&gt;&lt;m:r&gt;&lt;w:rPr&gt;&lt;w:rFonts w:ascii=&quot;Cambria Math&quot; w:h-ansi=&quot;Cambria Math&quot;/&gt;&lt;wx:font wx:val=&quot;Cambria Math&quot;/&gt;&lt;w:i/&gt;&lt;w:color w:val=&quot;000000&quot;/&gt;&lt;w:lang w:val=&quot;EN-GB&quot;/&gt;&lt;/w:rPr&gt;&lt;m:t&gt;R&lt;/m:t&gt;&lt;/m:r&gt;&lt;/m:e&gt;&lt;m:sub&gt;&lt;m:r&gt;&lt;w:rPr&gt;&lt;w:rFonts w:ascii=&quot;Cambria Math&quot; w:h-ansi=&quot;Cambria Math&quot;/&gt;&lt;wx:font wx:val=&quot;Cambria Math&quot;/&gt;&lt;w:i/&gt;&lt;w:color w:val=&quot;000000&quot;/&gt;&lt;w:lang w:val=&quot;EN-GB&quot;/&gt;&lt;/w:rPr&gt;&lt;m:t&gt;i,d&lt;/m:t&gt;&lt;/m:r&gt;&lt;/m:sub&gt;&lt;/m:sSub&gt;&lt;/m:e&gt;&lt;/m:d&gt;&lt;/m:num&gt;&lt;m:den&gt;&lt;m:sSub&gt;&lt;m:sSubPr&gt;&lt;m:ctrlPr&gt;&lt;w:rPr&gt;&lt;w:rFonts w:ascii=&quot;Cambria Math&quot; w:h-ansi=&quot;Cambria Math&quot;/&gt;&lt;wx:font wx:val=&quot;Cambria Math&quot;/&gt;&lt;w:i/&gt;&lt;w:color w:val=&quot;000000&quot;/&gt;&lt;w:lang w:val=&quot;EN-GB&quot;/&gt;&lt;/w:rPr&gt;&lt;/m:ctrlPr&gt;&lt;/m:sSubPr&gt;&lt;m:e&gt;&lt;m:r&gt;&lt;w:rPr&gt;&lt;w:rFonts w:ascii=&quot;Cambria Math&quot; w:h-ansi=&quot;Cambria Math&quot;/&gt;&lt;wx:font wx:val=&quot;Cambria Math&quot;/&gt;&lt;w:i/&gt;&lt;w:color w:val=&quot;000000&quot;/&gt;&lt;w:lang w:val=&quot;EN-GB&quot;/&gt;&lt;/w:rPr&gt;&lt;m:t&gt;VOLD&lt;/m:t&gt;&lt;/m:r&gt;&lt;/m:e&gt;&lt;m:sub&gt;&lt;m:r&gt;&lt;w:rPr&gt;&lt;w:rFonts w:ascii=&quot;Cambria Math&quot; w:h-ansi=&quot;Cambria Math&quot;/&gt;&lt;wx:font wx:val=&quot;Cambria Math&quot;/&gt;&lt;w:i/&gt;&lt;w:color w:val=&quot;000000&quot;/&gt;&lt;w:lang w:val=&quot;EN-GB&quot;/&gt;&lt;/w:rPr&gt;&lt;m:t&gt;i,d&lt;/m:t&gt;&lt;/m:r&gt;&lt;/m:sub&gt;&lt;/m:sSub&gt;&lt;/m:den&gt;&lt;/m:f&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BB55E4" w:rsidRPr="00CE0DE7">
        <w:rPr>
          <w:color w:val="000000"/>
          <w:sz w:val="20"/>
          <w:szCs w:val="20"/>
          <w:lang w:val="en-GB"/>
        </w:rPr>
        <w:instrText xml:space="preserve"> </w:instrText>
      </w:r>
      <w:r w:rsidR="00BB55E4" w:rsidRPr="00CE0DE7">
        <w:rPr>
          <w:color w:val="000000"/>
          <w:sz w:val="20"/>
          <w:szCs w:val="20"/>
          <w:lang w:val="en-GB"/>
        </w:rPr>
        <w:fldChar w:fldCharType="end"/>
      </w:r>
    </w:p>
    <w:p w14:paraId="52AADFFA" w14:textId="5B670527" w:rsidR="005A7DC1" w:rsidRPr="00CE0DE7" w:rsidRDefault="005A7DC1" w:rsidP="00DD61EB">
      <w:pPr>
        <w:adjustRightInd w:val="0"/>
        <w:snapToGrid w:val="0"/>
        <w:spacing w:line="480" w:lineRule="auto"/>
        <w:jc w:val="both"/>
        <w:rPr>
          <w:color w:val="000000"/>
          <w:sz w:val="20"/>
          <w:szCs w:val="20"/>
          <w:lang w:val="en-GB"/>
        </w:rPr>
      </w:pPr>
      <w:proofErr w:type="gramStart"/>
      <w:r w:rsidRPr="00CE0DE7">
        <w:rPr>
          <w:color w:val="000000"/>
          <w:sz w:val="20"/>
          <w:szCs w:val="20"/>
          <w:lang w:val="en-GB"/>
        </w:rPr>
        <w:t>where</w:t>
      </w:r>
      <w:proofErr w:type="gramEnd"/>
      <w:r w:rsidRPr="00CE0DE7">
        <w:rPr>
          <w:color w:val="000000"/>
          <w:sz w:val="20"/>
          <w:szCs w:val="20"/>
          <w:lang w:val="en-GB"/>
        </w:rPr>
        <w:t xml:space="preserve"> </w:t>
      </w:r>
      <w:proofErr w:type="spellStart"/>
      <w:r w:rsidRPr="00CE0DE7">
        <w:rPr>
          <w:i/>
          <w:color w:val="000000"/>
          <w:sz w:val="20"/>
          <w:szCs w:val="20"/>
          <w:lang w:val="en-GB"/>
        </w:rPr>
        <w:t>R</w:t>
      </w:r>
      <w:r w:rsidRPr="00CE0DE7">
        <w:rPr>
          <w:i/>
          <w:color w:val="000000"/>
          <w:sz w:val="20"/>
          <w:szCs w:val="20"/>
          <w:vertAlign w:val="subscript"/>
          <w:lang w:val="en-GB"/>
        </w:rPr>
        <w:t>i,d</w:t>
      </w:r>
      <w:proofErr w:type="spellEnd"/>
      <w:r w:rsidRPr="00CE0DE7">
        <w:rPr>
          <w:i/>
          <w:color w:val="000000"/>
          <w:sz w:val="20"/>
          <w:szCs w:val="20"/>
          <w:lang w:val="en-GB"/>
        </w:rPr>
        <w:t xml:space="preserve"> </w:t>
      </w:r>
      <w:r w:rsidRPr="00CE0DE7">
        <w:rPr>
          <w:color w:val="000000"/>
          <w:sz w:val="20"/>
          <w:szCs w:val="20"/>
          <w:lang w:val="en-GB"/>
        </w:rPr>
        <w:t>is the return on stock</w:t>
      </w:r>
      <w:r w:rsidRPr="00CE0DE7">
        <w:rPr>
          <w:i/>
          <w:color w:val="000000"/>
          <w:sz w:val="20"/>
          <w:szCs w:val="20"/>
          <w:lang w:val="en-GB"/>
        </w:rPr>
        <w:t xml:space="preserve"> </w:t>
      </w:r>
      <w:r w:rsidRPr="00CE0DE7">
        <w:rPr>
          <w:i/>
          <w:color w:val="000000"/>
          <w:sz w:val="20"/>
          <w:szCs w:val="20"/>
          <w:lang w:val="en-GB" w:eastAsia="zh-CN"/>
        </w:rPr>
        <w:t>i</w:t>
      </w:r>
      <w:r w:rsidRPr="00CE0DE7">
        <w:rPr>
          <w:color w:val="000000"/>
          <w:sz w:val="20"/>
          <w:szCs w:val="20"/>
          <w:lang w:val="en-GB"/>
        </w:rPr>
        <w:t xml:space="preserve"> on day </w:t>
      </w:r>
      <w:proofErr w:type="spellStart"/>
      <w:r w:rsidRPr="00CE0DE7">
        <w:rPr>
          <w:i/>
          <w:color w:val="000000"/>
          <w:sz w:val="20"/>
          <w:szCs w:val="20"/>
          <w:lang w:val="en-GB" w:eastAsia="zh-CN"/>
        </w:rPr>
        <w:t>d</w:t>
      </w:r>
      <w:r w:rsidR="00DE053B" w:rsidRPr="00CE0DE7">
        <w:rPr>
          <w:i/>
          <w:color w:val="000000"/>
          <w:sz w:val="20"/>
          <w:szCs w:val="20"/>
          <w:lang w:val="en-GB" w:eastAsia="zh-CN"/>
        </w:rPr>
        <w:t xml:space="preserve"> </w:t>
      </w:r>
      <w:r w:rsidR="00DE053B" w:rsidRPr="00CE0DE7">
        <w:rPr>
          <w:color w:val="000000"/>
          <w:sz w:val="20"/>
          <w:szCs w:val="20"/>
          <w:lang w:val="en-GB" w:eastAsia="zh-CN"/>
        </w:rPr>
        <w:t>in</w:t>
      </w:r>
      <w:proofErr w:type="spellEnd"/>
      <w:r w:rsidR="00DE053B" w:rsidRPr="00CE0DE7">
        <w:rPr>
          <w:color w:val="000000"/>
          <w:sz w:val="20"/>
          <w:szCs w:val="20"/>
          <w:lang w:val="en-GB" w:eastAsia="zh-CN"/>
        </w:rPr>
        <w:t xml:space="preserve"> month</w:t>
      </w:r>
      <w:r w:rsidR="00DE053B" w:rsidRPr="00CE0DE7">
        <w:rPr>
          <w:i/>
          <w:color w:val="000000"/>
          <w:sz w:val="20"/>
          <w:szCs w:val="20"/>
          <w:lang w:val="en-GB" w:eastAsia="zh-CN"/>
        </w:rPr>
        <w:t xml:space="preserve"> t</w:t>
      </w:r>
      <w:r w:rsidRPr="00CE0DE7">
        <w:rPr>
          <w:color w:val="000000"/>
          <w:sz w:val="20"/>
          <w:szCs w:val="20"/>
          <w:lang w:val="en-GB"/>
        </w:rPr>
        <w:t xml:space="preserve">, </w:t>
      </w:r>
      <w:proofErr w:type="spellStart"/>
      <w:r w:rsidRPr="00CE0DE7">
        <w:rPr>
          <w:i/>
          <w:color w:val="000000"/>
          <w:sz w:val="20"/>
          <w:szCs w:val="20"/>
          <w:lang w:val="en-GB"/>
        </w:rPr>
        <w:t>VOLD</w:t>
      </w:r>
      <w:r w:rsidRPr="00CE0DE7">
        <w:rPr>
          <w:i/>
          <w:color w:val="000000"/>
          <w:sz w:val="20"/>
          <w:szCs w:val="20"/>
          <w:vertAlign w:val="subscript"/>
          <w:lang w:val="en-GB"/>
        </w:rPr>
        <w:t>i,d</w:t>
      </w:r>
      <w:proofErr w:type="spellEnd"/>
      <w:r w:rsidRPr="00CE0DE7">
        <w:rPr>
          <w:color w:val="000000"/>
          <w:sz w:val="20"/>
          <w:szCs w:val="20"/>
          <w:lang w:val="en-GB"/>
        </w:rPr>
        <w:t xml:space="preserve"> is the corresponding daily volume in </w:t>
      </w:r>
      <w:r w:rsidR="005441A2" w:rsidRPr="00CE0DE7">
        <w:rPr>
          <w:color w:val="000000"/>
          <w:sz w:val="20"/>
          <w:szCs w:val="20"/>
          <w:lang w:val="en-GB" w:eastAsia="zh-CN"/>
        </w:rPr>
        <w:t xml:space="preserve">US  </w:t>
      </w:r>
      <w:r w:rsidRPr="00CE0DE7">
        <w:rPr>
          <w:color w:val="000000"/>
          <w:sz w:val="20"/>
          <w:szCs w:val="20"/>
          <w:lang w:val="en-GB"/>
        </w:rPr>
        <w:t xml:space="preserve">dollars, and </w:t>
      </w:r>
      <w:r w:rsidRPr="00CE0DE7">
        <w:rPr>
          <w:i/>
          <w:color w:val="000000"/>
          <w:sz w:val="20"/>
          <w:szCs w:val="20"/>
          <w:lang w:val="en-GB"/>
        </w:rPr>
        <w:t>D</w:t>
      </w:r>
      <w:r w:rsidRPr="00CE0DE7">
        <w:rPr>
          <w:i/>
          <w:color w:val="000000"/>
          <w:sz w:val="20"/>
          <w:szCs w:val="20"/>
          <w:vertAlign w:val="subscript"/>
          <w:lang w:val="en-GB"/>
        </w:rPr>
        <w:t>i</w:t>
      </w:r>
      <w:r w:rsidRPr="00CE0DE7">
        <w:rPr>
          <w:i/>
          <w:color w:val="000000"/>
          <w:sz w:val="20"/>
          <w:szCs w:val="20"/>
          <w:lang w:val="en-GB"/>
        </w:rPr>
        <w:t xml:space="preserve"> </w:t>
      </w:r>
      <w:r w:rsidRPr="00CE0DE7">
        <w:rPr>
          <w:color w:val="000000"/>
          <w:sz w:val="20"/>
          <w:szCs w:val="20"/>
          <w:lang w:val="en-GB"/>
        </w:rPr>
        <w:t xml:space="preserve">is the number of days with data available for stock </w:t>
      </w:r>
      <w:r w:rsidRPr="00CE0DE7">
        <w:rPr>
          <w:color w:val="000000"/>
          <w:position w:val="-6"/>
          <w:sz w:val="20"/>
          <w:szCs w:val="20"/>
          <w:lang w:val="en-GB" w:eastAsia="zh-CN"/>
        </w:rPr>
        <w:object w:dxaOrig="140" w:dyaOrig="260" w14:anchorId="6D8725FD">
          <v:shape id="_x0000_i1028" type="#_x0000_t75" style="width:7.5pt;height:14.4pt" o:ole="">
            <v:imagedata r:id="rId15" o:title=""/>
          </v:shape>
          <o:OLEObject Type="Embed" ProgID="Equation.DSMT4" ShapeID="_x0000_i1028" DrawAspect="Content" ObjectID="_1674838643" r:id="rId16"/>
        </w:object>
      </w:r>
      <w:r w:rsidRPr="00CE0DE7">
        <w:rPr>
          <w:color w:val="000000"/>
          <w:sz w:val="20"/>
          <w:szCs w:val="20"/>
          <w:lang w:val="en-GB"/>
        </w:rPr>
        <w:t xml:space="preserve"> </w:t>
      </w:r>
      <w:r w:rsidR="00DE053B" w:rsidRPr="00CE0DE7">
        <w:rPr>
          <w:color w:val="000000"/>
          <w:sz w:val="20"/>
          <w:szCs w:val="20"/>
          <w:lang w:val="en-GB"/>
        </w:rPr>
        <w:t xml:space="preserve">in month </w:t>
      </w:r>
      <w:r w:rsidR="00DE053B" w:rsidRPr="00CE0DE7">
        <w:rPr>
          <w:i/>
          <w:color w:val="000000"/>
          <w:sz w:val="20"/>
          <w:szCs w:val="20"/>
          <w:lang w:val="en-GB"/>
        </w:rPr>
        <w:t>t</w:t>
      </w:r>
      <w:r w:rsidRPr="00CE0DE7">
        <w:rPr>
          <w:color w:val="000000"/>
          <w:sz w:val="20"/>
          <w:szCs w:val="20"/>
          <w:lang w:val="en-GB"/>
        </w:rPr>
        <w:t xml:space="preserve">. </w:t>
      </w:r>
      <w:r w:rsidR="00876525" w:rsidRPr="00CE0DE7">
        <w:rPr>
          <w:color w:val="000000"/>
          <w:sz w:val="20"/>
          <w:szCs w:val="20"/>
          <w:lang w:val="en-GB"/>
        </w:rPr>
        <w:t>The m</w:t>
      </w:r>
      <w:r w:rsidR="00987E8B" w:rsidRPr="00CE0DE7">
        <w:rPr>
          <w:color w:val="000000"/>
          <w:sz w:val="20"/>
          <w:szCs w:val="20"/>
          <w:lang w:val="en-GB"/>
        </w:rPr>
        <w:t>arket illiquidity</w:t>
      </w:r>
      <w:r w:rsidR="00DE053B" w:rsidRPr="00CE0DE7">
        <w:rPr>
          <w:color w:val="000000"/>
          <w:sz w:val="20"/>
          <w:szCs w:val="20"/>
          <w:lang w:val="en-GB"/>
        </w:rPr>
        <w:t xml:space="preserve"> ratio</w:t>
      </w:r>
      <w:r w:rsidR="00C21804" w:rsidRPr="00CE0DE7">
        <w:rPr>
          <w:color w:val="000000"/>
          <w:sz w:val="20"/>
          <w:szCs w:val="20"/>
          <w:lang w:val="en-GB"/>
        </w:rPr>
        <w:t xml:space="preserve"> </w:t>
      </w:r>
      <w:r w:rsidR="00987E8B" w:rsidRPr="00CE0DE7">
        <w:rPr>
          <w:color w:val="000000"/>
          <w:sz w:val="20"/>
          <w:szCs w:val="20"/>
          <w:lang w:val="en-GB"/>
        </w:rPr>
        <w:t xml:space="preserve">is </w:t>
      </w:r>
      <w:r w:rsidR="00C21804" w:rsidRPr="00CE0DE7">
        <w:rPr>
          <w:color w:val="000000"/>
          <w:sz w:val="20"/>
          <w:szCs w:val="20"/>
          <w:lang w:val="en-GB"/>
        </w:rPr>
        <w:t xml:space="preserve">then </w:t>
      </w:r>
      <w:r w:rsidR="00987E8B" w:rsidRPr="00CE0DE7">
        <w:rPr>
          <w:color w:val="000000"/>
          <w:sz w:val="20"/>
          <w:szCs w:val="20"/>
          <w:lang w:val="en-GB"/>
        </w:rPr>
        <w:lastRenderedPageBreak/>
        <w:t xml:space="preserve">calculated as </w:t>
      </w:r>
      <w:r w:rsidR="00932850" w:rsidRPr="00CE0DE7">
        <w:rPr>
          <w:color w:val="000000"/>
          <w:sz w:val="20"/>
          <w:szCs w:val="20"/>
          <w:lang w:val="en-GB"/>
        </w:rPr>
        <w:t xml:space="preserve">the </w:t>
      </w:r>
      <w:r w:rsidR="00296773" w:rsidRPr="00CE0DE7">
        <w:rPr>
          <w:color w:val="000000"/>
          <w:sz w:val="20"/>
          <w:szCs w:val="20"/>
          <w:lang w:val="en-GB"/>
        </w:rPr>
        <w:t xml:space="preserve">equally-weighted </w:t>
      </w:r>
      <w:r w:rsidR="009F09E1" w:rsidRPr="00CE0DE7">
        <w:rPr>
          <w:color w:val="000000"/>
          <w:sz w:val="20"/>
          <w:szCs w:val="20"/>
          <w:lang w:val="en-GB"/>
        </w:rPr>
        <w:t xml:space="preserve">average of </w:t>
      </w:r>
      <w:r w:rsidR="007436F8" w:rsidRPr="00CE0DE7">
        <w:rPr>
          <w:color w:val="000000"/>
          <w:sz w:val="20"/>
          <w:szCs w:val="20"/>
          <w:lang w:val="en-GB"/>
        </w:rPr>
        <w:t xml:space="preserve">the </w:t>
      </w:r>
      <w:proofErr w:type="spellStart"/>
      <w:r w:rsidR="00591E61" w:rsidRPr="00CE0DE7">
        <w:rPr>
          <w:color w:val="000000"/>
          <w:sz w:val="20"/>
          <w:szCs w:val="20"/>
          <w:lang w:val="en-GB"/>
        </w:rPr>
        <w:t>Amihud</w:t>
      </w:r>
      <w:proofErr w:type="spellEnd"/>
      <w:r w:rsidR="00591E61" w:rsidRPr="00CE0DE7">
        <w:rPr>
          <w:color w:val="000000"/>
          <w:sz w:val="20"/>
          <w:szCs w:val="20"/>
          <w:lang w:val="en-GB"/>
        </w:rPr>
        <w:t xml:space="preserve"> (2002)</w:t>
      </w:r>
      <w:r w:rsidR="00876525" w:rsidRPr="00CE0DE7">
        <w:rPr>
          <w:color w:val="000000"/>
          <w:sz w:val="20"/>
          <w:szCs w:val="20"/>
          <w:lang w:val="en-GB"/>
        </w:rPr>
        <w:t xml:space="preserve"> </w:t>
      </w:r>
      <w:r w:rsidR="00987E8B" w:rsidRPr="00CE0DE7">
        <w:rPr>
          <w:color w:val="000000"/>
          <w:sz w:val="20"/>
          <w:szCs w:val="20"/>
          <w:lang w:val="en-GB"/>
        </w:rPr>
        <w:t xml:space="preserve">illiquidity ratio </w:t>
      </w:r>
      <w:r w:rsidR="00591E61" w:rsidRPr="00CE0DE7">
        <w:rPr>
          <w:color w:val="000000"/>
          <w:sz w:val="20"/>
          <w:szCs w:val="20"/>
          <w:lang w:val="en-GB"/>
        </w:rPr>
        <w:t>of individual stocks over</w:t>
      </w:r>
      <w:r w:rsidR="003E10FD" w:rsidRPr="00CE0DE7">
        <w:rPr>
          <w:color w:val="000000"/>
          <w:sz w:val="20"/>
          <w:szCs w:val="20"/>
          <w:lang w:val="en-GB"/>
        </w:rPr>
        <w:t xml:space="preserve"> all </w:t>
      </w:r>
      <w:r w:rsidR="00A54CE8" w:rsidRPr="00CE0DE7">
        <w:rPr>
          <w:color w:val="000000"/>
          <w:sz w:val="20"/>
          <w:szCs w:val="20"/>
          <w:lang w:val="en-GB"/>
        </w:rPr>
        <w:t xml:space="preserve">sample </w:t>
      </w:r>
      <w:r w:rsidR="003E10FD" w:rsidRPr="00CE0DE7">
        <w:rPr>
          <w:color w:val="000000"/>
          <w:sz w:val="20"/>
          <w:szCs w:val="20"/>
          <w:lang w:val="en-GB"/>
        </w:rPr>
        <w:t>stocks</w:t>
      </w:r>
      <w:r w:rsidR="00A54CE8" w:rsidRPr="00CE0DE7">
        <w:rPr>
          <w:color w:val="000000"/>
          <w:sz w:val="20"/>
          <w:szCs w:val="20"/>
          <w:lang w:val="en-GB"/>
        </w:rPr>
        <w:t xml:space="preserve"> in the market</w:t>
      </w:r>
      <w:r w:rsidR="003E10FD" w:rsidRPr="00CE0DE7">
        <w:rPr>
          <w:color w:val="000000"/>
          <w:sz w:val="20"/>
          <w:szCs w:val="20"/>
          <w:lang w:val="en-GB"/>
        </w:rPr>
        <w:t xml:space="preserve">. </w:t>
      </w:r>
      <w:r w:rsidR="00454B3E" w:rsidRPr="00CE0DE7">
        <w:rPr>
          <w:color w:val="000000"/>
          <w:sz w:val="20"/>
          <w:szCs w:val="20"/>
          <w:lang w:val="en-GB"/>
        </w:rPr>
        <w:t xml:space="preserve">This </w:t>
      </w:r>
      <w:r w:rsidR="00022A17" w:rsidRPr="00CE0DE7">
        <w:rPr>
          <w:color w:val="000000"/>
          <w:sz w:val="20"/>
          <w:szCs w:val="20"/>
          <w:lang w:val="en-GB" w:eastAsia="zh-CN"/>
        </w:rPr>
        <w:t xml:space="preserve">widely used </w:t>
      </w:r>
      <w:r w:rsidR="00454B3E" w:rsidRPr="00CE0DE7">
        <w:rPr>
          <w:color w:val="000000"/>
          <w:sz w:val="20"/>
          <w:szCs w:val="20"/>
          <w:lang w:val="en-GB"/>
        </w:rPr>
        <w:t>illiquidity measure</w:t>
      </w:r>
      <w:r w:rsidR="00876525" w:rsidRPr="00CE0DE7">
        <w:rPr>
          <w:color w:val="000000"/>
          <w:sz w:val="20"/>
          <w:szCs w:val="20"/>
          <w:lang w:val="en-GB"/>
        </w:rPr>
        <w:t xml:space="preserve"> </w:t>
      </w:r>
      <w:r w:rsidR="00454B3E" w:rsidRPr="00CE0DE7">
        <w:rPr>
          <w:color w:val="000000"/>
          <w:sz w:val="20"/>
          <w:szCs w:val="20"/>
          <w:lang w:val="en-GB"/>
        </w:rPr>
        <w:t xml:space="preserve">outperforms other illiquidity proxies </w:t>
      </w:r>
      <w:r w:rsidR="0099228C" w:rsidRPr="00CE0DE7">
        <w:rPr>
          <w:color w:val="000000"/>
          <w:sz w:val="20"/>
          <w:szCs w:val="20"/>
          <w:lang w:val="en-GB" w:eastAsia="zh-CN"/>
        </w:rPr>
        <w:t>as</w:t>
      </w:r>
      <w:r w:rsidR="00454B3E" w:rsidRPr="00CE0DE7">
        <w:rPr>
          <w:color w:val="000000"/>
          <w:sz w:val="20"/>
          <w:szCs w:val="20"/>
          <w:lang w:val="en-GB"/>
        </w:rPr>
        <w:t xml:space="preserve"> it captures Kyle’s lambda and has the largest correlation with liquidity benchmarks </w:t>
      </w:r>
      <w:r w:rsidR="00293D1A" w:rsidRPr="00CE0DE7">
        <w:rPr>
          <w:color w:val="000000"/>
          <w:sz w:val="20"/>
          <w:szCs w:val="20"/>
          <w:lang w:val="en-GB"/>
        </w:rPr>
        <w:fldChar w:fldCharType="begin" w:fldLock="1"/>
      </w:r>
      <w:r w:rsidR="00ED66D4" w:rsidRPr="00CE0DE7">
        <w:rPr>
          <w:color w:val="000000"/>
          <w:sz w:val="20"/>
          <w:szCs w:val="20"/>
          <w:lang w:val="en-GB"/>
        </w:rPr>
        <w:instrText>ADDIN CSL_CITATION {"citationItems":[{"id":"ITEM-1","itemData":{"ISSN":"14697696","abstract":"This paper empirically investigates the pricing factors and their associated risk premiums of commodity futures. Existing pricing factors in equity and bond markets, including market premium and term structure, are tested in commodity futures markets. Hedging pressure in commodity futures markets and momentum effects is also considered. This study combines these factors to discuss their importance in explaining commodity future returns, while the literature has studied these factors separately. One of the important pricing factors in equity and bond markets is liquidity, but its role as a pricing factor in commodity futures markets has not yet been studied. To our knowledge, this research is the first to study liquidity as a pricing factor in commodity futures. The risk premiums of two momentum factors and speculators’ hedging pressure range from 2% to 3% per month and are greater than the risk premiums of roll yield (0.8%) and liquidity (0.5%). The result of a significant liquidity premium suggests that liquidity is priced in commodity futures.","author":[{"dropping-particle":"","family":"Chong","given":"Terence Tai Leung","non-dropping-particle":"","parse-names":false,"suffix":""},{"dropping-particle":"","family":"Tsui","given":"Sunny Chun","non-dropping-particle":"","parse-names":false,"suffix":""},{"dropping-particle":"","family":"Chan","given":"Wing Hong","non-dropping-particle":"","parse-names":false,"suffix":""}],"container-title":"Quantitative Finance","id":"ITEM-1","issue":"11","issued":{"date-parts":[["2017","11","2"]]},"page":"1745-1757","publisher":"Routledge","title":"Factor pricing in commodity futures and the role of liquidity","type":"article-journal","volume":"17"},"uris":["http://www.mendeley.com/documents/?uuid=4df50825-ac2e-33b5-8871-8a31f6a6d7a0"]},{"id":"ITEM-2","itemData":{"ISSN":"0304405X","abstract":"Given the key role of liquidity in finance research, identifying high quality proxies based on daily (as opposed to intraday) data would permit liquidity to be studied over relatively long timeframes and across many countries. Using new measures and widely employed measures in the literature, we run horseraces of annual and monthly estimates of each measure against liquidity benchmarks. Our benchmarks are effective spread, realized spread, and price impact based on both Trade and Quote (TAQ) and Rule 605 data. We find that the new effective/realized spread measures win the majority of horseraces, while the Amihud [2002. Illiquidity and stock returns: cross-section and time-series effects. Journal of Financial Markets 5, 31-56] measure does well measuring price impact. © 2009.","author":[{"dropping-particle":"","family":"Goyenko","given":"Ruslan Y.","non-dropping-particle":"","parse-names":false,"suffix":""},{"dropping-particle":"","family":"Holden","given":"Craig W.","non-dropping-particle":"","parse-names":false,"suffix":""},{"dropping-particle":"","family":"Trzcinka","given":"Charles A.","non-dropping-particle":"","parse-names":false,"suffix":""}],"container-title":"Journal of Financial Economics","id":"ITEM-2","issue":"2","issued":{"date-parts":[["2009","5","1"]]},"page":"153-181","publisher":"North-Holland","title":"Do liquidity measures measure liquidity?","type":"article-journal","volume":"92"},"uris":["http://www.mendeley.com/documents/?uuid=980ec5d1-884b-391a-8cc5-1d7e74799c25"]},{"id":"ITEM-3","itemData":{"ISSN":"0893-9454","abstract":"We examine the performance of liquidity proxies in commodities. The Amihud measure has the largest correlation with liquidity benchmarks. Amivest and Effective Tick measures also perform well. These proxies are useful for studies of commodity liquidity over a long time period and those that lack access to high-frequency data. We use various aspects of transaction costs, such as spread, depth, immediacy, and resiliency, to give insight into the costs of different execution approaches. Transaction costs increase with volatility and exhibit mean reversion. Splitting trades over one hour can reduce trading costs by two-thirds compared to an immediate execution. © The Author 2011 Published by Oxford University Press on behalf of The Society for Financial Studies. All rights reserved.","author":[{"dropping-particle":"","family":"Marshall","given":"Ben R.","non-dropping-particle":"","parse-names":false,"suffix":""},{"dropping-particle":"","family":"Nguyen","given":"Nhut H.","non-dropping-particle":"","parse-names":false,"suffix":""},{"dropping-particle":"","family":"Visaltanachoti","given":"Nuttawat","non-dropping-particle":"","parse-names":false,"suffix":""}],"container-title":"Review of Financial Studies","id":"ITEM-3","issue":"2","issued":{"date-parts":[["2012","2","1"]]},"page":"599-638","publisher":"Oxford Academic","title":"Commodity liquidity measurement and transaction costs","type":"article-journal","volume":"25"},"uris":["http://www.mendeley.com/documents/?uuid=358e0344-c2ad-3220-9635-5a0c1d993eba"]},{"id":"ITEM-4","itemData":{"ISSN":"10424431","abstract":"This study investigates the impact of FTSE100 index revisions on firms' systematic liquidity risk and the cost of equity capital. We show that index membership enhances all aspects of liquidity, whereas stocks that leave the index exhibit no significant liquidity change. We also show that the liquidity risk premium and the cost of equity capital decline significantly after additions, but do not exhibit any significant change following deletions. The control sample analysis indicates that observed decline in liquidity premium and the cost of equity capital is not driven by factors other than index revisions. Our evidence is consistent with Journal of Financial Economics, 1, 17 (1986)'s argument that since liquidity is priced, an increase in liquidity will result in lower expected returns. Furthermore, the asymmetric impact of additions and deletions on stock liquidity and cost of capital is consistent with the view that the benefits of index membership are permanent (see, e.g. Journal of Finance, 59, No. 4 1901-29, August 2004; Journal of Investment Management 4, 23-37, 2006).","author":[{"dropping-particle":"","family":"Mazouz","given":"Khelifa","non-dropping-particle":"","parse-names":false,"suffix":""},{"dropping-particle":"","family":"Daya","given":"Wael","non-dropping-particle":"","parse-names":false,"suffix":""},{"dropping-particle":"","family":"Yin","given":"Shuxing","non-dropping-particle":"","parse-names":false,"suffix":""}],"container-title":"Journal of International Financial Markets, Institutions and Money","id":"ITEM-4","issued":{"date-parts":[["2014","12","1"]]},"page":"283-298","publisher":"Elsevier Ltd","title":"Index revisions, systematic liquidity risk and the cost of equity capital","type":"article-journal","volume":"33"},"uris":["http://www.mendeley.com/documents/?uuid=3a32c9d8-3321-3037-bc30-5937a61d6aba"]},{"id":"ITEM-5","itemData":{"ISSN":"10424431","abstract":"We investigate the impact of liquidity level and risks on the implied cost of equity capital for 14,808 stocks from 52 countries. We find that the implied cost of equity increases in the illiquidity level and in the co-variance between firm-level illiquidity and market illiquidity, but decreases both in the covariance between firm-level returns and market illiquidity and in the co-variance between firm-level illiquidity and market returns. Specifically, an increase from the 25th to the 75th percentile of the aggregate liquidity risk factor increases the cost of equity by 109 basis points. The evidence we report is robust to wide range of tests. We also observe that liquidity level and risks impact the implied cost of equity during crisis and no-crisis periods, but this relation is more pronounced during crisis periods for the most illiquid stocks.","author":[{"dropping-particle":"","family":"Saad","given":"Mohsen","non-dropping-particle":"","parse-names":false,"suffix":""},{"dropping-particle":"","family":"Samet","given":"Anis","non-dropping-particle":"","parse-names":false,"suffix":""}],"container-title":"Journal of International Financial Markets, Institutions and Money","id":"ITEM-5","issued":{"date-parts":[["2017","11","1"]]},"page":"15-38","publisher":"Elsevier Ltd","title":"Liquidity and the implied cost of equity capital","type":"article-journal","volume":"51"},"uris":["http://www.mendeley.com/documents/?uuid=e039d74c-85df-3cf8-8a15-d6c105f1f923"]},{"id":"ITEM-6","itemData":{"ISSN":"15737179","abstract":"Recent studies suggest that individual investors may have private information and their trading can be informative. Consistent with this observation, we find that stocks that are more heavily traded by individual investors have higher liquidity, after controlling for other determinants of liquidity. The result is robust to various model specifications, the inclusion of firm, industry, and year fixed-effects, controls for endogeneity, and alternative measures of liquidity. The positive effect of individual investor trading on stock liquidity is stronger for firms with greater information asymmetry, consistent with individual investor trading reducing information asymmetry. These results suggest that individual investor trading improves stock liquidity through reducing information asymmetry.","author":[{"dropping-particle":"","family":"Wang","given":"Qin","non-dropping-particle":"","parse-names":false,"suffix":""},{"dropping-particle":"","family":"Zhang","given":"Jun","non-dropping-particle":"","parse-names":false,"suffix":""}],"container-title":"Review of Quantitative Finance and Accounting","id":"ITEM-6","issue":"3","issued":{"date-parts":[["2015","10","13"]]},"page":"485-508","publisher":"Springer New York LLC","title":"Individual investor trading and stock liquidity","type":"article-journal","volume":"45"},"uris":["http://www.mendeley.com/documents/?uuid=14e2ff40-a0b4-33c9-aa99-3b59b0b29e70"]}],"mendeley":{"formattedCitation":"(Goyenko et al. 2009; Marshall et al. 2012; Mazouz et al. 2014; Wang and Zhang 2015; Saad and Samet 2017; Chong et al. 2017)","plainTextFormattedCitation":"(Goyenko et al. 2009; Marshall et al. 2012; Mazouz et al. 2014; Wang and Zhang 2015; Saad and Samet 2017; Chong et al. 2017)","previouslyFormattedCitation":"(Goyenko et al. 2009; Marshall et al. 2012; Mazouz et al. 2014; Wang and Zhang 2015; Saad and Samet 2017; Chong et al. 2017)"},"properties":{"noteIndex":0},"schema":"https://github.com/citation-style-language/schema/raw/master/csl-citation.json"}</w:instrText>
      </w:r>
      <w:r w:rsidR="00293D1A" w:rsidRPr="00CE0DE7">
        <w:rPr>
          <w:color w:val="000000"/>
          <w:sz w:val="20"/>
          <w:szCs w:val="20"/>
          <w:lang w:val="en-GB"/>
        </w:rPr>
        <w:fldChar w:fldCharType="separate"/>
      </w:r>
      <w:r w:rsidR="00293D1A" w:rsidRPr="00CE0DE7">
        <w:rPr>
          <w:noProof/>
          <w:color w:val="000000"/>
          <w:sz w:val="20"/>
          <w:szCs w:val="20"/>
          <w:lang w:val="en-GB"/>
        </w:rPr>
        <w:t>(Goyenko et al. 2009; Marshall et al. 2012; Mazouz et al. 2014; Wang and Zhang 2015; Saad and Samet 2017; Chong et al. 2017)</w:t>
      </w:r>
      <w:r w:rsidR="00293D1A" w:rsidRPr="00CE0DE7">
        <w:rPr>
          <w:color w:val="000000"/>
          <w:sz w:val="20"/>
          <w:szCs w:val="20"/>
          <w:lang w:val="en-GB"/>
        </w:rPr>
        <w:fldChar w:fldCharType="end"/>
      </w:r>
      <w:r w:rsidR="00454B3E" w:rsidRPr="00CE0DE7">
        <w:rPr>
          <w:color w:val="000000"/>
          <w:sz w:val="20"/>
          <w:szCs w:val="20"/>
          <w:lang w:val="en-GB"/>
        </w:rPr>
        <w:t xml:space="preserve">. </w:t>
      </w:r>
      <w:r w:rsidRPr="00CE0DE7">
        <w:rPr>
          <w:color w:val="000000"/>
          <w:sz w:val="20"/>
          <w:szCs w:val="20"/>
          <w:lang w:val="en-GB"/>
        </w:rPr>
        <w:t xml:space="preserve">Following </w:t>
      </w:r>
      <w:proofErr w:type="spellStart"/>
      <w:r w:rsidRPr="00CE0DE7">
        <w:rPr>
          <w:color w:val="000000"/>
          <w:sz w:val="20"/>
          <w:szCs w:val="20"/>
          <w:lang w:val="en-GB"/>
        </w:rPr>
        <w:t>Oded</w:t>
      </w:r>
      <w:proofErr w:type="spellEnd"/>
      <w:r w:rsidRPr="00CE0DE7">
        <w:rPr>
          <w:color w:val="000000"/>
          <w:sz w:val="20"/>
          <w:szCs w:val="20"/>
          <w:lang w:val="en-GB"/>
        </w:rPr>
        <w:t xml:space="preserve"> </w:t>
      </w:r>
      <w:r w:rsidR="00293D1A" w:rsidRPr="00CE0DE7">
        <w:rPr>
          <w:color w:val="000000"/>
          <w:sz w:val="20"/>
          <w:szCs w:val="20"/>
          <w:lang w:val="en-GB"/>
        </w:rPr>
        <w:fldChar w:fldCharType="begin" w:fldLock="1"/>
      </w:r>
      <w:r w:rsidR="00293D1A" w:rsidRPr="00CE0DE7">
        <w:rPr>
          <w:color w:val="000000"/>
          <w:sz w:val="20"/>
          <w:szCs w:val="20"/>
          <w:lang w:val="en-GB"/>
        </w:rPr>
        <w:instrText>ADDIN CSL_CITATION {"citationItems":[{"id":"ITEM-1","itemData":{"ISSN":"13864181","abstract":"This paper formalizes the following intuition about open-market share repurchases. Firms do open-market share repurchases to return free cash, which would otherwise be wasted. However, when the firm goes to buy its own shares with this cash, it has inside information and hence the actual execution is characterized by adverse selection. The market knows that the firm has inside information, and consequently the ask price is high to compensate for this adverse selection problem. This implies that, all else equal, the greater the adverse selection problem compared to the cash waste problem, the higher the ask price, and, therefore, the wider the bid-ask spread and the lower the share repurchase completion rate. We test this implication on a sample of U.S. firms and report evidence consistent with the model. © 2009 Elsevier B.V. All rights reserved.","author":[{"dropping-particle":"","family":"Oded","given":"Jacob","non-dropping-particle":"","parse-names":false,"suffix":""}],"container-title":"Journal of Financial Markets","id":"ITEM-1","issue":"4","issued":{"date-parts":[["2009","11","1"]]},"page":"832-869","publisher":"North-Holland","title":"Optimal execution of open-market stock repurchase programs","type":"article-journal","volume":"12"},"suppress-author":1,"uris":["http://www.mendeley.com/documents/?uuid=618eb796-ee4b-3485-93bd-9443652b3424"]}],"mendeley":{"formattedCitation":"(2009)","plainTextFormattedCitation":"(2009)","previouslyFormattedCitation":"(2009)"},"properties":{"noteIndex":0},"schema":"https://github.com/citation-style-language/schema/raw/master/csl-citation.json"}</w:instrText>
      </w:r>
      <w:r w:rsidR="00293D1A" w:rsidRPr="00CE0DE7">
        <w:rPr>
          <w:color w:val="000000"/>
          <w:sz w:val="20"/>
          <w:szCs w:val="20"/>
          <w:lang w:val="en-GB"/>
        </w:rPr>
        <w:fldChar w:fldCharType="separate"/>
      </w:r>
      <w:r w:rsidR="00293D1A" w:rsidRPr="00CE0DE7">
        <w:rPr>
          <w:noProof/>
          <w:color w:val="000000"/>
          <w:sz w:val="20"/>
          <w:szCs w:val="20"/>
          <w:lang w:val="en-GB"/>
        </w:rPr>
        <w:t>(2009)</w:t>
      </w:r>
      <w:r w:rsidR="00293D1A" w:rsidRPr="00CE0DE7">
        <w:rPr>
          <w:color w:val="000000"/>
          <w:sz w:val="20"/>
          <w:szCs w:val="20"/>
          <w:lang w:val="en-GB"/>
        </w:rPr>
        <w:fldChar w:fldCharType="end"/>
      </w:r>
      <w:r w:rsidR="00DE053B" w:rsidRPr="00CE0DE7">
        <w:rPr>
          <w:color w:val="000000"/>
          <w:sz w:val="20"/>
          <w:szCs w:val="20"/>
          <w:lang w:val="en-GB"/>
        </w:rPr>
        <w:t xml:space="preserve"> and </w:t>
      </w:r>
      <w:proofErr w:type="spellStart"/>
      <w:r w:rsidR="00DE053B" w:rsidRPr="00CE0DE7">
        <w:rPr>
          <w:color w:val="000000"/>
          <w:sz w:val="20"/>
          <w:szCs w:val="20"/>
          <w:lang w:val="en-GB"/>
        </w:rPr>
        <w:t>Ascioglu</w:t>
      </w:r>
      <w:proofErr w:type="spellEnd"/>
      <w:r w:rsidR="00DE053B" w:rsidRPr="00CE0DE7">
        <w:rPr>
          <w:color w:val="000000"/>
          <w:sz w:val="20"/>
          <w:szCs w:val="20"/>
          <w:lang w:val="en-GB"/>
        </w:rPr>
        <w:t xml:space="preserve"> et al. </w:t>
      </w:r>
      <w:r w:rsidR="00293D1A" w:rsidRPr="00CE0DE7">
        <w:rPr>
          <w:color w:val="000000"/>
          <w:sz w:val="20"/>
          <w:szCs w:val="20"/>
          <w:lang w:val="en-GB"/>
        </w:rPr>
        <w:fldChar w:fldCharType="begin" w:fldLock="1"/>
      </w:r>
      <w:r w:rsidR="00293D1A" w:rsidRPr="00CE0DE7">
        <w:rPr>
          <w:color w:val="000000"/>
          <w:sz w:val="20"/>
          <w:szCs w:val="20"/>
          <w:lang w:val="en-GB"/>
        </w:rPr>
        <w:instrText>ADDIN CSL_CITATION {"citationItems":[{"id":"ITEM-1","itemData":{"ISSN":"0924865X","abstract":"The main purpose of this paper is to argue the extent that earnings management lowers disclosure quality. It should increase information asymmetry and impair trading liquidity. Using a large sample of NYSE firms from 1996 to 2001, we find evidence to suggest that firms which exhibit greater earnings management are associated with lower market liquidity. Our results are robust to both real and accounting based measures of earnings management and two well established measures of market liquidity. However, they are not consistent with the Easley et al. probability of informed trade measure. © 2011 Springer Science+Business Media, LLC.","author":[{"dropping-particle":"","family":"Ascioglu","given":"Asli","non-dropping-particle":"","parse-names":false,"suffix":""},{"dropping-particle":"","family":"Hegde","given":"Shantaram P.","non-dropping-particle":"","parse-names":false,"suffix":""},{"dropping-particle":"V.","family":"Krishnan","given":"Gopal","non-dropping-particle":"","parse-names":false,"suffix":""},{"dropping-particle":"","family":"McDermott","given":"John B.","non-dropping-particle":"","parse-names":false,"suffix":""}],"container-title":"Review of Quantitative Finance and Accounting","id":"ITEM-1","issue":"2","issued":{"date-parts":[["2012","2","14"]]},"page":"257-274","publisher":"Springer","title":"Earnings management and market liquidity","type":"article-journal","volume":"38"},"suppress-author":1,"uris":["http://www.mendeley.com/documents/?uuid=7a835a69-5d3f-3f70-a4e7-0eada8fb6b15"]}],"mendeley":{"formattedCitation":"(2012)","plainTextFormattedCitation":"(2012)","previouslyFormattedCitation":"(2012)"},"properties":{"noteIndex":0},"schema":"https://github.com/citation-style-language/schema/raw/master/csl-citation.json"}</w:instrText>
      </w:r>
      <w:r w:rsidR="00293D1A" w:rsidRPr="00CE0DE7">
        <w:rPr>
          <w:color w:val="000000"/>
          <w:sz w:val="20"/>
          <w:szCs w:val="20"/>
          <w:lang w:val="en-GB"/>
        </w:rPr>
        <w:fldChar w:fldCharType="separate"/>
      </w:r>
      <w:r w:rsidR="00293D1A" w:rsidRPr="00CE0DE7">
        <w:rPr>
          <w:noProof/>
          <w:color w:val="000000"/>
          <w:sz w:val="20"/>
          <w:szCs w:val="20"/>
          <w:lang w:val="en-GB"/>
        </w:rPr>
        <w:t>(2012)</w:t>
      </w:r>
      <w:r w:rsidR="00293D1A" w:rsidRPr="00CE0DE7">
        <w:rPr>
          <w:color w:val="000000"/>
          <w:sz w:val="20"/>
          <w:szCs w:val="20"/>
          <w:lang w:val="en-GB"/>
        </w:rPr>
        <w:fldChar w:fldCharType="end"/>
      </w:r>
      <w:r w:rsidRPr="00CE0DE7">
        <w:rPr>
          <w:color w:val="000000"/>
          <w:sz w:val="20"/>
          <w:szCs w:val="20"/>
          <w:lang w:val="en-GB"/>
        </w:rPr>
        <w:t xml:space="preserve">, </w:t>
      </w:r>
      <w:r w:rsidR="00DE053B" w:rsidRPr="00CE0DE7">
        <w:rPr>
          <w:color w:val="000000"/>
          <w:sz w:val="20"/>
          <w:szCs w:val="20"/>
          <w:lang w:val="en-GB"/>
        </w:rPr>
        <w:t>we scale the market illiquidity ratio by multiplying by 10</w:t>
      </w:r>
      <w:r w:rsidR="00DE053B" w:rsidRPr="00CE0DE7">
        <w:rPr>
          <w:color w:val="000000"/>
          <w:sz w:val="20"/>
          <w:szCs w:val="20"/>
          <w:vertAlign w:val="superscript"/>
          <w:lang w:val="en-GB"/>
        </w:rPr>
        <w:t>6</w:t>
      </w:r>
      <w:r w:rsidR="00DE053B" w:rsidRPr="00CE0DE7">
        <w:rPr>
          <w:color w:val="000000"/>
          <w:sz w:val="20"/>
          <w:szCs w:val="20"/>
          <w:lang w:val="en-GB"/>
        </w:rPr>
        <w:t xml:space="preserve"> and </w:t>
      </w:r>
      <w:r w:rsidR="005441A2" w:rsidRPr="00CE0DE7">
        <w:rPr>
          <w:color w:val="000000"/>
          <w:sz w:val="20"/>
          <w:szCs w:val="20"/>
          <w:lang w:val="en-GB" w:eastAsia="zh-CN"/>
        </w:rPr>
        <w:t>then take t</w:t>
      </w:r>
      <w:r w:rsidRPr="00CE0DE7">
        <w:rPr>
          <w:color w:val="000000"/>
          <w:sz w:val="20"/>
          <w:szCs w:val="20"/>
          <w:lang w:val="en-GB"/>
        </w:rPr>
        <w:t xml:space="preserve">he natural logarithm </w:t>
      </w:r>
      <w:r w:rsidR="00DE053B" w:rsidRPr="00CE0DE7">
        <w:rPr>
          <w:color w:val="000000"/>
          <w:sz w:val="20"/>
          <w:szCs w:val="20"/>
          <w:lang w:val="en-GB"/>
        </w:rPr>
        <w:t>in our analysis.</w:t>
      </w:r>
      <w:r w:rsidR="00DE053B" w:rsidRPr="00CE0DE7" w:rsidDel="00DE053B">
        <w:rPr>
          <w:color w:val="000000"/>
          <w:sz w:val="20"/>
          <w:szCs w:val="20"/>
          <w:lang w:val="en-GB"/>
        </w:rPr>
        <w:t xml:space="preserve"> </w:t>
      </w:r>
    </w:p>
    <w:p w14:paraId="5742CEF3" w14:textId="77777777" w:rsidR="0084429E" w:rsidRPr="00CE0DE7" w:rsidRDefault="0084429E" w:rsidP="00DD61EB">
      <w:pPr>
        <w:adjustRightInd w:val="0"/>
        <w:snapToGrid w:val="0"/>
        <w:spacing w:line="480" w:lineRule="auto"/>
        <w:jc w:val="both"/>
        <w:rPr>
          <w:color w:val="000000"/>
          <w:sz w:val="20"/>
          <w:szCs w:val="20"/>
          <w:lang w:val="en-GB"/>
        </w:rPr>
      </w:pPr>
    </w:p>
    <w:p w14:paraId="66948F7C" w14:textId="68EEEFF0" w:rsidR="005A7DC1" w:rsidRPr="00CE0DE7" w:rsidRDefault="00953215" w:rsidP="00D51ACE">
      <w:pPr>
        <w:pStyle w:val="2"/>
        <w:spacing w:before="0" w:after="240"/>
        <w:rPr>
          <w:rFonts w:cs="Times New Roman"/>
          <w:color w:val="000000"/>
          <w:sz w:val="20"/>
          <w:szCs w:val="20"/>
          <w:lang w:val="en-GB" w:eastAsia="zh-CN"/>
        </w:rPr>
      </w:pPr>
      <w:r w:rsidRPr="00CE0DE7">
        <w:rPr>
          <w:rFonts w:cs="Times New Roman"/>
          <w:sz w:val="20"/>
          <w:szCs w:val="20"/>
        </w:rPr>
        <w:t xml:space="preserve">3.3 </w:t>
      </w:r>
      <w:r w:rsidR="0084429E" w:rsidRPr="00CE0DE7">
        <w:rPr>
          <w:rFonts w:cs="Times New Roman"/>
          <w:sz w:val="20"/>
          <w:szCs w:val="20"/>
        </w:rPr>
        <w:t>Sample</w:t>
      </w:r>
      <w:r w:rsidR="00604641" w:rsidRPr="00CE0DE7">
        <w:rPr>
          <w:rFonts w:cs="Times New Roman"/>
          <w:sz w:val="20"/>
          <w:szCs w:val="20"/>
        </w:rPr>
        <w:t xml:space="preserve"> and </w:t>
      </w:r>
      <w:r w:rsidR="00604641" w:rsidRPr="00CE0DE7">
        <w:rPr>
          <w:rFonts w:cs="Times New Roman"/>
          <w:sz w:val="20"/>
          <w:szCs w:val="20"/>
          <w:lang w:eastAsia="zh-CN"/>
        </w:rPr>
        <w:t>d</w:t>
      </w:r>
      <w:r w:rsidR="00604641" w:rsidRPr="00CE0DE7">
        <w:rPr>
          <w:rFonts w:cs="Times New Roman"/>
          <w:sz w:val="20"/>
          <w:szCs w:val="20"/>
        </w:rPr>
        <w:t xml:space="preserve">escriptive </w:t>
      </w:r>
      <w:r w:rsidR="00604641" w:rsidRPr="00CE0DE7">
        <w:rPr>
          <w:rFonts w:cs="Times New Roman"/>
          <w:sz w:val="20"/>
          <w:szCs w:val="20"/>
          <w:lang w:eastAsia="zh-CN"/>
        </w:rPr>
        <w:t>s</w:t>
      </w:r>
      <w:r w:rsidR="00D27EB6" w:rsidRPr="00CE0DE7">
        <w:rPr>
          <w:rFonts w:cs="Times New Roman"/>
          <w:sz w:val="20"/>
          <w:szCs w:val="20"/>
        </w:rPr>
        <w:t>tatistics</w:t>
      </w:r>
      <w:r w:rsidR="00F722C0" w:rsidRPr="00CE0DE7">
        <w:rPr>
          <w:rFonts w:cs="Times New Roman"/>
          <w:sz w:val="20"/>
          <w:szCs w:val="20"/>
        </w:rPr>
        <w:tab/>
      </w:r>
    </w:p>
    <w:p w14:paraId="72E19220" w14:textId="49B30B02" w:rsidR="00027208" w:rsidRPr="00CE0DE7" w:rsidRDefault="005A7DC1"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For </w:t>
      </w:r>
      <w:r w:rsidR="00296C77" w:rsidRPr="00CE0DE7">
        <w:rPr>
          <w:color w:val="000000"/>
          <w:sz w:val="20"/>
          <w:szCs w:val="20"/>
          <w:lang w:val="en-GB" w:eastAsia="zh-CN"/>
        </w:rPr>
        <w:t xml:space="preserve">our </w:t>
      </w:r>
      <w:r w:rsidRPr="00CE0DE7">
        <w:rPr>
          <w:color w:val="000000"/>
          <w:sz w:val="20"/>
          <w:szCs w:val="20"/>
          <w:lang w:val="en-GB" w:eastAsia="zh-CN"/>
        </w:rPr>
        <w:t xml:space="preserve">empirical </w:t>
      </w:r>
      <w:r w:rsidR="000268C6" w:rsidRPr="00CE0DE7">
        <w:rPr>
          <w:color w:val="000000"/>
          <w:sz w:val="20"/>
          <w:szCs w:val="20"/>
          <w:lang w:val="en-GB" w:eastAsia="zh-CN"/>
        </w:rPr>
        <w:t>analysis</w:t>
      </w:r>
      <w:r w:rsidRPr="00CE0DE7">
        <w:rPr>
          <w:color w:val="000000"/>
          <w:sz w:val="20"/>
          <w:szCs w:val="20"/>
          <w:lang w:val="en-GB" w:eastAsia="zh-CN"/>
        </w:rPr>
        <w:t xml:space="preserve">, we employ monthly observations of </w:t>
      </w:r>
      <w:r w:rsidR="008C7149" w:rsidRPr="00CE0DE7">
        <w:rPr>
          <w:color w:val="000000"/>
          <w:sz w:val="20"/>
          <w:szCs w:val="20"/>
          <w:lang w:val="en-GB" w:eastAsia="zh-CN"/>
        </w:rPr>
        <w:t xml:space="preserve">the </w:t>
      </w:r>
      <w:r w:rsidR="00EE26D0" w:rsidRPr="00CE0DE7">
        <w:rPr>
          <w:color w:val="000000"/>
          <w:sz w:val="20"/>
          <w:szCs w:val="20"/>
          <w:lang w:val="en-GB" w:eastAsia="zh-CN"/>
        </w:rPr>
        <w:t>VRP</w:t>
      </w:r>
      <w:r w:rsidRPr="00CE0DE7">
        <w:rPr>
          <w:color w:val="000000"/>
          <w:sz w:val="20"/>
          <w:szCs w:val="20"/>
          <w:lang w:val="en-GB" w:eastAsia="zh-CN"/>
        </w:rPr>
        <w:t xml:space="preserve">, illiquidity, and excess returns for the US market over the period from January </w:t>
      </w:r>
      <w:r w:rsidR="00CB11A0" w:rsidRPr="00CE0DE7">
        <w:rPr>
          <w:color w:val="000000"/>
          <w:sz w:val="20"/>
          <w:szCs w:val="20"/>
          <w:lang w:val="en-GB" w:eastAsia="zh-CN"/>
        </w:rPr>
        <w:t xml:space="preserve">1990 </w:t>
      </w:r>
      <w:r w:rsidRPr="00CE0DE7">
        <w:rPr>
          <w:color w:val="000000"/>
          <w:sz w:val="20"/>
          <w:szCs w:val="20"/>
          <w:lang w:val="en-GB" w:eastAsia="zh-CN"/>
        </w:rPr>
        <w:t xml:space="preserve">to December </w:t>
      </w:r>
      <w:r w:rsidR="00CB11A0" w:rsidRPr="00CE0DE7">
        <w:rPr>
          <w:color w:val="000000"/>
          <w:sz w:val="20"/>
          <w:szCs w:val="20"/>
          <w:lang w:val="en-GB" w:eastAsia="zh-CN"/>
        </w:rPr>
        <w:t>201</w:t>
      </w:r>
      <w:r w:rsidR="00E3097E" w:rsidRPr="00CE0DE7">
        <w:rPr>
          <w:color w:val="000000"/>
          <w:sz w:val="20"/>
          <w:szCs w:val="20"/>
          <w:lang w:val="en-GB" w:eastAsia="zh-CN"/>
        </w:rPr>
        <w:t>8</w:t>
      </w:r>
      <w:r w:rsidRPr="00CE0DE7">
        <w:rPr>
          <w:color w:val="000000"/>
          <w:sz w:val="20"/>
          <w:szCs w:val="20"/>
          <w:lang w:val="en-GB" w:eastAsia="zh-CN"/>
        </w:rPr>
        <w:t xml:space="preserve">. </w:t>
      </w:r>
      <w:r w:rsidR="00027208" w:rsidRPr="00CE0DE7">
        <w:rPr>
          <w:color w:val="000000"/>
          <w:sz w:val="20"/>
          <w:szCs w:val="20"/>
          <w:lang w:val="en-GB" w:eastAsia="zh-CN"/>
        </w:rPr>
        <w:t xml:space="preserve">In addition to the full sample, </w:t>
      </w:r>
      <w:r w:rsidRPr="00CE0DE7">
        <w:rPr>
          <w:color w:val="000000"/>
          <w:sz w:val="20"/>
          <w:szCs w:val="20"/>
          <w:lang w:val="en-GB" w:eastAsia="zh-CN"/>
        </w:rPr>
        <w:t xml:space="preserve">we </w:t>
      </w:r>
      <w:r w:rsidR="00027208" w:rsidRPr="00CE0DE7">
        <w:rPr>
          <w:color w:val="000000"/>
          <w:sz w:val="20"/>
          <w:szCs w:val="20"/>
          <w:lang w:val="en-GB" w:eastAsia="zh-CN"/>
        </w:rPr>
        <w:t xml:space="preserve">also perform </w:t>
      </w:r>
      <w:r w:rsidR="00296C77" w:rsidRPr="00CE0DE7">
        <w:rPr>
          <w:color w:val="000000"/>
          <w:sz w:val="20"/>
          <w:szCs w:val="20"/>
          <w:lang w:val="en-GB" w:eastAsia="zh-CN"/>
        </w:rPr>
        <w:t xml:space="preserve">a </w:t>
      </w:r>
      <w:r w:rsidR="00027208" w:rsidRPr="00CE0DE7">
        <w:rPr>
          <w:color w:val="000000"/>
          <w:sz w:val="20"/>
          <w:szCs w:val="20"/>
          <w:lang w:val="en-GB" w:eastAsia="zh-CN"/>
        </w:rPr>
        <w:t>robustness check for</w:t>
      </w:r>
      <w:r w:rsidRPr="00CE0DE7">
        <w:rPr>
          <w:color w:val="000000"/>
          <w:sz w:val="20"/>
          <w:szCs w:val="20"/>
          <w:lang w:val="en-GB" w:eastAsia="zh-CN"/>
        </w:rPr>
        <w:t xml:space="preserve"> </w:t>
      </w:r>
      <w:r w:rsidR="00022A17" w:rsidRPr="00CE0DE7">
        <w:rPr>
          <w:color w:val="000000"/>
          <w:sz w:val="20"/>
          <w:szCs w:val="20"/>
          <w:lang w:val="en-GB" w:eastAsia="zh-CN"/>
        </w:rPr>
        <w:t>four</w:t>
      </w:r>
      <w:r w:rsidRPr="00CE0DE7">
        <w:rPr>
          <w:color w:val="000000"/>
          <w:sz w:val="20"/>
          <w:szCs w:val="20"/>
          <w:lang w:val="en-GB" w:eastAsia="zh-CN"/>
        </w:rPr>
        <w:t xml:space="preserve"> sub-samples</w:t>
      </w:r>
      <w:r w:rsidR="00027208" w:rsidRPr="00CE0DE7">
        <w:rPr>
          <w:color w:val="000000"/>
          <w:sz w:val="20"/>
          <w:szCs w:val="20"/>
          <w:lang w:val="en-GB" w:eastAsia="zh-CN"/>
        </w:rPr>
        <w:t>:</w:t>
      </w:r>
      <w:r w:rsidRPr="00CE0DE7">
        <w:rPr>
          <w:color w:val="000000"/>
          <w:sz w:val="20"/>
          <w:szCs w:val="20"/>
          <w:lang w:val="en-GB" w:eastAsia="zh-CN"/>
        </w:rPr>
        <w:t xml:space="preserve"> </w:t>
      </w:r>
      <w:r w:rsidR="00CB11A0" w:rsidRPr="00CE0DE7">
        <w:rPr>
          <w:color w:val="000000"/>
          <w:sz w:val="20"/>
          <w:szCs w:val="20"/>
          <w:lang w:val="en-GB" w:eastAsia="zh-CN"/>
        </w:rPr>
        <w:t xml:space="preserve">1990 </w:t>
      </w:r>
      <w:r w:rsidRPr="00CE0DE7">
        <w:rPr>
          <w:color w:val="000000"/>
          <w:sz w:val="20"/>
          <w:szCs w:val="20"/>
          <w:lang w:val="en-GB" w:eastAsia="zh-CN"/>
        </w:rPr>
        <w:t xml:space="preserve">to </w:t>
      </w:r>
      <w:r w:rsidR="00CB11A0" w:rsidRPr="00CE0DE7">
        <w:rPr>
          <w:color w:val="000000"/>
          <w:sz w:val="20"/>
          <w:szCs w:val="20"/>
          <w:lang w:val="en-GB" w:eastAsia="zh-CN"/>
        </w:rPr>
        <w:t>2012</w:t>
      </w:r>
      <w:r w:rsidRPr="00CE0DE7">
        <w:rPr>
          <w:color w:val="000000"/>
          <w:sz w:val="20"/>
          <w:szCs w:val="20"/>
          <w:lang w:val="en-GB" w:eastAsia="zh-CN"/>
        </w:rPr>
        <w:t xml:space="preserve">, </w:t>
      </w:r>
      <w:r w:rsidR="00CB11A0" w:rsidRPr="00CE0DE7">
        <w:rPr>
          <w:color w:val="000000"/>
          <w:sz w:val="20"/>
          <w:szCs w:val="20"/>
          <w:lang w:val="en-GB" w:eastAsia="zh-CN"/>
        </w:rPr>
        <w:t xml:space="preserve">1992 </w:t>
      </w:r>
      <w:r w:rsidRPr="00CE0DE7">
        <w:rPr>
          <w:color w:val="000000"/>
          <w:sz w:val="20"/>
          <w:szCs w:val="20"/>
          <w:lang w:val="en-GB" w:eastAsia="zh-CN"/>
        </w:rPr>
        <w:t xml:space="preserve">to </w:t>
      </w:r>
      <w:r w:rsidR="00CB11A0" w:rsidRPr="00CE0DE7">
        <w:rPr>
          <w:color w:val="000000"/>
          <w:sz w:val="20"/>
          <w:szCs w:val="20"/>
          <w:lang w:val="en-GB" w:eastAsia="zh-CN"/>
        </w:rPr>
        <w:t>2014</w:t>
      </w:r>
      <w:r w:rsidRPr="00CE0DE7">
        <w:rPr>
          <w:color w:val="000000"/>
          <w:sz w:val="20"/>
          <w:szCs w:val="20"/>
          <w:lang w:val="en-GB" w:eastAsia="zh-CN"/>
        </w:rPr>
        <w:t xml:space="preserve">, </w:t>
      </w:r>
      <w:r w:rsidR="00CB11A0" w:rsidRPr="00CE0DE7">
        <w:rPr>
          <w:color w:val="000000"/>
          <w:sz w:val="20"/>
          <w:szCs w:val="20"/>
          <w:lang w:val="en-GB" w:eastAsia="zh-CN"/>
        </w:rPr>
        <w:t xml:space="preserve">1994 </w:t>
      </w:r>
      <w:r w:rsidRPr="00CE0DE7">
        <w:rPr>
          <w:color w:val="000000"/>
          <w:sz w:val="20"/>
          <w:szCs w:val="20"/>
          <w:lang w:val="en-GB" w:eastAsia="zh-CN"/>
        </w:rPr>
        <w:t xml:space="preserve">to </w:t>
      </w:r>
      <w:r w:rsidR="00CB11A0" w:rsidRPr="00CE0DE7">
        <w:rPr>
          <w:color w:val="000000"/>
          <w:sz w:val="20"/>
          <w:szCs w:val="20"/>
          <w:lang w:val="en-GB" w:eastAsia="zh-CN"/>
        </w:rPr>
        <w:t>2016</w:t>
      </w:r>
      <w:r w:rsidR="00E3097E" w:rsidRPr="00CE0DE7">
        <w:rPr>
          <w:color w:val="000000"/>
          <w:sz w:val="20"/>
          <w:szCs w:val="20"/>
          <w:lang w:val="en-GB" w:eastAsia="zh-CN"/>
        </w:rPr>
        <w:t xml:space="preserve"> and 1996 to 2018</w:t>
      </w:r>
      <w:r w:rsidR="00027208" w:rsidRPr="00CE0DE7">
        <w:rPr>
          <w:color w:val="000000"/>
          <w:sz w:val="20"/>
          <w:szCs w:val="20"/>
          <w:lang w:val="en-GB" w:eastAsia="zh-CN"/>
        </w:rPr>
        <w:t xml:space="preserve">, which are equal in </w:t>
      </w:r>
      <w:r w:rsidRPr="00CE0DE7">
        <w:rPr>
          <w:color w:val="000000"/>
          <w:sz w:val="20"/>
          <w:szCs w:val="20"/>
          <w:lang w:val="en-GB" w:eastAsia="zh-CN"/>
        </w:rPr>
        <w:t xml:space="preserve">length </w:t>
      </w:r>
      <w:r w:rsidR="00027208" w:rsidRPr="00CE0DE7">
        <w:rPr>
          <w:color w:val="000000"/>
          <w:sz w:val="20"/>
          <w:szCs w:val="20"/>
          <w:lang w:val="en-GB" w:eastAsia="zh-CN"/>
        </w:rPr>
        <w:t xml:space="preserve">and </w:t>
      </w:r>
      <w:r w:rsidR="00022A17" w:rsidRPr="00CE0DE7">
        <w:rPr>
          <w:color w:val="000000"/>
          <w:sz w:val="20"/>
          <w:szCs w:val="20"/>
          <w:lang w:val="en-GB" w:eastAsia="zh-CN"/>
        </w:rPr>
        <w:t>contain the 2008 global financial crisis</w:t>
      </w:r>
      <w:r w:rsidRPr="00CE0DE7">
        <w:rPr>
          <w:color w:val="000000"/>
          <w:sz w:val="20"/>
          <w:szCs w:val="20"/>
          <w:lang w:val="en-GB" w:eastAsia="zh-CN"/>
        </w:rPr>
        <w:t xml:space="preserve">. </w:t>
      </w:r>
    </w:p>
    <w:p w14:paraId="390A34CB" w14:textId="74BA2BA2" w:rsidR="0084429E" w:rsidRPr="00CE0DE7" w:rsidRDefault="0046537A"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First, </w:t>
      </w:r>
      <w:r w:rsidR="00022A17" w:rsidRPr="00CE0DE7">
        <w:rPr>
          <w:color w:val="000000"/>
          <w:sz w:val="20"/>
          <w:szCs w:val="20"/>
          <w:lang w:val="en-GB" w:eastAsia="zh-CN"/>
        </w:rPr>
        <w:t xml:space="preserve">we obtain </w:t>
      </w:r>
      <w:r w:rsidR="005A7DC1" w:rsidRPr="00CE0DE7">
        <w:rPr>
          <w:i/>
          <w:color w:val="000000"/>
          <w:sz w:val="20"/>
          <w:szCs w:val="20"/>
          <w:lang w:val="en-GB"/>
        </w:rPr>
        <w:t>VRP</w:t>
      </w:r>
      <w:r w:rsidR="005A7DC1" w:rsidRPr="00CE0DE7">
        <w:rPr>
          <w:i/>
          <w:color w:val="000000"/>
          <w:sz w:val="20"/>
          <w:szCs w:val="20"/>
          <w:vertAlign w:val="superscript"/>
          <w:lang w:val="en-GB"/>
        </w:rPr>
        <w:t>BTZ</w:t>
      </w:r>
      <w:r w:rsidR="005A7DC1" w:rsidRPr="00CE0DE7">
        <w:rPr>
          <w:i/>
          <w:color w:val="000000"/>
          <w:sz w:val="20"/>
          <w:szCs w:val="20"/>
          <w:lang w:val="en-GB"/>
        </w:rPr>
        <w:t>, VRP</w:t>
      </w:r>
      <w:r w:rsidR="005A7DC1" w:rsidRPr="00CE0DE7">
        <w:rPr>
          <w:i/>
          <w:color w:val="000000"/>
          <w:sz w:val="20"/>
          <w:szCs w:val="20"/>
          <w:vertAlign w:val="superscript"/>
          <w:lang w:val="en-GB"/>
        </w:rPr>
        <w:t xml:space="preserve">CW </w:t>
      </w:r>
      <w:r w:rsidR="005A7DC1" w:rsidRPr="00CE0DE7">
        <w:rPr>
          <w:color w:val="000000"/>
          <w:sz w:val="20"/>
          <w:szCs w:val="20"/>
          <w:lang w:val="en-GB"/>
        </w:rPr>
        <w:t xml:space="preserve">and </w:t>
      </w:r>
      <w:r w:rsidR="005A7DC1" w:rsidRPr="00CE0DE7">
        <w:rPr>
          <w:i/>
          <w:color w:val="000000"/>
          <w:sz w:val="20"/>
          <w:szCs w:val="20"/>
          <w:lang w:val="en-GB"/>
        </w:rPr>
        <w:t>VRP</w:t>
      </w:r>
      <w:r w:rsidR="005A7DC1" w:rsidRPr="00CE0DE7">
        <w:rPr>
          <w:i/>
          <w:color w:val="000000"/>
          <w:sz w:val="20"/>
          <w:szCs w:val="20"/>
          <w:vertAlign w:val="superscript"/>
          <w:lang w:val="en-GB"/>
        </w:rPr>
        <w:t>DY</w:t>
      </w:r>
      <w:r w:rsidR="005A7DC1" w:rsidRPr="00CE0DE7">
        <w:rPr>
          <w:color w:val="000000"/>
          <w:sz w:val="20"/>
          <w:szCs w:val="20"/>
          <w:lang w:val="en-GB" w:eastAsia="zh-CN"/>
        </w:rPr>
        <w:t xml:space="preserve"> </w:t>
      </w:r>
      <w:r w:rsidR="00022A17" w:rsidRPr="00CE0DE7">
        <w:rPr>
          <w:color w:val="000000"/>
          <w:sz w:val="20"/>
          <w:szCs w:val="20"/>
          <w:lang w:val="en-GB" w:eastAsia="zh-CN"/>
        </w:rPr>
        <w:t xml:space="preserve">measures </w:t>
      </w:r>
      <w:r w:rsidRPr="00CE0DE7">
        <w:rPr>
          <w:color w:val="000000"/>
          <w:sz w:val="20"/>
          <w:szCs w:val="20"/>
          <w:lang w:val="en-GB" w:eastAsia="zh-CN"/>
        </w:rPr>
        <w:t>from Hao Zhou</w:t>
      </w:r>
      <w:r w:rsidR="00A2098C" w:rsidRPr="00CE0DE7">
        <w:rPr>
          <w:color w:val="000000"/>
          <w:sz w:val="20"/>
          <w:szCs w:val="20"/>
          <w:lang w:val="en-GB" w:eastAsia="zh-CN"/>
        </w:rPr>
        <w:t>’s website</w:t>
      </w:r>
      <w:r w:rsidRPr="00CE0DE7">
        <w:rPr>
          <w:color w:val="000000"/>
          <w:sz w:val="20"/>
          <w:szCs w:val="20"/>
          <w:lang w:val="en-GB" w:eastAsia="zh-CN"/>
        </w:rPr>
        <w:t>.</w:t>
      </w:r>
      <w:r w:rsidR="00A2098C" w:rsidRPr="00440039">
        <w:rPr>
          <w:rStyle w:val="a9"/>
        </w:rPr>
        <w:footnoteReference w:id="1"/>
      </w:r>
      <w:r w:rsidRPr="00CE0DE7">
        <w:rPr>
          <w:color w:val="000000"/>
          <w:sz w:val="20"/>
          <w:szCs w:val="20"/>
          <w:lang w:val="en-GB" w:eastAsia="zh-CN"/>
        </w:rPr>
        <w:t xml:space="preserve"> </w:t>
      </w:r>
      <w:r w:rsidR="00AE7136" w:rsidRPr="00CE0DE7">
        <w:rPr>
          <w:color w:val="000000"/>
          <w:sz w:val="20"/>
          <w:szCs w:val="20"/>
          <w:lang w:val="en-GB" w:eastAsia="zh-CN"/>
        </w:rPr>
        <w:t xml:space="preserve">The </w:t>
      </w:r>
      <w:r w:rsidR="00296C77" w:rsidRPr="00CE0DE7">
        <w:rPr>
          <w:color w:val="000000"/>
          <w:sz w:val="20"/>
          <w:szCs w:val="20"/>
          <w:lang w:val="en-GB" w:eastAsia="zh-CN"/>
        </w:rPr>
        <w:t>5</w:t>
      </w:r>
      <w:r w:rsidR="00AE7136" w:rsidRPr="00CE0DE7">
        <w:rPr>
          <w:color w:val="000000"/>
          <w:sz w:val="20"/>
          <w:szCs w:val="20"/>
          <w:lang w:val="en-GB" w:eastAsia="zh-CN"/>
        </w:rPr>
        <w:t>-minute log returns of the S&amp;P 500 index are employed to construct the monthly realised volatility</w:t>
      </w:r>
      <w:r w:rsidR="00331EF1" w:rsidRPr="00CE0DE7">
        <w:rPr>
          <w:color w:val="000000"/>
          <w:sz w:val="20"/>
          <w:szCs w:val="20"/>
          <w:lang w:val="en-GB" w:eastAsia="zh-CN"/>
        </w:rPr>
        <w:t>,</w:t>
      </w:r>
      <w:r w:rsidR="00AE7136" w:rsidRPr="00CE0DE7">
        <w:rPr>
          <w:color w:val="000000"/>
          <w:sz w:val="20"/>
          <w:szCs w:val="20"/>
          <w:lang w:val="en-GB" w:eastAsia="zh-CN"/>
        </w:rPr>
        <w:t xml:space="preserve"> and the </w:t>
      </w:r>
      <w:r w:rsidR="00361757" w:rsidRPr="00CE0DE7">
        <w:rPr>
          <w:color w:val="000000"/>
          <w:sz w:val="20"/>
          <w:szCs w:val="20"/>
          <w:lang w:val="en-GB" w:eastAsia="zh-CN"/>
        </w:rPr>
        <w:t xml:space="preserve">de-annualized </w:t>
      </w:r>
      <w:r w:rsidR="00AE7136" w:rsidRPr="00CE0DE7">
        <w:rPr>
          <w:color w:val="000000"/>
          <w:sz w:val="20"/>
          <w:szCs w:val="20"/>
          <w:lang w:val="en-GB" w:eastAsia="zh-CN"/>
        </w:rPr>
        <w:t>monthly-</w:t>
      </w:r>
      <w:r w:rsidR="00331EF1" w:rsidRPr="00CE0DE7">
        <w:rPr>
          <w:color w:val="000000"/>
          <w:sz w:val="20"/>
          <w:szCs w:val="20"/>
          <w:lang w:val="en-GB" w:eastAsia="zh-CN"/>
        </w:rPr>
        <w:t xml:space="preserve">end VIX-squared </w:t>
      </w:r>
      <w:r w:rsidR="00AE7136" w:rsidRPr="00CE0DE7">
        <w:rPr>
          <w:color w:val="000000"/>
          <w:sz w:val="20"/>
          <w:szCs w:val="20"/>
          <w:lang w:val="en-GB" w:eastAsia="zh-CN"/>
        </w:rPr>
        <w:t xml:space="preserve">are used as a proxy for model-free implied volatility. </w:t>
      </w:r>
    </w:p>
    <w:p w14:paraId="4D3B6BD7" w14:textId="2528D2E0" w:rsidR="00171A1C" w:rsidRPr="00CE0DE7" w:rsidRDefault="005A7DC1" w:rsidP="00BD081C">
      <w:pPr>
        <w:adjustRightInd w:val="0"/>
        <w:snapToGrid w:val="0"/>
        <w:spacing w:line="480" w:lineRule="auto"/>
        <w:ind w:firstLine="425"/>
        <w:jc w:val="both"/>
        <w:rPr>
          <w:color w:val="000000"/>
          <w:sz w:val="20"/>
          <w:szCs w:val="20"/>
          <w:lang w:val="en-GB" w:eastAsia="zh-CN"/>
        </w:rPr>
      </w:pPr>
      <w:r w:rsidRPr="00CE0DE7">
        <w:rPr>
          <w:color w:val="000000"/>
          <w:sz w:val="20"/>
          <w:szCs w:val="20"/>
          <w:lang w:val="en-GB"/>
        </w:rPr>
        <w:t xml:space="preserve">Second, we consider illiquidity for the S&amp;P 500 index and aggregate stock market (NYSE), respectively. We obtain daily returns, prices, and </w:t>
      </w:r>
      <w:r w:rsidR="00296C77" w:rsidRPr="00CE0DE7">
        <w:rPr>
          <w:color w:val="000000"/>
          <w:sz w:val="20"/>
          <w:szCs w:val="20"/>
          <w:lang w:val="en-GB"/>
        </w:rPr>
        <w:t xml:space="preserve">stock </w:t>
      </w:r>
      <w:r w:rsidRPr="00CE0DE7">
        <w:rPr>
          <w:color w:val="000000"/>
          <w:sz w:val="20"/>
          <w:szCs w:val="20"/>
          <w:lang w:val="en-GB"/>
        </w:rPr>
        <w:t>trading volumes</w:t>
      </w:r>
      <w:r w:rsidR="00296C77" w:rsidRPr="00CE0DE7">
        <w:rPr>
          <w:color w:val="000000"/>
          <w:sz w:val="20"/>
          <w:szCs w:val="20"/>
          <w:lang w:val="en-GB"/>
        </w:rPr>
        <w:t xml:space="preserve"> </w:t>
      </w:r>
      <w:r w:rsidRPr="00CE0DE7">
        <w:rPr>
          <w:color w:val="000000"/>
          <w:sz w:val="20"/>
          <w:szCs w:val="20"/>
          <w:lang w:val="en-GB"/>
        </w:rPr>
        <w:t xml:space="preserve">from </w:t>
      </w:r>
      <w:r w:rsidR="00296C77" w:rsidRPr="00CE0DE7">
        <w:rPr>
          <w:color w:val="000000"/>
          <w:sz w:val="20"/>
          <w:szCs w:val="20"/>
          <w:lang w:val="en-GB"/>
        </w:rPr>
        <w:t xml:space="preserve">the </w:t>
      </w:r>
      <w:r w:rsidRPr="00CE0DE7">
        <w:rPr>
          <w:color w:val="000000"/>
          <w:sz w:val="20"/>
          <w:szCs w:val="20"/>
          <w:lang w:val="en-GB"/>
        </w:rPr>
        <w:t xml:space="preserve">CRSP. </w:t>
      </w:r>
      <w:r w:rsidR="000674F1" w:rsidRPr="00CE0DE7">
        <w:rPr>
          <w:color w:val="000000"/>
          <w:sz w:val="20"/>
          <w:szCs w:val="20"/>
          <w:lang w:val="en-GB"/>
        </w:rPr>
        <w:t>Based on</w:t>
      </w:r>
      <w:r w:rsidRPr="00CE0DE7">
        <w:rPr>
          <w:color w:val="000000"/>
          <w:sz w:val="20"/>
          <w:szCs w:val="20"/>
          <w:lang w:val="en-GB"/>
        </w:rPr>
        <w:t xml:space="preserve"> Eq. (</w:t>
      </w:r>
      <w:r w:rsidR="005014E0" w:rsidRPr="00CE0DE7">
        <w:rPr>
          <w:color w:val="000000"/>
          <w:sz w:val="20"/>
          <w:szCs w:val="20"/>
          <w:lang w:val="en-GB"/>
        </w:rPr>
        <w:t>2</w:t>
      </w:r>
      <w:r w:rsidRPr="00CE0DE7">
        <w:rPr>
          <w:color w:val="000000"/>
          <w:sz w:val="20"/>
          <w:szCs w:val="20"/>
          <w:lang w:val="en-GB"/>
        </w:rPr>
        <w:t xml:space="preserve">), we construct the monthly </w:t>
      </w:r>
      <w:r w:rsidR="00932850" w:rsidRPr="00CE0DE7">
        <w:rPr>
          <w:color w:val="000000"/>
          <w:sz w:val="20"/>
          <w:szCs w:val="20"/>
          <w:lang w:val="en-GB"/>
        </w:rPr>
        <w:t xml:space="preserve">market-wide </w:t>
      </w:r>
      <w:r w:rsidRPr="00CE0DE7">
        <w:rPr>
          <w:color w:val="000000"/>
          <w:sz w:val="20"/>
          <w:szCs w:val="20"/>
          <w:lang w:val="en-GB"/>
        </w:rPr>
        <w:t>illiquidity ratio for the NYSE (</w:t>
      </w:r>
      <w:r w:rsidRPr="00CE0DE7">
        <w:rPr>
          <w:i/>
          <w:color w:val="000000"/>
          <w:sz w:val="20"/>
          <w:szCs w:val="20"/>
          <w:lang w:val="en-GB" w:eastAsia="zh-CN"/>
        </w:rPr>
        <w:t>ILLIQ</w:t>
      </w:r>
      <w:r w:rsidRPr="00CE0DE7">
        <w:rPr>
          <w:i/>
          <w:color w:val="000000"/>
          <w:sz w:val="20"/>
          <w:szCs w:val="20"/>
          <w:vertAlign w:val="superscript"/>
          <w:lang w:val="en-GB" w:eastAsia="zh-CN"/>
        </w:rPr>
        <w:t>NYSE</w:t>
      </w:r>
      <w:r w:rsidRPr="00CE0DE7">
        <w:rPr>
          <w:color w:val="000000"/>
          <w:sz w:val="20"/>
          <w:szCs w:val="20"/>
          <w:lang w:val="en-GB"/>
        </w:rPr>
        <w:t>) and the S&amp;P 500 index (</w:t>
      </w:r>
      <w:r w:rsidRPr="00CE0DE7">
        <w:rPr>
          <w:i/>
          <w:color w:val="000000"/>
          <w:sz w:val="20"/>
          <w:szCs w:val="20"/>
          <w:lang w:val="en-GB" w:eastAsia="zh-CN"/>
        </w:rPr>
        <w:t>ILLIQ</w:t>
      </w:r>
      <w:r w:rsidRPr="00CE0DE7">
        <w:rPr>
          <w:i/>
          <w:color w:val="000000"/>
          <w:sz w:val="20"/>
          <w:szCs w:val="20"/>
          <w:vertAlign w:val="superscript"/>
          <w:lang w:val="en-GB"/>
        </w:rPr>
        <w:t>SP500</w:t>
      </w:r>
      <w:r w:rsidRPr="00CE0DE7">
        <w:rPr>
          <w:color w:val="000000"/>
          <w:sz w:val="20"/>
          <w:szCs w:val="20"/>
          <w:lang w:val="en-GB"/>
        </w:rPr>
        <w:t xml:space="preserve">).  </w:t>
      </w:r>
    </w:p>
    <w:p w14:paraId="57981487" w14:textId="2A2E99F1" w:rsidR="0084429E" w:rsidRPr="00CE0DE7" w:rsidRDefault="005A7DC1" w:rsidP="00BD081C">
      <w:pPr>
        <w:adjustRightInd w:val="0"/>
        <w:snapToGrid w:val="0"/>
        <w:spacing w:line="480" w:lineRule="auto"/>
        <w:ind w:firstLine="425"/>
        <w:jc w:val="both"/>
        <w:rPr>
          <w:color w:val="000000"/>
          <w:sz w:val="20"/>
          <w:szCs w:val="20"/>
          <w:lang w:val="en-GB" w:eastAsia="zh-CN"/>
        </w:rPr>
      </w:pPr>
      <w:r w:rsidRPr="00CE0DE7">
        <w:rPr>
          <w:color w:val="000000"/>
          <w:sz w:val="20"/>
          <w:szCs w:val="20"/>
          <w:lang w:val="en-GB"/>
        </w:rPr>
        <w:t>Third, we also consider two stock return measures</w:t>
      </w:r>
      <w:r w:rsidR="00296C77" w:rsidRPr="00CE0DE7">
        <w:rPr>
          <w:color w:val="000000"/>
          <w:sz w:val="20"/>
          <w:szCs w:val="20"/>
          <w:lang w:val="en-GB"/>
        </w:rPr>
        <w:t xml:space="preserve">: </w:t>
      </w:r>
      <w:r w:rsidRPr="00CE0DE7">
        <w:rPr>
          <w:color w:val="000000"/>
          <w:sz w:val="20"/>
          <w:szCs w:val="20"/>
          <w:lang w:val="en-GB"/>
        </w:rPr>
        <w:t>the monthly excess returns on a value-weighted market portfolio (denoted by</w:t>
      </w:r>
      <w:r w:rsidRPr="00CE0DE7">
        <w:rPr>
          <w:color w:val="000000"/>
          <w:sz w:val="20"/>
          <w:szCs w:val="20"/>
          <w:lang w:val="en-GB" w:eastAsia="zh-CN"/>
        </w:rPr>
        <w:t xml:space="preserve"> </w:t>
      </w:r>
      <w:r w:rsidRPr="00CE0DE7">
        <w:rPr>
          <w:i/>
          <w:color w:val="000000"/>
          <w:sz w:val="20"/>
          <w:szCs w:val="20"/>
          <w:lang w:val="en-GB" w:eastAsia="zh-CN"/>
        </w:rPr>
        <w:t>VW</w:t>
      </w:r>
      <w:r w:rsidRPr="00CE0DE7">
        <w:rPr>
          <w:color w:val="000000"/>
          <w:sz w:val="20"/>
          <w:szCs w:val="20"/>
          <w:lang w:val="en-GB"/>
        </w:rPr>
        <w:t>), and the S&amp;P 500 index excess return (denoted by</w:t>
      </w:r>
      <w:r w:rsidRPr="00CE0DE7">
        <w:rPr>
          <w:color w:val="000000"/>
          <w:sz w:val="20"/>
          <w:szCs w:val="20"/>
          <w:lang w:val="en-GB" w:eastAsia="zh-CN"/>
        </w:rPr>
        <w:t xml:space="preserve"> </w:t>
      </w:r>
      <w:r w:rsidRPr="00CE0DE7">
        <w:rPr>
          <w:i/>
          <w:color w:val="000000"/>
          <w:sz w:val="20"/>
          <w:szCs w:val="20"/>
          <w:lang w:val="en-GB" w:eastAsia="zh-CN"/>
        </w:rPr>
        <w:t>INDEX</w:t>
      </w:r>
      <w:r w:rsidRPr="00CE0DE7">
        <w:rPr>
          <w:color w:val="000000"/>
          <w:sz w:val="20"/>
          <w:szCs w:val="20"/>
          <w:lang w:val="en-GB"/>
        </w:rPr>
        <w:t>). We download the monthly value-weighted return</w:t>
      </w:r>
      <w:r w:rsidR="009268D4" w:rsidRPr="00CE0DE7">
        <w:rPr>
          <w:color w:val="000000"/>
          <w:sz w:val="20"/>
          <w:szCs w:val="20"/>
          <w:lang w:val="en-GB"/>
        </w:rPr>
        <w:t>s</w:t>
      </w:r>
      <w:r w:rsidRPr="00CE0DE7">
        <w:rPr>
          <w:color w:val="000000"/>
          <w:sz w:val="20"/>
          <w:szCs w:val="20"/>
          <w:lang w:val="en-GB"/>
        </w:rPr>
        <w:t>, the S&amp;P 500 index return</w:t>
      </w:r>
      <w:r w:rsidR="009268D4" w:rsidRPr="00CE0DE7">
        <w:rPr>
          <w:color w:val="000000"/>
          <w:sz w:val="20"/>
          <w:szCs w:val="20"/>
          <w:lang w:val="en-GB"/>
        </w:rPr>
        <w:t>s</w:t>
      </w:r>
      <w:r w:rsidR="00296C77" w:rsidRPr="00CE0DE7">
        <w:rPr>
          <w:color w:val="000000"/>
          <w:sz w:val="20"/>
          <w:szCs w:val="20"/>
          <w:lang w:val="en-GB"/>
        </w:rPr>
        <w:t>,</w:t>
      </w:r>
      <w:r w:rsidRPr="00CE0DE7">
        <w:rPr>
          <w:color w:val="000000"/>
          <w:sz w:val="20"/>
          <w:szCs w:val="20"/>
          <w:lang w:val="en-GB"/>
        </w:rPr>
        <w:t xml:space="preserve"> and the risk-free rate from </w:t>
      </w:r>
      <w:r w:rsidR="00955E84" w:rsidRPr="00CE0DE7">
        <w:rPr>
          <w:color w:val="000000"/>
          <w:sz w:val="20"/>
          <w:szCs w:val="20"/>
          <w:lang w:val="en-GB" w:eastAsia="zh-CN"/>
        </w:rPr>
        <w:t xml:space="preserve">the </w:t>
      </w:r>
      <w:proofErr w:type="spellStart"/>
      <w:r w:rsidR="00296C77" w:rsidRPr="00CE0DE7">
        <w:rPr>
          <w:color w:val="000000"/>
          <w:sz w:val="20"/>
          <w:szCs w:val="20"/>
          <w:lang w:val="en-GB" w:eastAsia="zh-CN"/>
        </w:rPr>
        <w:t>Center</w:t>
      </w:r>
      <w:proofErr w:type="spellEnd"/>
      <w:r w:rsidR="00296C77" w:rsidRPr="00CE0DE7">
        <w:rPr>
          <w:color w:val="000000"/>
          <w:sz w:val="20"/>
          <w:szCs w:val="20"/>
          <w:lang w:val="en-GB" w:eastAsia="zh-CN"/>
        </w:rPr>
        <w:t xml:space="preserve"> for Research in Security Prices (CRSP)</w:t>
      </w:r>
      <w:r w:rsidRPr="00CE0DE7">
        <w:rPr>
          <w:color w:val="000000"/>
          <w:sz w:val="20"/>
          <w:szCs w:val="20"/>
          <w:lang w:val="en-GB"/>
        </w:rPr>
        <w:t>. W</w:t>
      </w:r>
      <w:r w:rsidRPr="00CE0DE7">
        <w:rPr>
          <w:color w:val="000000"/>
          <w:sz w:val="20"/>
          <w:szCs w:val="20"/>
          <w:lang w:val="en-GB" w:eastAsia="zh-CN"/>
        </w:rPr>
        <w:t xml:space="preserve">e obtain the monthly </w:t>
      </w:r>
      <w:proofErr w:type="spellStart"/>
      <w:r w:rsidRPr="00CE0DE7">
        <w:rPr>
          <w:color w:val="000000"/>
          <w:sz w:val="20"/>
          <w:szCs w:val="20"/>
          <w:lang w:val="en-GB" w:eastAsia="zh-CN"/>
        </w:rPr>
        <w:t>Fama</w:t>
      </w:r>
      <w:proofErr w:type="spellEnd"/>
      <w:r w:rsidRPr="00CE0DE7">
        <w:rPr>
          <w:color w:val="000000"/>
          <w:sz w:val="20"/>
          <w:szCs w:val="20"/>
          <w:lang w:val="en-GB" w:eastAsia="zh-CN"/>
        </w:rPr>
        <w:t>-French factors (</w:t>
      </w:r>
      <w:r w:rsidRPr="00CE0DE7">
        <w:rPr>
          <w:i/>
          <w:color w:val="000000"/>
          <w:sz w:val="20"/>
          <w:szCs w:val="20"/>
          <w:lang w:val="en-GB" w:eastAsia="zh-CN"/>
        </w:rPr>
        <w:t>R</w:t>
      </w:r>
      <w:r w:rsidRPr="00CE0DE7">
        <w:rPr>
          <w:i/>
          <w:color w:val="000000"/>
          <w:sz w:val="20"/>
          <w:szCs w:val="20"/>
          <w:vertAlign w:val="subscript"/>
          <w:lang w:val="en-GB" w:eastAsia="zh-CN"/>
        </w:rPr>
        <w:t>m</w:t>
      </w:r>
      <w:r w:rsidRPr="00CE0DE7">
        <w:rPr>
          <w:i/>
          <w:color w:val="000000"/>
          <w:sz w:val="20"/>
          <w:szCs w:val="20"/>
          <w:lang w:val="en-GB" w:eastAsia="zh-CN"/>
        </w:rPr>
        <w:t>-</w:t>
      </w:r>
      <w:proofErr w:type="spellStart"/>
      <w:r w:rsidRPr="00CE0DE7">
        <w:rPr>
          <w:i/>
          <w:color w:val="000000"/>
          <w:sz w:val="20"/>
          <w:szCs w:val="20"/>
          <w:lang w:val="en-GB" w:eastAsia="zh-CN"/>
        </w:rPr>
        <w:t>R</w:t>
      </w:r>
      <w:r w:rsidRPr="00CE0DE7">
        <w:rPr>
          <w:i/>
          <w:color w:val="000000"/>
          <w:sz w:val="20"/>
          <w:szCs w:val="20"/>
          <w:vertAlign w:val="subscript"/>
          <w:lang w:val="en-GB" w:eastAsia="zh-CN"/>
        </w:rPr>
        <w:t>f</w:t>
      </w:r>
      <w:proofErr w:type="spellEnd"/>
      <w:r w:rsidRPr="00CE0DE7">
        <w:rPr>
          <w:color w:val="000000"/>
          <w:sz w:val="20"/>
          <w:szCs w:val="20"/>
          <w:lang w:val="en-GB" w:eastAsia="zh-CN"/>
        </w:rPr>
        <w:t xml:space="preserve">, </w:t>
      </w:r>
      <w:r w:rsidRPr="00CE0DE7">
        <w:rPr>
          <w:i/>
          <w:color w:val="000000"/>
          <w:sz w:val="20"/>
          <w:szCs w:val="20"/>
          <w:lang w:val="en-GB" w:eastAsia="zh-CN"/>
        </w:rPr>
        <w:t>SMB</w:t>
      </w:r>
      <w:r w:rsidRPr="00CE0DE7">
        <w:rPr>
          <w:color w:val="000000"/>
          <w:sz w:val="20"/>
          <w:szCs w:val="20"/>
          <w:lang w:val="en-GB" w:eastAsia="zh-CN"/>
        </w:rPr>
        <w:t xml:space="preserve">, and </w:t>
      </w:r>
      <w:r w:rsidRPr="00CE0DE7">
        <w:rPr>
          <w:i/>
          <w:color w:val="000000"/>
          <w:sz w:val="20"/>
          <w:szCs w:val="20"/>
          <w:lang w:val="en-GB" w:eastAsia="zh-CN"/>
        </w:rPr>
        <w:t>HML</w:t>
      </w:r>
      <w:r w:rsidRPr="00CE0DE7">
        <w:rPr>
          <w:color w:val="000000"/>
          <w:sz w:val="20"/>
          <w:szCs w:val="20"/>
          <w:lang w:val="en-GB" w:eastAsia="zh-CN"/>
        </w:rPr>
        <w:t>) and the momentum factor (</w:t>
      </w:r>
      <w:r w:rsidRPr="00CE0DE7">
        <w:rPr>
          <w:i/>
          <w:color w:val="000000"/>
          <w:sz w:val="20"/>
          <w:szCs w:val="20"/>
          <w:lang w:val="en-GB" w:eastAsia="zh-CN"/>
        </w:rPr>
        <w:t>MOM</w:t>
      </w:r>
      <w:r w:rsidRPr="00CE0DE7">
        <w:rPr>
          <w:color w:val="000000"/>
          <w:sz w:val="20"/>
          <w:szCs w:val="20"/>
          <w:lang w:val="en-GB" w:eastAsia="zh-CN"/>
        </w:rPr>
        <w:t xml:space="preserve">) from </w:t>
      </w:r>
      <w:r w:rsidRPr="00CE0DE7">
        <w:rPr>
          <w:bCs/>
          <w:color w:val="000000"/>
          <w:sz w:val="20"/>
          <w:szCs w:val="20"/>
          <w:lang w:val="en-GB" w:eastAsia="zh-CN"/>
        </w:rPr>
        <w:t>Ken</w:t>
      </w:r>
      <w:r w:rsidR="00345F8B" w:rsidRPr="00CE0DE7">
        <w:rPr>
          <w:bCs/>
          <w:color w:val="000000"/>
          <w:sz w:val="20"/>
          <w:szCs w:val="20"/>
          <w:lang w:val="en-GB" w:eastAsia="zh-CN"/>
        </w:rPr>
        <w:t>neth</w:t>
      </w:r>
      <w:r w:rsidRPr="00CE0DE7">
        <w:rPr>
          <w:bCs/>
          <w:color w:val="000000"/>
          <w:sz w:val="20"/>
          <w:szCs w:val="20"/>
          <w:lang w:val="en-GB" w:eastAsia="zh-CN"/>
        </w:rPr>
        <w:t xml:space="preserve"> French’s website</w:t>
      </w:r>
      <w:r w:rsidRPr="00CE0DE7">
        <w:rPr>
          <w:b/>
          <w:color w:val="000000"/>
          <w:sz w:val="20"/>
          <w:szCs w:val="20"/>
          <w:lang w:val="en-GB" w:eastAsia="zh-CN"/>
        </w:rPr>
        <w:t>.</w:t>
      </w:r>
      <w:r w:rsidR="00A2098C" w:rsidRPr="00440039">
        <w:rPr>
          <w:rStyle w:val="a9"/>
        </w:rPr>
        <w:footnoteReference w:id="2"/>
      </w:r>
      <w:r w:rsidRPr="00CE0DE7">
        <w:rPr>
          <w:color w:val="000000"/>
          <w:sz w:val="20"/>
          <w:szCs w:val="20"/>
          <w:lang w:val="en-GB" w:eastAsia="zh-CN"/>
        </w:rPr>
        <w:t xml:space="preserve"> </w:t>
      </w:r>
    </w:p>
    <w:p w14:paraId="00587582" w14:textId="58553BE1" w:rsidR="0084429E" w:rsidRPr="00CE0DE7" w:rsidRDefault="005A7DC1" w:rsidP="00BD081C">
      <w:pPr>
        <w:autoSpaceDE w:val="0"/>
        <w:autoSpaceDN w:val="0"/>
        <w:adjustRightInd w:val="0"/>
        <w:snapToGrid w:val="0"/>
        <w:spacing w:line="480" w:lineRule="auto"/>
        <w:ind w:firstLine="425"/>
        <w:jc w:val="both"/>
        <w:rPr>
          <w:color w:val="000000"/>
          <w:sz w:val="20"/>
          <w:szCs w:val="20"/>
          <w:lang w:eastAsia="zh-CN"/>
        </w:rPr>
      </w:pPr>
      <w:r w:rsidRPr="00CE0DE7">
        <w:rPr>
          <w:color w:val="000000"/>
          <w:sz w:val="20"/>
          <w:szCs w:val="20"/>
          <w:lang w:val="en-GB" w:eastAsia="zh-CN"/>
        </w:rPr>
        <w:t xml:space="preserve">Finally, </w:t>
      </w:r>
      <w:r w:rsidRPr="00CE0DE7">
        <w:rPr>
          <w:iCs/>
          <w:color w:val="000000"/>
          <w:sz w:val="20"/>
          <w:szCs w:val="20"/>
          <w:lang w:val="en-GB" w:eastAsia="zh-CN"/>
        </w:rPr>
        <w:t xml:space="preserve">following </w:t>
      </w:r>
      <w:proofErr w:type="spellStart"/>
      <w:r w:rsidRPr="00CE0DE7">
        <w:rPr>
          <w:iCs/>
          <w:color w:val="000000"/>
          <w:sz w:val="20"/>
          <w:szCs w:val="20"/>
          <w:lang w:val="en-GB" w:eastAsia="zh-CN"/>
        </w:rPr>
        <w:t>Bollerslev</w:t>
      </w:r>
      <w:proofErr w:type="spellEnd"/>
      <w:r w:rsidRPr="00CE0DE7">
        <w:rPr>
          <w:iCs/>
          <w:color w:val="000000"/>
          <w:sz w:val="20"/>
          <w:szCs w:val="20"/>
          <w:lang w:val="en-GB" w:eastAsia="zh-CN"/>
        </w:rPr>
        <w:t xml:space="preserve"> et al. </w:t>
      </w:r>
      <w:r w:rsidR="00293D1A" w:rsidRPr="00CE0DE7">
        <w:rPr>
          <w:iCs/>
          <w:color w:val="000000"/>
          <w:sz w:val="20"/>
          <w:szCs w:val="20"/>
          <w:lang w:val="en-GB" w:eastAsia="zh-CN"/>
        </w:rPr>
        <w:fldChar w:fldCharType="begin" w:fldLock="1"/>
      </w:r>
      <w:r w:rsidR="00DC30A0">
        <w:rPr>
          <w:iCs/>
          <w:color w:val="000000"/>
          <w:sz w:val="20"/>
          <w:szCs w:val="20"/>
          <w:lang w:val="en-GB" w:eastAsia="zh-CN"/>
        </w:rPr>
        <w:instrText>ADDIN CSL_CITATION {"citationItems":[{"id":"ITEM-1","itemData":{"ISSN":"0893-9454","abstract":"Motivated by the implications from a stylized self-contained general equilibrium model incorporating the effects of time-varying economic uncertainty, we show that the difference between implied and realized variation, or the variance risk premium, is able to explain a nontrivial fraction of the time-series variation in post-1990 aggregate stock market returns, with high (low) premia predicting high (low) future returns. Our empirical results depend crucially on the use of \"model-free,\" as opposed to Black-Scholes, options implied volatilities, along with accurate realized variation measures constructed from high-frequency intraday as opposed to daily data. The magnitude of the predictability is particularly strong at the intermediate quarterly return horizon, where it dominates that afforded by other popular predictor variables, such as the P/E ratio, the default spread, and the consumption-wealth ratio.","author":[{"dropping-particle":"","family":"Bollerslev","given":"Tim","non-dropping-particle":"","parse-names":false,"suffix":""},{"dropping-particle":"","family":"Tauchen","given":"George","non-dropping-particle":"","parse-names":false,"suffix":""},{"dropping-particle":"","family":"Zhou","given":"Hao","non-dropping-particle":"","parse-names":false,"suffix":""}],"container-title":"Review of Financial Studies","id":"ITEM-1","issue":"11","issued":{"date-parts":[["2009","11","1"]]},"page":"4463-4492","publisher":"Oxford Academic","title":"Expected stock returns and variance risk premia","type":"article-journal","volume":"22"},"suppress-author":1,"uris":["http://www.mendeley.com/documents/?uuid=45d1ad30-ca4b-3155-bafd-b3e4bfaf3cf7"]}],"mendeley":{"formattedCitation":"(2009)","plainTextFormattedCitation":"(2009)","previouslyFormattedCitation":"(2009)"},"properties":{"noteIndex":0},"schema":"https://github.com/citation-style-language/schema/raw/master/csl-citation.json"}</w:instrText>
      </w:r>
      <w:r w:rsidR="00293D1A" w:rsidRPr="00CE0DE7">
        <w:rPr>
          <w:iCs/>
          <w:color w:val="000000"/>
          <w:sz w:val="20"/>
          <w:szCs w:val="20"/>
          <w:lang w:val="en-GB" w:eastAsia="zh-CN"/>
        </w:rPr>
        <w:fldChar w:fldCharType="separate"/>
      </w:r>
      <w:r w:rsidR="00293D1A" w:rsidRPr="00CE0DE7">
        <w:rPr>
          <w:iCs/>
          <w:noProof/>
          <w:color w:val="000000"/>
          <w:sz w:val="20"/>
          <w:szCs w:val="20"/>
          <w:lang w:val="en-GB" w:eastAsia="zh-CN"/>
        </w:rPr>
        <w:t>(2009)</w:t>
      </w:r>
      <w:r w:rsidR="00293D1A" w:rsidRPr="00CE0DE7">
        <w:rPr>
          <w:iCs/>
          <w:color w:val="000000"/>
          <w:sz w:val="20"/>
          <w:szCs w:val="20"/>
          <w:lang w:val="en-GB" w:eastAsia="zh-CN"/>
        </w:rPr>
        <w:fldChar w:fldCharType="end"/>
      </w:r>
      <w:r w:rsidRPr="00CE0DE7">
        <w:rPr>
          <w:iCs/>
          <w:color w:val="000000"/>
          <w:sz w:val="20"/>
          <w:szCs w:val="20"/>
          <w:lang w:val="en-GB" w:eastAsia="zh-CN"/>
        </w:rPr>
        <w:t xml:space="preserve">, our analysis </w:t>
      </w:r>
      <w:r w:rsidR="00CC0CDB" w:rsidRPr="00CE0DE7">
        <w:rPr>
          <w:iCs/>
          <w:color w:val="000000"/>
          <w:sz w:val="20"/>
          <w:szCs w:val="20"/>
          <w:lang w:val="en-GB" w:eastAsia="zh-CN"/>
        </w:rPr>
        <w:t xml:space="preserve">also </w:t>
      </w:r>
      <w:r w:rsidRPr="00CE0DE7">
        <w:rPr>
          <w:iCs/>
          <w:color w:val="000000"/>
          <w:sz w:val="20"/>
          <w:szCs w:val="20"/>
          <w:lang w:val="en-GB" w:eastAsia="zh-CN"/>
        </w:rPr>
        <w:t>considers a number of economic predictors</w:t>
      </w:r>
      <w:r w:rsidR="00A72CCD" w:rsidRPr="00CE0DE7">
        <w:rPr>
          <w:iCs/>
          <w:color w:val="000000"/>
          <w:sz w:val="20"/>
          <w:szCs w:val="20"/>
          <w:lang w:val="en-GB" w:eastAsia="zh-CN"/>
        </w:rPr>
        <w:t>, including the</w:t>
      </w:r>
      <w:r w:rsidRPr="00CE0DE7">
        <w:rPr>
          <w:iCs/>
          <w:color w:val="000000"/>
          <w:sz w:val="20"/>
          <w:szCs w:val="20"/>
          <w:lang w:val="en-GB" w:eastAsia="zh-CN"/>
        </w:rPr>
        <w:t xml:space="preserve"> price-earnings ratio (</w:t>
      </w:r>
      <w:r w:rsidRPr="00CE0DE7">
        <w:rPr>
          <w:i/>
          <w:iCs/>
          <w:color w:val="000000"/>
          <w:sz w:val="20"/>
          <w:szCs w:val="20"/>
          <w:lang w:val="en-GB" w:eastAsia="zh-CN"/>
        </w:rPr>
        <w:t>PE</w:t>
      </w:r>
      <w:r w:rsidR="00A72CCD" w:rsidRPr="00CE0DE7">
        <w:rPr>
          <w:iCs/>
          <w:color w:val="000000"/>
          <w:sz w:val="20"/>
          <w:szCs w:val="20"/>
          <w:lang w:val="en-GB" w:eastAsia="zh-CN"/>
        </w:rPr>
        <w:t>,</w:t>
      </w:r>
      <w:r w:rsidR="00CC0CDB" w:rsidRPr="00CE0DE7">
        <w:rPr>
          <w:iCs/>
          <w:color w:val="000000"/>
          <w:sz w:val="20"/>
          <w:szCs w:val="20"/>
          <w:lang w:val="en-GB" w:eastAsia="zh-CN"/>
        </w:rPr>
        <w:t xml:space="preserve"> </w:t>
      </w:r>
      <w:r w:rsidR="00223DE5" w:rsidRPr="00CE0DE7">
        <w:rPr>
          <w:iCs/>
          <w:color w:val="000000"/>
          <w:sz w:val="20"/>
          <w:szCs w:val="20"/>
          <w:lang w:val="en-GB" w:eastAsia="zh-CN"/>
        </w:rPr>
        <w:t xml:space="preserve">defined as </w:t>
      </w:r>
      <w:r w:rsidR="00CC0CDB" w:rsidRPr="00CE0DE7">
        <w:rPr>
          <w:iCs/>
          <w:color w:val="000000"/>
          <w:sz w:val="20"/>
          <w:szCs w:val="20"/>
          <w:lang w:val="en-GB" w:eastAsia="zh-CN"/>
        </w:rPr>
        <w:t>the difference between the log value of prices and earnings</w:t>
      </w:r>
      <w:r w:rsidR="00A72CCD" w:rsidRPr="00CE0DE7">
        <w:rPr>
          <w:iCs/>
          <w:color w:val="000000"/>
          <w:sz w:val="20"/>
          <w:szCs w:val="20"/>
          <w:lang w:val="en-GB" w:eastAsia="zh-CN"/>
        </w:rPr>
        <w:t>);</w:t>
      </w:r>
      <w:r w:rsidRPr="00CE0DE7">
        <w:rPr>
          <w:iCs/>
          <w:color w:val="000000"/>
          <w:sz w:val="20"/>
          <w:szCs w:val="20"/>
          <w:lang w:val="en-GB" w:eastAsia="zh-CN"/>
        </w:rPr>
        <w:t xml:space="preserve"> </w:t>
      </w:r>
      <w:r w:rsidR="00A72CCD" w:rsidRPr="00CE0DE7">
        <w:rPr>
          <w:iCs/>
          <w:color w:val="000000"/>
          <w:sz w:val="20"/>
          <w:szCs w:val="20"/>
          <w:lang w:val="en-GB" w:eastAsia="zh-CN"/>
        </w:rPr>
        <w:t xml:space="preserve">the </w:t>
      </w:r>
      <w:r w:rsidRPr="00CE0DE7">
        <w:rPr>
          <w:iCs/>
          <w:color w:val="000000"/>
          <w:sz w:val="20"/>
          <w:szCs w:val="20"/>
          <w:lang w:val="en-GB" w:eastAsia="zh-CN"/>
        </w:rPr>
        <w:t>price-dividend ratio (</w:t>
      </w:r>
      <w:r w:rsidRPr="00CE0DE7">
        <w:rPr>
          <w:i/>
          <w:iCs/>
          <w:color w:val="000000"/>
          <w:sz w:val="20"/>
          <w:szCs w:val="20"/>
          <w:lang w:val="en-GB" w:eastAsia="zh-CN"/>
        </w:rPr>
        <w:t>PD</w:t>
      </w:r>
      <w:r w:rsidR="00A72CCD" w:rsidRPr="00CE0DE7">
        <w:rPr>
          <w:iCs/>
          <w:color w:val="000000"/>
          <w:sz w:val="20"/>
          <w:szCs w:val="20"/>
          <w:lang w:val="en-GB" w:eastAsia="zh-CN"/>
        </w:rPr>
        <w:t>,</w:t>
      </w:r>
      <w:r w:rsidR="00CC0CDB" w:rsidRPr="00CE0DE7">
        <w:rPr>
          <w:iCs/>
          <w:color w:val="000000"/>
          <w:sz w:val="20"/>
          <w:szCs w:val="20"/>
          <w:lang w:val="en-GB" w:eastAsia="zh-CN"/>
        </w:rPr>
        <w:t xml:space="preserve"> </w:t>
      </w:r>
      <w:r w:rsidR="00223DE5" w:rsidRPr="00CE0DE7">
        <w:rPr>
          <w:iCs/>
          <w:color w:val="000000"/>
          <w:sz w:val="20"/>
          <w:szCs w:val="20"/>
          <w:lang w:val="en-GB" w:eastAsia="zh-CN"/>
        </w:rPr>
        <w:t xml:space="preserve">defined as </w:t>
      </w:r>
      <w:r w:rsidR="00A72CCD" w:rsidRPr="00CE0DE7">
        <w:rPr>
          <w:iCs/>
          <w:color w:val="000000"/>
          <w:sz w:val="20"/>
          <w:szCs w:val="20"/>
          <w:lang w:val="en-GB" w:eastAsia="zh-CN"/>
        </w:rPr>
        <w:t xml:space="preserve">the difference between </w:t>
      </w:r>
      <w:r w:rsidR="00CC0CDB" w:rsidRPr="00CE0DE7">
        <w:rPr>
          <w:iCs/>
          <w:color w:val="000000"/>
          <w:sz w:val="20"/>
          <w:szCs w:val="20"/>
          <w:lang w:val="en-GB" w:eastAsia="zh-CN"/>
        </w:rPr>
        <w:t>log prices and log of dividends</w:t>
      </w:r>
      <w:r w:rsidR="00A72CCD" w:rsidRPr="00CE0DE7">
        <w:rPr>
          <w:iCs/>
          <w:color w:val="000000"/>
          <w:sz w:val="20"/>
          <w:szCs w:val="20"/>
          <w:lang w:val="en-GB" w:eastAsia="zh-CN"/>
        </w:rPr>
        <w:t>);</w:t>
      </w:r>
      <w:r w:rsidRPr="00CE0DE7">
        <w:rPr>
          <w:iCs/>
          <w:color w:val="000000"/>
          <w:sz w:val="20"/>
          <w:szCs w:val="20"/>
          <w:lang w:val="en-GB" w:eastAsia="zh-CN"/>
        </w:rPr>
        <w:t xml:space="preserve"> </w:t>
      </w:r>
      <w:r w:rsidR="00A72CCD" w:rsidRPr="00CE0DE7">
        <w:rPr>
          <w:iCs/>
          <w:color w:val="000000"/>
          <w:sz w:val="20"/>
          <w:szCs w:val="20"/>
          <w:lang w:val="en-GB" w:eastAsia="zh-CN"/>
        </w:rPr>
        <w:t xml:space="preserve">the </w:t>
      </w:r>
      <w:r w:rsidRPr="00CE0DE7">
        <w:rPr>
          <w:iCs/>
          <w:color w:val="000000"/>
          <w:sz w:val="20"/>
          <w:szCs w:val="20"/>
          <w:lang w:val="en-GB" w:eastAsia="zh-CN"/>
        </w:rPr>
        <w:t>default spread (</w:t>
      </w:r>
      <w:r w:rsidRPr="00CE0DE7">
        <w:rPr>
          <w:i/>
          <w:iCs/>
          <w:color w:val="000000"/>
          <w:sz w:val="20"/>
          <w:szCs w:val="20"/>
          <w:lang w:val="en-GB" w:eastAsia="zh-CN"/>
        </w:rPr>
        <w:t>DFSP</w:t>
      </w:r>
      <w:r w:rsidR="00A72CCD" w:rsidRPr="00CE0DE7">
        <w:rPr>
          <w:iCs/>
          <w:color w:val="000000"/>
          <w:sz w:val="20"/>
          <w:szCs w:val="20"/>
          <w:lang w:val="en-GB" w:eastAsia="zh-CN"/>
        </w:rPr>
        <w:t>,</w:t>
      </w:r>
      <w:r w:rsidR="00CC0CDB" w:rsidRPr="00CE0DE7">
        <w:rPr>
          <w:iCs/>
          <w:color w:val="000000"/>
          <w:sz w:val="20"/>
          <w:szCs w:val="20"/>
          <w:lang w:val="en-GB" w:eastAsia="zh-CN"/>
        </w:rPr>
        <w:t xml:space="preserve"> </w:t>
      </w:r>
      <w:r w:rsidR="00223DE5" w:rsidRPr="00CE0DE7">
        <w:rPr>
          <w:iCs/>
          <w:color w:val="000000"/>
          <w:sz w:val="20"/>
          <w:szCs w:val="20"/>
          <w:lang w:val="en-GB" w:eastAsia="zh-CN"/>
        </w:rPr>
        <w:t xml:space="preserve">defined as </w:t>
      </w:r>
      <w:r w:rsidR="00CC0CDB" w:rsidRPr="00CE0DE7">
        <w:rPr>
          <w:iCs/>
          <w:color w:val="000000"/>
          <w:sz w:val="20"/>
          <w:szCs w:val="20"/>
          <w:lang w:val="en-GB" w:eastAsia="zh-CN"/>
        </w:rPr>
        <w:t>the</w:t>
      </w:r>
      <w:r w:rsidR="00CC0CDB" w:rsidRPr="00CE0DE7">
        <w:rPr>
          <w:i/>
          <w:iCs/>
          <w:color w:val="000000"/>
          <w:sz w:val="20"/>
          <w:szCs w:val="20"/>
          <w:lang w:val="en-GB" w:eastAsia="zh-CN"/>
        </w:rPr>
        <w:t xml:space="preserve"> </w:t>
      </w:r>
      <w:r w:rsidR="00CC0CDB" w:rsidRPr="00CE0DE7">
        <w:rPr>
          <w:iCs/>
          <w:color w:val="000000"/>
          <w:sz w:val="20"/>
          <w:szCs w:val="20"/>
          <w:lang w:val="en-GB" w:eastAsia="zh-CN"/>
        </w:rPr>
        <w:t>difference between Moody’s BAA- and AAA- rated corporate bond yields</w:t>
      </w:r>
      <w:r w:rsidRPr="00CE0DE7">
        <w:rPr>
          <w:iCs/>
          <w:color w:val="000000"/>
          <w:sz w:val="20"/>
          <w:szCs w:val="20"/>
          <w:lang w:val="en-GB" w:eastAsia="zh-CN"/>
        </w:rPr>
        <w:t>)</w:t>
      </w:r>
      <w:r w:rsidR="00A72CCD" w:rsidRPr="00CE0DE7">
        <w:rPr>
          <w:iCs/>
          <w:color w:val="000000"/>
          <w:sz w:val="20"/>
          <w:szCs w:val="20"/>
          <w:lang w:val="en-GB" w:eastAsia="zh-CN"/>
        </w:rPr>
        <w:t>;</w:t>
      </w:r>
      <w:r w:rsidRPr="00CE0DE7">
        <w:rPr>
          <w:iCs/>
          <w:color w:val="000000"/>
          <w:sz w:val="20"/>
          <w:szCs w:val="20"/>
          <w:lang w:val="en-GB" w:eastAsia="zh-CN"/>
        </w:rPr>
        <w:t xml:space="preserve"> </w:t>
      </w:r>
      <w:r w:rsidR="00A72CCD" w:rsidRPr="00CE0DE7">
        <w:rPr>
          <w:iCs/>
          <w:color w:val="000000"/>
          <w:sz w:val="20"/>
          <w:szCs w:val="20"/>
          <w:lang w:val="en-GB" w:eastAsia="zh-CN"/>
        </w:rPr>
        <w:t xml:space="preserve">the </w:t>
      </w:r>
      <w:r w:rsidRPr="00CE0DE7">
        <w:rPr>
          <w:iCs/>
          <w:color w:val="000000"/>
          <w:sz w:val="20"/>
          <w:szCs w:val="20"/>
          <w:lang w:val="en-GB" w:eastAsia="zh-CN"/>
        </w:rPr>
        <w:t>term spread (</w:t>
      </w:r>
      <w:r w:rsidRPr="00CE0DE7">
        <w:rPr>
          <w:i/>
          <w:iCs/>
          <w:color w:val="000000"/>
          <w:sz w:val="20"/>
          <w:szCs w:val="20"/>
          <w:lang w:val="en-GB" w:eastAsia="zh-CN"/>
        </w:rPr>
        <w:t>TMSP</w:t>
      </w:r>
      <w:r w:rsidR="00A72CCD" w:rsidRPr="00CE0DE7">
        <w:rPr>
          <w:iCs/>
          <w:color w:val="000000"/>
          <w:sz w:val="20"/>
          <w:szCs w:val="20"/>
          <w:lang w:val="en-GB" w:eastAsia="zh-CN"/>
        </w:rPr>
        <w:t xml:space="preserve">, </w:t>
      </w:r>
      <w:r w:rsidR="00223DE5" w:rsidRPr="00CE0DE7">
        <w:rPr>
          <w:iCs/>
          <w:color w:val="000000"/>
          <w:sz w:val="20"/>
          <w:szCs w:val="20"/>
          <w:lang w:val="en-GB" w:eastAsia="zh-CN"/>
        </w:rPr>
        <w:t xml:space="preserve">defined as </w:t>
      </w:r>
      <w:r w:rsidR="00CC0CDB" w:rsidRPr="00CE0DE7">
        <w:rPr>
          <w:iCs/>
          <w:color w:val="000000"/>
          <w:sz w:val="20"/>
          <w:szCs w:val="20"/>
          <w:lang w:val="en-GB" w:eastAsia="zh-CN"/>
        </w:rPr>
        <w:t xml:space="preserve">the difference between the 10-year T-bond and the </w:t>
      </w:r>
      <w:r w:rsidR="00E56A4F" w:rsidRPr="00CE0DE7">
        <w:rPr>
          <w:iCs/>
          <w:color w:val="000000"/>
          <w:sz w:val="20"/>
          <w:szCs w:val="20"/>
          <w:lang w:val="en-GB" w:eastAsia="zh-CN"/>
        </w:rPr>
        <w:t>3</w:t>
      </w:r>
      <w:r w:rsidR="00CC0CDB" w:rsidRPr="00CE0DE7">
        <w:rPr>
          <w:iCs/>
          <w:color w:val="000000"/>
          <w:sz w:val="20"/>
          <w:szCs w:val="20"/>
          <w:lang w:val="en-GB" w:eastAsia="zh-CN"/>
        </w:rPr>
        <w:t>-month T-bill yields</w:t>
      </w:r>
      <w:r w:rsidRPr="00CE0DE7">
        <w:rPr>
          <w:iCs/>
          <w:color w:val="000000"/>
          <w:sz w:val="20"/>
          <w:szCs w:val="20"/>
          <w:lang w:val="en-GB" w:eastAsia="zh-CN"/>
        </w:rPr>
        <w:t>)</w:t>
      </w:r>
      <w:r w:rsidR="00E56A4F" w:rsidRPr="00CE0DE7">
        <w:rPr>
          <w:iCs/>
          <w:color w:val="000000"/>
          <w:sz w:val="20"/>
          <w:szCs w:val="20"/>
          <w:lang w:val="en-GB" w:eastAsia="zh-CN"/>
        </w:rPr>
        <w:t>;</w:t>
      </w:r>
      <w:r w:rsidRPr="00CE0DE7">
        <w:rPr>
          <w:iCs/>
          <w:color w:val="000000"/>
          <w:sz w:val="20"/>
          <w:szCs w:val="20"/>
          <w:lang w:val="en-GB" w:eastAsia="zh-CN"/>
        </w:rPr>
        <w:t xml:space="preserve"> </w:t>
      </w:r>
      <w:r w:rsidR="00A72CCD" w:rsidRPr="00CE0DE7">
        <w:rPr>
          <w:iCs/>
          <w:color w:val="000000"/>
          <w:sz w:val="20"/>
          <w:szCs w:val="20"/>
          <w:lang w:val="en-GB" w:eastAsia="zh-CN"/>
        </w:rPr>
        <w:t xml:space="preserve">the </w:t>
      </w:r>
      <w:r w:rsidRPr="00CE0DE7">
        <w:rPr>
          <w:iCs/>
          <w:color w:val="000000"/>
          <w:sz w:val="20"/>
          <w:szCs w:val="20"/>
          <w:lang w:val="en-GB" w:eastAsia="zh-CN"/>
        </w:rPr>
        <w:t xml:space="preserve">stochastically </w:t>
      </w:r>
      <w:r w:rsidRPr="00CE0DE7">
        <w:rPr>
          <w:iCs/>
          <w:color w:val="000000"/>
          <w:sz w:val="20"/>
          <w:szCs w:val="20"/>
          <w:lang w:val="en-GB" w:eastAsia="zh-CN"/>
        </w:rPr>
        <w:lastRenderedPageBreak/>
        <w:t>de-trended risk-free rate (</w:t>
      </w:r>
      <w:r w:rsidRPr="00CE0DE7">
        <w:rPr>
          <w:i/>
          <w:iCs/>
          <w:color w:val="000000"/>
          <w:sz w:val="20"/>
          <w:szCs w:val="20"/>
          <w:lang w:val="en-GB" w:eastAsia="zh-CN"/>
        </w:rPr>
        <w:t>RREL</w:t>
      </w:r>
      <w:r w:rsidR="00A72CCD" w:rsidRPr="00CE0DE7">
        <w:rPr>
          <w:iCs/>
          <w:color w:val="000000"/>
          <w:sz w:val="20"/>
          <w:szCs w:val="20"/>
          <w:lang w:val="en-GB" w:eastAsia="zh-CN"/>
        </w:rPr>
        <w:t>,</w:t>
      </w:r>
      <w:r w:rsidR="00CC0CDB" w:rsidRPr="00CE0DE7">
        <w:rPr>
          <w:iCs/>
          <w:color w:val="000000"/>
          <w:sz w:val="20"/>
          <w:szCs w:val="20"/>
          <w:lang w:val="en-GB" w:eastAsia="zh-CN"/>
        </w:rPr>
        <w:t xml:space="preserve"> </w:t>
      </w:r>
      <w:r w:rsidR="00223DE5" w:rsidRPr="00CE0DE7">
        <w:rPr>
          <w:iCs/>
          <w:color w:val="000000"/>
          <w:sz w:val="20"/>
          <w:szCs w:val="20"/>
          <w:lang w:val="en-GB" w:eastAsia="zh-CN"/>
        </w:rPr>
        <w:t xml:space="preserve">defined as </w:t>
      </w:r>
      <w:r w:rsidR="00CC0CDB" w:rsidRPr="00CE0DE7">
        <w:rPr>
          <w:iCs/>
          <w:color w:val="000000"/>
          <w:sz w:val="20"/>
          <w:szCs w:val="20"/>
          <w:lang w:val="en-GB" w:eastAsia="zh-CN"/>
        </w:rPr>
        <w:t>the one-month T-bill rate minus its backward 12-month moving averages</w:t>
      </w:r>
      <w:r w:rsidRPr="00CE0DE7">
        <w:rPr>
          <w:iCs/>
          <w:color w:val="000000"/>
          <w:sz w:val="20"/>
          <w:szCs w:val="20"/>
          <w:lang w:val="en-GB" w:eastAsia="zh-CN"/>
        </w:rPr>
        <w:t>)</w:t>
      </w:r>
      <w:r w:rsidR="00A72CCD" w:rsidRPr="00CE0DE7">
        <w:rPr>
          <w:iCs/>
          <w:color w:val="000000"/>
          <w:sz w:val="20"/>
          <w:szCs w:val="20"/>
          <w:lang w:val="en-GB" w:eastAsia="zh-CN"/>
        </w:rPr>
        <w:t xml:space="preserve">; </w:t>
      </w:r>
      <w:r w:rsidRPr="00CE0DE7">
        <w:rPr>
          <w:iCs/>
          <w:color w:val="000000"/>
          <w:sz w:val="20"/>
          <w:szCs w:val="20"/>
          <w:lang w:val="en-GB" w:eastAsia="zh-CN"/>
        </w:rPr>
        <w:t>and the consumption-wealth ratio (</w:t>
      </w:r>
      <w:r w:rsidRPr="00CE0DE7">
        <w:rPr>
          <w:i/>
          <w:iCs/>
          <w:color w:val="000000"/>
          <w:sz w:val="20"/>
          <w:szCs w:val="20"/>
          <w:lang w:val="en-GB" w:eastAsia="zh-CN"/>
        </w:rPr>
        <w:t>CAY</w:t>
      </w:r>
      <w:r w:rsidR="00A72CCD" w:rsidRPr="00CE0DE7">
        <w:rPr>
          <w:iCs/>
          <w:color w:val="000000"/>
          <w:sz w:val="20"/>
          <w:szCs w:val="20"/>
          <w:lang w:val="en-GB" w:eastAsia="zh-CN"/>
        </w:rPr>
        <w:t>,</w:t>
      </w:r>
      <w:r w:rsidR="00CC0CDB" w:rsidRPr="00CE0DE7">
        <w:rPr>
          <w:iCs/>
          <w:color w:val="000000"/>
          <w:sz w:val="20"/>
          <w:szCs w:val="20"/>
          <w:lang w:val="en-GB" w:eastAsia="zh-CN"/>
        </w:rPr>
        <w:t xml:space="preserve"> defined </w:t>
      </w:r>
      <w:r w:rsidR="00B26952" w:rsidRPr="00CE0DE7">
        <w:rPr>
          <w:iCs/>
          <w:color w:val="000000"/>
          <w:sz w:val="20"/>
          <w:szCs w:val="20"/>
          <w:lang w:val="en-GB" w:eastAsia="zh-CN"/>
        </w:rPr>
        <w:t xml:space="preserve">as the deviations from the common trend in consumption, asset wealth, and labor income </w:t>
      </w:r>
      <w:r w:rsidR="00CC0CDB" w:rsidRPr="00CE0DE7">
        <w:rPr>
          <w:iCs/>
          <w:color w:val="000000"/>
          <w:sz w:val="20"/>
          <w:szCs w:val="20"/>
          <w:lang w:val="en-GB" w:eastAsia="zh-CN"/>
        </w:rPr>
        <w:t xml:space="preserve">in </w:t>
      </w:r>
      <w:proofErr w:type="spellStart"/>
      <w:r w:rsidR="00CC0CDB" w:rsidRPr="00CE0DE7">
        <w:rPr>
          <w:iCs/>
          <w:color w:val="000000"/>
          <w:sz w:val="20"/>
          <w:szCs w:val="20"/>
          <w:lang w:val="en-GB" w:eastAsia="zh-CN"/>
        </w:rPr>
        <w:t>Lettau</w:t>
      </w:r>
      <w:proofErr w:type="spellEnd"/>
      <w:r w:rsidR="00CC0CDB" w:rsidRPr="00CE0DE7">
        <w:rPr>
          <w:iCs/>
          <w:color w:val="000000"/>
          <w:sz w:val="20"/>
          <w:szCs w:val="20"/>
          <w:lang w:val="en-GB" w:eastAsia="zh-CN"/>
        </w:rPr>
        <w:t xml:space="preserve"> and </w:t>
      </w:r>
      <w:proofErr w:type="spellStart"/>
      <w:r w:rsidR="00CC0CDB" w:rsidRPr="00CE0DE7">
        <w:rPr>
          <w:iCs/>
          <w:color w:val="000000"/>
          <w:sz w:val="20"/>
          <w:szCs w:val="20"/>
          <w:lang w:val="en-GB" w:eastAsia="zh-CN"/>
        </w:rPr>
        <w:t>Ludvigson</w:t>
      </w:r>
      <w:proofErr w:type="spellEnd"/>
      <w:r w:rsidR="00A72CCD" w:rsidRPr="00CE0DE7">
        <w:rPr>
          <w:iCs/>
          <w:color w:val="000000"/>
          <w:sz w:val="20"/>
          <w:szCs w:val="20"/>
          <w:lang w:val="en-GB" w:eastAsia="zh-CN"/>
        </w:rPr>
        <w:t>,</w:t>
      </w:r>
      <w:r w:rsidR="00CC0CDB" w:rsidRPr="00CE0DE7">
        <w:rPr>
          <w:iCs/>
          <w:color w:val="000000"/>
          <w:sz w:val="20"/>
          <w:szCs w:val="20"/>
          <w:lang w:val="en-GB" w:eastAsia="zh-CN"/>
        </w:rPr>
        <w:t xml:space="preserve"> 2001</w:t>
      </w:r>
      <w:r w:rsidRPr="00CE0DE7">
        <w:rPr>
          <w:iCs/>
          <w:color w:val="000000"/>
          <w:sz w:val="20"/>
          <w:szCs w:val="20"/>
          <w:lang w:val="en-GB" w:eastAsia="zh-CN"/>
        </w:rPr>
        <w:t>)</w:t>
      </w:r>
      <w:r w:rsidR="00B26952" w:rsidRPr="00440039">
        <w:rPr>
          <w:rStyle w:val="a9"/>
        </w:rPr>
        <w:footnoteReference w:id="3"/>
      </w:r>
      <w:r w:rsidRPr="00CE0DE7">
        <w:rPr>
          <w:iCs/>
          <w:color w:val="000000"/>
          <w:sz w:val="20"/>
          <w:szCs w:val="20"/>
          <w:lang w:val="en-GB" w:eastAsia="zh-CN"/>
        </w:rPr>
        <w:t xml:space="preserve">. The monthly </w:t>
      </w:r>
      <w:r w:rsidR="00A72CCD" w:rsidRPr="00CE0DE7">
        <w:rPr>
          <w:i/>
          <w:iCs/>
          <w:color w:val="000000"/>
          <w:sz w:val="20"/>
          <w:szCs w:val="20"/>
          <w:lang w:val="en-GB" w:eastAsia="zh-CN"/>
        </w:rPr>
        <w:t>PE</w:t>
      </w:r>
      <w:r w:rsidRPr="00CE0DE7">
        <w:rPr>
          <w:iCs/>
          <w:color w:val="000000"/>
          <w:sz w:val="20"/>
          <w:szCs w:val="20"/>
          <w:lang w:val="en-GB" w:eastAsia="zh-CN"/>
        </w:rPr>
        <w:t xml:space="preserve"> and </w:t>
      </w:r>
      <w:r w:rsidR="00A72CCD" w:rsidRPr="00CE0DE7">
        <w:rPr>
          <w:i/>
          <w:iCs/>
          <w:color w:val="000000"/>
          <w:sz w:val="20"/>
          <w:szCs w:val="20"/>
          <w:lang w:val="en-GB" w:eastAsia="zh-CN"/>
        </w:rPr>
        <w:t>PD</w:t>
      </w:r>
      <w:r w:rsidRPr="00CE0DE7">
        <w:rPr>
          <w:iCs/>
          <w:color w:val="000000"/>
          <w:sz w:val="20"/>
          <w:szCs w:val="20"/>
          <w:lang w:val="en-GB" w:eastAsia="zh-CN"/>
        </w:rPr>
        <w:t xml:space="preserve"> ratio</w:t>
      </w:r>
      <w:r w:rsidR="00E56A4F" w:rsidRPr="00CE0DE7">
        <w:rPr>
          <w:iCs/>
          <w:color w:val="000000"/>
          <w:sz w:val="20"/>
          <w:szCs w:val="20"/>
          <w:lang w:val="en-GB" w:eastAsia="zh-CN"/>
        </w:rPr>
        <w:t>s</w:t>
      </w:r>
      <w:r w:rsidRPr="00CE0DE7">
        <w:rPr>
          <w:iCs/>
          <w:color w:val="000000"/>
          <w:sz w:val="20"/>
          <w:szCs w:val="20"/>
          <w:lang w:val="en-GB" w:eastAsia="zh-CN"/>
        </w:rPr>
        <w:t xml:space="preserve"> for the S&amp;P 500 are obtained from</w:t>
      </w:r>
      <w:r w:rsidR="00A72CCD" w:rsidRPr="00CE0DE7">
        <w:rPr>
          <w:iCs/>
          <w:color w:val="000000"/>
          <w:sz w:val="20"/>
          <w:szCs w:val="20"/>
          <w:lang w:val="en-GB" w:eastAsia="zh-CN"/>
        </w:rPr>
        <w:t xml:space="preserve"> </w:t>
      </w:r>
      <w:r w:rsidRPr="00CE0DE7">
        <w:rPr>
          <w:iCs/>
          <w:color w:val="000000"/>
          <w:sz w:val="20"/>
          <w:szCs w:val="20"/>
          <w:lang w:val="en-GB" w:eastAsia="zh-CN"/>
        </w:rPr>
        <w:t>Standard &amp; Poor’s</w:t>
      </w:r>
      <w:r w:rsidR="004947C5" w:rsidRPr="00CE0DE7">
        <w:rPr>
          <w:iCs/>
          <w:color w:val="000000"/>
          <w:sz w:val="20"/>
          <w:szCs w:val="20"/>
          <w:lang w:val="en-GB" w:eastAsia="zh-CN"/>
        </w:rPr>
        <w:t>.</w:t>
      </w:r>
      <w:r w:rsidRPr="00CE0DE7">
        <w:rPr>
          <w:iCs/>
          <w:color w:val="000000"/>
          <w:sz w:val="20"/>
          <w:szCs w:val="20"/>
          <w:lang w:val="en-GB" w:eastAsia="zh-CN"/>
        </w:rPr>
        <w:t xml:space="preserve"> </w:t>
      </w:r>
      <w:r w:rsidR="004947C5" w:rsidRPr="00CE0DE7">
        <w:rPr>
          <w:iCs/>
          <w:color w:val="000000"/>
          <w:sz w:val="20"/>
          <w:szCs w:val="20"/>
          <w:lang w:val="en-GB" w:eastAsia="zh-CN"/>
        </w:rPr>
        <w:t>T</w:t>
      </w:r>
      <w:r w:rsidRPr="00CE0DE7">
        <w:rPr>
          <w:iCs/>
          <w:color w:val="000000"/>
          <w:sz w:val="20"/>
          <w:szCs w:val="20"/>
          <w:lang w:val="en-GB" w:eastAsia="zh-CN"/>
        </w:rPr>
        <w:t xml:space="preserve">he </w:t>
      </w:r>
      <w:r w:rsidR="00223DE5" w:rsidRPr="00CE0DE7">
        <w:rPr>
          <w:iCs/>
          <w:color w:val="000000"/>
          <w:sz w:val="20"/>
          <w:szCs w:val="20"/>
          <w:lang w:val="en-GB" w:eastAsia="zh-CN"/>
        </w:rPr>
        <w:t xml:space="preserve">quarterly </w:t>
      </w:r>
      <w:r w:rsidR="00A72CCD" w:rsidRPr="00CE0DE7">
        <w:rPr>
          <w:i/>
          <w:iCs/>
          <w:color w:val="000000"/>
          <w:sz w:val="20"/>
          <w:szCs w:val="20"/>
          <w:lang w:val="en-GB" w:eastAsia="zh-CN"/>
        </w:rPr>
        <w:t>CAY</w:t>
      </w:r>
      <w:r w:rsidR="00A72CCD" w:rsidRPr="00CE0DE7">
        <w:rPr>
          <w:iCs/>
          <w:color w:val="000000"/>
          <w:sz w:val="20"/>
          <w:szCs w:val="20"/>
          <w:lang w:val="en-GB" w:eastAsia="zh-CN"/>
        </w:rPr>
        <w:t xml:space="preserve"> </w:t>
      </w:r>
      <w:r w:rsidRPr="00CE0DE7">
        <w:rPr>
          <w:iCs/>
          <w:color w:val="000000"/>
          <w:sz w:val="20"/>
          <w:szCs w:val="20"/>
          <w:lang w:val="en-GB" w:eastAsia="zh-CN"/>
        </w:rPr>
        <w:t xml:space="preserve">is downloaded from </w:t>
      </w:r>
      <w:proofErr w:type="spellStart"/>
      <w:r w:rsidRPr="00CE0DE7">
        <w:rPr>
          <w:iCs/>
          <w:color w:val="000000"/>
          <w:sz w:val="20"/>
          <w:szCs w:val="20"/>
          <w:lang w:val="en-GB" w:eastAsia="zh-CN"/>
        </w:rPr>
        <w:t>Lettau</w:t>
      </w:r>
      <w:proofErr w:type="spellEnd"/>
      <w:r w:rsidRPr="00CE0DE7">
        <w:rPr>
          <w:iCs/>
          <w:color w:val="000000"/>
          <w:sz w:val="20"/>
          <w:szCs w:val="20"/>
          <w:lang w:val="en-GB" w:eastAsia="zh-CN"/>
        </w:rPr>
        <w:t xml:space="preserve"> and </w:t>
      </w:r>
      <w:proofErr w:type="spellStart"/>
      <w:r w:rsidRPr="00CE0DE7">
        <w:rPr>
          <w:iCs/>
          <w:color w:val="000000"/>
          <w:sz w:val="20"/>
          <w:szCs w:val="20"/>
          <w:lang w:val="en-GB" w:eastAsia="zh-CN"/>
        </w:rPr>
        <w:t>Ludvigson’s</w:t>
      </w:r>
      <w:proofErr w:type="spellEnd"/>
      <w:r w:rsidRPr="00CE0DE7">
        <w:rPr>
          <w:iCs/>
          <w:color w:val="000000"/>
          <w:sz w:val="20"/>
          <w:szCs w:val="20"/>
          <w:lang w:val="en-GB" w:eastAsia="zh-CN"/>
        </w:rPr>
        <w:t xml:space="preserve"> website, and </w:t>
      </w:r>
      <w:r w:rsidR="00223DE5" w:rsidRPr="00CE0DE7">
        <w:rPr>
          <w:iCs/>
          <w:sz w:val="20"/>
          <w:szCs w:val="20"/>
        </w:rPr>
        <w:t xml:space="preserve">we linearly interpolate the quarterly values of </w:t>
      </w:r>
      <w:r w:rsidR="00223DE5" w:rsidRPr="00CE0DE7">
        <w:rPr>
          <w:i/>
          <w:iCs/>
          <w:sz w:val="20"/>
          <w:szCs w:val="20"/>
        </w:rPr>
        <w:t>CAY</w:t>
      </w:r>
      <w:r w:rsidR="00223DE5" w:rsidRPr="00CE0DE7">
        <w:rPr>
          <w:iCs/>
          <w:sz w:val="20"/>
          <w:szCs w:val="20"/>
        </w:rPr>
        <w:t xml:space="preserve"> to </w:t>
      </w:r>
      <w:r w:rsidR="00223DE5" w:rsidRPr="00CE0DE7">
        <w:rPr>
          <w:iCs/>
          <w:sz w:val="20"/>
          <w:szCs w:val="20"/>
          <w:lang w:eastAsia="zh-CN"/>
        </w:rPr>
        <w:t>obtain</w:t>
      </w:r>
      <w:r w:rsidR="00223DE5" w:rsidRPr="00CE0DE7">
        <w:rPr>
          <w:iCs/>
          <w:sz w:val="20"/>
          <w:szCs w:val="20"/>
        </w:rPr>
        <w:t xml:space="preserve"> the monthly </w:t>
      </w:r>
      <w:r w:rsidR="00223DE5" w:rsidRPr="00CE0DE7">
        <w:rPr>
          <w:i/>
          <w:iCs/>
          <w:sz w:val="20"/>
          <w:szCs w:val="20"/>
        </w:rPr>
        <w:t>CAY</w:t>
      </w:r>
      <w:r w:rsidR="00223DE5" w:rsidRPr="00CE0DE7">
        <w:rPr>
          <w:iCs/>
          <w:sz w:val="20"/>
          <w:szCs w:val="20"/>
        </w:rPr>
        <w:t>.</w:t>
      </w:r>
      <w:r w:rsidR="00223DE5" w:rsidRPr="00CE0DE7">
        <w:rPr>
          <w:iCs/>
          <w:color w:val="000000"/>
          <w:sz w:val="20"/>
          <w:szCs w:val="20"/>
          <w:lang w:val="en-GB" w:eastAsia="zh-CN"/>
        </w:rPr>
        <w:t xml:space="preserve"> T</w:t>
      </w:r>
      <w:r w:rsidRPr="00CE0DE7">
        <w:rPr>
          <w:iCs/>
          <w:color w:val="000000"/>
          <w:sz w:val="20"/>
          <w:szCs w:val="20"/>
          <w:lang w:val="en-GB" w:eastAsia="zh-CN"/>
        </w:rPr>
        <w:t xml:space="preserve">he </w:t>
      </w:r>
      <w:r w:rsidR="00223DE5" w:rsidRPr="00CE0DE7">
        <w:rPr>
          <w:iCs/>
          <w:color w:val="000000"/>
          <w:sz w:val="20"/>
          <w:szCs w:val="20"/>
          <w:lang w:val="en-GB" w:eastAsia="zh-CN"/>
        </w:rPr>
        <w:t xml:space="preserve">frequency of </w:t>
      </w:r>
      <w:r w:rsidRPr="00CE0DE7">
        <w:rPr>
          <w:iCs/>
          <w:color w:val="000000"/>
          <w:sz w:val="20"/>
          <w:szCs w:val="20"/>
          <w:lang w:val="en-GB" w:eastAsia="zh-CN"/>
        </w:rPr>
        <w:t>other economic data</w:t>
      </w:r>
      <w:r w:rsidR="00223DE5" w:rsidRPr="00CE0DE7">
        <w:rPr>
          <w:iCs/>
          <w:color w:val="000000"/>
          <w:sz w:val="20"/>
          <w:szCs w:val="20"/>
          <w:lang w:val="en-GB" w:eastAsia="zh-CN"/>
        </w:rPr>
        <w:t>, the default spread, the term spread, the stochastically de-trended risk-free rate, is monthly, and they</w:t>
      </w:r>
      <w:r w:rsidRPr="00CE0DE7">
        <w:rPr>
          <w:iCs/>
          <w:color w:val="000000"/>
          <w:sz w:val="20"/>
          <w:szCs w:val="20"/>
          <w:lang w:val="en-GB" w:eastAsia="zh-CN"/>
        </w:rPr>
        <w:t xml:space="preserve"> are downloaded from the Federal Reserve Bank of St. Louis</w:t>
      </w:r>
      <w:r w:rsidR="00E56A4F" w:rsidRPr="00CE0DE7">
        <w:rPr>
          <w:iCs/>
          <w:color w:val="000000"/>
          <w:sz w:val="20"/>
          <w:szCs w:val="20"/>
          <w:lang w:val="en-GB" w:eastAsia="zh-CN"/>
        </w:rPr>
        <w:t xml:space="preserve"> website</w:t>
      </w:r>
      <w:r w:rsidRPr="00CE0DE7">
        <w:rPr>
          <w:color w:val="000000"/>
          <w:sz w:val="20"/>
          <w:szCs w:val="20"/>
          <w:lang w:val="en-GB" w:eastAsia="zh-CN"/>
        </w:rPr>
        <w:t>.</w:t>
      </w:r>
    </w:p>
    <w:p w14:paraId="0B083849" w14:textId="6B34DFDB" w:rsidR="00E0104C" w:rsidRPr="00CE0DE7" w:rsidRDefault="005A7DC1"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rPr>
        <w:t>Table 1 reports the summary statistics for all variables</w:t>
      </w:r>
      <w:r w:rsidR="00E2712E" w:rsidRPr="00CE0DE7">
        <w:rPr>
          <w:color w:val="000000"/>
          <w:sz w:val="20"/>
          <w:szCs w:val="20"/>
          <w:lang w:val="en-GB" w:eastAsia="zh-CN"/>
        </w:rPr>
        <w:t>:</w:t>
      </w:r>
      <w:r w:rsidRPr="00CE0DE7">
        <w:rPr>
          <w:color w:val="000000"/>
          <w:sz w:val="20"/>
          <w:szCs w:val="20"/>
          <w:lang w:val="en-GB"/>
        </w:rPr>
        <w:t xml:space="preserve"> </w:t>
      </w:r>
      <w:r w:rsidR="00E2712E" w:rsidRPr="00CE0DE7">
        <w:rPr>
          <w:color w:val="000000"/>
          <w:sz w:val="20"/>
          <w:szCs w:val="20"/>
          <w:lang w:val="en-GB" w:eastAsia="zh-CN"/>
        </w:rPr>
        <w:t>market</w:t>
      </w:r>
      <w:r w:rsidRPr="00CE0DE7">
        <w:rPr>
          <w:color w:val="000000"/>
          <w:sz w:val="20"/>
          <w:szCs w:val="20"/>
          <w:lang w:val="en-GB"/>
        </w:rPr>
        <w:t xml:space="preserve"> return</w:t>
      </w:r>
      <w:r w:rsidR="00E2712E" w:rsidRPr="00CE0DE7">
        <w:rPr>
          <w:color w:val="000000"/>
          <w:sz w:val="20"/>
          <w:szCs w:val="20"/>
          <w:lang w:val="en-GB" w:eastAsia="zh-CN"/>
        </w:rPr>
        <w:t>s</w:t>
      </w:r>
      <w:r w:rsidRPr="00CE0DE7">
        <w:rPr>
          <w:color w:val="000000"/>
          <w:sz w:val="20"/>
          <w:szCs w:val="20"/>
          <w:lang w:val="en-GB"/>
        </w:rPr>
        <w:t xml:space="preserve"> (</w:t>
      </w:r>
      <w:r w:rsidRPr="00CE0DE7">
        <w:rPr>
          <w:i/>
          <w:color w:val="000000"/>
          <w:sz w:val="20"/>
          <w:szCs w:val="20"/>
          <w:lang w:val="en-GB" w:eastAsia="zh-CN"/>
        </w:rPr>
        <w:t xml:space="preserve">VW </w:t>
      </w:r>
      <w:r w:rsidRPr="00CE0DE7">
        <w:rPr>
          <w:color w:val="000000"/>
          <w:sz w:val="20"/>
          <w:szCs w:val="20"/>
          <w:lang w:val="en-GB"/>
        </w:rPr>
        <w:t>and</w:t>
      </w:r>
      <w:r w:rsidRPr="00CE0DE7">
        <w:rPr>
          <w:color w:val="000000"/>
          <w:sz w:val="20"/>
          <w:szCs w:val="20"/>
          <w:lang w:val="en-GB" w:eastAsia="zh-CN"/>
        </w:rPr>
        <w:t xml:space="preserve"> </w:t>
      </w:r>
      <w:r w:rsidRPr="00CE0DE7">
        <w:rPr>
          <w:i/>
          <w:color w:val="000000"/>
          <w:sz w:val="20"/>
          <w:szCs w:val="20"/>
          <w:lang w:val="en-GB" w:eastAsia="zh-CN"/>
        </w:rPr>
        <w:t>INDEX</w:t>
      </w:r>
      <w:r w:rsidRPr="00CE0DE7">
        <w:rPr>
          <w:color w:val="000000"/>
          <w:sz w:val="20"/>
          <w:szCs w:val="20"/>
          <w:lang w:val="en-GB"/>
        </w:rPr>
        <w:t xml:space="preserve">), </w:t>
      </w:r>
      <w:r w:rsidR="00E2712E" w:rsidRPr="00CE0DE7">
        <w:rPr>
          <w:color w:val="000000"/>
          <w:sz w:val="20"/>
          <w:szCs w:val="20"/>
          <w:lang w:val="en-GB" w:eastAsia="zh-CN"/>
        </w:rPr>
        <w:t xml:space="preserve">the </w:t>
      </w:r>
      <w:r w:rsidR="0099228C" w:rsidRPr="00CE0DE7">
        <w:rPr>
          <w:color w:val="000000"/>
          <w:sz w:val="20"/>
          <w:szCs w:val="20"/>
          <w:lang w:val="en-GB" w:eastAsia="zh-CN"/>
        </w:rPr>
        <w:t>VRP</w:t>
      </w:r>
      <w:r w:rsidRPr="00CE0DE7">
        <w:rPr>
          <w:color w:val="000000"/>
          <w:sz w:val="20"/>
          <w:szCs w:val="20"/>
          <w:lang w:val="en-GB"/>
        </w:rPr>
        <w:t xml:space="preserve"> (</w:t>
      </w:r>
      <w:r w:rsidRPr="00CE0DE7">
        <w:rPr>
          <w:i/>
          <w:color w:val="000000"/>
          <w:sz w:val="20"/>
          <w:szCs w:val="20"/>
          <w:lang w:val="en-GB"/>
        </w:rPr>
        <w:t>VRP</w:t>
      </w:r>
      <w:r w:rsidRPr="00CE0DE7">
        <w:rPr>
          <w:i/>
          <w:color w:val="000000"/>
          <w:sz w:val="20"/>
          <w:szCs w:val="20"/>
          <w:vertAlign w:val="superscript"/>
          <w:lang w:val="en-GB"/>
        </w:rPr>
        <w:t>BTZ</w:t>
      </w:r>
      <w:r w:rsidRPr="00CE0DE7">
        <w:rPr>
          <w:i/>
          <w:color w:val="000000"/>
          <w:sz w:val="20"/>
          <w:szCs w:val="20"/>
          <w:lang w:val="en-GB"/>
        </w:rPr>
        <w:t>, VRP</w:t>
      </w:r>
      <w:r w:rsidRPr="00CE0DE7">
        <w:rPr>
          <w:i/>
          <w:color w:val="000000"/>
          <w:sz w:val="20"/>
          <w:szCs w:val="20"/>
          <w:vertAlign w:val="superscript"/>
          <w:lang w:val="en-GB"/>
        </w:rPr>
        <w:t xml:space="preserve">CW </w:t>
      </w:r>
      <w:r w:rsidRPr="00CE0DE7">
        <w:rPr>
          <w:color w:val="000000"/>
          <w:sz w:val="20"/>
          <w:szCs w:val="20"/>
          <w:lang w:val="en-GB"/>
        </w:rPr>
        <w:t xml:space="preserve">and </w:t>
      </w:r>
      <w:r w:rsidRPr="00CE0DE7">
        <w:rPr>
          <w:i/>
          <w:color w:val="000000"/>
          <w:sz w:val="20"/>
          <w:szCs w:val="20"/>
          <w:lang w:val="en-GB"/>
        </w:rPr>
        <w:t>VRP</w:t>
      </w:r>
      <w:r w:rsidRPr="00CE0DE7">
        <w:rPr>
          <w:i/>
          <w:color w:val="000000"/>
          <w:sz w:val="20"/>
          <w:szCs w:val="20"/>
          <w:vertAlign w:val="superscript"/>
          <w:lang w:val="en-GB"/>
        </w:rPr>
        <w:t>DY</w:t>
      </w:r>
      <w:r w:rsidRPr="00CE0DE7">
        <w:rPr>
          <w:color w:val="000000"/>
          <w:sz w:val="20"/>
          <w:szCs w:val="20"/>
          <w:lang w:val="en-GB"/>
        </w:rPr>
        <w:t xml:space="preserve">), </w:t>
      </w:r>
      <w:proofErr w:type="spellStart"/>
      <w:r w:rsidR="00E2712E" w:rsidRPr="00CE0DE7">
        <w:rPr>
          <w:color w:val="000000"/>
          <w:sz w:val="20"/>
          <w:szCs w:val="20"/>
          <w:lang w:val="en-GB" w:eastAsia="zh-CN"/>
        </w:rPr>
        <w:t>Amihud</w:t>
      </w:r>
      <w:proofErr w:type="spellEnd"/>
      <w:r w:rsidR="00E2712E" w:rsidRPr="00CE0DE7">
        <w:rPr>
          <w:color w:val="000000"/>
          <w:sz w:val="20"/>
          <w:szCs w:val="20"/>
          <w:lang w:val="en-GB" w:eastAsia="zh-CN"/>
        </w:rPr>
        <w:t xml:space="preserve"> </w:t>
      </w:r>
      <w:r w:rsidRPr="00CE0DE7">
        <w:rPr>
          <w:color w:val="000000"/>
          <w:sz w:val="20"/>
          <w:szCs w:val="20"/>
          <w:lang w:val="en-GB"/>
        </w:rPr>
        <w:t>illiquidity ratio (</w:t>
      </w:r>
      <w:r w:rsidRPr="00CE0DE7">
        <w:rPr>
          <w:i/>
          <w:color w:val="000000"/>
          <w:sz w:val="20"/>
          <w:szCs w:val="20"/>
          <w:lang w:val="en-GB" w:eastAsia="zh-CN"/>
        </w:rPr>
        <w:t>ILLIQ</w:t>
      </w:r>
      <w:r w:rsidRPr="00CE0DE7">
        <w:rPr>
          <w:i/>
          <w:color w:val="000000"/>
          <w:sz w:val="20"/>
          <w:szCs w:val="20"/>
          <w:vertAlign w:val="superscript"/>
          <w:lang w:val="en-GB" w:eastAsia="zh-CN"/>
        </w:rPr>
        <w:t>NYSE</w:t>
      </w:r>
      <w:r w:rsidRPr="00CE0DE7">
        <w:rPr>
          <w:color w:val="000000"/>
          <w:sz w:val="20"/>
          <w:szCs w:val="20"/>
          <w:lang w:val="en-GB" w:eastAsia="zh-CN"/>
        </w:rPr>
        <w:t xml:space="preserve"> </w:t>
      </w:r>
      <w:r w:rsidRPr="00CE0DE7">
        <w:rPr>
          <w:color w:val="000000"/>
          <w:sz w:val="20"/>
          <w:szCs w:val="20"/>
          <w:lang w:val="en-GB"/>
        </w:rPr>
        <w:t xml:space="preserve">and </w:t>
      </w:r>
      <w:r w:rsidRPr="00CE0DE7">
        <w:rPr>
          <w:i/>
          <w:color w:val="000000"/>
          <w:sz w:val="20"/>
          <w:szCs w:val="20"/>
          <w:lang w:val="en-GB"/>
        </w:rPr>
        <w:t>ILLIQ</w:t>
      </w:r>
      <w:r w:rsidRPr="00CE0DE7">
        <w:rPr>
          <w:i/>
          <w:color w:val="000000"/>
          <w:sz w:val="20"/>
          <w:szCs w:val="20"/>
          <w:vertAlign w:val="superscript"/>
          <w:lang w:val="en-GB"/>
        </w:rPr>
        <w:t>SP500</w:t>
      </w:r>
      <w:r w:rsidRPr="00CE0DE7">
        <w:rPr>
          <w:color w:val="000000"/>
          <w:sz w:val="20"/>
          <w:szCs w:val="20"/>
          <w:lang w:val="en-GB"/>
        </w:rPr>
        <w:t>), and economic variables (</w:t>
      </w:r>
      <w:r w:rsidRPr="00CE0DE7">
        <w:rPr>
          <w:i/>
          <w:color w:val="000000"/>
          <w:sz w:val="20"/>
          <w:szCs w:val="20"/>
          <w:lang w:val="en-GB"/>
        </w:rPr>
        <w:t>PD, PE, DFSP, TMSP</w:t>
      </w:r>
      <w:r w:rsidRPr="00CE0DE7">
        <w:rPr>
          <w:color w:val="000000"/>
          <w:sz w:val="20"/>
          <w:szCs w:val="20"/>
          <w:lang w:val="en-GB"/>
        </w:rPr>
        <w:t xml:space="preserve">, </w:t>
      </w:r>
      <w:r w:rsidRPr="00CE0DE7">
        <w:rPr>
          <w:i/>
          <w:color w:val="000000"/>
          <w:sz w:val="20"/>
          <w:szCs w:val="20"/>
          <w:lang w:val="en-GB"/>
        </w:rPr>
        <w:t>RREL</w:t>
      </w:r>
      <w:r w:rsidRPr="00CE0DE7">
        <w:rPr>
          <w:color w:val="000000"/>
          <w:sz w:val="20"/>
          <w:szCs w:val="20"/>
          <w:lang w:val="en-GB"/>
        </w:rPr>
        <w:t xml:space="preserve"> and </w:t>
      </w:r>
      <w:r w:rsidRPr="00CE0DE7">
        <w:rPr>
          <w:i/>
          <w:color w:val="000000"/>
          <w:sz w:val="20"/>
          <w:szCs w:val="20"/>
          <w:lang w:val="en-GB"/>
        </w:rPr>
        <w:t>CAY</w:t>
      </w:r>
      <w:r w:rsidRPr="00CE0DE7">
        <w:rPr>
          <w:color w:val="000000"/>
          <w:sz w:val="20"/>
          <w:szCs w:val="20"/>
          <w:lang w:val="en-GB"/>
        </w:rPr>
        <w:t xml:space="preserve">). All variables are reported </w:t>
      </w:r>
      <w:r w:rsidR="00E56A4F" w:rsidRPr="00CE0DE7">
        <w:rPr>
          <w:color w:val="000000"/>
          <w:sz w:val="20"/>
          <w:szCs w:val="20"/>
          <w:lang w:val="en-GB"/>
        </w:rPr>
        <w:t xml:space="preserve">as </w:t>
      </w:r>
      <w:r w:rsidRPr="00CE0DE7">
        <w:rPr>
          <w:color w:val="000000"/>
          <w:sz w:val="20"/>
          <w:szCs w:val="20"/>
          <w:lang w:val="en-GB"/>
        </w:rPr>
        <w:t>percent</w:t>
      </w:r>
      <w:r w:rsidR="00E56A4F" w:rsidRPr="00CE0DE7">
        <w:rPr>
          <w:color w:val="000000"/>
          <w:sz w:val="20"/>
          <w:szCs w:val="20"/>
          <w:lang w:val="en-GB"/>
        </w:rPr>
        <w:t>ages</w:t>
      </w:r>
      <w:r w:rsidR="00E2712E" w:rsidRPr="00CE0DE7">
        <w:rPr>
          <w:color w:val="000000"/>
          <w:sz w:val="20"/>
          <w:szCs w:val="20"/>
          <w:lang w:val="en-GB" w:eastAsia="zh-CN"/>
        </w:rPr>
        <w:t xml:space="preserve"> </w:t>
      </w:r>
      <w:r w:rsidRPr="00CE0DE7">
        <w:rPr>
          <w:color w:val="000000"/>
          <w:sz w:val="20"/>
          <w:szCs w:val="20"/>
          <w:lang w:val="en-GB"/>
        </w:rPr>
        <w:t>whe</w:t>
      </w:r>
      <w:r w:rsidR="004947C5" w:rsidRPr="00CE0DE7">
        <w:rPr>
          <w:color w:val="000000"/>
          <w:sz w:val="20"/>
          <w:szCs w:val="20"/>
          <w:lang w:val="en-GB"/>
        </w:rPr>
        <w:t>r</w:t>
      </w:r>
      <w:r w:rsidRPr="00CE0DE7">
        <w:rPr>
          <w:color w:val="000000"/>
          <w:sz w:val="20"/>
          <w:szCs w:val="20"/>
          <w:lang w:val="en-GB"/>
        </w:rPr>
        <w:t xml:space="preserve">e appropriate. </w:t>
      </w:r>
      <w:r w:rsidR="00E543EF" w:rsidRPr="00CE0DE7">
        <w:rPr>
          <w:color w:val="000000"/>
          <w:sz w:val="20"/>
          <w:szCs w:val="20"/>
          <w:lang w:val="en-GB" w:eastAsia="zh-CN"/>
        </w:rPr>
        <w:t>We note that</w:t>
      </w:r>
      <w:r w:rsidRPr="00CE0DE7">
        <w:rPr>
          <w:color w:val="000000"/>
          <w:sz w:val="20"/>
          <w:szCs w:val="20"/>
          <w:lang w:val="en-GB"/>
        </w:rPr>
        <w:t xml:space="preserve"> the </w:t>
      </w:r>
      <w:r w:rsidR="00E543EF" w:rsidRPr="00CE0DE7">
        <w:rPr>
          <w:color w:val="000000"/>
          <w:sz w:val="20"/>
          <w:szCs w:val="20"/>
          <w:lang w:val="en-GB" w:eastAsia="zh-CN"/>
        </w:rPr>
        <w:t xml:space="preserve">annualized </w:t>
      </w:r>
      <w:r w:rsidR="00E543EF" w:rsidRPr="00CE0DE7">
        <w:rPr>
          <w:color w:val="000000"/>
          <w:sz w:val="20"/>
          <w:szCs w:val="20"/>
          <w:lang w:val="en-GB"/>
        </w:rPr>
        <w:t xml:space="preserve">aggregate stock market returns are </w:t>
      </w:r>
      <w:r w:rsidR="00F23F89" w:rsidRPr="00CE0DE7">
        <w:rPr>
          <w:color w:val="000000"/>
          <w:sz w:val="20"/>
          <w:szCs w:val="20"/>
          <w:lang w:val="en-GB" w:eastAsia="zh-CN"/>
        </w:rPr>
        <w:t>6.76</w:t>
      </w:r>
      <w:r w:rsidR="00E543EF" w:rsidRPr="00CE0DE7">
        <w:rPr>
          <w:color w:val="000000"/>
          <w:sz w:val="20"/>
          <w:szCs w:val="20"/>
          <w:lang w:val="en-GB" w:eastAsia="zh-CN"/>
        </w:rPr>
        <w:t>%</w:t>
      </w:r>
      <w:r w:rsidR="00CB11A0" w:rsidRPr="00CE0DE7">
        <w:rPr>
          <w:color w:val="000000"/>
          <w:sz w:val="20"/>
          <w:szCs w:val="20"/>
          <w:lang w:val="en-GB" w:eastAsia="zh-CN"/>
        </w:rPr>
        <w:t xml:space="preserve"> </w:t>
      </w:r>
      <w:r w:rsidRPr="00CE0DE7">
        <w:rPr>
          <w:color w:val="000000"/>
          <w:sz w:val="20"/>
          <w:szCs w:val="20"/>
          <w:lang w:val="en-GB" w:eastAsia="zh-CN"/>
        </w:rPr>
        <w:t xml:space="preserve">and </w:t>
      </w:r>
      <w:r w:rsidR="00F23F89" w:rsidRPr="00CE0DE7">
        <w:rPr>
          <w:color w:val="000000"/>
          <w:sz w:val="20"/>
          <w:szCs w:val="20"/>
          <w:lang w:val="en-GB" w:eastAsia="zh-CN"/>
        </w:rPr>
        <w:t>6.89</w:t>
      </w:r>
      <w:r w:rsidR="00E543EF" w:rsidRPr="00CE0DE7">
        <w:rPr>
          <w:color w:val="000000"/>
          <w:sz w:val="20"/>
          <w:szCs w:val="20"/>
          <w:lang w:val="en-GB" w:eastAsia="zh-CN"/>
        </w:rPr>
        <w:t>%</w:t>
      </w:r>
      <w:r w:rsidRPr="00CE0DE7">
        <w:rPr>
          <w:color w:val="000000"/>
          <w:sz w:val="20"/>
          <w:szCs w:val="20"/>
          <w:lang w:val="en-GB" w:eastAsia="zh-CN"/>
        </w:rPr>
        <w:t xml:space="preserve">, respectively, </w:t>
      </w:r>
      <w:r w:rsidR="00E543EF" w:rsidRPr="00CE0DE7">
        <w:rPr>
          <w:color w:val="000000"/>
          <w:sz w:val="20"/>
          <w:szCs w:val="20"/>
          <w:lang w:val="en-GB" w:eastAsia="zh-CN"/>
        </w:rPr>
        <w:t xml:space="preserve">for </w:t>
      </w:r>
      <w:r w:rsidR="00E543EF" w:rsidRPr="00CE0DE7">
        <w:rPr>
          <w:i/>
          <w:color w:val="000000"/>
          <w:sz w:val="20"/>
          <w:szCs w:val="20"/>
          <w:lang w:val="en-GB" w:eastAsia="zh-CN"/>
        </w:rPr>
        <w:t>VW</w:t>
      </w:r>
      <w:r w:rsidR="00E543EF" w:rsidRPr="00CE0DE7">
        <w:rPr>
          <w:color w:val="000000"/>
          <w:sz w:val="20"/>
          <w:szCs w:val="20"/>
          <w:lang w:val="en-GB" w:eastAsia="zh-CN"/>
        </w:rPr>
        <w:t xml:space="preserve"> and </w:t>
      </w:r>
      <w:r w:rsidR="00E543EF" w:rsidRPr="00CE0DE7">
        <w:rPr>
          <w:i/>
          <w:color w:val="000000"/>
          <w:sz w:val="20"/>
          <w:szCs w:val="20"/>
          <w:lang w:val="en-GB" w:eastAsia="zh-CN"/>
        </w:rPr>
        <w:t>INDEX</w:t>
      </w:r>
      <w:r w:rsidR="00E543EF" w:rsidRPr="00CE0DE7">
        <w:rPr>
          <w:color w:val="000000"/>
          <w:sz w:val="20"/>
          <w:szCs w:val="20"/>
          <w:lang w:val="en-GB" w:eastAsia="zh-CN"/>
        </w:rPr>
        <w:t xml:space="preserve">, </w:t>
      </w:r>
      <w:r w:rsidRPr="00CE0DE7">
        <w:rPr>
          <w:color w:val="000000"/>
          <w:sz w:val="20"/>
          <w:szCs w:val="20"/>
          <w:lang w:val="en-GB" w:eastAsia="zh-CN"/>
        </w:rPr>
        <w:t xml:space="preserve">while the standard deviations </w:t>
      </w:r>
      <w:r w:rsidR="00E543EF" w:rsidRPr="00CE0DE7">
        <w:rPr>
          <w:color w:val="000000"/>
          <w:sz w:val="20"/>
          <w:szCs w:val="20"/>
          <w:lang w:val="en-GB" w:eastAsia="zh-CN"/>
        </w:rPr>
        <w:t xml:space="preserve">are </w:t>
      </w:r>
      <w:r w:rsidR="00F23F89" w:rsidRPr="00CE0DE7">
        <w:rPr>
          <w:color w:val="000000"/>
          <w:sz w:val="20"/>
          <w:szCs w:val="20"/>
          <w:lang w:val="en-GB" w:eastAsia="zh-CN"/>
        </w:rPr>
        <w:t>50.74</w:t>
      </w:r>
      <w:r w:rsidR="00E543EF" w:rsidRPr="00CE0DE7">
        <w:rPr>
          <w:color w:val="000000"/>
          <w:sz w:val="20"/>
          <w:szCs w:val="20"/>
          <w:lang w:val="en-GB" w:eastAsia="zh-CN"/>
        </w:rPr>
        <w:t>%</w:t>
      </w:r>
      <w:r w:rsidRPr="00CE0DE7">
        <w:rPr>
          <w:color w:val="000000"/>
          <w:sz w:val="20"/>
          <w:szCs w:val="20"/>
          <w:lang w:val="en-GB" w:eastAsia="zh-CN"/>
        </w:rPr>
        <w:t xml:space="preserve"> and </w:t>
      </w:r>
      <w:r w:rsidR="00F23F89" w:rsidRPr="00CE0DE7">
        <w:rPr>
          <w:color w:val="000000"/>
          <w:sz w:val="20"/>
          <w:szCs w:val="20"/>
          <w:lang w:val="en-GB" w:eastAsia="zh-CN"/>
        </w:rPr>
        <w:t>49.24</w:t>
      </w:r>
      <w:r w:rsidR="00E543EF" w:rsidRPr="00CE0DE7">
        <w:rPr>
          <w:color w:val="000000"/>
          <w:sz w:val="20"/>
          <w:szCs w:val="20"/>
          <w:lang w:val="en-GB" w:eastAsia="zh-CN"/>
        </w:rPr>
        <w:t>%</w:t>
      </w:r>
      <w:r w:rsidRPr="00CE0DE7">
        <w:rPr>
          <w:color w:val="000000"/>
          <w:sz w:val="20"/>
          <w:szCs w:val="20"/>
          <w:lang w:val="en-GB" w:eastAsia="zh-CN"/>
        </w:rPr>
        <w:t xml:space="preserve">. </w:t>
      </w:r>
      <w:r w:rsidR="00E2712E" w:rsidRPr="00CE0DE7">
        <w:rPr>
          <w:color w:val="000000"/>
          <w:sz w:val="20"/>
          <w:szCs w:val="20"/>
          <w:lang w:val="en-GB" w:eastAsia="zh-CN"/>
        </w:rPr>
        <w:t>F</w:t>
      </w:r>
      <w:r w:rsidRPr="00CE0DE7">
        <w:rPr>
          <w:color w:val="000000"/>
          <w:sz w:val="20"/>
          <w:szCs w:val="20"/>
          <w:lang w:val="en-GB" w:eastAsia="zh-CN"/>
        </w:rPr>
        <w:t xml:space="preserve">or the </w:t>
      </w:r>
      <w:r w:rsidR="00BC7AB6" w:rsidRPr="00CE0DE7">
        <w:rPr>
          <w:color w:val="000000"/>
          <w:sz w:val="20"/>
          <w:szCs w:val="20"/>
          <w:lang w:val="en-GB" w:eastAsia="zh-CN"/>
        </w:rPr>
        <w:t>VRP</w:t>
      </w:r>
      <w:r w:rsidRPr="00CE0DE7">
        <w:rPr>
          <w:color w:val="000000"/>
          <w:sz w:val="20"/>
          <w:szCs w:val="20"/>
          <w:lang w:val="en-GB" w:eastAsia="zh-CN"/>
        </w:rPr>
        <w:t xml:space="preserve"> measures, </w:t>
      </w:r>
      <w:r w:rsidRPr="00CE0DE7">
        <w:rPr>
          <w:color w:val="000000"/>
          <w:sz w:val="20"/>
          <w:szCs w:val="20"/>
          <w:lang w:val="en-GB"/>
        </w:rPr>
        <w:t xml:space="preserve">the mean values of </w:t>
      </w:r>
      <w:r w:rsidRPr="00CE0DE7">
        <w:rPr>
          <w:i/>
          <w:color w:val="000000"/>
          <w:sz w:val="20"/>
          <w:szCs w:val="20"/>
          <w:lang w:val="en-GB"/>
        </w:rPr>
        <w:t>VRP</w:t>
      </w:r>
      <w:r w:rsidRPr="00CE0DE7">
        <w:rPr>
          <w:i/>
          <w:color w:val="000000"/>
          <w:sz w:val="20"/>
          <w:szCs w:val="20"/>
          <w:vertAlign w:val="superscript"/>
          <w:lang w:val="en-GB"/>
        </w:rPr>
        <w:t>BTZ</w:t>
      </w:r>
      <w:r w:rsidRPr="00CE0DE7">
        <w:rPr>
          <w:i/>
          <w:color w:val="000000"/>
          <w:sz w:val="20"/>
          <w:szCs w:val="20"/>
          <w:lang w:val="en-GB"/>
        </w:rPr>
        <w:t>, VRP</w:t>
      </w:r>
      <w:r w:rsidRPr="00CE0DE7">
        <w:rPr>
          <w:i/>
          <w:color w:val="000000"/>
          <w:sz w:val="20"/>
          <w:szCs w:val="20"/>
          <w:vertAlign w:val="superscript"/>
          <w:lang w:val="en-GB"/>
        </w:rPr>
        <w:t xml:space="preserve">CW </w:t>
      </w:r>
      <w:r w:rsidRPr="00CE0DE7">
        <w:rPr>
          <w:color w:val="000000"/>
          <w:sz w:val="20"/>
          <w:szCs w:val="20"/>
          <w:lang w:val="en-GB"/>
        </w:rPr>
        <w:t xml:space="preserve">and </w:t>
      </w:r>
      <w:r w:rsidRPr="00CE0DE7">
        <w:rPr>
          <w:i/>
          <w:color w:val="000000"/>
          <w:sz w:val="20"/>
          <w:szCs w:val="20"/>
          <w:lang w:val="en-GB"/>
        </w:rPr>
        <w:t>VRP</w:t>
      </w:r>
      <w:r w:rsidRPr="00CE0DE7">
        <w:rPr>
          <w:i/>
          <w:color w:val="000000"/>
          <w:sz w:val="20"/>
          <w:szCs w:val="20"/>
          <w:vertAlign w:val="superscript"/>
          <w:lang w:val="en-GB"/>
        </w:rPr>
        <w:t>DY</w:t>
      </w:r>
      <w:r w:rsidRPr="00CE0DE7">
        <w:rPr>
          <w:color w:val="000000"/>
          <w:sz w:val="20"/>
          <w:szCs w:val="20"/>
          <w:lang w:val="en-GB"/>
        </w:rPr>
        <w:t xml:space="preserve"> are </w:t>
      </w:r>
      <w:r w:rsidR="00CB11A0" w:rsidRPr="00CE0DE7">
        <w:rPr>
          <w:color w:val="000000"/>
          <w:sz w:val="20"/>
          <w:szCs w:val="20"/>
          <w:lang w:val="en-GB"/>
        </w:rPr>
        <w:t>1</w:t>
      </w:r>
      <w:r w:rsidR="00F23F89" w:rsidRPr="00CE0DE7">
        <w:rPr>
          <w:color w:val="000000"/>
          <w:sz w:val="20"/>
          <w:szCs w:val="20"/>
          <w:lang w:val="en-GB"/>
        </w:rPr>
        <w:t>5.80</w:t>
      </w:r>
      <w:r w:rsidRPr="00CE0DE7">
        <w:rPr>
          <w:color w:val="000000"/>
          <w:sz w:val="20"/>
          <w:szCs w:val="20"/>
          <w:lang w:val="en-GB"/>
        </w:rPr>
        <w:t xml:space="preserve">, </w:t>
      </w:r>
      <w:r w:rsidR="00CB11A0" w:rsidRPr="00CE0DE7">
        <w:rPr>
          <w:color w:val="000000"/>
          <w:sz w:val="20"/>
          <w:szCs w:val="20"/>
          <w:lang w:val="en-GB"/>
        </w:rPr>
        <w:t>1</w:t>
      </w:r>
      <w:r w:rsidR="00F23F89" w:rsidRPr="00CE0DE7">
        <w:rPr>
          <w:color w:val="000000"/>
          <w:sz w:val="20"/>
          <w:szCs w:val="20"/>
          <w:lang w:val="en-GB"/>
        </w:rPr>
        <w:t>5.77</w:t>
      </w:r>
      <w:r w:rsidRPr="00CE0DE7">
        <w:rPr>
          <w:color w:val="000000"/>
          <w:sz w:val="20"/>
          <w:szCs w:val="20"/>
          <w:lang w:val="en-GB"/>
        </w:rPr>
        <w:t xml:space="preserve"> and </w:t>
      </w:r>
      <w:r w:rsidR="00CB11A0" w:rsidRPr="00CE0DE7">
        <w:rPr>
          <w:color w:val="000000"/>
          <w:sz w:val="20"/>
          <w:szCs w:val="20"/>
          <w:lang w:val="en-GB"/>
        </w:rPr>
        <w:t>1</w:t>
      </w:r>
      <w:r w:rsidR="00F23F89" w:rsidRPr="00CE0DE7">
        <w:rPr>
          <w:color w:val="000000"/>
          <w:sz w:val="20"/>
          <w:szCs w:val="20"/>
          <w:lang w:val="en-GB"/>
        </w:rPr>
        <w:t>5.86</w:t>
      </w:r>
      <w:r w:rsidRPr="00CE0DE7">
        <w:rPr>
          <w:color w:val="000000"/>
          <w:sz w:val="20"/>
          <w:szCs w:val="20"/>
          <w:lang w:val="en-GB"/>
        </w:rPr>
        <w:t>, respectively, while their standard deviations are 20.</w:t>
      </w:r>
      <w:r w:rsidR="00F23F89" w:rsidRPr="00CE0DE7">
        <w:rPr>
          <w:color w:val="000000"/>
          <w:sz w:val="20"/>
          <w:szCs w:val="20"/>
          <w:lang w:val="en-GB"/>
        </w:rPr>
        <w:t>1</w:t>
      </w:r>
      <w:r w:rsidR="00CB11A0" w:rsidRPr="00CE0DE7">
        <w:rPr>
          <w:color w:val="000000"/>
          <w:sz w:val="20"/>
          <w:szCs w:val="20"/>
          <w:lang w:val="en-GB"/>
        </w:rPr>
        <w:t>9</w:t>
      </w:r>
      <w:r w:rsidRPr="00CE0DE7">
        <w:rPr>
          <w:color w:val="000000"/>
          <w:sz w:val="20"/>
          <w:szCs w:val="20"/>
          <w:lang w:val="en-GB"/>
        </w:rPr>
        <w:t xml:space="preserve">, </w:t>
      </w:r>
      <w:r w:rsidR="00CB11A0" w:rsidRPr="00CE0DE7">
        <w:rPr>
          <w:color w:val="000000"/>
          <w:sz w:val="20"/>
          <w:szCs w:val="20"/>
          <w:lang w:val="en-GB"/>
        </w:rPr>
        <w:t>30.</w:t>
      </w:r>
      <w:r w:rsidR="00F23F89" w:rsidRPr="00CE0DE7">
        <w:rPr>
          <w:color w:val="000000"/>
          <w:sz w:val="20"/>
          <w:szCs w:val="20"/>
          <w:lang w:val="en-GB"/>
        </w:rPr>
        <w:t>09</w:t>
      </w:r>
      <w:r w:rsidRPr="00CE0DE7">
        <w:rPr>
          <w:color w:val="000000"/>
          <w:sz w:val="20"/>
          <w:szCs w:val="20"/>
          <w:lang w:val="en-GB"/>
        </w:rPr>
        <w:t xml:space="preserve"> and </w:t>
      </w:r>
      <w:r w:rsidR="00CB11A0" w:rsidRPr="00CE0DE7">
        <w:rPr>
          <w:color w:val="000000"/>
          <w:sz w:val="20"/>
          <w:szCs w:val="20"/>
          <w:lang w:val="en-GB"/>
        </w:rPr>
        <w:t>20.</w:t>
      </w:r>
      <w:r w:rsidR="00F23F89" w:rsidRPr="00CE0DE7">
        <w:rPr>
          <w:color w:val="000000"/>
          <w:sz w:val="20"/>
          <w:szCs w:val="20"/>
          <w:lang w:val="en-GB"/>
        </w:rPr>
        <w:t>41</w:t>
      </w:r>
      <w:r w:rsidRPr="00CE0DE7">
        <w:rPr>
          <w:color w:val="000000"/>
          <w:sz w:val="20"/>
          <w:szCs w:val="20"/>
          <w:lang w:val="en-GB"/>
        </w:rPr>
        <w:t>, respectively. This i</w:t>
      </w:r>
      <w:r w:rsidR="00E2712E" w:rsidRPr="00CE0DE7">
        <w:rPr>
          <w:color w:val="000000"/>
          <w:sz w:val="20"/>
          <w:szCs w:val="20"/>
          <w:lang w:val="en-GB" w:eastAsia="zh-CN"/>
        </w:rPr>
        <w:t xml:space="preserve">ndicates </w:t>
      </w:r>
      <w:r w:rsidRPr="00CE0DE7">
        <w:rPr>
          <w:color w:val="000000"/>
          <w:sz w:val="20"/>
          <w:szCs w:val="20"/>
          <w:lang w:val="en-GB"/>
        </w:rPr>
        <w:t xml:space="preserve">that, compared </w:t>
      </w:r>
      <w:r w:rsidR="00E2712E" w:rsidRPr="00CE0DE7">
        <w:rPr>
          <w:color w:val="000000"/>
          <w:sz w:val="20"/>
          <w:szCs w:val="20"/>
          <w:lang w:val="en-GB" w:eastAsia="zh-CN"/>
        </w:rPr>
        <w:t xml:space="preserve">to </w:t>
      </w:r>
      <w:r w:rsidR="00E2712E" w:rsidRPr="00CE0DE7">
        <w:rPr>
          <w:i/>
          <w:color w:val="000000"/>
          <w:sz w:val="20"/>
          <w:szCs w:val="20"/>
          <w:lang w:val="en-GB"/>
        </w:rPr>
        <w:t>VRP</w:t>
      </w:r>
      <w:r w:rsidR="00E2712E" w:rsidRPr="00CE0DE7">
        <w:rPr>
          <w:i/>
          <w:color w:val="000000"/>
          <w:sz w:val="20"/>
          <w:szCs w:val="20"/>
          <w:vertAlign w:val="superscript"/>
          <w:lang w:val="en-GB"/>
        </w:rPr>
        <w:t>BTZ</w:t>
      </w:r>
      <w:r w:rsidR="00E2712E" w:rsidRPr="00CE0DE7">
        <w:rPr>
          <w:color w:val="000000"/>
          <w:sz w:val="20"/>
          <w:szCs w:val="20"/>
          <w:lang w:val="en-GB" w:eastAsia="zh-CN"/>
        </w:rPr>
        <w:t xml:space="preserve"> and </w:t>
      </w:r>
      <w:r w:rsidR="00E2712E" w:rsidRPr="00CE0DE7">
        <w:rPr>
          <w:i/>
          <w:color w:val="000000"/>
          <w:sz w:val="20"/>
          <w:szCs w:val="20"/>
          <w:lang w:val="en-GB"/>
        </w:rPr>
        <w:t>VRP</w:t>
      </w:r>
      <w:r w:rsidR="00E2712E" w:rsidRPr="00CE0DE7">
        <w:rPr>
          <w:i/>
          <w:color w:val="000000"/>
          <w:sz w:val="20"/>
          <w:szCs w:val="20"/>
          <w:vertAlign w:val="superscript"/>
          <w:lang w:val="en-GB"/>
        </w:rPr>
        <w:t>DY</w:t>
      </w:r>
      <w:r w:rsidR="00E2712E" w:rsidRPr="00CE0DE7">
        <w:rPr>
          <w:color w:val="000000"/>
          <w:sz w:val="20"/>
          <w:szCs w:val="20"/>
          <w:lang w:val="en-GB" w:eastAsia="zh-CN"/>
        </w:rPr>
        <w:t xml:space="preserve">, </w:t>
      </w:r>
      <w:r w:rsidRPr="00CE0DE7">
        <w:rPr>
          <w:color w:val="000000"/>
          <w:sz w:val="20"/>
          <w:szCs w:val="20"/>
          <w:lang w:val="en-GB"/>
        </w:rPr>
        <w:t xml:space="preserve">the measure of </w:t>
      </w:r>
      <w:r w:rsidR="00E2712E" w:rsidRPr="00CE0DE7">
        <w:rPr>
          <w:i/>
          <w:color w:val="000000"/>
          <w:sz w:val="20"/>
          <w:szCs w:val="20"/>
          <w:lang w:val="en-GB"/>
        </w:rPr>
        <w:t>VRP</w:t>
      </w:r>
      <w:r w:rsidR="00E2712E" w:rsidRPr="00CE0DE7">
        <w:rPr>
          <w:i/>
          <w:color w:val="000000"/>
          <w:sz w:val="20"/>
          <w:szCs w:val="20"/>
          <w:vertAlign w:val="superscript"/>
          <w:lang w:val="en-GB"/>
        </w:rPr>
        <w:t xml:space="preserve">CW </w:t>
      </w:r>
      <w:r w:rsidR="00E2712E" w:rsidRPr="00CE0DE7">
        <w:rPr>
          <w:color w:val="000000"/>
          <w:sz w:val="20"/>
          <w:szCs w:val="20"/>
          <w:lang w:val="en-GB" w:eastAsia="zh-CN"/>
        </w:rPr>
        <w:t>is</w:t>
      </w:r>
      <w:r w:rsidR="00E2712E" w:rsidRPr="00CE0DE7">
        <w:rPr>
          <w:color w:val="000000"/>
          <w:sz w:val="20"/>
          <w:szCs w:val="20"/>
          <w:lang w:val="en-GB"/>
        </w:rPr>
        <w:t xml:space="preserve"> </w:t>
      </w:r>
      <w:r w:rsidRPr="00CE0DE7">
        <w:rPr>
          <w:color w:val="000000"/>
          <w:sz w:val="20"/>
          <w:szCs w:val="20"/>
          <w:lang w:val="en-GB"/>
        </w:rPr>
        <w:t xml:space="preserve">more volatile. Table 1 also illustrates that the illiquidity of the aggregate stock market is higher in mean </w:t>
      </w:r>
      <w:r w:rsidR="006664F0" w:rsidRPr="00CE0DE7">
        <w:rPr>
          <w:color w:val="000000"/>
          <w:sz w:val="20"/>
          <w:szCs w:val="20"/>
          <w:lang w:val="en-GB" w:eastAsia="zh-CN"/>
        </w:rPr>
        <w:t xml:space="preserve">but lower in </w:t>
      </w:r>
      <w:r w:rsidRPr="00CE0DE7">
        <w:rPr>
          <w:color w:val="000000"/>
          <w:sz w:val="20"/>
          <w:szCs w:val="20"/>
          <w:lang w:val="en-GB"/>
        </w:rPr>
        <w:t xml:space="preserve">standard deviation than </w:t>
      </w:r>
      <w:r w:rsidR="00DB4FA9" w:rsidRPr="00CE0DE7">
        <w:rPr>
          <w:color w:val="000000"/>
          <w:sz w:val="20"/>
          <w:szCs w:val="20"/>
          <w:lang w:val="en-GB"/>
        </w:rPr>
        <w:t xml:space="preserve">for </w:t>
      </w:r>
      <w:r w:rsidRPr="00CE0DE7">
        <w:rPr>
          <w:color w:val="000000"/>
          <w:sz w:val="20"/>
          <w:szCs w:val="20"/>
          <w:lang w:val="en-GB"/>
        </w:rPr>
        <w:t>those of the S&amp;P 500 index.</w:t>
      </w:r>
      <w:r w:rsidRPr="00CE0DE7">
        <w:rPr>
          <w:color w:val="000000"/>
          <w:sz w:val="20"/>
          <w:szCs w:val="20"/>
          <w:lang w:val="en-GB" w:eastAsia="zh-CN"/>
        </w:rPr>
        <w:t xml:space="preserve"> </w:t>
      </w:r>
    </w:p>
    <w:p w14:paraId="2B8EE436" w14:textId="4F4BC582" w:rsidR="00EE26D0" w:rsidRPr="00CE0DE7" w:rsidRDefault="00EE26D0" w:rsidP="008276B8">
      <w:pPr>
        <w:autoSpaceDE w:val="0"/>
        <w:autoSpaceDN w:val="0"/>
        <w:adjustRightInd w:val="0"/>
        <w:snapToGrid w:val="0"/>
        <w:spacing w:before="240" w:after="240" w:line="480" w:lineRule="auto"/>
        <w:jc w:val="center"/>
        <w:rPr>
          <w:color w:val="000000"/>
          <w:sz w:val="20"/>
          <w:szCs w:val="20"/>
          <w:lang w:val="en-GB" w:eastAsia="zh-CN"/>
        </w:rPr>
      </w:pPr>
      <w:r w:rsidRPr="00CE0DE7">
        <w:rPr>
          <w:color w:val="000000"/>
          <w:sz w:val="20"/>
          <w:szCs w:val="20"/>
          <w:lang w:val="en-GB" w:eastAsia="zh-CN"/>
        </w:rPr>
        <w:t>[Insert Table 1 around here]</w:t>
      </w:r>
    </w:p>
    <w:p w14:paraId="320491AA" w14:textId="58AB0E74" w:rsidR="005A7DC1" w:rsidRPr="00CE0DE7" w:rsidRDefault="006664F0"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Furthermore, both return series </w:t>
      </w:r>
      <w:r w:rsidR="005A7DC1" w:rsidRPr="00CE0DE7">
        <w:rPr>
          <w:color w:val="000000"/>
          <w:sz w:val="20"/>
          <w:szCs w:val="20"/>
          <w:lang w:val="en-GB" w:eastAsia="zh-CN"/>
        </w:rPr>
        <w:t xml:space="preserve">display higher kurtosis than the normal distribution. Finally, we report the </w:t>
      </w:r>
      <w:proofErr w:type="spellStart"/>
      <w:r w:rsidR="005A7DC1" w:rsidRPr="00CE0DE7">
        <w:rPr>
          <w:color w:val="000000"/>
          <w:sz w:val="20"/>
          <w:szCs w:val="20"/>
          <w:lang w:val="en-GB" w:eastAsia="zh-CN"/>
        </w:rPr>
        <w:t>Ljung</w:t>
      </w:r>
      <w:proofErr w:type="spellEnd"/>
      <w:r w:rsidR="005A7DC1" w:rsidRPr="00CE0DE7">
        <w:rPr>
          <w:color w:val="000000"/>
          <w:sz w:val="20"/>
          <w:szCs w:val="20"/>
          <w:lang w:val="en-GB" w:eastAsia="zh-CN"/>
        </w:rPr>
        <w:t>-Box Q-statistics for testing the autocorrelation of the variables</w:t>
      </w:r>
      <w:r w:rsidR="00702474" w:rsidRPr="00CE0DE7">
        <w:rPr>
          <w:color w:val="000000"/>
          <w:sz w:val="20"/>
          <w:szCs w:val="20"/>
          <w:lang w:val="en-GB" w:eastAsia="zh-CN"/>
        </w:rPr>
        <w:t>.</w:t>
      </w:r>
      <w:r w:rsidR="005A7DC1" w:rsidRPr="00CE0DE7">
        <w:rPr>
          <w:color w:val="000000"/>
          <w:sz w:val="20"/>
          <w:szCs w:val="20"/>
          <w:lang w:val="en-GB" w:eastAsia="zh-CN"/>
        </w:rPr>
        <w:t xml:space="preserve"> </w:t>
      </w:r>
      <w:r w:rsidR="00702474" w:rsidRPr="00CE0DE7">
        <w:rPr>
          <w:color w:val="000000"/>
          <w:sz w:val="20"/>
          <w:szCs w:val="20"/>
          <w:lang w:val="en-GB" w:eastAsia="zh-CN"/>
        </w:rPr>
        <w:t>T</w:t>
      </w:r>
      <w:r w:rsidR="005A7DC1" w:rsidRPr="00CE0DE7">
        <w:rPr>
          <w:color w:val="000000"/>
          <w:sz w:val="20"/>
          <w:szCs w:val="20"/>
          <w:lang w:val="en-GB" w:eastAsia="zh-CN"/>
        </w:rPr>
        <w:t xml:space="preserve">he Q-statistics </w:t>
      </w:r>
      <w:r w:rsidR="00315346" w:rsidRPr="00CE0DE7">
        <w:rPr>
          <w:color w:val="000000"/>
          <w:sz w:val="20"/>
          <w:szCs w:val="20"/>
          <w:lang w:val="en-GB" w:eastAsia="zh-CN"/>
        </w:rPr>
        <w:t xml:space="preserve">are </w:t>
      </w:r>
      <w:r w:rsidR="005A7DC1" w:rsidRPr="00CE0DE7">
        <w:rPr>
          <w:color w:val="000000"/>
          <w:sz w:val="20"/>
          <w:szCs w:val="20"/>
          <w:lang w:val="en-GB" w:eastAsia="zh-CN"/>
        </w:rPr>
        <w:t>statistically significant</w:t>
      </w:r>
      <w:r w:rsidR="00702474" w:rsidRPr="00CE0DE7">
        <w:rPr>
          <w:color w:val="000000"/>
          <w:sz w:val="20"/>
          <w:szCs w:val="20"/>
          <w:lang w:val="en-GB" w:eastAsia="zh-CN"/>
        </w:rPr>
        <w:t xml:space="preserve"> for all variables</w:t>
      </w:r>
      <w:r w:rsidR="005A7DC1" w:rsidRPr="00CE0DE7">
        <w:rPr>
          <w:color w:val="000000"/>
          <w:sz w:val="20"/>
          <w:szCs w:val="20"/>
          <w:lang w:val="en-GB" w:eastAsia="zh-CN"/>
        </w:rPr>
        <w:t xml:space="preserve"> except the </w:t>
      </w:r>
      <w:r w:rsidR="009268D4" w:rsidRPr="00CE0DE7">
        <w:rPr>
          <w:sz w:val="20"/>
          <w:szCs w:val="20"/>
          <w:lang w:val="en-GB" w:eastAsia="zh-CN"/>
        </w:rPr>
        <w:t>excess</w:t>
      </w:r>
      <w:r w:rsidR="009268D4" w:rsidRPr="00CE0DE7">
        <w:rPr>
          <w:color w:val="000000"/>
          <w:sz w:val="20"/>
          <w:szCs w:val="20"/>
          <w:lang w:val="en-GB" w:eastAsia="zh-CN"/>
        </w:rPr>
        <w:t xml:space="preserve"> </w:t>
      </w:r>
      <w:r w:rsidR="005A7DC1" w:rsidRPr="00CE0DE7">
        <w:rPr>
          <w:color w:val="000000"/>
          <w:sz w:val="20"/>
          <w:szCs w:val="20"/>
          <w:lang w:val="en-GB" w:eastAsia="zh-CN"/>
        </w:rPr>
        <w:t xml:space="preserve">returns. This is consistent with the results </w:t>
      </w:r>
      <w:r w:rsidR="00702474" w:rsidRPr="00CE0DE7">
        <w:rPr>
          <w:color w:val="000000"/>
          <w:sz w:val="20"/>
          <w:szCs w:val="20"/>
          <w:lang w:val="en-GB" w:eastAsia="zh-CN"/>
        </w:rPr>
        <w:t xml:space="preserve">in </w:t>
      </w:r>
      <w:r w:rsidR="005A7DC1" w:rsidRPr="00CE0DE7">
        <w:rPr>
          <w:color w:val="000000"/>
          <w:sz w:val="20"/>
          <w:szCs w:val="20"/>
          <w:lang w:val="en-GB" w:eastAsia="zh-CN"/>
        </w:rPr>
        <w:t xml:space="preserve">Durand et al. </w:t>
      </w:r>
      <w:r w:rsidR="00293D1A" w:rsidRPr="00CE0DE7">
        <w:rPr>
          <w:color w:val="000000"/>
          <w:sz w:val="20"/>
          <w:szCs w:val="20"/>
          <w:lang w:val="en-GB" w:eastAsia="zh-CN"/>
        </w:rPr>
        <w:fldChar w:fldCharType="begin" w:fldLock="1"/>
      </w:r>
      <w:r w:rsidR="00293D1A" w:rsidRPr="00CE0DE7">
        <w:rPr>
          <w:color w:val="000000"/>
          <w:sz w:val="20"/>
          <w:szCs w:val="20"/>
          <w:lang w:val="en-GB" w:eastAsia="zh-CN"/>
        </w:rPr>
        <w:instrText>ADDIN CSL_CITATION {"citationItems":[{"id":"ITEM-1","itemData":{"ISSN":"00463892","abstract":"Investors' expectations of market volatility, captured by the VIX (the Chicago Board Options Exchange's volatility index, also known as the \"investor fear gauge\"), affects the expected returns of US equities. Changes in the VIX drive variations in the expected returns of the factors included in thethree-factor model augmented with a momentum factor. The market risk premium (Rm- Rf) and the value premium (HML) are especially sensitive to changes in the VIX. An increase in expected volatility is associated with flights to quality and increases in estimated required returns. © 2011 Financial Management Association International.","author":[{"dropping-particle":"","family":"Durand","given":"Robert B.","non-dropping-particle":"","parse-names":false,"suffix":""},{"dropping-particle":"","family":"Lim","given":"Dominic","non-dropping-particle":"","parse-names":false,"suffix":""},{"dropping-particle":"","family":"Zumwalt","given":"J. Kenton","non-dropping-particle":"","parse-names":false,"suffix":""}],"container-title":"Financial Management","id":"ITEM-1","issue":"2","issued":{"date-parts":[["2011","6","1"]]},"page":"409-426","publisher":"John Wiley &amp; Sons, Ltd","title":"Fear and the fama-french factors","type":"article-journal","volume":"40"},"suppress-author":1,"uris":["http://www.mendeley.com/documents/?uuid=5a3f4cbe-955d-3ee2-9258-b229d9219727"]}],"mendeley":{"formattedCitation":"(2011)","plainTextFormattedCitation":"(2011)","previouslyFormattedCitation":"(2011)"},"properties":{"noteIndex":0},"schema":"https://github.com/citation-style-language/schema/raw/master/csl-citation.json"}</w:instrText>
      </w:r>
      <w:r w:rsidR="00293D1A" w:rsidRPr="00CE0DE7">
        <w:rPr>
          <w:color w:val="000000"/>
          <w:sz w:val="20"/>
          <w:szCs w:val="20"/>
          <w:lang w:val="en-GB" w:eastAsia="zh-CN"/>
        </w:rPr>
        <w:fldChar w:fldCharType="separate"/>
      </w:r>
      <w:r w:rsidR="00293D1A" w:rsidRPr="00CE0DE7">
        <w:rPr>
          <w:noProof/>
          <w:color w:val="000000"/>
          <w:sz w:val="20"/>
          <w:szCs w:val="20"/>
          <w:lang w:val="en-GB" w:eastAsia="zh-CN"/>
        </w:rPr>
        <w:t>(2011)</w:t>
      </w:r>
      <w:r w:rsidR="00293D1A" w:rsidRPr="00CE0DE7">
        <w:rPr>
          <w:color w:val="000000"/>
          <w:sz w:val="20"/>
          <w:szCs w:val="20"/>
          <w:lang w:val="en-GB" w:eastAsia="zh-CN"/>
        </w:rPr>
        <w:fldChar w:fldCharType="end"/>
      </w:r>
      <w:r w:rsidR="005A7DC1" w:rsidRPr="00CE0DE7">
        <w:rPr>
          <w:color w:val="000000"/>
          <w:sz w:val="20"/>
          <w:szCs w:val="20"/>
          <w:lang w:val="en-GB" w:eastAsia="zh-CN"/>
        </w:rPr>
        <w:t xml:space="preserve">. </w:t>
      </w:r>
    </w:p>
    <w:p w14:paraId="7B152BA3" w14:textId="667CB3DE" w:rsidR="005A7DC1" w:rsidRPr="00CE0DE7" w:rsidRDefault="00DE0AFF" w:rsidP="00BD081C">
      <w:pPr>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In Table 2 w</w:t>
      </w:r>
      <w:r w:rsidR="005A7DC1" w:rsidRPr="00CE0DE7">
        <w:rPr>
          <w:color w:val="000000"/>
          <w:sz w:val="20"/>
          <w:szCs w:val="20"/>
          <w:lang w:val="en-GB"/>
        </w:rPr>
        <w:t xml:space="preserve">e </w:t>
      </w:r>
      <w:r w:rsidRPr="00CE0DE7">
        <w:rPr>
          <w:color w:val="000000"/>
          <w:sz w:val="20"/>
          <w:szCs w:val="20"/>
          <w:lang w:val="en-GB" w:eastAsia="zh-CN"/>
        </w:rPr>
        <w:t xml:space="preserve">provide </w:t>
      </w:r>
      <w:r w:rsidR="005A7DC1" w:rsidRPr="00CE0DE7">
        <w:rPr>
          <w:color w:val="000000"/>
          <w:sz w:val="20"/>
          <w:szCs w:val="20"/>
          <w:lang w:val="en-GB"/>
        </w:rPr>
        <w:t xml:space="preserve">the correlation matrix </w:t>
      </w:r>
      <w:r w:rsidRPr="00CE0DE7">
        <w:rPr>
          <w:color w:val="000000"/>
          <w:sz w:val="20"/>
          <w:szCs w:val="20"/>
          <w:lang w:val="en-GB" w:eastAsia="zh-CN"/>
        </w:rPr>
        <w:t xml:space="preserve">for the </w:t>
      </w:r>
      <w:r w:rsidR="005A7DC1" w:rsidRPr="00CE0DE7">
        <w:rPr>
          <w:color w:val="000000"/>
          <w:sz w:val="20"/>
          <w:szCs w:val="20"/>
          <w:lang w:val="en-GB"/>
        </w:rPr>
        <w:t xml:space="preserve">variables employed in this study. </w:t>
      </w:r>
      <w:r w:rsidR="003169A8" w:rsidRPr="00CE0DE7">
        <w:rPr>
          <w:color w:val="000000"/>
          <w:sz w:val="20"/>
          <w:szCs w:val="20"/>
          <w:lang w:val="en-GB"/>
        </w:rPr>
        <w:t>A h</w:t>
      </w:r>
      <w:r w:rsidR="005A7DC1" w:rsidRPr="00CE0DE7">
        <w:rPr>
          <w:color w:val="000000"/>
          <w:sz w:val="20"/>
          <w:szCs w:val="20"/>
          <w:lang w:val="en-GB"/>
        </w:rPr>
        <w:t xml:space="preserve">igh correlation is </w:t>
      </w:r>
      <w:r w:rsidRPr="00CE0DE7">
        <w:rPr>
          <w:color w:val="000000"/>
          <w:sz w:val="20"/>
          <w:szCs w:val="20"/>
          <w:lang w:val="en-GB" w:eastAsia="zh-CN"/>
        </w:rPr>
        <w:t xml:space="preserve">present </w:t>
      </w:r>
      <w:r w:rsidR="005A7DC1" w:rsidRPr="00CE0DE7">
        <w:rPr>
          <w:color w:val="000000"/>
          <w:sz w:val="20"/>
          <w:szCs w:val="20"/>
          <w:lang w:val="en-GB"/>
        </w:rPr>
        <w:t xml:space="preserve">between the illiquidity of the NYSE and S&amp;P 500 index, and </w:t>
      </w:r>
      <w:r w:rsidR="004947C5" w:rsidRPr="00CE0DE7">
        <w:rPr>
          <w:color w:val="000000"/>
          <w:sz w:val="20"/>
          <w:szCs w:val="20"/>
          <w:lang w:val="en-GB"/>
        </w:rPr>
        <w:t xml:space="preserve">between </w:t>
      </w:r>
      <w:r w:rsidR="005A7DC1" w:rsidRPr="00CE0DE7">
        <w:rPr>
          <w:color w:val="000000"/>
          <w:sz w:val="20"/>
          <w:szCs w:val="20"/>
          <w:lang w:val="en-GB"/>
        </w:rPr>
        <w:t>the two portfolio return measures</w:t>
      </w:r>
      <w:r w:rsidR="005A7DC1" w:rsidRPr="00CE0DE7">
        <w:rPr>
          <w:color w:val="000000"/>
          <w:sz w:val="20"/>
          <w:szCs w:val="20"/>
          <w:lang w:val="en-GB" w:eastAsia="zh-CN"/>
        </w:rPr>
        <w:t>.</w:t>
      </w:r>
      <w:r w:rsidR="005A7DC1" w:rsidRPr="00CE0DE7">
        <w:rPr>
          <w:color w:val="000000"/>
          <w:sz w:val="20"/>
          <w:szCs w:val="20"/>
          <w:lang w:val="en-GB"/>
        </w:rPr>
        <w:t xml:space="preserve"> These imply that the measures are representative</w:t>
      </w:r>
      <w:r w:rsidR="00315346" w:rsidRPr="00CE0DE7">
        <w:rPr>
          <w:color w:val="000000"/>
          <w:sz w:val="20"/>
          <w:szCs w:val="20"/>
          <w:lang w:val="en-GB"/>
        </w:rPr>
        <w:t xml:space="preserve">, </w:t>
      </w:r>
      <w:r w:rsidR="005A7DC1" w:rsidRPr="00CE0DE7">
        <w:rPr>
          <w:color w:val="000000"/>
          <w:sz w:val="20"/>
          <w:szCs w:val="20"/>
          <w:lang w:val="en-GB"/>
        </w:rPr>
        <w:t xml:space="preserve">consistent and can be substituted </w:t>
      </w:r>
      <w:r w:rsidRPr="00CE0DE7">
        <w:rPr>
          <w:color w:val="000000"/>
          <w:sz w:val="20"/>
          <w:szCs w:val="20"/>
          <w:lang w:val="en-GB" w:eastAsia="zh-CN"/>
        </w:rPr>
        <w:t>for</w:t>
      </w:r>
      <w:r w:rsidR="005A7DC1" w:rsidRPr="00CE0DE7">
        <w:rPr>
          <w:color w:val="000000"/>
          <w:sz w:val="20"/>
          <w:szCs w:val="20"/>
          <w:lang w:val="en-GB"/>
        </w:rPr>
        <w:t xml:space="preserve"> </w:t>
      </w:r>
      <w:r w:rsidR="00315346" w:rsidRPr="00CE0DE7">
        <w:rPr>
          <w:color w:val="000000"/>
          <w:sz w:val="20"/>
          <w:szCs w:val="20"/>
          <w:lang w:val="en-GB"/>
        </w:rPr>
        <w:t>one an</w:t>
      </w:r>
      <w:r w:rsidR="005A7DC1" w:rsidRPr="00CE0DE7">
        <w:rPr>
          <w:color w:val="000000"/>
          <w:sz w:val="20"/>
          <w:szCs w:val="20"/>
          <w:lang w:val="en-GB"/>
        </w:rPr>
        <w:t xml:space="preserve">other. </w:t>
      </w:r>
      <w:r w:rsidR="004A015E" w:rsidRPr="00CE0DE7">
        <w:rPr>
          <w:color w:val="000000"/>
          <w:sz w:val="20"/>
          <w:szCs w:val="20"/>
          <w:lang w:val="en-GB"/>
        </w:rPr>
        <w:t>W</w:t>
      </w:r>
      <w:r w:rsidR="005A7DC1" w:rsidRPr="00CE0DE7">
        <w:rPr>
          <w:color w:val="000000"/>
          <w:sz w:val="20"/>
          <w:szCs w:val="20"/>
          <w:lang w:val="en-GB"/>
        </w:rPr>
        <w:t xml:space="preserve">e </w:t>
      </w:r>
      <w:r w:rsidR="004A015E" w:rsidRPr="00CE0DE7">
        <w:rPr>
          <w:color w:val="000000"/>
          <w:sz w:val="20"/>
          <w:szCs w:val="20"/>
          <w:lang w:val="en-GB"/>
        </w:rPr>
        <w:t xml:space="preserve">also </w:t>
      </w:r>
      <w:r w:rsidR="005A7DC1" w:rsidRPr="00CE0DE7">
        <w:rPr>
          <w:color w:val="000000"/>
          <w:sz w:val="20"/>
          <w:szCs w:val="20"/>
          <w:lang w:val="en-GB"/>
        </w:rPr>
        <w:t xml:space="preserve">find that the illiquidity of </w:t>
      </w:r>
      <w:r w:rsidR="00171A1C" w:rsidRPr="00CE0DE7">
        <w:rPr>
          <w:color w:val="000000"/>
          <w:sz w:val="20"/>
          <w:szCs w:val="20"/>
          <w:lang w:val="en-GB" w:eastAsia="zh-CN"/>
        </w:rPr>
        <w:t xml:space="preserve">neither </w:t>
      </w:r>
      <w:r w:rsidR="005A7DC1" w:rsidRPr="00CE0DE7">
        <w:rPr>
          <w:color w:val="000000"/>
          <w:sz w:val="20"/>
          <w:szCs w:val="20"/>
          <w:lang w:val="en-GB"/>
        </w:rPr>
        <w:t xml:space="preserve">the NYSE </w:t>
      </w:r>
      <w:r w:rsidR="00171A1C" w:rsidRPr="00CE0DE7">
        <w:rPr>
          <w:color w:val="000000"/>
          <w:sz w:val="20"/>
          <w:szCs w:val="20"/>
          <w:lang w:val="en-GB" w:eastAsia="zh-CN"/>
        </w:rPr>
        <w:t xml:space="preserve">nor </w:t>
      </w:r>
      <w:r w:rsidR="005A7DC1" w:rsidRPr="00CE0DE7">
        <w:rPr>
          <w:color w:val="000000"/>
          <w:sz w:val="20"/>
          <w:szCs w:val="20"/>
          <w:lang w:val="en-GB"/>
        </w:rPr>
        <w:t xml:space="preserve">S&amp;P 500 is </w:t>
      </w:r>
      <w:r w:rsidR="004947C5" w:rsidRPr="00CE0DE7">
        <w:rPr>
          <w:color w:val="000000"/>
          <w:sz w:val="20"/>
          <w:szCs w:val="20"/>
          <w:lang w:val="en-GB"/>
        </w:rPr>
        <w:t>significantly</w:t>
      </w:r>
      <w:r w:rsidR="005A7DC1" w:rsidRPr="00CE0DE7">
        <w:rPr>
          <w:color w:val="000000"/>
          <w:sz w:val="20"/>
          <w:szCs w:val="20"/>
          <w:lang w:val="en-GB"/>
        </w:rPr>
        <w:t xml:space="preserve"> related to contemporaneous portfolio returns. For the </w:t>
      </w:r>
      <w:r w:rsidR="00171A1C" w:rsidRPr="00CE0DE7">
        <w:rPr>
          <w:color w:val="000000"/>
          <w:sz w:val="20"/>
          <w:szCs w:val="20"/>
          <w:lang w:val="en-GB" w:eastAsia="zh-CN"/>
        </w:rPr>
        <w:t>VRP</w:t>
      </w:r>
      <w:r w:rsidR="005A7DC1" w:rsidRPr="00CE0DE7">
        <w:rPr>
          <w:color w:val="000000"/>
          <w:sz w:val="20"/>
          <w:szCs w:val="20"/>
          <w:lang w:val="en-GB"/>
        </w:rPr>
        <w:t xml:space="preserve">, </w:t>
      </w:r>
      <w:r w:rsidR="005A7DC1" w:rsidRPr="00CE0DE7">
        <w:rPr>
          <w:i/>
          <w:color w:val="000000"/>
          <w:sz w:val="20"/>
          <w:szCs w:val="20"/>
          <w:lang w:val="en-GB"/>
        </w:rPr>
        <w:t>VRP</w:t>
      </w:r>
      <w:r w:rsidR="005A7DC1" w:rsidRPr="00CE0DE7">
        <w:rPr>
          <w:i/>
          <w:color w:val="000000"/>
          <w:sz w:val="20"/>
          <w:szCs w:val="20"/>
          <w:vertAlign w:val="superscript"/>
          <w:lang w:val="en-GB"/>
        </w:rPr>
        <w:t>BTZ</w:t>
      </w:r>
      <w:r w:rsidR="0084429E" w:rsidRPr="00CE0DE7">
        <w:rPr>
          <w:color w:val="000000"/>
          <w:sz w:val="20"/>
          <w:szCs w:val="20"/>
          <w:lang w:val="en-GB" w:eastAsia="zh-CN"/>
        </w:rPr>
        <w:t>,</w:t>
      </w:r>
      <w:r w:rsidR="005A7DC1" w:rsidRPr="00CE0DE7">
        <w:rPr>
          <w:color w:val="000000"/>
          <w:sz w:val="20"/>
          <w:szCs w:val="20"/>
          <w:lang w:val="en-GB" w:eastAsia="zh-CN"/>
        </w:rPr>
        <w:t xml:space="preserve"> </w:t>
      </w:r>
      <w:r w:rsidR="005A7DC1" w:rsidRPr="00CE0DE7">
        <w:rPr>
          <w:i/>
          <w:color w:val="000000"/>
          <w:sz w:val="20"/>
          <w:szCs w:val="20"/>
          <w:lang w:val="en-GB"/>
        </w:rPr>
        <w:t>VRP</w:t>
      </w:r>
      <w:r w:rsidR="005A7DC1" w:rsidRPr="00CE0DE7">
        <w:rPr>
          <w:i/>
          <w:color w:val="000000"/>
          <w:sz w:val="20"/>
          <w:szCs w:val="20"/>
          <w:vertAlign w:val="superscript"/>
          <w:lang w:val="en-GB"/>
        </w:rPr>
        <w:t>CW</w:t>
      </w:r>
      <w:r w:rsidR="00315346" w:rsidRPr="00CE0DE7">
        <w:rPr>
          <w:color w:val="000000"/>
          <w:sz w:val="20"/>
          <w:szCs w:val="20"/>
          <w:lang w:val="en-GB" w:eastAsia="zh-CN"/>
        </w:rPr>
        <w:t xml:space="preserve">, </w:t>
      </w:r>
      <w:r w:rsidR="0084429E" w:rsidRPr="00CE0DE7">
        <w:rPr>
          <w:color w:val="000000"/>
          <w:sz w:val="20"/>
          <w:szCs w:val="20"/>
          <w:lang w:val="en-GB" w:eastAsia="zh-CN"/>
        </w:rPr>
        <w:t xml:space="preserve">and </w:t>
      </w:r>
      <w:r w:rsidR="0084429E" w:rsidRPr="00CE0DE7">
        <w:rPr>
          <w:i/>
          <w:color w:val="000000"/>
          <w:sz w:val="20"/>
          <w:szCs w:val="20"/>
          <w:lang w:val="en-GB"/>
        </w:rPr>
        <w:t>VRP</w:t>
      </w:r>
      <w:r w:rsidR="0084429E" w:rsidRPr="00CE0DE7">
        <w:rPr>
          <w:i/>
          <w:color w:val="000000"/>
          <w:sz w:val="20"/>
          <w:szCs w:val="20"/>
          <w:vertAlign w:val="superscript"/>
          <w:lang w:val="en-GB"/>
        </w:rPr>
        <w:t>DY</w:t>
      </w:r>
      <w:r w:rsidR="0084429E" w:rsidRPr="00CE0DE7">
        <w:rPr>
          <w:color w:val="000000"/>
          <w:sz w:val="20"/>
          <w:szCs w:val="20"/>
          <w:lang w:val="en-GB"/>
        </w:rPr>
        <w:t xml:space="preserve"> </w:t>
      </w:r>
      <w:r w:rsidR="005A7DC1" w:rsidRPr="00CE0DE7">
        <w:rPr>
          <w:color w:val="000000"/>
          <w:sz w:val="20"/>
          <w:szCs w:val="20"/>
          <w:lang w:val="en-GB"/>
        </w:rPr>
        <w:t>positively correlate with contemporaneous illiquidity</w:t>
      </w:r>
      <w:r w:rsidR="005A7DC1" w:rsidRPr="00CE0DE7">
        <w:rPr>
          <w:color w:val="000000"/>
          <w:sz w:val="20"/>
          <w:szCs w:val="20"/>
          <w:lang w:val="en-GB" w:eastAsia="zh-CN"/>
        </w:rPr>
        <w:t>.</w:t>
      </w:r>
    </w:p>
    <w:p w14:paraId="3BDF01BD" w14:textId="77777777" w:rsidR="001E38D8" w:rsidRPr="00CE0DE7" w:rsidRDefault="00B53221" w:rsidP="008276B8">
      <w:pPr>
        <w:autoSpaceDE w:val="0"/>
        <w:autoSpaceDN w:val="0"/>
        <w:adjustRightInd w:val="0"/>
        <w:snapToGrid w:val="0"/>
        <w:spacing w:before="240" w:after="240" w:line="480" w:lineRule="auto"/>
        <w:jc w:val="center"/>
        <w:rPr>
          <w:color w:val="000000"/>
          <w:sz w:val="20"/>
          <w:szCs w:val="20"/>
          <w:lang w:val="en-GB" w:eastAsia="zh-CN"/>
        </w:rPr>
      </w:pPr>
      <w:r w:rsidRPr="00CE0DE7">
        <w:rPr>
          <w:color w:val="000000"/>
          <w:sz w:val="20"/>
          <w:szCs w:val="20"/>
          <w:lang w:val="en-GB" w:eastAsia="zh-CN"/>
        </w:rPr>
        <w:t>[Insert Table 2 around here]</w:t>
      </w:r>
      <w:r w:rsidR="005A7DC1" w:rsidRPr="00CE0DE7">
        <w:rPr>
          <w:color w:val="000000"/>
          <w:sz w:val="20"/>
          <w:szCs w:val="20"/>
          <w:lang w:val="en-GB"/>
        </w:rPr>
        <w:t xml:space="preserve">          </w:t>
      </w:r>
    </w:p>
    <w:p w14:paraId="6FAEFDE5" w14:textId="27741953" w:rsidR="005A7DC1" w:rsidRPr="00CE0DE7" w:rsidRDefault="005A7DC1" w:rsidP="00196F3B">
      <w:pPr>
        <w:autoSpaceDE w:val="0"/>
        <w:autoSpaceDN w:val="0"/>
        <w:adjustRightInd w:val="0"/>
        <w:snapToGrid w:val="0"/>
        <w:spacing w:line="480" w:lineRule="auto"/>
        <w:rPr>
          <w:color w:val="000000"/>
          <w:sz w:val="20"/>
          <w:szCs w:val="20"/>
          <w:lang w:val="en-GB" w:eastAsia="zh-CN"/>
        </w:rPr>
      </w:pPr>
      <w:r w:rsidRPr="00CE0DE7">
        <w:rPr>
          <w:color w:val="000000"/>
          <w:sz w:val="20"/>
          <w:szCs w:val="20"/>
          <w:lang w:val="en-GB"/>
        </w:rPr>
        <w:lastRenderedPageBreak/>
        <w:t xml:space="preserve">                                                                                                                                                                                                                                                                                                                                                                                                                                                                                                                                                                                                                                                                                                                                                                                                                                                                                                                                                                                                                                                                                                                                                                                                                                                                                                                                                                                                                                                                                                                                                                                                                                                                                                                                                                                                                                                                                                                                                                                                                                                                                                                                                                                                                                                                                                                                                                                                                                                                                                                                                                                                                                                                                                                                                                                                                                                                                                                                                                                                                                                                                                                                                                                                                                                                                                                                                                                                                                                                                                                                                                                                                                                                                                                                                                                                                                                                                                                                                                                                                                                                                                                                                                                                                                                                                                                                                                                                                                                                                                                                                                                                                                                                                                                                                                                                                                                                                                                                                                                                                                                                                                                                                                                                                                                                                                                                                                                                                                                                                                                                                                                                                                                                                                                                                                                                                                                                                                                                                                                                                                                                                                                                                                                                                                                                                                                                                                                                                                                                                                                                                                                                                                                                                                                                                                                                                                                                                                                                                                                                                                                                                                                                                                                                                                                                                                                                                                                                                                                                                                                                                                                                                                                                                                                                                                                                                                                                                                                                                                                                                                                                                                                                                                                                                                                                                                                                                                                                                                                                                                                                                                                                     </w:t>
      </w:r>
    </w:p>
    <w:p w14:paraId="250A2BD1" w14:textId="39166A13" w:rsidR="005A7DC1" w:rsidRPr="00CE0DE7" w:rsidRDefault="00BB008D" w:rsidP="00D51ACE">
      <w:pPr>
        <w:pStyle w:val="1"/>
        <w:spacing w:after="240"/>
        <w:rPr>
          <w:sz w:val="20"/>
          <w:szCs w:val="20"/>
          <w:lang w:val="en-GB" w:eastAsia="zh-CN"/>
        </w:rPr>
      </w:pPr>
      <w:r w:rsidRPr="00CE0DE7">
        <w:rPr>
          <w:sz w:val="20"/>
          <w:szCs w:val="20"/>
          <w:lang w:val="en-GB" w:eastAsia="zh-CN"/>
        </w:rPr>
        <w:t>4</w:t>
      </w:r>
      <w:r w:rsidR="00AD04A8" w:rsidRPr="00CE0DE7">
        <w:rPr>
          <w:sz w:val="20"/>
          <w:szCs w:val="20"/>
          <w:lang w:val="en-GB" w:eastAsia="zh-CN"/>
        </w:rPr>
        <w:t>.</w:t>
      </w:r>
      <w:r w:rsidRPr="00CE0DE7">
        <w:rPr>
          <w:sz w:val="20"/>
          <w:szCs w:val="20"/>
          <w:lang w:val="en-GB" w:eastAsia="zh-CN"/>
        </w:rPr>
        <w:t xml:space="preserve"> </w:t>
      </w:r>
      <w:r w:rsidR="005A7DC1" w:rsidRPr="00CE0DE7">
        <w:rPr>
          <w:sz w:val="20"/>
          <w:szCs w:val="20"/>
          <w:lang w:val="en-GB" w:eastAsia="zh-CN"/>
        </w:rPr>
        <w:t xml:space="preserve">Empirical </w:t>
      </w:r>
      <w:r w:rsidR="00BB004E" w:rsidRPr="00CE0DE7">
        <w:rPr>
          <w:sz w:val="20"/>
          <w:szCs w:val="20"/>
          <w:lang w:val="en-GB" w:eastAsia="zh-CN"/>
        </w:rPr>
        <w:t>analys</w:t>
      </w:r>
      <w:r w:rsidR="0099228C" w:rsidRPr="00CE0DE7">
        <w:rPr>
          <w:sz w:val="20"/>
          <w:szCs w:val="20"/>
          <w:lang w:val="en-GB" w:eastAsia="zh-CN"/>
        </w:rPr>
        <w:t>e</w:t>
      </w:r>
      <w:r w:rsidR="00BB004E" w:rsidRPr="00CE0DE7">
        <w:rPr>
          <w:sz w:val="20"/>
          <w:szCs w:val="20"/>
          <w:lang w:val="en-GB" w:eastAsia="zh-CN"/>
        </w:rPr>
        <w:t>s</w:t>
      </w:r>
    </w:p>
    <w:p w14:paraId="0BD9253B" w14:textId="17F56918" w:rsidR="007978C6" w:rsidRPr="00CE0DE7" w:rsidRDefault="00953215" w:rsidP="00D51ACE">
      <w:pPr>
        <w:pStyle w:val="2"/>
        <w:spacing w:before="0" w:after="240"/>
        <w:rPr>
          <w:rFonts w:cs="Times New Roman"/>
          <w:color w:val="000000"/>
          <w:sz w:val="20"/>
          <w:szCs w:val="20"/>
          <w:lang w:eastAsia="zh-CN"/>
        </w:rPr>
      </w:pPr>
      <w:r w:rsidRPr="00CE0DE7">
        <w:rPr>
          <w:rStyle w:val="a7"/>
          <w:rFonts w:cs="Times New Roman"/>
          <w:i/>
          <w:iCs w:val="0"/>
          <w:sz w:val="20"/>
          <w:szCs w:val="20"/>
          <w:lang w:eastAsia="zh-CN"/>
        </w:rPr>
        <w:t xml:space="preserve">4.1 </w:t>
      </w:r>
      <w:r w:rsidR="007464C0" w:rsidRPr="00CE0DE7">
        <w:rPr>
          <w:rStyle w:val="a7"/>
          <w:rFonts w:cs="Times New Roman"/>
          <w:i/>
          <w:iCs w:val="0"/>
          <w:sz w:val="20"/>
          <w:szCs w:val="20"/>
          <w:lang w:eastAsia="zh-CN"/>
        </w:rPr>
        <w:t xml:space="preserve">The </w:t>
      </w:r>
      <w:r w:rsidR="005A7DC1" w:rsidRPr="00CE0DE7">
        <w:rPr>
          <w:rStyle w:val="a7"/>
          <w:rFonts w:cs="Times New Roman"/>
          <w:i/>
          <w:iCs w:val="0"/>
          <w:sz w:val="20"/>
          <w:szCs w:val="20"/>
        </w:rPr>
        <w:t>Toda</w:t>
      </w:r>
      <w:r w:rsidR="0085687C" w:rsidRPr="00CE0DE7">
        <w:rPr>
          <w:rStyle w:val="a7"/>
          <w:rFonts w:cs="Times New Roman"/>
          <w:i/>
          <w:iCs w:val="0"/>
          <w:sz w:val="20"/>
          <w:szCs w:val="20"/>
        </w:rPr>
        <w:t>-</w:t>
      </w:r>
      <w:r w:rsidR="005A7DC1" w:rsidRPr="00CE0DE7">
        <w:rPr>
          <w:rStyle w:val="a7"/>
          <w:rFonts w:cs="Times New Roman"/>
          <w:i/>
          <w:iCs w:val="0"/>
          <w:sz w:val="20"/>
          <w:szCs w:val="20"/>
        </w:rPr>
        <w:t>Yamamoto Granger non-</w:t>
      </w:r>
      <w:r w:rsidR="00E95AD1" w:rsidRPr="00CE0DE7">
        <w:rPr>
          <w:rStyle w:val="a7"/>
          <w:rFonts w:cs="Times New Roman"/>
          <w:i/>
          <w:iCs w:val="0"/>
          <w:sz w:val="20"/>
          <w:szCs w:val="20"/>
          <w:lang w:eastAsia="zh-CN"/>
        </w:rPr>
        <w:t>c</w:t>
      </w:r>
      <w:r w:rsidR="0084429E" w:rsidRPr="00CE0DE7">
        <w:rPr>
          <w:rStyle w:val="a7"/>
          <w:rFonts w:cs="Times New Roman"/>
          <w:i/>
          <w:iCs w:val="0"/>
          <w:sz w:val="20"/>
          <w:szCs w:val="20"/>
        </w:rPr>
        <w:t>ausality</w:t>
      </w:r>
      <w:r w:rsidR="00E95AD1" w:rsidRPr="00CE0DE7">
        <w:rPr>
          <w:rStyle w:val="a7"/>
          <w:rFonts w:cs="Times New Roman"/>
          <w:i/>
          <w:iCs w:val="0"/>
          <w:sz w:val="20"/>
          <w:szCs w:val="20"/>
          <w:lang w:eastAsia="zh-CN"/>
        </w:rPr>
        <w:t xml:space="preserve"> t</w:t>
      </w:r>
      <w:r w:rsidR="0084429E" w:rsidRPr="00CE0DE7">
        <w:rPr>
          <w:rStyle w:val="a7"/>
          <w:rFonts w:cs="Times New Roman"/>
          <w:i/>
          <w:iCs w:val="0"/>
          <w:sz w:val="20"/>
          <w:szCs w:val="20"/>
        </w:rPr>
        <w:t>est</w:t>
      </w:r>
    </w:p>
    <w:p w14:paraId="43FE8FE7" w14:textId="7261EC24" w:rsidR="00243ECB" w:rsidRPr="00CE0DE7" w:rsidRDefault="00243ECB"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We apply the Toda-Yamamoto Granger non-causality test to </w:t>
      </w:r>
      <w:proofErr w:type="spellStart"/>
      <w:r w:rsidRPr="00CE0DE7">
        <w:rPr>
          <w:color w:val="000000"/>
          <w:sz w:val="20"/>
          <w:szCs w:val="20"/>
          <w:lang w:val="en-GB" w:eastAsia="zh-CN"/>
        </w:rPr>
        <w:t>analyze</w:t>
      </w:r>
      <w:proofErr w:type="spellEnd"/>
      <w:r w:rsidRPr="00CE0DE7">
        <w:rPr>
          <w:color w:val="000000"/>
          <w:sz w:val="20"/>
          <w:szCs w:val="20"/>
          <w:lang w:val="en-GB" w:eastAsia="zh-CN"/>
        </w:rPr>
        <w:t xml:space="preserve"> the causal relationship between the VRP, returns and illiquidity.</w:t>
      </w:r>
      <w:r w:rsidRPr="00440039">
        <w:rPr>
          <w:rStyle w:val="a9"/>
        </w:rPr>
        <w:footnoteReference w:id="4"/>
      </w:r>
      <w:r w:rsidRPr="00CE0DE7">
        <w:rPr>
          <w:color w:val="000000"/>
          <w:sz w:val="20"/>
          <w:szCs w:val="20"/>
          <w:lang w:val="en-GB" w:eastAsia="zh-CN"/>
        </w:rPr>
        <w:t xml:space="preserve"> Following Chen et al. </w:t>
      </w:r>
      <w:r w:rsidR="00293D1A" w:rsidRPr="00CE0DE7">
        <w:rPr>
          <w:color w:val="000000"/>
          <w:sz w:val="20"/>
          <w:szCs w:val="20"/>
          <w:lang w:val="en-GB" w:eastAsia="zh-CN"/>
        </w:rPr>
        <w:fldChar w:fldCharType="begin" w:fldLock="1"/>
      </w:r>
      <w:r w:rsidR="00A80D9D">
        <w:rPr>
          <w:color w:val="000000"/>
          <w:sz w:val="20"/>
          <w:szCs w:val="20"/>
          <w:lang w:val="en-GB" w:eastAsia="zh-CN"/>
        </w:rPr>
        <w:instrText>ADDIN CSL_CITATION {"citationItems":[{"id":"ITEM-1","itemData":{"ISSN":"03784266","abstract":"Results of research on whether changes in earnings can predict future stock returns are inconclusive. We add to this debate by using long-term data from 1871 to 2004 to examine the predictive power of changes in earnings in periods of intrinsic bubbles and in periods absent intrinsic bubbles. Our results show that accounting for bubbles is important in whether changes in earnings can predict future stock returns. In periods of no bubble, we find that changes in earnings Granger-cause future returns, whereas in periods of bubble, this Granger causality from changes in earnings to future returns cannot be found. We conclude that changes in earnings can predict future stock returns, but only in periods absent bubbles. © 2009 Elsevier B.V. All rights reserved.","author":[{"dropping-particle":"","family":"Chen","given":"An Sing","non-dropping-particle":"","parse-names":false,"suffix":""},{"dropping-particle":"","family":"Cheng","given":"Lee Young","non-dropping-particle":"","parse-names":false,"suffix":""},{"dropping-particle":"","family":"Cheng","given":"Kuang Fu","non-dropping-particle":"","parse-names":false,"suffix":""}],"container-title":"Journal of Banking and Finance","id":"ITEM-1","issue":"12","issued":{"date-parts":[["2009","12","1"]]},"page":"2275-2281","publisher":"North-Holland","title":"Intrinsic bubbles and granger causality in the S&amp;P 500: Evidence from long-term data","type":"article-journal","volume":"33"},"suppress-author":1,"uris":["http://www.mendeley.com/documents/?uuid=7a02c51f-eef9-3338-b616-56edf97d8106"]}],"mendeley":{"formattedCitation":"(2009)","plainTextFormattedCitation":"(2009)","previouslyFormattedCitation":"(2009)"},"properties":{"noteIndex":0},"schema":"https://github.com/citation-style-language/schema/raw/master/csl-citation.json"}</w:instrText>
      </w:r>
      <w:r w:rsidR="00293D1A" w:rsidRPr="00CE0DE7">
        <w:rPr>
          <w:color w:val="000000"/>
          <w:sz w:val="20"/>
          <w:szCs w:val="20"/>
          <w:lang w:val="en-GB" w:eastAsia="zh-CN"/>
        </w:rPr>
        <w:fldChar w:fldCharType="separate"/>
      </w:r>
      <w:r w:rsidR="00293D1A" w:rsidRPr="00CE0DE7">
        <w:rPr>
          <w:noProof/>
          <w:color w:val="000000"/>
          <w:sz w:val="20"/>
          <w:szCs w:val="20"/>
          <w:lang w:val="en-GB" w:eastAsia="zh-CN"/>
        </w:rPr>
        <w:t>(2009)</w:t>
      </w:r>
      <w:r w:rsidR="00293D1A" w:rsidRPr="00CE0DE7">
        <w:rPr>
          <w:color w:val="000000"/>
          <w:sz w:val="20"/>
          <w:szCs w:val="20"/>
          <w:lang w:val="en-GB" w:eastAsia="zh-CN"/>
        </w:rPr>
        <w:fldChar w:fldCharType="end"/>
      </w:r>
      <w:r w:rsidRPr="00CE0DE7">
        <w:rPr>
          <w:color w:val="000000"/>
          <w:sz w:val="20"/>
          <w:szCs w:val="20"/>
          <w:lang w:val="en-GB" w:eastAsia="zh-CN"/>
        </w:rPr>
        <w:t xml:space="preserve">, we test the causal relationship between the VRP and </w:t>
      </w:r>
      <w:r w:rsidRPr="00CE0DE7">
        <w:rPr>
          <w:sz w:val="20"/>
          <w:szCs w:val="20"/>
          <w:lang w:val="en-GB" w:eastAsia="zh-CN"/>
        </w:rPr>
        <w:t>excess</w:t>
      </w:r>
      <w:r w:rsidRPr="00CE0DE7" w:rsidDel="009268D4">
        <w:rPr>
          <w:color w:val="000000"/>
          <w:sz w:val="20"/>
          <w:szCs w:val="20"/>
          <w:lang w:val="en-GB" w:eastAsia="zh-CN"/>
        </w:rPr>
        <w:t xml:space="preserve"> </w:t>
      </w:r>
      <w:r w:rsidRPr="00CE0DE7">
        <w:rPr>
          <w:color w:val="000000"/>
          <w:sz w:val="20"/>
          <w:szCs w:val="20"/>
          <w:lang w:val="en-GB" w:eastAsia="zh-CN"/>
        </w:rPr>
        <w:t xml:space="preserve">returns </w:t>
      </w:r>
      <w:r w:rsidR="00AE6FF8" w:rsidRPr="00CE0DE7">
        <w:rPr>
          <w:color w:val="000000"/>
          <w:sz w:val="20"/>
          <w:szCs w:val="20"/>
          <w:lang w:val="en-GB" w:eastAsia="zh-CN"/>
        </w:rPr>
        <w:t xml:space="preserve">via the </w:t>
      </w:r>
      <w:r w:rsidR="00394BC6" w:rsidRPr="00CE0DE7">
        <w:rPr>
          <w:color w:val="000000"/>
          <w:sz w:val="20"/>
          <w:szCs w:val="20"/>
          <w:lang w:val="en-GB" w:eastAsia="zh-CN"/>
        </w:rPr>
        <w:t>t</w:t>
      </w:r>
      <w:r w:rsidRPr="00CE0DE7">
        <w:rPr>
          <w:color w:val="000000"/>
          <w:sz w:val="20"/>
          <w:szCs w:val="20"/>
          <w:lang w:val="en-GB" w:eastAsia="zh-CN"/>
        </w:rPr>
        <w:t>ri-variate vector autoregression (VAR) models using the asymmetric VAR equations below</w:t>
      </w:r>
      <w:r w:rsidR="00394BC6" w:rsidRPr="00440039">
        <w:rPr>
          <w:rStyle w:val="a9"/>
        </w:rPr>
        <w:footnoteReference w:id="5"/>
      </w:r>
      <w:r w:rsidRPr="00CE0DE7">
        <w:rPr>
          <w:color w:val="000000"/>
          <w:sz w:val="20"/>
          <w:szCs w:val="20"/>
          <w:lang w:val="en-GB" w:eastAsia="zh-CN"/>
        </w:rPr>
        <w:t>, which do not impose common lags across all variables:</w:t>
      </w:r>
    </w:p>
    <w:p w14:paraId="7E74104D" w14:textId="03B66F2E" w:rsidR="00F71EDB" w:rsidRPr="00CE0DE7" w:rsidRDefault="004971D2" w:rsidP="00B01B7C">
      <w:pPr>
        <w:autoSpaceDE w:val="0"/>
        <w:autoSpaceDN w:val="0"/>
        <w:adjustRightInd w:val="0"/>
        <w:snapToGrid w:val="0"/>
        <w:spacing w:before="120" w:line="480" w:lineRule="auto"/>
        <w:ind w:firstLine="720"/>
        <w:jc w:val="right"/>
        <w:rPr>
          <w:color w:val="000000"/>
          <w:sz w:val="20"/>
          <w:szCs w:val="20"/>
          <w:lang w:val="en-GB" w:eastAsia="zh-CN"/>
        </w:rPr>
      </w:pPr>
      <w:r w:rsidRPr="004971D2">
        <w:rPr>
          <w:color w:val="000000"/>
          <w:position w:val="-24"/>
          <w:sz w:val="20"/>
          <w:szCs w:val="20"/>
          <w:lang w:val="en-GB" w:eastAsia="zh-CN"/>
        </w:rPr>
        <w:object w:dxaOrig="4599" w:dyaOrig="600" w14:anchorId="0C230C67">
          <v:shape id="_x0000_i1029" type="#_x0000_t75" style="width:232.3pt;height:30.7pt" o:ole="">
            <v:imagedata r:id="rId17" o:title=""/>
          </v:shape>
          <o:OLEObject Type="Embed" ProgID="Equation.DSMT4" ShapeID="_x0000_i1029" DrawAspect="Content" ObjectID="_1674838644" r:id="rId18"/>
        </w:object>
      </w:r>
      <w:r w:rsidR="00F71EDB" w:rsidRPr="00CE0DE7">
        <w:rPr>
          <w:color w:val="000000"/>
          <w:sz w:val="20"/>
          <w:szCs w:val="20"/>
          <w:lang w:val="en-GB" w:eastAsia="zh-CN"/>
        </w:rPr>
        <w:t xml:space="preserve">     </w:t>
      </w:r>
      <w:r w:rsidR="008276B8" w:rsidRPr="00CE0DE7">
        <w:rPr>
          <w:color w:val="000000"/>
          <w:sz w:val="20"/>
          <w:szCs w:val="20"/>
          <w:lang w:val="en-GB" w:eastAsia="zh-CN"/>
        </w:rPr>
        <w:t xml:space="preserve">  </w:t>
      </w:r>
      <w:r w:rsidR="00F71EDB" w:rsidRPr="00CE0DE7">
        <w:rPr>
          <w:color w:val="000000"/>
          <w:sz w:val="20"/>
          <w:szCs w:val="20"/>
          <w:lang w:val="en-GB" w:eastAsia="zh-CN"/>
        </w:rPr>
        <w:t xml:space="preserve">       </w:t>
      </w:r>
      <w:r>
        <w:rPr>
          <w:color w:val="000000"/>
          <w:sz w:val="20"/>
          <w:szCs w:val="20"/>
          <w:lang w:val="en-GB" w:eastAsia="zh-CN"/>
        </w:rPr>
        <w:t xml:space="preserve">          </w:t>
      </w:r>
      <w:r w:rsidR="00F71EDB" w:rsidRPr="00CE0DE7">
        <w:rPr>
          <w:color w:val="000000"/>
          <w:sz w:val="20"/>
          <w:szCs w:val="20"/>
          <w:lang w:val="en-GB" w:eastAsia="zh-CN"/>
        </w:rPr>
        <w:t xml:space="preserve">            (3a)     </w:t>
      </w:r>
    </w:p>
    <w:p w14:paraId="45A24BB7" w14:textId="117B1CBC" w:rsidR="00F71EDB" w:rsidRPr="00CE0DE7" w:rsidRDefault="008276B8" w:rsidP="0022151F">
      <w:pPr>
        <w:autoSpaceDE w:val="0"/>
        <w:autoSpaceDN w:val="0"/>
        <w:adjustRightInd w:val="0"/>
        <w:snapToGrid w:val="0"/>
        <w:spacing w:line="480" w:lineRule="auto"/>
        <w:ind w:firstLine="720"/>
        <w:jc w:val="right"/>
        <w:rPr>
          <w:color w:val="000000"/>
          <w:sz w:val="20"/>
          <w:szCs w:val="20"/>
          <w:lang w:val="en-GB" w:eastAsia="zh-CN"/>
        </w:rPr>
      </w:pPr>
      <w:r w:rsidRPr="00CE0DE7">
        <w:rPr>
          <w:color w:val="000000"/>
          <w:sz w:val="20"/>
          <w:szCs w:val="20"/>
          <w:lang w:val="en-GB" w:eastAsia="zh-CN"/>
        </w:rPr>
        <w:t xml:space="preserve">   </w:t>
      </w:r>
      <w:r w:rsidR="004971D2" w:rsidRPr="004971D2">
        <w:rPr>
          <w:color w:val="000000"/>
          <w:position w:val="-24"/>
          <w:sz w:val="20"/>
          <w:szCs w:val="20"/>
          <w:lang w:val="en-GB" w:eastAsia="zh-CN"/>
        </w:rPr>
        <w:object w:dxaOrig="4780" w:dyaOrig="600" w14:anchorId="379F7FB8">
          <v:shape id="_x0000_i1030" type="#_x0000_t75" style="width:237.9pt;height:30.7pt" o:ole="">
            <v:imagedata r:id="rId19" o:title=""/>
          </v:shape>
          <o:OLEObject Type="Embed" ProgID="Equation.DSMT4" ShapeID="_x0000_i1030" DrawAspect="Content" ObjectID="_1674838645" r:id="rId20"/>
        </w:object>
      </w:r>
      <w:r w:rsidR="00F71EDB" w:rsidRPr="00CE0DE7">
        <w:rPr>
          <w:color w:val="000000"/>
          <w:sz w:val="20"/>
          <w:szCs w:val="20"/>
          <w:lang w:val="en-GB" w:eastAsia="zh-CN"/>
        </w:rPr>
        <w:t xml:space="preserve">      </w:t>
      </w:r>
      <w:r w:rsidRPr="00CE0DE7">
        <w:rPr>
          <w:color w:val="000000"/>
          <w:sz w:val="20"/>
          <w:szCs w:val="20"/>
          <w:lang w:val="en-GB" w:eastAsia="zh-CN"/>
        </w:rPr>
        <w:t xml:space="preserve">  </w:t>
      </w:r>
      <w:r w:rsidR="00F71EDB" w:rsidRPr="00CE0DE7">
        <w:rPr>
          <w:color w:val="000000"/>
          <w:sz w:val="20"/>
          <w:szCs w:val="20"/>
          <w:lang w:val="en-GB" w:eastAsia="zh-CN"/>
        </w:rPr>
        <w:t xml:space="preserve">   </w:t>
      </w:r>
      <w:r w:rsidRPr="00CE0DE7">
        <w:rPr>
          <w:color w:val="000000"/>
          <w:sz w:val="20"/>
          <w:szCs w:val="20"/>
          <w:lang w:val="en-GB" w:eastAsia="zh-CN"/>
        </w:rPr>
        <w:t xml:space="preserve"> </w:t>
      </w:r>
      <w:r w:rsidR="004971D2">
        <w:rPr>
          <w:color w:val="000000"/>
          <w:sz w:val="20"/>
          <w:szCs w:val="20"/>
          <w:lang w:val="en-GB" w:eastAsia="zh-CN"/>
        </w:rPr>
        <w:t xml:space="preserve">           </w:t>
      </w:r>
      <w:r w:rsidRPr="00CE0DE7">
        <w:rPr>
          <w:color w:val="000000"/>
          <w:sz w:val="20"/>
          <w:szCs w:val="20"/>
          <w:lang w:val="en-GB" w:eastAsia="zh-CN"/>
        </w:rPr>
        <w:t xml:space="preserve">   </w:t>
      </w:r>
      <w:r w:rsidR="00F71EDB" w:rsidRPr="00CE0DE7">
        <w:rPr>
          <w:color w:val="000000"/>
          <w:sz w:val="20"/>
          <w:szCs w:val="20"/>
          <w:lang w:val="en-GB" w:eastAsia="zh-CN"/>
        </w:rPr>
        <w:t xml:space="preserve">         (3b)</w:t>
      </w:r>
    </w:p>
    <w:p w14:paraId="7E3F7B20" w14:textId="13731B54" w:rsidR="00F71EDB" w:rsidRPr="00CE0DE7" w:rsidRDefault="004971D2" w:rsidP="00B01B7C">
      <w:pPr>
        <w:autoSpaceDE w:val="0"/>
        <w:autoSpaceDN w:val="0"/>
        <w:adjustRightInd w:val="0"/>
        <w:snapToGrid w:val="0"/>
        <w:spacing w:after="120" w:line="480" w:lineRule="auto"/>
        <w:ind w:firstLine="720"/>
        <w:jc w:val="right"/>
        <w:rPr>
          <w:color w:val="000000"/>
          <w:sz w:val="20"/>
          <w:szCs w:val="20"/>
          <w:lang w:val="en-GB" w:eastAsia="zh-CN"/>
        </w:rPr>
      </w:pPr>
      <w:r w:rsidRPr="004971D2">
        <w:rPr>
          <w:color w:val="000000"/>
          <w:position w:val="-24"/>
          <w:sz w:val="20"/>
          <w:szCs w:val="20"/>
          <w:lang w:val="en-GB" w:eastAsia="zh-CN"/>
        </w:rPr>
        <w:object w:dxaOrig="4920" w:dyaOrig="600" w14:anchorId="7CF38770">
          <v:shape id="_x0000_i1031" type="#_x0000_t75" style="width:244.8pt;height:30.7pt" o:ole="">
            <v:imagedata r:id="rId21" o:title=""/>
          </v:shape>
          <o:OLEObject Type="Embed" ProgID="Equation.DSMT4" ShapeID="_x0000_i1031" DrawAspect="Content" ObjectID="_1674838646" r:id="rId22"/>
        </w:object>
      </w:r>
      <w:r w:rsidR="008276B8" w:rsidRPr="00CE0DE7">
        <w:rPr>
          <w:color w:val="000000"/>
          <w:sz w:val="20"/>
          <w:szCs w:val="20"/>
          <w:lang w:val="en-GB" w:eastAsia="zh-CN"/>
        </w:rPr>
        <w:t xml:space="preserve">         </w:t>
      </w:r>
      <w:r>
        <w:rPr>
          <w:color w:val="000000"/>
          <w:sz w:val="20"/>
          <w:szCs w:val="20"/>
          <w:lang w:val="en-GB" w:eastAsia="zh-CN"/>
        </w:rPr>
        <w:t xml:space="preserve">              </w:t>
      </w:r>
      <w:r w:rsidR="00F71EDB" w:rsidRPr="00CE0DE7">
        <w:rPr>
          <w:color w:val="000000"/>
          <w:sz w:val="20"/>
          <w:szCs w:val="20"/>
          <w:lang w:val="en-GB" w:eastAsia="zh-CN"/>
        </w:rPr>
        <w:t xml:space="preserve"> </w:t>
      </w:r>
      <w:r w:rsidR="008276B8" w:rsidRPr="00CE0DE7">
        <w:rPr>
          <w:color w:val="000000"/>
          <w:sz w:val="20"/>
          <w:szCs w:val="20"/>
          <w:lang w:val="en-GB" w:eastAsia="zh-CN"/>
        </w:rPr>
        <w:t xml:space="preserve">   </w:t>
      </w:r>
      <w:r w:rsidR="00F71EDB" w:rsidRPr="00CE0DE7">
        <w:rPr>
          <w:color w:val="000000"/>
          <w:sz w:val="20"/>
          <w:szCs w:val="20"/>
          <w:lang w:val="en-GB" w:eastAsia="zh-CN"/>
        </w:rPr>
        <w:t xml:space="preserve">         (3c)</w:t>
      </w:r>
    </w:p>
    <w:p w14:paraId="22E11291" w14:textId="551EDF5E" w:rsidR="004E36E8" w:rsidRPr="00CE0DE7" w:rsidRDefault="00431757" w:rsidP="00F71EDB">
      <w:pPr>
        <w:autoSpaceDE w:val="0"/>
        <w:autoSpaceDN w:val="0"/>
        <w:adjustRightInd w:val="0"/>
        <w:snapToGrid w:val="0"/>
        <w:spacing w:line="480" w:lineRule="auto"/>
        <w:jc w:val="both"/>
        <w:rPr>
          <w:color w:val="000000"/>
          <w:sz w:val="20"/>
          <w:szCs w:val="20"/>
          <w:lang w:val="en-GB" w:eastAsia="zh-CN"/>
        </w:rPr>
      </w:pPr>
      <w:r w:rsidRPr="00CE0DE7">
        <w:rPr>
          <w:color w:val="000000"/>
          <w:sz w:val="20"/>
          <w:szCs w:val="20"/>
          <w:lang w:val="en-GB" w:eastAsia="zh-CN"/>
        </w:rPr>
        <w:t xml:space="preserve">which allows us to explore the effect of each variable in predicting the others in the system and </w:t>
      </w:r>
      <w:r w:rsidRPr="00CE0DE7">
        <w:rPr>
          <w:sz w:val="20"/>
          <w:szCs w:val="20"/>
        </w:rPr>
        <w:t xml:space="preserve">identify possible ordering </w:t>
      </w:r>
      <w:r w:rsidRPr="00CE0DE7">
        <w:rPr>
          <w:sz w:val="20"/>
          <w:szCs w:val="20"/>
          <w:lang w:eastAsia="zh-CN"/>
        </w:rPr>
        <w:t>issues</w:t>
      </w:r>
      <w:r w:rsidRPr="00CE0DE7">
        <w:rPr>
          <w:color w:val="000000"/>
          <w:sz w:val="20"/>
          <w:szCs w:val="20"/>
          <w:lang w:val="en-GB" w:eastAsia="zh-CN"/>
        </w:rPr>
        <w:t xml:space="preserve">. </w:t>
      </w:r>
      <w:r w:rsidRPr="00CE0DE7">
        <w:rPr>
          <w:i/>
          <w:color w:val="000000"/>
          <w:sz w:val="20"/>
          <w:szCs w:val="20"/>
          <w:lang w:val="en-GB" w:eastAsia="zh-CN"/>
        </w:rPr>
        <w:t xml:space="preserve">ER </w:t>
      </w:r>
      <w:r w:rsidRPr="00CE0DE7">
        <w:rPr>
          <w:color w:val="000000"/>
          <w:sz w:val="20"/>
          <w:szCs w:val="20"/>
          <w:lang w:val="en-GB" w:eastAsia="zh-CN"/>
        </w:rPr>
        <w:t xml:space="preserve">and </w:t>
      </w:r>
      <w:r w:rsidRPr="00CE0DE7">
        <w:rPr>
          <w:i/>
          <w:color w:val="000000"/>
          <w:sz w:val="20"/>
          <w:szCs w:val="20"/>
          <w:lang w:val="en-GB" w:eastAsia="zh-CN"/>
        </w:rPr>
        <w:t>VRP</w:t>
      </w:r>
      <w:r w:rsidRPr="00CE0DE7">
        <w:rPr>
          <w:color w:val="000000"/>
          <w:sz w:val="20"/>
          <w:szCs w:val="20"/>
          <w:lang w:val="en-GB" w:eastAsia="zh-CN"/>
        </w:rPr>
        <w:t xml:space="preserve"> denote excess market returns (</w:t>
      </w:r>
      <w:r w:rsidRPr="00CE0DE7">
        <w:rPr>
          <w:i/>
          <w:color w:val="000000"/>
          <w:sz w:val="20"/>
          <w:szCs w:val="20"/>
          <w:lang w:val="en-GB" w:eastAsia="zh-CN"/>
        </w:rPr>
        <w:t>VW</w:t>
      </w:r>
      <w:r w:rsidRPr="00CE0DE7">
        <w:rPr>
          <w:color w:val="000000"/>
          <w:sz w:val="20"/>
          <w:szCs w:val="20"/>
          <w:lang w:val="en-GB" w:eastAsia="zh-CN"/>
        </w:rPr>
        <w:t xml:space="preserve"> and </w:t>
      </w:r>
      <w:r w:rsidRPr="00CE0DE7">
        <w:rPr>
          <w:i/>
          <w:color w:val="000000"/>
          <w:sz w:val="20"/>
          <w:szCs w:val="20"/>
          <w:lang w:val="en-GB" w:eastAsia="zh-CN"/>
        </w:rPr>
        <w:t>INDEX</w:t>
      </w:r>
      <w:r w:rsidRPr="00CE0DE7">
        <w:rPr>
          <w:color w:val="000000"/>
          <w:sz w:val="20"/>
          <w:szCs w:val="20"/>
          <w:lang w:val="en-GB" w:eastAsia="zh-CN"/>
        </w:rPr>
        <w:t xml:space="preserve">) and the </w:t>
      </w:r>
      <w:r w:rsidR="004E36E8" w:rsidRPr="00CE0DE7">
        <w:rPr>
          <w:color w:val="000000"/>
          <w:sz w:val="20"/>
          <w:szCs w:val="20"/>
          <w:lang w:val="en-GB" w:eastAsia="zh-CN"/>
        </w:rPr>
        <w:t>VRP</w:t>
      </w:r>
      <w:r w:rsidRPr="00CE0DE7">
        <w:rPr>
          <w:color w:val="000000"/>
          <w:sz w:val="20"/>
          <w:szCs w:val="20"/>
          <w:lang w:val="en-GB" w:eastAsia="zh-CN"/>
        </w:rPr>
        <w:t xml:space="preserve"> (</w:t>
      </w:r>
      <w:r w:rsidRPr="00CE0DE7">
        <w:rPr>
          <w:i/>
          <w:iCs/>
          <w:color w:val="000000"/>
          <w:sz w:val="20"/>
          <w:szCs w:val="20"/>
          <w:lang w:val="en-GB" w:eastAsia="zh-CN"/>
        </w:rPr>
        <w:t>VRP</w:t>
      </w:r>
      <w:r w:rsidRPr="00CE0DE7">
        <w:rPr>
          <w:i/>
          <w:iCs/>
          <w:color w:val="000000"/>
          <w:sz w:val="20"/>
          <w:szCs w:val="20"/>
          <w:vertAlign w:val="superscript"/>
          <w:lang w:val="en-GB" w:eastAsia="zh-CN"/>
        </w:rPr>
        <w:t>BTZ</w:t>
      </w:r>
      <w:r w:rsidRPr="00CE0DE7">
        <w:rPr>
          <w:i/>
          <w:iCs/>
          <w:color w:val="000000"/>
          <w:sz w:val="20"/>
          <w:szCs w:val="20"/>
          <w:lang w:val="en-GB" w:eastAsia="zh-CN"/>
        </w:rPr>
        <w:t>, VRP</w:t>
      </w:r>
      <w:r w:rsidRPr="00CE0DE7">
        <w:rPr>
          <w:i/>
          <w:iCs/>
          <w:color w:val="000000"/>
          <w:sz w:val="20"/>
          <w:szCs w:val="20"/>
          <w:vertAlign w:val="superscript"/>
          <w:lang w:val="en-GB" w:eastAsia="zh-CN"/>
        </w:rPr>
        <w:t>CW</w:t>
      </w:r>
      <w:r w:rsidRPr="00CE0DE7">
        <w:rPr>
          <w:i/>
          <w:iCs/>
          <w:color w:val="000000"/>
          <w:sz w:val="20"/>
          <w:szCs w:val="20"/>
          <w:lang w:val="en-GB" w:eastAsia="zh-CN"/>
        </w:rPr>
        <w:t xml:space="preserve">, </w:t>
      </w:r>
      <w:r w:rsidRPr="00CE0DE7">
        <w:rPr>
          <w:iCs/>
          <w:color w:val="000000"/>
          <w:sz w:val="20"/>
          <w:szCs w:val="20"/>
          <w:lang w:val="en-GB" w:eastAsia="zh-CN"/>
        </w:rPr>
        <w:t>and</w:t>
      </w:r>
      <w:r w:rsidRPr="00CE0DE7">
        <w:rPr>
          <w:i/>
          <w:iCs/>
          <w:color w:val="000000"/>
          <w:sz w:val="20"/>
          <w:szCs w:val="20"/>
          <w:lang w:val="en-GB" w:eastAsia="zh-CN"/>
        </w:rPr>
        <w:t xml:space="preserve"> VRP</w:t>
      </w:r>
      <w:r w:rsidRPr="00CE0DE7">
        <w:rPr>
          <w:i/>
          <w:iCs/>
          <w:color w:val="000000"/>
          <w:sz w:val="20"/>
          <w:szCs w:val="20"/>
          <w:vertAlign w:val="superscript"/>
          <w:lang w:val="en-GB" w:eastAsia="zh-CN"/>
        </w:rPr>
        <w:t>DY</w:t>
      </w:r>
      <w:r w:rsidRPr="00CE0DE7">
        <w:rPr>
          <w:color w:val="000000"/>
          <w:sz w:val="20"/>
          <w:szCs w:val="20"/>
          <w:lang w:val="en-GB" w:eastAsia="zh-CN"/>
        </w:rPr>
        <w:t xml:space="preserve">), respectively, and the lag length of the VAR model, </w:t>
      </w:r>
      <w:r w:rsidRPr="00CE0DE7">
        <w:rPr>
          <w:i/>
          <w:color w:val="000000"/>
          <w:sz w:val="20"/>
          <w:szCs w:val="20"/>
          <w:lang w:val="en-GB" w:eastAsia="zh-CN"/>
        </w:rPr>
        <w:t>k</w:t>
      </w:r>
      <w:r w:rsidRPr="00CE0DE7">
        <w:rPr>
          <w:color w:val="000000"/>
          <w:sz w:val="20"/>
          <w:szCs w:val="20"/>
          <w:lang w:val="en-GB" w:eastAsia="zh-CN"/>
        </w:rPr>
        <w:t>, is chosen by optimizing the Akaike Information Criterion (AIC).</w:t>
      </w:r>
      <w:r w:rsidRPr="00440039">
        <w:rPr>
          <w:rStyle w:val="a9"/>
        </w:rPr>
        <w:footnoteReference w:id="6"/>
      </w:r>
      <w:r w:rsidRPr="00CE0DE7">
        <w:rPr>
          <w:color w:val="000000"/>
          <w:sz w:val="20"/>
          <w:szCs w:val="20"/>
          <w:lang w:val="en-GB" w:eastAsia="zh-CN"/>
        </w:rPr>
        <w:t xml:space="preserve"> Following Toda and </w:t>
      </w:r>
      <w:proofErr w:type="spellStart"/>
      <w:r w:rsidRPr="00CE0DE7">
        <w:rPr>
          <w:color w:val="000000"/>
          <w:sz w:val="20"/>
          <w:szCs w:val="20"/>
          <w:lang w:val="en-GB" w:eastAsia="zh-CN"/>
        </w:rPr>
        <w:t>Yamanoto</w:t>
      </w:r>
      <w:proofErr w:type="spellEnd"/>
      <w:r w:rsidRPr="00CE0DE7">
        <w:rPr>
          <w:color w:val="000000"/>
          <w:sz w:val="20"/>
          <w:szCs w:val="20"/>
          <w:lang w:val="en-GB" w:eastAsia="zh-CN"/>
        </w:rPr>
        <w:t xml:space="preserve"> </w:t>
      </w:r>
      <w:r w:rsidR="00293D1A" w:rsidRPr="00CE0DE7">
        <w:rPr>
          <w:color w:val="000000"/>
          <w:sz w:val="20"/>
          <w:szCs w:val="20"/>
          <w:lang w:val="en-GB" w:eastAsia="zh-CN"/>
        </w:rPr>
        <w:fldChar w:fldCharType="begin" w:fldLock="1"/>
      </w:r>
      <w:r w:rsidR="00293D1A" w:rsidRPr="00CE0DE7">
        <w:rPr>
          <w:color w:val="000000"/>
          <w:sz w:val="20"/>
          <w:szCs w:val="20"/>
          <w:lang w:val="en-GB" w:eastAsia="zh-CN"/>
        </w:rPr>
        <w:instrText>ADDIN CSL_CITATION {"citationItems":[{"id":"ITEM-1","itemData":{"ISSN":"03044076","abstract":"This paper shows how we can estimate VAR's formulated in levels and test general restrictions on the parameter matrices even if the processes may be integrated or cointegrated of an arbitrary order. We can apply a usual lag selection procedure to a possibly integrated or cointegrated VAR since the standard asymptotic theory is valid (as far as the order of integration of the process does not exceed the true lag length of the model). Having determined a lag length k, we then estimate a (k + dmax)th-order VAR where dmax is the maximal order of integration that we suspect might occur in the process. The coefficient matrices of the last dmax lagged vectors in the model are ignored (since these are regarded as zeros), and we can test linear or nonlinear restrictions on the first k coefficient matrices using the standard asymptotic theory. © 1995.","author":[{"dropping-particle":"","family":"Toda","given":"Hiro Y.","non-dropping-particle":"","parse-names":false,"suffix":""},{"dropping-particle":"","family":"Yamamoto","given":"Taku","non-dropping-particle":"","parse-names":false,"suffix":""}],"container-title":"Journal of Econometrics","id":"ITEM-1","issue":"1-2","issued":{"date-parts":[["1995","3","1"]]},"page":"225-250","publisher":"North-Holland","title":"Statistical inference in vector autoregressions with possibly integrated processes","type":"article-journal","volume":"66"},"suppress-author":1,"uris":["http://www.mendeley.com/documents/?uuid=78157296-e08b-3da5-9466-5fcaebe639ff"]}],"mendeley":{"formattedCitation":"(1995)","plainTextFormattedCitation":"(1995)","previouslyFormattedCitation":"(1995)"},"properties":{"noteIndex":0},"schema":"https://github.com/citation-style-language/schema/raw/master/csl-citation.json"}</w:instrText>
      </w:r>
      <w:r w:rsidR="00293D1A" w:rsidRPr="00CE0DE7">
        <w:rPr>
          <w:color w:val="000000"/>
          <w:sz w:val="20"/>
          <w:szCs w:val="20"/>
          <w:lang w:val="en-GB" w:eastAsia="zh-CN"/>
        </w:rPr>
        <w:fldChar w:fldCharType="separate"/>
      </w:r>
      <w:r w:rsidR="00293D1A" w:rsidRPr="00CE0DE7">
        <w:rPr>
          <w:noProof/>
          <w:color w:val="000000"/>
          <w:sz w:val="20"/>
          <w:szCs w:val="20"/>
          <w:lang w:val="en-GB" w:eastAsia="zh-CN"/>
        </w:rPr>
        <w:t>(1995)</w:t>
      </w:r>
      <w:r w:rsidR="00293D1A" w:rsidRPr="00CE0DE7">
        <w:rPr>
          <w:color w:val="000000"/>
          <w:sz w:val="20"/>
          <w:szCs w:val="20"/>
          <w:lang w:val="en-GB" w:eastAsia="zh-CN"/>
        </w:rPr>
        <w:fldChar w:fldCharType="end"/>
      </w:r>
      <w:r w:rsidRPr="00CE0DE7">
        <w:rPr>
          <w:color w:val="000000"/>
          <w:sz w:val="20"/>
          <w:szCs w:val="20"/>
          <w:lang w:val="en-GB" w:eastAsia="zh-CN"/>
        </w:rPr>
        <w:t xml:space="preserve">, we augment the correct VAR order, </w:t>
      </w:r>
      <w:r w:rsidRPr="00CE0DE7">
        <w:rPr>
          <w:i/>
          <w:color w:val="000000"/>
          <w:sz w:val="20"/>
          <w:szCs w:val="20"/>
          <w:lang w:val="en-GB" w:eastAsia="zh-CN"/>
        </w:rPr>
        <w:t>k</w:t>
      </w:r>
      <w:r w:rsidRPr="00CE0DE7">
        <w:rPr>
          <w:color w:val="000000"/>
          <w:sz w:val="20"/>
          <w:szCs w:val="20"/>
          <w:lang w:val="en-GB" w:eastAsia="zh-CN"/>
        </w:rPr>
        <w:t xml:space="preserve">, by the maximal order of integration, </w:t>
      </w:r>
      <w:proofErr w:type="spellStart"/>
      <w:r w:rsidRPr="00CE0DE7">
        <w:rPr>
          <w:i/>
          <w:color w:val="000000"/>
          <w:sz w:val="20"/>
          <w:szCs w:val="20"/>
          <w:lang w:val="en-GB" w:eastAsia="zh-CN"/>
        </w:rPr>
        <w:t>d</w:t>
      </w:r>
      <w:r w:rsidRPr="00CE0DE7">
        <w:rPr>
          <w:color w:val="000000"/>
          <w:sz w:val="20"/>
          <w:szCs w:val="20"/>
          <w:vertAlign w:val="subscript"/>
          <w:lang w:val="en-GB" w:eastAsia="zh-CN"/>
        </w:rPr>
        <w:t>max</w:t>
      </w:r>
      <w:proofErr w:type="spellEnd"/>
      <w:r w:rsidRPr="00CE0DE7">
        <w:rPr>
          <w:color w:val="000000"/>
          <w:sz w:val="20"/>
          <w:szCs w:val="20"/>
          <w:lang w:val="en-GB" w:eastAsia="zh-CN"/>
        </w:rPr>
        <w:t>. The (</w:t>
      </w:r>
      <w:r w:rsidRPr="00CE0DE7">
        <w:rPr>
          <w:i/>
          <w:color w:val="000000"/>
          <w:sz w:val="20"/>
          <w:szCs w:val="20"/>
          <w:lang w:val="en-GB" w:eastAsia="zh-CN"/>
        </w:rPr>
        <w:t xml:space="preserve">k </w:t>
      </w:r>
      <w:r w:rsidRPr="00CE0DE7">
        <w:rPr>
          <w:color w:val="000000"/>
          <w:sz w:val="20"/>
          <w:szCs w:val="20"/>
          <w:lang w:val="en-GB" w:eastAsia="zh-CN"/>
        </w:rPr>
        <w:t xml:space="preserve">+ </w:t>
      </w:r>
      <w:proofErr w:type="spellStart"/>
      <w:r w:rsidRPr="00CE0DE7">
        <w:rPr>
          <w:i/>
          <w:color w:val="000000"/>
          <w:sz w:val="20"/>
          <w:szCs w:val="20"/>
          <w:lang w:val="en-GB" w:eastAsia="zh-CN"/>
        </w:rPr>
        <w:t>d</w:t>
      </w:r>
      <w:r w:rsidRPr="00CE0DE7">
        <w:rPr>
          <w:color w:val="000000"/>
          <w:sz w:val="20"/>
          <w:szCs w:val="20"/>
          <w:vertAlign w:val="subscript"/>
          <w:lang w:val="en-GB" w:eastAsia="zh-CN"/>
        </w:rPr>
        <w:t>max</w:t>
      </w:r>
      <w:proofErr w:type="spellEnd"/>
      <w:r w:rsidRPr="00CE0DE7">
        <w:rPr>
          <w:color w:val="000000"/>
          <w:sz w:val="20"/>
          <w:szCs w:val="20"/>
          <w:lang w:val="en-GB" w:eastAsia="zh-CN"/>
        </w:rPr>
        <w:t>)-</w:t>
      </w:r>
      <w:proofErr w:type="spellStart"/>
      <w:r w:rsidRPr="00CE0DE7">
        <w:rPr>
          <w:i/>
          <w:color w:val="000000"/>
          <w:sz w:val="20"/>
          <w:szCs w:val="20"/>
          <w:lang w:val="en-GB" w:eastAsia="zh-CN"/>
        </w:rPr>
        <w:t>th</w:t>
      </w:r>
      <w:proofErr w:type="spellEnd"/>
      <w:r w:rsidRPr="00CE0DE7">
        <w:rPr>
          <w:color w:val="000000"/>
          <w:sz w:val="20"/>
          <w:szCs w:val="20"/>
          <w:lang w:val="en-GB" w:eastAsia="zh-CN"/>
        </w:rPr>
        <w:t xml:space="preserve"> order of the VAR is then estimated and the Wald statistic for the null hypothesis of non-causality is obtained by imposing zero restriction on the first </w:t>
      </w:r>
      <w:r w:rsidRPr="00CE0DE7">
        <w:rPr>
          <w:i/>
          <w:color w:val="000000"/>
          <w:sz w:val="20"/>
          <w:szCs w:val="20"/>
          <w:lang w:val="en-GB" w:eastAsia="zh-CN"/>
        </w:rPr>
        <w:t>p</w:t>
      </w:r>
      <w:r w:rsidRPr="00CE0DE7">
        <w:rPr>
          <w:color w:val="000000"/>
          <w:sz w:val="20"/>
          <w:szCs w:val="20"/>
          <w:lang w:val="en-GB" w:eastAsia="zh-CN"/>
        </w:rPr>
        <w:t xml:space="preserve"> lags </w:t>
      </w:r>
      <w:r w:rsidR="00293D1A" w:rsidRPr="00CE0DE7">
        <w:rPr>
          <w:color w:val="000000"/>
          <w:sz w:val="20"/>
          <w:szCs w:val="20"/>
          <w:lang w:val="en-GB" w:eastAsia="zh-CN"/>
        </w:rPr>
        <w:fldChar w:fldCharType="begin" w:fldLock="1"/>
      </w:r>
      <w:r w:rsidR="00293D1A" w:rsidRPr="00CE0DE7">
        <w:rPr>
          <w:color w:val="000000"/>
          <w:sz w:val="20"/>
          <w:szCs w:val="20"/>
          <w:lang w:val="en-GB" w:eastAsia="zh-CN"/>
        </w:rPr>
        <w:instrText>ADDIN CSL_CITATION {"citationItems":[{"id":"ITEM-1","itemData":{"ISSN":"03059049","abstract":"The small sample performance of Granger causality tests under different model dimensions, degree of cointegration, direction of causality, and system stability are presented. Two tests based on maximum likelihood estimation of error-correction models (LR and WALD) are compared to a Wald test based on multivariate least squares estimation of a modified VAR (MWALD). In large samples all test statistics perform well in terms of size and power. For smaller samples, the LR and WALD tests perform better than the MWALD test. Overall, the LR test outperforms the other two in terms of size and power in small samples. © Blackwell Publishers 1997.","author":[{"dropping-particle":"","family":"Zapata","given":"Hector O.","non-dropping-particle":"","parse-names":false,"suffix":""},{"dropping-particle":"","family":"Rambaldi","given":"Alicia N.","non-dropping-particle":"","parse-names":false,"suffix":""}],"container-title":"Oxford Bulletin of Economics and Statistics","id":"ITEM-1","issue":"2","issued":{"date-parts":[["1997"]]},"page":"285-298","publisher":"Blackwell Publishing Ltd","title":"Monte carlo evidence on cointegration and causation","type":"article-journal","volume":"59"},"uris":["http://www.mendeley.com/documents/?uuid=073d71e5-c230-3c71-b2f8-86a198a8b6a4"]}],"mendeley":{"formattedCitation":"(Zapata and Rambaldi 1997)","plainTextFormattedCitation":"(Zapata and Rambaldi 1997)","previouslyFormattedCitation":"(Zapata and Rambaldi 1997)"},"properties":{"noteIndex":0},"schema":"https://github.com/citation-style-language/schema/raw/master/csl-citation.json"}</w:instrText>
      </w:r>
      <w:r w:rsidR="00293D1A" w:rsidRPr="00CE0DE7">
        <w:rPr>
          <w:color w:val="000000"/>
          <w:sz w:val="20"/>
          <w:szCs w:val="20"/>
          <w:lang w:val="en-GB" w:eastAsia="zh-CN"/>
        </w:rPr>
        <w:fldChar w:fldCharType="separate"/>
      </w:r>
      <w:r w:rsidR="00293D1A" w:rsidRPr="00CE0DE7">
        <w:rPr>
          <w:noProof/>
          <w:color w:val="000000"/>
          <w:sz w:val="20"/>
          <w:szCs w:val="20"/>
          <w:lang w:val="en-GB" w:eastAsia="zh-CN"/>
        </w:rPr>
        <w:t>(Zapata and Rambaldi 1997)</w:t>
      </w:r>
      <w:r w:rsidR="00293D1A" w:rsidRPr="00CE0DE7">
        <w:rPr>
          <w:color w:val="000000"/>
          <w:sz w:val="20"/>
          <w:szCs w:val="20"/>
          <w:lang w:val="en-GB" w:eastAsia="zh-CN"/>
        </w:rPr>
        <w:fldChar w:fldCharType="end"/>
      </w:r>
      <w:r w:rsidRPr="00CE0DE7">
        <w:rPr>
          <w:color w:val="000000"/>
          <w:sz w:val="20"/>
          <w:szCs w:val="20"/>
          <w:lang w:val="en-GB" w:eastAsia="zh-CN"/>
        </w:rPr>
        <w:t xml:space="preserve">. Consequently, the seemingly unrelated regression (SUR) is adopted to estimate the resulting system to </w:t>
      </w:r>
      <w:r w:rsidR="004E36E8" w:rsidRPr="00CE0DE7">
        <w:rPr>
          <w:color w:val="000000"/>
          <w:sz w:val="20"/>
          <w:szCs w:val="20"/>
          <w:lang w:val="en-GB" w:eastAsia="zh-CN"/>
        </w:rPr>
        <w:t>ensure</w:t>
      </w:r>
      <w:r w:rsidRPr="00CE0DE7">
        <w:rPr>
          <w:color w:val="000000"/>
          <w:sz w:val="20"/>
          <w:szCs w:val="20"/>
          <w:lang w:val="en-GB" w:eastAsia="zh-CN"/>
        </w:rPr>
        <w:t xml:space="preserve"> efficiency </w:t>
      </w:r>
      <w:r w:rsidR="00293D1A" w:rsidRPr="00CE0DE7">
        <w:rPr>
          <w:color w:val="000000"/>
          <w:sz w:val="20"/>
          <w:szCs w:val="20"/>
          <w:lang w:val="en-GB" w:eastAsia="zh-CN"/>
        </w:rPr>
        <w:fldChar w:fldCharType="begin" w:fldLock="1"/>
      </w:r>
      <w:r w:rsidR="00A80D9D">
        <w:rPr>
          <w:color w:val="000000"/>
          <w:sz w:val="20"/>
          <w:szCs w:val="20"/>
          <w:lang w:val="en-GB" w:eastAsia="zh-CN"/>
        </w:rPr>
        <w:instrText>ADDIN CSL_CITATION {"citationItems":[{"id":"ITEM-1","itemData":{"ISSN":"03784266","abstract":"Results of research on whether changes in earnings can predict future stock returns are inconclusive. We add to this debate by using long-term data from 1871 to 2004 to examine the predictive power of changes in earnings in periods of intrinsic bubbles and in periods absent intrinsic bubbles. Our results show that accounting for bubbles is important in whether changes in earnings can predict future stock returns. In periods of no bubble, we find that changes in earnings Granger-cause future returns, whereas in periods of bubble, this Granger causality from changes in earnings to future returns cannot be found. We conclude that changes in earnings can predict future stock returns, but only in periods absent bubbles. © 2009 Elsevier B.V. All rights reserved.","author":[{"dropping-particle":"","family":"Chen","given":"An Sing","non-dropping-particle":"","parse-names":false,"suffix":""},{"dropping-particle":"","family":"Cheng","given":"Lee Young","non-dropping-particle":"","parse-names":false,"suffix":""},{"dropping-particle":"","family":"Cheng","given":"Kuang Fu","non-dropping-particle":"","parse-names":false,"suffix":""}],"container-title":"Journal of Banking and Finance","id":"ITEM-1","issue":"12","issued":{"date-parts":[["2009","12","1"]]},"page":"2275-2281","publisher":"North-Holland","title":"Intrinsic bubbles and granger causality in the S&amp;P 500: Evidence from long-term data","type":"article-journal","volume":"33"},"uris":["http://www.mendeley.com/documents/?uuid=7a02c51f-eef9-3338-b616-56edf97d8106"]}],"mendeley":{"formattedCitation":"(Chen et al. 2009)","plainTextFormattedCitation":"(Chen et al. 2009)","previouslyFormattedCitation":"(Chen et al. 2009)"},"properties":{"noteIndex":0},"schema":"https://github.com/citation-style-language/schema/raw/master/csl-citation.json"}</w:instrText>
      </w:r>
      <w:r w:rsidR="00293D1A" w:rsidRPr="00CE0DE7">
        <w:rPr>
          <w:color w:val="000000"/>
          <w:sz w:val="20"/>
          <w:szCs w:val="20"/>
          <w:lang w:val="en-GB" w:eastAsia="zh-CN"/>
        </w:rPr>
        <w:fldChar w:fldCharType="separate"/>
      </w:r>
      <w:r w:rsidR="00293D1A" w:rsidRPr="00CE0DE7">
        <w:rPr>
          <w:noProof/>
          <w:color w:val="000000"/>
          <w:sz w:val="20"/>
          <w:szCs w:val="20"/>
          <w:lang w:val="en-GB" w:eastAsia="zh-CN"/>
        </w:rPr>
        <w:t>(Chen et al. 2009)</w:t>
      </w:r>
      <w:r w:rsidR="00293D1A" w:rsidRPr="00CE0DE7">
        <w:rPr>
          <w:color w:val="000000"/>
          <w:sz w:val="20"/>
          <w:szCs w:val="20"/>
          <w:lang w:val="en-GB" w:eastAsia="zh-CN"/>
        </w:rPr>
        <w:fldChar w:fldCharType="end"/>
      </w:r>
      <w:r w:rsidRPr="00CE0DE7">
        <w:rPr>
          <w:color w:val="000000"/>
          <w:sz w:val="20"/>
          <w:szCs w:val="20"/>
          <w:lang w:val="en-GB" w:eastAsia="zh-CN"/>
        </w:rPr>
        <w:t xml:space="preserve">. In other words, the Toda-Yamamoto Granger non-causality test is employed to ensure that the test statistic for Granger causality has standard asymptotic distribution for valid </w:t>
      </w:r>
      <w:r w:rsidR="004E36E8" w:rsidRPr="00CE0DE7">
        <w:rPr>
          <w:color w:val="000000"/>
          <w:sz w:val="20"/>
          <w:szCs w:val="20"/>
          <w:lang w:val="en-GB" w:eastAsia="zh-CN"/>
        </w:rPr>
        <w:t xml:space="preserve">statistical </w:t>
      </w:r>
      <w:r w:rsidRPr="00CE0DE7">
        <w:rPr>
          <w:color w:val="000000"/>
          <w:sz w:val="20"/>
          <w:szCs w:val="20"/>
          <w:lang w:val="en-GB" w:eastAsia="zh-CN"/>
        </w:rPr>
        <w:t>inference</w:t>
      </w:r>
      <w:r w:rsidR="004E36E8" w:rsidRPr="00CE0DE7">
        <w:rPr>
          <w:color w:val="000000"/>
          <w:sz w:val="20"/>
          <w:szCs w:val="20"/>
          <w:lang w:val="en-GB" w:eastAsia="zh-CN"/>
        </w:rPr>
        <w:t>s</w:t>
      </w:r>
      <w:r w:rsidRPr="00CE0DE7">
        <w:rPr>
          <w:color w:val="000000"/>
          <w:sz w:val="20"/>
          <w:szCs w:val="20"/>
          <w:lang w:val="en-GB" w:eastAsia="zh-CN"/>
        </w:rPr>
        <w:t xml:space="preserve">. </w:t>
      </w:r>
    </w:p>
    <w:p w14:paraId="29D3BEA4" w14:textId="712115C2" w:rsidR="00431757" w:rsidRPr="00CE0DE7" w:rsidRDefault="00F71EDB" w:rsidP="00BD081C">
      <w:pPr>
        <w:autoSpaceDE w:val="0"/>
        <w:autoSpaceDN w:val="0"/>
        <w:adjustRightInd w:val="0"/>
        <w:snapToGrid w:val="0"/>
        <w:spacing w:line="480" w:lineRule="auto"/>
        <w:ind w:firstLine="425"/>
        <w:jc w:val="both"/>
        <w:rPr>
          <w:sz w:val="20"/>
          <w:szCs w:val="20"/>
          <w:lang w:val="en-GB" w:eastAsia="zh-CN"/>
        </w:rPr>
      </w:pPr>
      <w:r w:rsidRPr="00CE0DE7">
        <w:rPr>
          <w:color w:val="000000"/>
          <w:sz w:val="20"/>
          <w:szCs w:val="20"/>
          <w:lang w:val="en-GB" w:eastAsia="zh-CN"/>
        </w:rPr>
        <w:lastRenderedPageBreak/>
        <w:t xml:space="preserve">Tables 3 and 4 report the </w:t>
      </w:r>
      <w:r w:rsidRPr="00CE0DE7">
        <w:rPr>
          <w:i/>
          <w:color w:val="000000"/>
          <w:sz w:val="20"/>
          <w:szCs w:val="20"/>
          <w:lang w:val="en-GB" w:eastAsia="zh-CN"/>
        </w:rPr>
        <w:t>p</w:t>
      </w:r>
      <w:r w:rsidRPr="00CE0DE7">
        <w:rPr>
          <w:color w:val="000000"/>
          <w:sz w:val="20"/>
          <w:szCs w:val="20"/>
          <w:lang w:val="en-GB" w:eastAsia="zh-CN"/>
        </w:rPr>
        <w:t>-value of chi-square statistics for the Toda-Yamamoto Granger non-causality tests based on the tri-variate VAR models over the full sample without and with control variables, respectively.</w:t>
      </w:r>
      <w:r w:rsidR="004E36E8" w:rsidRPr="00CE0DE7">
        <w:rPr>
          <w:color w:val="000000"/>
          <w:sz w:val="20"/>
          <w:szCs w:val="20"/>
          <w:lang w:val="en-GB" w:eastAsia="zh-CN"/>
        </w:rPr>
        <w:t xml:space="preserve"> </w:t>
      </w:r>
      <w:r w:rsidR="00431757" w:rsidRPr="00CE0DE7">
        <w:rPr>
          <w:color w:val="000000"/>
          <w:sz w:val="20"/>
          <w:szCs w:val="20"/>
          <w:lang w:val="en-GB" w:eastAsia="zh-CN"/>
        </w:rPr>
        <w:t>For the Granger-causality relationship between the VRP and stock market returns, there is compelling evidence</w:t>
      </w:r>
      <w:r w:rsidR="004E36E8" w:rsidRPr="00CE0DE7">
        <w:rPr>
          <w:color w:val="000000"/>
          <w:sz w:val="20"/>
          <w:szCs w:val="20"/>
          <w:lang w:val="en-GB" w:eastAsia="zh-CN"/>
        </w:rPr>
        <w:t xml:space="preserve"> in Table 3</w:t>
      </w:r>
      <w:r w:rsidR="00431757" w:rsidRPr="00CE0DE7">
        <w:rPr>
          <w:color w:val="000000"/>
          <w:sz w:val="20"/>
          <w:szCs w:val="20"/>
          <w:lang w:val="en-GB" w:eastAsia="zh-CN"/>
        </w:rPr>
        <w:t xml:space="preserve"> that the VRP Granger-causes stock market returns, as the likelihood ratio statistics are </w:t>
      </w:r>
      <w:r w:rsidR="004E36E8" w:rsidRPr="00CE0DE7">
        <w:rPr>
          <w:color w:val="000000"/>
          <w:sz w:val="20"/>
          <w:szCs w:val="20"/>
          <w:lang w:val="en-GB" w:eastAsia="zh-CN"/>
        </w:rPr>
        <w:t xml:space="preserve">consistently </w:t>
      </w:r>
      <w:r w:rsidR="00431757" w:rsidRPr="00CE0DE7">
        <w:rPr>
          <w:color w:val="000000"/>
          <w:sz w:val="20"/>
          <w:szCs w:val="20"/>
          <w:lang w:val="en-GB" w:eastAsia="zh-CN"/>
        </w:rPr>
        <w:t xml:space="preserve">significant at the 1% level. Nevertheless, we cannot reject the null hypothesis that stock returns do not Granger-cause the VRP. These results imply that the VRP drives stock market returns but not the other way round. With respect to the causal relationship between illiquidity and returns, there is insufficient evidence that illiquidity impacts on future stock returns. However, results indicate that illiquidity, both for the aggregate market and S&amp;P 500 index portfolios, is significantly Granger-caused by stock returns at the 1% level. Therefore, there exists </w:t>
      </w:r>
      <w:proofErr w:type="spellStart"/>
      <w:r w:rsidR="00431757" w:rsidRPr="00CE0DE7">
        <w:rPr>
          <w:color w:val="000000"/>
          <w:sz w:val="20"/>
          <w:szCs w:val="20"/>
          <w:lang w:val="en-GB" w:eastAsia="zh-CN"/>
        </w:rPr>
        <w:t>uni</w:t>
      </w:r>
      <w:proofErr w:type="spellEnd"/>
      <w:r w:rsidR="00431757" w:rsidRPr="00CE0DE7">
        <w:rPr>
          <w:color w:val="000000"/>
          <w:sz w:val="20"/>
          <w:szCs w:val="20"/>
          <w:lang w:val="en-GB" w:eastAsia="zh-CN"/>
        </w:rPr>
        <w:t xml:space="preserve">-directional causality from returns to illiquidity, which is in line with the finding of </w:t>
      </w:r>
      <w:r w:rsidR="00431757" w:rsidRPr="00CE0DE7">
        <w:rPr>
          <w:noProof/>
          <w:sz w:val="20"/>
          <w:szCs w:val="20"/>
          <w:lang w:val="en-GB" w:eastAsia="zh-CN"/>
        </w:rPr>
        <w:t xml:space="preserve">Chordia et al. </w:t>
      </w:r>
      <w:r w:rsidR="00293D1A" w:rsidRPr="00CE0DE7">
        <w:rPr>
          <w:noProof/>
          <w:sz w:val="20"/>
          <w:szCs w:val="20"/>
          <w:lang w:val="en-GB" w:eastAsia="zh-CN"/>
        </w:rPr>
        <w:fldChar w:fldCharType="begin" w:fldLock="1"/>
      </w:r>
      <w:r w:rsidR="00E67DF0" w:rsidRPr="00CE0DE7">
        <w:rPr>
          <w:noProof/>
          <w:sz w:val="20"/>
          <w:szCs w:val="20"/>
          <w:lang w:val="en-GB" w:eastAsia="zh-CN"/>
        </w:rPr>
        <w:instrText>ADDIN CSL_CITATION {"citationItems":[{"id":"ITEM-1","itemData":{"ISSN":"0304405X","abstract":"Traditionally, volume has provided the link between trading activity and returns. We focus on a hitherto unexplored but intuitive measure of trading activity: the aggregate daily order imbalance, buy orders less sell orders, on the New York Stock Exchange. Order imbalance increases following market declines and vice versa, which reveals that investors are contrarians on aggregate. Order imbalances in either direction, excess buy or sell orders, reduce liquidity. Market-wide returns are strongly affected by contemporaneous and lagged order imbalances. Market returns reverse themselves after high-negative-imbalance, large-negative-return days. Even after controlling for aggregate volume and liquidity, market returns are affected by order imbalance. © 2002 Published by Elsevier Science B.V.","author":[{"dropping-particle":"","family":"Chordia","given":"Tarun","non-dropping-particle":"","parse-names":false,"suffix":""},{"dropping-particle":"","family":"Roll","given":"Richard","non-dropping-particle":"","parse-names":false,"suffix":""},{"dropping-particle":"","family":"Subrahmanyam","given":"Avanidhar","non-dropping-particle":"","parse-names":false,"suffix":""}],"container-title":"Journal of Financial Economics","id":"ITEM-1","issue":"1","issued":{"date-parts":[["2002","7","1"]]},"page":"111-130","publisher":"North-Holland","title":"Order imbalance, liquidity, and market returns","type":"article-journal","volume":"65"},"suppress-author":1,"uris":["http://www.mendeley.com/documents/?uuid=6c5df18d-c7f7-39eb-9d91-469e24fc045f"]}],"mendeley":{"formattedCitation":"(2002)","plainTextFormattedCitation":"(2002)","previouslyFormattedCitation":"(2002)"},"properties":{"noteIndex":0},"schema":"https://github.com/citation-style-language/schema/raw/master/csl-citation.json"}</w:instrText>
      </w:r>
      <w:r w:rsidR="00293D1A" w:rsidRPr="00CE0DE7">
        <w:rPr>
          <w:noProof/>
          <w:sz w:val="20"/>
          <w:szCs w:val="20"/>
          <w:lang w:val="en-GB" w:eastAsia="zh-CN"/>
        </w:rPr>
        <w:fldChar w:fldCharType="separate"/>
      </w:r>
      <w:r w:rsidR="00293D1A" w:rsidRPr="00CE0DE7">
        <w:rPr>
          <w:noProof/>
          <w:sz w:val="20"/>
          <w:szCs w:val="20"/>
          <w:lang w:val="en-GB" w:eastAsia="zh-CN"/>
        </w:rPr>
        <w:t>(2002)</w:t>
      </w:r>
      <w:r w:rsidR="00293D1A" w:rsidRPr="00CE0DE7">
        <w:rPr>
          <w:noProof/>
          <w:sz w:val="20"/>
          <w:szCs w:val="20"/>
          <w:lang w:val="en-GB" w:eastAsia="zh-CN"/>
        </w:rPr>
        <w:fldChar w:fldCharType="end"/>
      </w:r>
      <w:r w:rsidR="00431757" w:rsidRPr="00CE0DE7">
        <w:rPr>
          <w:sz w:val="20"/>
          <w:szCs w:val="20"/>
          <w:lang w:val="en-GB" w:eastAsia="zh-CN"/>
        </w:rPr>
        <w:t xml:space="preserve">. </w:t>
      </w:r>
    </w:p>
    <w:p w14:paraId="57E78346" w14:textId="28AB56AB" w:rsidR="00F71EDB" w:rsidRPr="00CE0DE7" w:rsidRDefault="00F71EDB" w:rsidP="008276B8">
      <w:pPr>
        <w:autoSpaceDE w:val="0"/>
        <w:autoSpaceDN w:val="0"/>
        <w:adjustRightInd w:val="0"/>
        <w:snapToGrid w:val="0"/>
        <w:spacing w:before="240" w:after="240" w:line="480" w:lineRule="auto"/>
        <w:jc w:val="center"/>
        <w:rPr>
          <w:color w:val="000000"/>
          <w:sz w:val="20"/>
          <w:szCs w:val="20"/>
          <w:lang w:val="en-GB" w:eastAsia="zh-CN"/>
        </w:rPr>
      </w:pPr>
      <w:r w:rsidRPr="00CE0DE7">
        <w:rPr>
          <w:color w:val="000000"/>
          <w:sz w:val="20"/>
          <w:szCs w:val="20"/>
          <w:lang w:val="en-GB" w:eastAsia="zh-CN"/>
        </w:rPr>
        <w:t>[Insert Table 3 around here]</w:t>
      </w:r>
    </w:p>
    <w:p w14:paraId="131BF039" w14:textId="56113CC6" w:rsidR="008579EC" w:rsidRPr="00CE0DE7" w:rsidRDefault="008579EC" w:rsidP="00BD081C">
      <w:pPr>
        <w:autoSpaceDE w:val="0"/>
        <w:autoSpaceDN w:val="0"/>
        <w:adjustRightInd w:val="0"/>
        <w:snapToGrid w:val="0"/>
        <w:spacing w:line="480" w:lineRule="auto"/>
        <w:ind w:firstLine="425"/>
        <w:jc w:val="both"/>
        <w:rPr>
          <w:color w:val="000000"/>
          <w:sz w:val="20"/>
          <w:szCs w:val="20"/>
          <w:lang w:val="en-GB" w:eastAsia="zh-CN"/>
        </w:rPr>
      </w:pPr>
      <w:r w:rsidRPr="00CE0DE7">
        <w:rPr>
          <w:sz w:val="20"/>
          <w:szCs w:val="20"/>
          <w:lang w:val="en-GB" w:eastAsia="zh-CN"/>
        </w:rPr>
        <w:t>If variation</w:t>
      </w:r>
      <w:r w:rsidR="004E36E8" w:rsidRPr="00CE0DE7">
        <w:rPr>
          <w:sz w:val="20"/>
          <w:szCs w:val="20"/>
          <w:lang w:val="en-GB" w:eastAsia="zh-CN"/>
        </w:rPr>
        <w:t>s</w:t>
      </w:r>
      <w:r w:rsidRPr="00CE0DE7">
        <w:rPr>
          <w:sz w:val="20"/>
          <w:szCs w:val="20"/>
          <w:lang w:val="en-GB" w:eastAsia="zh-CN"/>
        </w:rPr>
        <w:t xml:space="preserve"> in the VRP lead to changes in returns and, in turn, to movements in market liquidity</w:t>
      </w:r>
      <w:r w:rsidRPr="00CE0DE7">
        <w:rPr>
          <w:color w:val="000000"/>
          <w:sz w:val="20"/>
          <w:szCs w:val="20"/>
          <w:lang w:val="en-GB" w:eastAsia="zh-CN"/>
        </w:rPr>
        <w:t xml:space="preserve">, we expect to find evidence of impact from the VRP on stock liquidity. In particular, prior studies indicate that </w:t>
      </w:r>
      <w:r w:rsidR="00FA6901" w:rsidRPr="00CE0DE7">
        <w:rPr>
          <w:color w:val="000000"/>
          <w:sz w:val="20"/>
          <w:szCs w:val="20"/>
          <w:lang w:val="en-GB" w:eastAsia="zh-CN"/>
        </w:rPr>
        <w:t xml:space="preserve">both </w:t>
      </w:r>
      <w:r w:rsidRPr="00CE0DE7">
        <w:rPr>
          <w:color w:val="000000"/>
          <w:sz w:val="20"/>
          <w:szCs w:val="20"/>
          <w:lang w:val="en-GB" w:eastAsia="zh-CN"/>
        </w:rPr>
        <w:t xml:space="preserve">investor risk aversion and economic uncertainty </w:t>
      </w:r>
      <w:r w:rsidR="004E36E8" w:rsidRPr="00CE0DE7">
        <w:rPr>
          <w:color w:val="000000"/>
          <w:sz w:val="20"/>
          <w:szCs w:val="20"/>
          <w:lang w:val="en-GB" w:eastAsia="zh-CN"/>
        </w:rPr>
        <w:t>influence</w:t>
      </w:r>
      <w:r w:rsidRPr="00CE0DE7">
        <w:rPr>
          <w:color w:val="000000"/>
          <w:sz w:val="20"/>
          <w:szCs w:val="20"/>
          <w:lang w:val="en-GB" w:eastAsia="zh-CN"/>
        </w:rPr>
        <w:t xml:space="preserve"> stock market liquidity </w:t>
      </w:r>
      <w:r w:rsidR="00293D1A" w:rsidRPr="00CE0DE7">
        <w:rPr>
          <w:color w:val="000000"/>
          <w:sz w:val="20"/>
          <w:szCs w:val="20"/>
          <w:lang w:val="en-GB" w:eastAsia="zh-CN"/>
        </w:rPr>
        <w:fldChar w:fldCharType="begin" w:fldLock="1"/>
      </w:r>
      <w:r w:rsidR="00E67DF0" w:rsidRPr="00CE0DE7">
        <w:rPr>
          <w:color w:val="000000"/>
          <w:sz w:val="20"/>
          <w:szCs w:val="20"/>
          <w:lang w:val="en-GB" w:eastAsia="zh-CN"/>
        </w:rPr>
        <w:instrText>ADDIN CSL_CITATION {"citationItems":[{"id":"ITEM-1","itemData":{"ISSN":"0893-9454","abstract":"We analyze how asymmetric information and imperfect competition affect liquidity and asset prices. Our model has three periods: Agents are identical in the first, become heterogeneous and trade in the second, and consume asset payoffs in the third. We show that asymmetric information in the second period raises ex ante expected asset returns in the first, comparing both to the case where all private signals are made public and to that where private signals are not observed. Imperfect competition can instead lower expected returns. Each imperfection can move common measures of illiquidity in opposite directions. © The Author 2011. Published by Oxford University Press on behalf of The Society for Financial Studies. All rights reserved.","author":[{"dropping-particle":"","family":"Vayanos","given":"Dimitri","non-dropping-particle":"","parse-names":false,"suffix":""},{"dropping-particle":"","family":"Wang","given":"Jiang","non-dropping-particle":"","parse-names":false,"suffix":""}],"container-title":"Review of Financial Studies","id":"ITEM-1","issue":"5","issued":{"date-parts":[["2012","5","1"]]},"page":"1339-1365","publisher":"Oxford Academic","title":"Liquidity and asset returns Under asymmetric information and imperfect competition","type":"article-journal","volume":"25"},"uris":["http://www.mendeley.com/documents/?uuid=c06d6347-7e54-384c-b984-98dfe90a35ed"]},{"id":"ITEM-2","itemData":{"ISSN":"0304405X","abstract":"In this study we show that market uncertainty [measured by the Chicago Board Options Exchange Market Volatility Index (VIX)] exerts a large market-wide impact on liquidity, which gives rise to co-movements in individual asset liquidity. The effect of VIX on stock liquidity is greater than the combined effects of all other common determinants of stock liquidity. We show that the uncertainty elasticity of liquidity (UEL: percent change in liquidity given a 1% change in VIX) has increased around regulatory changes in the US markets that increased the role of public traders in liquidity provision, reduced the minimum allowable price variation, weakened the affirmative obligation of NASDAQ dealers, and abolished the specialist system on the NYSE. © 2014 Elsevier B.V.","author":[{"dropping-particle":"","family":"Chung","given":"Kee H.","non-dropping-particle":"","parse-names":false,"suffix":""},{"dropping-particle":"","family":"Chuwonganant","given":"Chairat","non-dropping-particle":"","parse-names":false,"suffix":""}],"container-title":"Journal of Financial Economics","id":"ITEM-2","issue":"3","issued":{"date-parts":[["2014","9","1"]]},"page":"476-499","publisher":"Elsevier","title":"Uncertainty, market structure, and liquidity","type":"article-journal","volume":"113"},"uris":["http://www.mendeley.com/documents/?uuid=2fb8e6f0-0787-3423-9bc1-164dbeca43f9"]},{"id":"ITEM-3","itemData":{"ISSN":"15446123","abstract":"In this study we provide evidence regarding the effect of macroeconomic uncertainty on stock market liquidity by analyzing the time-series relation between both types of macroeconomic uncertainty shocks: good and bad uncertainty and various measures of liquidity. Our study also sheds light on whether the impact of macroeconomic uncertainty on liquidity varies with information environment by examining the effects of investor competition over information on the relation between good and bad uncertainty and liquidity in the Taiwan markets. We find that there is a negative (positive) relation between bad (good) uncertainty and the subsequent liquidity of stocks. We also find that the magnitude of the impact of bad uncertainty on stock market liquidity is larger than good uncertainty. On the other side, macroeconomic uncertainty would exerts a larger impact on liquidity when the market is imperfectly competitive.","author":[{"dropping-particle":"","family":"Chiu","given":"Yen Chen","non-dropping-particle":"","parse-names":false,"suffix":""}],"container-title":"Finance Research Letters","id":"ITEM-3","issued":{"date-parts":[["2020","5","1"]]},"page":"101262","publisher":"Elsevier Ltd","title":"Macroeconomic uncertainty, information competition, and liquidity","type":"article-journal","volume":"34"},"uris":["http://www.mendeley.com/documents/?uuid=88b43f44-8df2-332b-ac7a-65ef056d436d"]}],"mendeley":{"formattedCitation":"(Vayanos and Wang 2012; Chung and Chuwonganant 2014; Chiu 2020)","plainTextFormattedCitation":"(Vayanos and Wang 2012; Chung and Chuwonganant 2014; Chiu 2020)","previouslyFormattedCitation":"(Vayanos and Wang 2012; Chung and Chuwonganant 2014; Chiu 2020)"},"properties":{"noteIndex":0},"schema":"https://github.com/citation-style-language/schema/raw/master/csl-citation.json"}</w:instrText>
      </w:r>
      <w:r w:rsidR="00293D1A" w:rsidRPr="00CE0DE7">
        <w:rPr>
          <w:color w:val="000000"/>
          <w:sz w:val="20"/>
          <w:szCs w:val="20"/>
          <w:lang w:val="en-GB" w:eastAsia="zh-CN"/>
        </w:rPr>
        <w:fldChar w:fldCharType="separate"/>
      </w:r>
      <w:r w:rsidR="00293D1A" w:rsidRPr="00CE0DE7">
        <w:rPr>
          <w:noProof/>
          <w:color w:val="000000"/>
          <w:sz w:val="20"/>
          <w:szCs w:val="20"/>
          <w:lang w:val="en-GB" w:eastAsia="zh-CN"/>
        </w:rPr>
        <w:t>(Vayanos and Wang 2012; Chung and Chuwonganant 2014; Chiu 2020)</w:t>
      </w:r>
      <w:r w:rsidR="00293D1A" w:rsidRPr="00CE0DE7">
        <w:rPr>
          <w:color w:val="000000"/>
          <w:sz w:val="20"/>
          <w:szCs w:val="20"/>
          <w:lang w:val="en-GB" w:eastAsia="zh-CN"/>
        </w:rPr>
        <w:fldChar w:fldCharType="end"/>
      </w:r>
      <w:r w:rsidRPr="00CE0DE7">
        <w:rPr>
          <w:color w:val="000000"/>
          <w:sz w:val="20"/>
          <w:szCs w:val="20"/>
          <w:lang w:val="en-GB" w:eastAsia="zh-CN"/>
        </w:rPr>
        <w:t xml:space="preserve">. Table 3 </w:t>
      </w:r>
      <w:r w:rsidR="00CC1172" w:rsidRPr="00CE0DE7">
        <w:rPr>
          <w:color w:val="000000"/>
          <w:sz w:val="20"/>
          <w:szCs w:val="20"/>
          <w:lang w:val="en-GB" w:eastAsia="zh-CN"/>
        </w:rPr>
        <w:t>further</w:t>
      </w:r>
      <w:r w:rsidRPr="00CE0DE7">
        <w:rPr>
          <w:color w:val="000000"/>
          <w:sz w:val="20"/>
          <w:szCs w:val="20"/>
          <w:lang w:val="en-GB" w:eastAsia="zh-CN"/>
        </w:rPr>
        <w:t xml:space="preserve"> suggests that the VRP Granger-causes illiquidity but not the other way round. </w:t>
      </w:r>
      <w:r w:rsidRPr="00CE0DE7">
        <w:rPr>
          <w:sz w:val="20"/>
          <w:szCs w:val="20"/>
          <w:lang w:val="en-GB" w:eastAsia="zh-CN"/>
        </w:rPr>
        <w:t xml:space="preserve">All the likelihood ratios are significant, except for the causal relation from </w:t>
      </w:r>
      <w:r w:rsidRPr="00CE0DE7">
        <w:rPr>
          <w:i/>
          <w:color w:val="000000"/>
          <w:sz w:val="20"/>
          <w:szCs w:val="20"/>
          <w:lang w:val="en-GB" w:eastAsia="zh-CN"/>
        </w:rPr>
        <w:t>VRP</w:t>
      </w:r>
      <w:r w:rsidRPr="00CE0DE7">
        <w:rPr>
          <w:i/>
          <w:color w:val="000000"/>
          <w:sz w:val="20"/>
          <w:szCs w:val="20"/>
          <w:vertAlign w:val="superscript"/>
          <w:lang w:val="en-GB" w:eastAsia="zh-CN"/>
        </w:rPr>
        <w:t>BTZ</w:t>
      </w:r>
      <w:r w:rsidRPr="00CE0DE7">
        <w:rPr>
          <w:sz w:val="20"/>
          <w:szCs w:val="20"/>
          <w:lang w:val="en-GB" w:eastAsia="zh-CN"/>
        </w:rPr>
        <w:t xml:space="preserve"> to illiquidity. In other words, we can reject the null hypothesis of no causality from the VRP to market liquidity but </w:t>
      </w:r>
      <w:r w:rsidRPr="00CE0DE7">
        <w:rPr>
          <w:color w:val="000000"/>
          <w:sz w:val="20"/>
          <w:szCs w:val="20"/>
          <w:lang w:val="en-GB" w:eastAsia="zh-CN"/>
        </w:rPr>
        <w:t xml:space="preserve">cannot reject the null hypothesis that illiquidity measures do not Granger-cause the VRP. </w:t>
      </w:r>
      <w:r w:rsidR="004E36E8" w:rsidRPr="00CE0DE7">
        <w:rPr>
          <w:color w:val="000000"/>
          <w:sz w:val="20"/>
          <w:szCs w:val="20"/>
          <w:lang w:val="en-GB" w:eastAsia="zh-CN"/>
        </w:rPr>
        <w:t>O</w:t>
      </w:r>
      <w:r w:rsidRPr="00CE0DE7">
        <w:rPr>
          <w:color w:val="000000"/>
          <w:sz w:val="20"/>
          <w:szCs w:val="20"/>
          <w:lang w:val="en-GB" w:eastAsia="zh-CN"/>
        </w:rPr>
        <w:t>ur results provide new evidence that the movements of ma</w:t>
      </w:r>
      <w:r w:rsidR="004E36E8" w:rsidRPr="00CE0DE7">
        <w:rPr>
          <w:color w:val="000000"/>
          <w:sz w:val="20"/>
          <w:szCs w:val="20"/>
          <w:lang w:val="en-GB" w:eastAsia="zh-CN"/>
        </w:rPr>
        <w:t>rket liquidity are driven by</w:t>
      </w:r>
      <w:r w:rsidRPr="00CE0DE7">
        <w:rPr>
          <w:color w:val="000000"/>
          <w:sz w:val="20"/>
          <w:szCs w:val="20"/>
          <w:lang w:val="en-GB" w:eastAsia="zh-CN"/>
        </w:rPr>
        <w:t xml:space="preserve"> innovations of </w:t>
      </w:r>
      <w:r w:rsidR="004E36E8" w:rsidRPr="00CE0DE7">
        <w:rPr>
          <w:color w:val="000000"/>
          <w:sz w:val="20"/>
          <w:szCs w:val="20"/>
          <w:lang w:val="en-GB" w:eastAsia="zh-CN"/>
        </w:rPr>
        <w:t xml:space="preserve">the </w:t>
      </w:r>
      <w:r w:rsidRPr="00CE0DE7">
        <w:rPr>
          <w:color w:val="000000"/>
          <w:sz w:val="20"/>
          <w:szCs w:val="20"/>
          <w:lang w:val="en-GB" w:eastAsia="zh-CN"/>
        </w:rPr>
        <w:t xml:space="preserve">VRP. The insignificant results of </w:t>
      </w:r>
      <w:r w:rsidRPr="00CE0DE7">
        <w:rPr>
          <w:i/>
          <w:color w:val="000000"/>
          <w:sz w:val="20"/>
          <w:szCs w:val="20"/>
          <w:lang w:val="en-GB" w:eastAsia="zh-CN"/>
        </w:rPr>
        <w:t>VRP</w:t>
      </w:r>
      <w:r w:rsidRPr="00CE0DE7">
        <w:rPr>
          <w:i/>
          <w:color w:val="000000"/>
          <w:sz w:val="20"/>
          <w:szCs w:val="20"/>
          <w:vertAlign w:val="superscript"/>
          <w:lang w:val="en-GB" w:eastAsia="zh-CN"/>
        </w:rPr>
        <w:t>BTZ</w:t>
      </w:r>
      <w:r w:rsidRPr="00CE0DE7">
        <w:rPr>
          <w:noProof/>
          <w:color w:val="000000"/>
          <w:sz w:val="20"/>
          <w:szCs w:val="20"/>
          <w:lang w:val="en-GB" w:eastAsia="zh-CN"/>
        </w:rPr>
        <w:t xml:space="preserve"> may reflect Drechsler and Yaron </w:t>
      </w:r>
      <w:r w:rsidR="00293D1A" w:rsidRPr="00CE0DE7">
        <w:rPr>
          <w:noProof/>
          <w:color w:val="000000"/>
          <w:sz w:val="20"/>
          <w:szCs w:val="20"/>
          <w:lang w:val="en-GB" w:eastAsia="zh-CN"/>
        </w:rPr>
        <w:fldChar w:fldCharType="begin" w:fldLock="1"/>
      </w:r>
      <w:r w:rsidR="00293D1A" w:rsidRPr="00CE0DE7">
        <w:rPr>
          <w:noProof/>
          <w:color w:val="000000"/>
          <w:sz w:val="20"/>
          <w:szCs w:val="20"/>
          <w:lang w:val="en-GB" w:eastAsia="zh-CN"/>
        </w:rPr>
        <w:instrText>ADDIN CSL_CITATION {"citationItems":[{"id":"ITEM-1","itemData":{"ISSN":"0893-9454","abstract":"Uncertainty plays a key role in economics, finance, and decision sciences. Financial markets, in particular derivative markets, provide fertile ground for understanding how perceptions of economic uncertainty and cash-flow risk manifest themselves in asset prices. We demonstrate that the variance premium, defined as the difference between the squared VIX index and expected realized variance, captures attitudes toward uncertainty. We show conditions under which the variance premium displays significant time variation and return predictability. A calibrated, generalized long-run risks model generates a variance premium with time variation and return predictability that is consistent with the data, while simultaneously matching the levels and volatilities of the market return and risk-free rate. Our evidence indicates an important role for transient non-Gaussian shocks to fundamentals that affect agents' views of economic uncertainty and prices. © The Author 2010.","author":[{"dropping-particle":"","family":"Drechsler","given":"Itamar","non-dropping-particle":"","parse-names":false,"suffix":""},{"dropping-particle":"","family":"Yaron","given":"Amir","non-dropping-particle":"","parse-names":false,"suffix":""}],"container-title":"Review of Financial Studies","id":"ITEM-1","issue":"1","issued":{"date-parts":[["2011","1","1"]]},"page":"1-45","publisher":"Oxford Academic","title":"What's vol got to do with it","type":"article-journal","volume":"24"},"suppress-author":1,"uris":["http://www.mendeley.com/documents/?uuid=5678d2c9-a394-3c94-b405-0115086bc06a"]}],"mendeley":{"formattedCitation":"(2011)","plainTextFormattedCitation":"(2011)","previouslyFormattedCitation":"(2011)"},"properties":{"noteIndex":0},"schema":"https://github.com/citation-style-language/schema/raw/master/csl-citation.json"}</w:instrText>
      </w:r>
      <w:r w:rsidR="00293D1A" w:rsidRPr="00CE0DE7">
        <w:rPr>
          <w:noProof/>
          <w:color w:val="000000"/>
          <w:sz w:val="20"/>
          <w:szCs w:val="20"/>
          <w:lang w:val="en-GB" w:eastAsia="zh-CN"/>
        </w:rPr>
        <w:fldChar w:fldCharType="separate"/>
      </w:r>
      <w:r w:rsidR="00293D1A" w:rsidRPr="00CE0DE7">
        <w:rPr>
          <w:noProof/>
          <w:color w:val="000000"/>
          <w:sz w:val="20"/>
          <w:szCs w:val="20"/>
          <w:lang w:val="en-GB" w:eastAsia="zh-CN"/>
        </w:rPr>
        <w:t>(2011)</w:t>
      </w:r>
      <w:r w:rsidR="00293D1A" w:rsidRPr="00CE0DE7">
        <w:rPr>
          <w:noProof/>
          <w:color w:val="000000"/>
          <w:sz w:val="20"/>
          <w:szCs w:val="20"/>
          <w:lang w:val="en-GB" w:eastAsia="zh-CN"/>
        </w:rPr>
        <w:fldChar w:fldCharType="end"/>
      </w:r>
      <w:r w:rsidRPr="00CE0DE7">
        <w:rPr>
          <w:color w:val="000000"/>
          <w:sz w:val="20"/>
          <w:szCs w:val="20"/>
          <w:lang w:val="en-GB" w:eastAsia="zh-CN"/>
        </w:rPr>
        <w:t xml:space="preserve"> argument of autocorrelation existing in the </w:t>
      </w:r>
      <w:r w:rsidRPr="00CE0DE7">
        <w:rPr>
          <w:i/>
          <w:color w:val="000000"/>
          <w:sz w:val="20"/>
          <w:szCs w:val="20"/>
          <w:lang w:val="en-GB" w:eastAsia="zh-CN"/>
        </w:rPr>
        <w:t>stable</w:t>
      </w:r>
      <w:r w:rsidRPr="00CE0DE7">
        <w:rPr>
          <w:color w:val="000000"/>
          <w:sz w:val="20"/>
          <w:szCs w:val="20"/>
          <w:lang w:val="en-GB" w:eastAsia="zh-CN"/>
        </w:rPr>
        <w:t xml:space="preserve"> index when summing up 500 separate individual stock prices.</w:t>
      </w:r>
    </w:p>
    <w:p w14:paraId="31DB85F0" w14:textId="6E556D0A" w:rsidR="008579EC" w:rsidRPr="00CE0DE7" w:rsidRDefault="008579EC" w:rsidP="00BD081C">
      <w:pPr>
        <w:autoSpaceDE w:val="0"/>
        <w:autoSpaceDN w:val="0"/>
        <w:adjustRightInd w:val="0"/>
        <w:snapToGrid w:val="0"/>
        <w:spacing w:line="480" w:lineRule="auto"/>
        <w:ind w:firstLine="425"/>
        <w:jc w:val="both"/>
        <w:rPr>
          <w:sz w:val="20"/>
          <w:szCs w:val="20"/>
          <w:lang w:val="en-GB" w:eastAsia="zh-CN"/>
        </w:rPr>
      </w:pPr>
      <w:r w:rsidRPr="00CE0DE7">
        <w:rPr>
          <w:color w:val="000000"/>
          <w:sz w:val="20"/>
          <w:szCs w:val="20"/>
          <w:lang w:val="en-GB" w:eastAsia="zh-CN"/>
        </w:rPr>
        <w:t xml:space="preserve">In sum, our baseline results in Table 3 </w:t>
      </w:r>
      <w:r w:rsidR="004E36E8" w:rsidRPr="00CE0DE7">
        <w:rPr>
          <w:color w:val="000000"/>
          <w:sz w:val="20"/>
          <w:szCs w:val="20"/>
          <w:lang w:val="en-GB" w:eastAsia="zh-CN"/>
        </w:rPr>
        <w:t xml:space="preserve">provide preliminary evidence </w:t>
      </w:r>
      <w:r w:rsidRPr="00CE0DE7">
        <w:rPr>
          <w:color w:val="000000"/>
          <w:sz w:val="20"/>
          <w:szCs w:val="20"/>
          <w:lang w:val="en-GB" w:eastAsia="zh-CN"/>
        </w:rPr>
        <w:t xml:space="preserve">that market returns do not Granger-cause the VRP, but the VRP does drive market returns. Second, returns Granger-cause illiquidity, while illiquidity does not affect market returns. Third, illiquidity does not Granger-cause the VRP, while there is substantial evidence that changes in the VRP Granger-cause movements in liquidity. These confirm our conjecture </w:t>
      </w:r>
      <w:r w:rsidRPr="00CE0DE7">
        <w:rPr>
          <w:sz w:val="20"/>
          <w:szCs w:val="20"/>
          <w:lang w:val="en-GB" w:eastAsia="zh-CN"/>
        </w:rPr>
        <w:t xml:space="preserve">that variations in the VRP drive stock market returns and, in turn, market liquidity. </w:t>
      </w:r>
    </w:p>
    <w:p w14:paraId="0A603780" w14:textId="02F899AC" w:rsidR="005E2D0E" w:rsidRPr="00CE0DE7" w:rsidRDefault="008579EC"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To examine whether the above relation is driven by other factors, we follow </w:t>
      </w:r>
      <w:proofErr w:type="spellStart"/>
      <w:r w:rsidRPr="00CE0DE7">
        <w:rPr>
          <w:color w:val="000000"/>
          <w:sz w:val="20"/>
          <w:szCs w:val="20"/>
          <w:lang w:val="en-GB" w:eastAsia="zh-CN"/>
        </w:rPr>
        <w:t>Bollerslev</w:t>
      </w:r>
      <w:proofErr w:type="spellEnd"/>
      <w:r w:rsidRPr="00CE0DE7">
        <w:rPr>
          <w:color w:val="000000"/>
          <w:sz w:val="20"/>
          <w:szCs w:val="20"/>
          <w:lang w:val="en-GB" w:eastAsia="zh-CN"/>
        </w:rPr>
        <w:t xml:space="preserve"> et al. </w:t>
      </w:r>
      <w:r w:rsidR="00293D1A" w:rsidRPr="00CE0DE7">
        <w:rPr>
          <w:color w:val="000000"/>
          <w:sz w:val="20"/>
          <w:szCs w:val="20"/>
          <w:lang w:val="en-GB" w:eastAsia="zh-CN"/>
        </w:rPr>
        <w:fldChar w:fldCharType="begin" w:fldLock="1"/>
      </w:r>
      <w:r w:rsidR="00DC30A0">
        <w:rPr>
          <w:color w:val="000000"/>
          <w:sz w:val="20"/>
          <w:szCs w:val="20"/>
          <w:lang w:val="en-GB" w:eastAsia="zh-CN"/>
        </w:rPr>
        <w:instrText>ADDIN CSL_CITATION {"citationItems":[{"id":"ITEM-1","itemData":{"ISSN":"0893-9454","abstract":"Motivated by the implications from a stylized self-contained general equilibrium model incorporating the effects of time-varying economic uncertainty, we show that the difference between implied and realized variation, or the variance risk premium, is able to explain a nontrivial fraction of the time-series variation in post-1990 aggregate stock market returns, with high (low) premia predicting high (low) future returns. Our empirical results depend crucially on the use of \"model-free,\" as opposed to Black-Scholes, options implied volatilities, along with accurate realized variation measures constructed from high-frequency intraday as opposed to daily data. The magnitude of the predictability is particularly strong at the intermediate quarterly return horizon, where it dominates that afforded by other popular predictor variables, such as the P/E ratio, the default spread, and the consumption-wealth ratio.","author":[{"dropping-particle":"","family":"Bollerslev","given":"Tim","non-dropping-particle":"","parse-names":false,"suffix":""},{"dropping-particle":"","family":"Tauchen","given":"George","non-dropping-particle":"","parse-names":false,"suffix":""},{"dropping-particle":"","family":"Zhou","given":"Hao","non-dropping-particle":"","parse-names":false,"suffix":""}],"container-title":"Review of Financial Studies","id":"ITEM-1","issue":"11","issued":{"date-parts":[["2009","11","1"]]},"page":"4463-4492","publisher":"Oxford Academic","title":"Expected stock returns and variance risk premia","type":"article-journal","volume":"22"},"suppress-author":1,"uris":["http://www.mendeley.com/documents/?uuid=45d1ad30-ca4b-3155-bafd-b3e4bfaf3cf7"]}],"mendeley":{"formattedCitation":"(2009)","plainTextFormattedCitation":"(2009)","previouslyFormattedCitation":"(2009)"},"properties":{"noteIndex":0},"schema":"https://github.com/citation-style-language/schema/raw/master/csl-citation.json"}</w:instrText>
      </w:r>
      <w:r w:rsidR="00293D1A" w:rsidRPr="00CE0DE7">
        <w:rPr>
          <w:color w:val="000000"/>
          <w:sz w:val="20"/>
          <w:szCs w:val="20"/>
          <w:lang w:val="en-GB" w:eastAsia="zh-CN"/>
        </w:rPr>
        <w:fldChar w:fldCharType="separate"/>
      </w:r>
      <w:r w:rsidR="00293D1A" w:rsidRPr="00CE0DE7">
        <w:rPr>
          <w:noProof/>
          <w:color w:val="000000"/>
          <w:sz w:val="20"/>
          <w:szCs w:val="20"/>
          <w:lang w:val="en-GB" w:eastAsia="zh-CN"/>
        </w:rPr>
        <w:t>(2009)</w:t>
      </w:r>
      <w:r w:rsidR="00293D1A" w:rsidRPr="00CE0DE7">
        <w:rPr>
          <w:color w:val="000000"/>
          <w:sz w:val="20"/>
          <w:szCs w:val="20"/>
          <w:lang w:val="en-GB" w:eastAsia="zh-CN"/>
        </w:rPr>
        <w:fldChar w:fldCharType="end"/>
      </w:r>
      <w:r w:rsidRPr="00CE0DE7">
        <w:rPr>
          <w:color w:val="000000"/>
          <w:sz w:val="20"/>
          <w:szCs w:val="20"/>
          <w:lang w:val="en-GB" w:eastAsia="zh-CN"/>
        </w:rPr>
        <w:t xml:space="preserve"> and incorporate exogenous variables in the VAR models, including the price-earnings ratio, price-dividend ratio, default spread, term spread, stochastically de-trended risk-free rate, and consumption-wealth ratio</w:t>
      </w:r>
      <w:r w:rsidR="005E2D0E" w:rsidRPr="00CE0DE7">
        <w:rPr>
          <w:color w:val="000000"/>
          <w:sz w:val="20"/>
          <w:szCs w:val="20"/>
          <w:lang w:val="en-GB" w:eastAsia="zh-CN"/>
        </w:rPr>
        <w:t xml:space="preserve"> as follows:</w:t>
      </w:r>
    </w:p>
    <w:p w14:paraId="1A12F0A5" w14:textId="62576E14" w:rsidR="005E2D0E" w:rsidRPr="00CE0DE7" w:rsidRDefault="00DE4A5B" w:rsidP="008276B8">
      <w:pPr>
        <w:autoSpaceDE w:val="0"/>
        <w:autoSpaceDN w:val="0"/>
        <w:adjustRightInd w:val="0"/>
        <w:snapToGrid w:val="0"/>
        <w:spacing w:before="120" w:line="480" w:lineRule="auto"/>
        <w:jc w:val="right"/>
        <w:rPr>
          <w:color w:val="000000"/>
          <w:sz w:val="20"/>
          <w:szCs w:val="20"/>
          <w:lang w:val="en-GB" w:eastAsia="zh-CN"/>
        </w:rPr>
      </w:pPr>
      <w:r w:rsidRPr="00CE0DE7">
        <w:rPr>
          <w:color w:val="000000"/>
          <w:sz w:val="20"/>
          <w:szCs w:val="20"/>
          <w:lang w:val="en-GB" w:eastAsia="zh-CN"/>
        </w:rPr>
        <w:lastRenderedPageBreak/>
        <w:t xml:space="preserve"> </w:t>
      </w:r>
      <w:r w:rsidR="004971D2" w:rsidRPr="004971D2">
        <w:rPr>
          <w:color w:val="000000"/>
          <w:position w:val="-40"/>
          <w:sz w:val="20"/>
          <w:szCs w:val="20"/>
          <w:lang w:val="en-GB" w:eastAsia="zh-CN"/>
        </w:rPr>
        <w:object w:dxaOrig="6100" w:dyaOrig="900" w14:anchorId="23CBDACD">
          <v:shape id="_x0000_i1032" type="#_x0000_t75" style="width:307.4pt;height:45.7pt" o:ole="">
            <v:imagedata r:id="rId23" o:title=""/>
          </v:shape>
          <o:OLEObject Type="Embed" ProgID="Equation.DSMT4" ShapeID="_x0000_i1032" DrawAspect="Content" ObjectID="_1674838647" r:id="rId24"/>
        </w:object>
      </w:r>
      <w:r w:rsidRPr="00CE0DE7">
        <w:rPr>
          <w:color w:val="000000"/>
          <w:sz w:val="20"/>
          <w:szCs w:val="20"/>
          <w:lang w:val="en-GB" w:eastAsia="zh-CN"/>
        </w:rPr>
        <w:t xml:space="preserve"> </w:t>
      </w:r>
      <w:r w:rsidR="008276B8" w:rsidRPr="00CE0DE7">
        <w:rPr>
          <w:color w:val="000000"/>
          <w:sz w:val="20"/>
          <w:szCs w:val="20"/>
          <w:lang w:val="en-GB" w:eastAsia="zh-CN"/>
        </w:rPr>
        <w:t xml:space="preserve">   </w:t>
      </w:r>
      <w:r w:rsidR="004971D2">
        <w:rPr>
          <w:color w:val="000000"/>
          <w:sz w:val="20"/>
          <w:szCs w:val="20"/>
          <w:lang w:val="en-GB" w:eastAsia="zh-CN"/>
        </w:rPr>
        <w:t xml:space="preserve">         </w:t>
      </w:r>
      <w:r w:rsidR="008276B8" w:rsidRPr="00CE0DE7">
        <w:rPr>
          <w:color w:val="000000"/>
          <w:sz w:val="20"/>
          <w:szCs w:val="20"/>
          <w:lang w:val="en-GB" w:eastAsia="zh-CN"/>
        </w:rPr>
        <w:t xml:space="preserve">    </w:t>
      </w:r>
      <w:r w:rsidRPr="00CE0DE7">
        <w:rPr>
          <w:color w:val="000000"/>
          <w:sz w:val="20"/>
          <w:szCs w:val="20"/>
          <w:lang w:val="en-GB" w:eastAsia="zh-CN"/>
        </w:rPr>
        <w:t xml:space="preserve"> (</w:t>
      </w:r>
      <w:r w:rsidR="005E2D0E" w:rsidRPr="00CE0DE7">
        <w:rPr>
          <w:color w:val="000000"/>
          <w:sz w:val="20"/>
          <w:szCs w:val="20"/>
          <w:lang w:val="en-GB" w:eastAsia="zh-CN"/>
        </w:rPr>
        <w:t>4a)</w:t>
      </w:r>
      <w:r w:rsidR="008276B8" w:rsidRPr="00CE0DE7">
        <w:rPr>
          <w:color w:val="000000"/>
          <w:sz w:val="20"/>
          <w:szCs w:val="20"/>
          <w:lang w:val="en-GB" w:eastAsia="zh-CN"/>
        </w:rPr>
        <w:t xml:space="preserve">   </w:t>
      </w:r>
      <w:r w:rsidR="004971D2" w:rsidRPr="004971D2">
        <w:rPr>
          <w:color w:val="000000"/>
          <w:position w:val="-40"/>
          <w:sz w:val="20"/>
          <w:szCs w:val="20"/>
          <w:lang w:val="en-GB" w:eastAsia="zh-CN"/>
        </w:rPr>
        <w:object w:dxaOrig="6240" w:dyaOrig="900" w14:anchorId="5E95AAFC">
          <v:shape id="_x0000_i1033" type="#_x0000_t75" style="width:311.15pt;height:45.7pt" o:ole="">
            <v:imagedata r:id="rId25" o:title=""/>
          </v:shape>
          <o:OLEObject Type="Embed" ProgID="Equation.DSMT4" ShapeID="_x0000_i1033" DrawAspect="Content" ObjectID="_1674838648" r:id="rId26"/>
        </w:object>
      </w:r>
      <w:r w:rsidR="005E2D0E" w:rsidRPr="00CE0DE7">
        <w:rPr>
          <w:color w:val="000000"/>
          <w:sz w:val="20"/>
          <w:szCs w:val="20"/>
          <w:lang w:val="en-GB" w:eastAsia="zh-CN"/>
        </w:rPr>
        <w:t xml:space="preserve"> </w:t>
      </w:r>
      <w:r w:rsidR="008276B8" w:rsidRPr="00CE0DE7">
        <w:rPr>
          <w:color w:val="000000"/>
          <w:sz w:val="20"/>
          <w:szCs w:val="20"/>
          <w:lang w:val="en-GB" w:eastAsia="zh-CN"/>
        </w:rPr>
        <w:t xml:space="preserve"> </w:t>
      </w:r>
      <w:r w:rsidR="004971D2">
        <w:rPr>
          <w:color w:val="000000"/>
          <w:sz w:val="20"/>
          <w:szCs w:val="20"/>
          <w:lang w:val="en-GB" w:eastAsia="zh-CN"/>
        </w:rPr>
        <w:t xml:space="preserve">           </w:t>
      </w:r>
      <w:r w:rsidR="008276B8" w:rsidRPr="00CE0DE7">
        <w:rPr>
          <w:color w:val="000000"/>
          <w:sz w:val="20"/>
          <w:szCs w:val="20"/>
          <w:lang w:val="en-GB" w:eastAsia="zh-CN"/>
        </w:rPr>
        <w:t xml:space="preserve">     </w:t>
      </w:r>
      <w:r w:rsidR="005E2D0E" w:rsidRPr="00CE0DE7">
        <w:rPr>
          <w:color w:val="000000"/>
          <w:sz w:val="20"/>
          <w:szCs w:val="20"/>
          <w:lang w:val="en-GB" w:eastAsia="zh-CN"/>
        </w:rPr>
        <w:t>(4b)</w:t>
      </w:r>
    </w:p>
    <w:p w14:paraId="63A6ACA0" w14:textId="3DA3D3F0" w:rsidR="005E2D0E" w:rsidRPr="00CE0DE7" w:rsidRDefault="004971D2" w:rsidP="008276B8">
      <w:pPr>
        <w:autoSpaceDE w:val="0"/>
        <w:autoSpaceDN w:val="0"/>
        <w:adjustRightInd w:val="0"/>
        <w:snapToGrid w:val="0"/>
        <w:spacing w:after="120" w:line="480" w:lineRule="auto"/>
        <w:jc w:val="right"/>
        <w:rPr>
          <w:color w:val="000000"/>
          <w:sz w:val="20"/>
          <w:szCs w:val="20"/>
          <w:lang w:val="en-GB" w:eastAsia="zh-CN"/>
        </w:rPr>
      </w:pPr>
      <w:r w:rsidRPr="004971D2">
        <w:rPr>
          <w:color w:val="000000"/>
          <w:position w:val="-40"/>
          <w:sz w:val="20"/>
          <w:szCs w:val="20"/>
          <w:lang w:val="en-GB" w:eastAsia="zh-CN"/>
        </w:rPr>
        <w:object w:dxaOrig="6399" w:dyaOrig="900" w14:anchorId="2ECD6E73">
          <v:shape id="_x0000_i1034" type="#_x0000_t75" style="width:317.45pt;height:45.7pt" o:ole="">
            <v:imagedata r:id="rId27" o:title=""/>
          </v:shape>
          <o:OLEObject Type="Embed" ProgID="Equation.DSMT4" ShapeID="_x0000_i1034" DrawAspect="Content" ObjectID="_1674838649" r:id="rId28"/>
        </w:object>
      </w:r>
      <w:r w:rsidR="005E2D0E" w:rsidRPr="00CE0DE7">
        <w:rPr>
          <w:color w:val="000000"/>
          <w:sz w:val="20"/>
          <w:szCs w:val="20"/>
          <w:lang w:val="en-GB" w:eastAsia="zh-CN"/>
        </w:rPr>
        <w:t xml:space="preserve"> </w:t>
      </w:r>
      <w:r w:rsidR="008276B8" w:rsidRPr="00CE0DE7">
        <w:rPr>
          <w:color w:val="000000"/>
          <w:sz w:val="20"/>
          <w:szCs w:val="20"/>
          <w:lang w:val="en-GB" w:eastAsia="zh-CN"/>
        </w:rPr>
        <w:t xml:space="preserve">  </w:t>
      </w:r>
      <w:r>
        <w:rPr>
          <w:color w:val="000000"/>
          <w:sz w:val="20"/>
          <w:szCs w:val="20"/>
          <w:lang w:val="en-GB" w:eastAsia="zh-CN"/>
        </w:rPr>
        <w:t xml:space="preserve">             </w:t>
      </w:r>
      <w:r w:rsidR="008276B8" w:rsidRPr="00CE0DE7">
        <w:rPr>
          <w:color w:val="000000"/>
          <w:sz w:val="20"/>
          <w:szCs w:val="20"/>
          <w:lang w:val="en-GB" w:eastAsia="zh-CN"/>
        </w:rPr>
        <w:t xml:space="preserve">   </w:t>
      </w:r>
      <w:r w:rsidR="005E2D0E" w:rsidRPr="00CE0DE7">
        <w:rPr>
          <w:color w:val="000000"/>
          <w:sz w:val="20"/>
          <w:szCs w:val="20"/>
          <w:lang w:val="en-GB" w:eastAsia="zh-CN"/>
        </w:rPr>
        <w:t>(4c)</w:t>
      </w:r>
    </w:p>
    <w:p w14:paraId="62752DFD" w14:textId="4AB6DB51" w:rsidR="00F71EDB" w:rsidRPr="00CE0DE7" w:rsidRDefault="008579EC"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The results, shown in Table 4, are in line with those presented in Table 3. Specifically, after controlling for economic variables, the VRP</w:t>
      </w:r>
      <w:r w:rsidRPr="00CE0DE7" w:rsidDel="00334B64">
        <w:rPr>
          <w:color w:val="000000"/>
          <w:sz w:val="20"/>
          <w:szCs w:val="20"/>
          <w:lang w:val="en-GB" w:eastAsia="zh-CN"/>
        </w:rPr>
        <w:t xml:space="preserve"> </w:t>
      </w:r>
      <w:r w:rsidRPr="00CE0DE7">
        <w:rPr>
          <w:color w:val="000000"/>
          <w:sz w:val="20"/>
          <w:szCs w:val="20"/>
          <w:lang w:val="en-GB" w:eastAsia="zh-CN"/>
        </w:rPr>
        <w:t>still Granger-causes returns and market illiquidity</w:t>
      </w:r>
      <w:r w:rsidR="00093C95" w:rsidRPr="00CE0DE7">
        <w:rPr>
          <w:color w:val="000000"/>
          <w:sz w:val="20"/>
          <w:szCs w:val="20"/>
          <w:lang w:val="en-GB" w:eastAsia="zh-CN"/>
        </w:rPr>
        <w:t xml:space="preserve"> across different measures</w:t>
      </w:r>
      <w:r w:rsidRPr="00CE0DE7">
        <w:rPr>
          <w:color w:val="000000"/>
          <w:sz w:val="20"/>
          <w:szCs w:val="20"/>
          <w:lang w:val="en-GB" w:eastAsia="zh-CN"/>
        </w:rPr>
        <w:t xml:space="preserve">. Therefore, our baseline results of the causal relationship from the VRP to returns and illiquidity but not from returns and illiquidity to the VRP are not impacted by these economic variables. </w:t>
      </w:r>
    </w:p>
    <w:p w14:paraId="2C3BC5E1" w14:textId="37E92CA7" w:rsidR="00F71EDB" w:rsidRPr="00CE0DE7" w:rsidRDefault="00F71EDB" w:rsidP="00B01B7C">
      <w:pPr>
        <w:autoSpaceDE w:val="0"/>
        <w:autoSpaceDN w:val="0"/>
        <w:adjustRightInd w:val="0"/>
        <w:snapToGrid w:val="0"/>
        <w:spacing w:before="240" w:after="240" w:line="480" w:lineRule="auto"/>
        <w:jc w:val="center"/>
        <w:rPr>
          <w:color w:val="000000"/>
          <w:sz w:val="20"/>
          <w:szCs w:val="20"/>
          <w:lang w:val="en-GB" w:eastAsia="zh-CN"/>
        </w:rPr>
      </w:pPr>
      <w:r w:rsidRPr="00CE0DE7">
        <w:rPr>
          <w:color w:val="000000"/>
          <w:sz w:val="20"/>
          <w:szCs w:val="20"/>
          <w:lang w:val="en-GB" w:eastAsia="zh-CN"/>
        </w:rPr>
        <w:t>[Insert Table 4 around here]</w:t>
      </w:r>
    </w:p>
    <w:p w14:paraId="121F831C" w14:textId="64087D47" w:rsidR="006820CC" w:rsidRPr="00CE0DE7" w:rsidRDefault="000674BC" w:rsidP="00BD081C">
      <w:pPr>
        <w:spacing w:line="480" w:lineRule="auto"/>
        <w:ind w:firstLine="425"/>
        <w:jc w:val="both"/>
        <w:rPr>
          <w:color w:val="000000"/>
          <w:sz w:val="20"/>
          <w:szCs w:val="20"/>
          <w:lang w:val="en-GB" w:eastAsia="zh-CN"/>
        </w:rPr>
      </w:pPr>
      <w:r w:rsidRPr="00CE0DE7">
        <w:rPr>
          <w:color w:val="000000"/>
          <w:sz w:val="20"/>
          <w:szCs w:val="20"/>
          <w:lang w:val="en-GB" w:eastAsia="zh-CN"/>
        </w:rPr>
        <w:t xml:space="preserve">We further perform the analysis using the Toda-Yamamoto Granger non-causality test under the bi-variate VAR framework </w:t>
      </w:r>
      <w:r w:rsidR="005837C9" w:rsidRPr="00CE0DE7">
        <w:rPr>
          <w:color w:val="000000"/>
          <w:sz w:val="20"/>
          <w:szCs w:val="20"/>
          <w:lang w:val="en-GB" w:eastAsia="zh-CN"/>
        </w:rPr>
        <w:t xml:space="preserve">for a two-way relation </w:t>
      </w:r>
      <w:r w:rsidRPr="00CE0DE7">
        <w:rPr>
          <w:color w:val="000000"/>
          <w:sz w:val="20"/>
          <w:szCs w:val="20"/>
          <w:lang w:val="en-GB" w:eastAsia="zh-CN"/>
        </w:rPr>
        <w:t>using the following asymmetric VAR equations</w:t>
      </w:r>
      <w:r w:rsidR="005E2D0E" w:rsidRPr="00CE0DE7">
        <w:rPr>
          <w:color w:val="000000"/>
          <w:sz w:val="20"/>
          <w:szCs w:val="20"/>
          <w:lang w:val="en-GB" w:eastAsia="zh-CN"/>
        </w:rPr>
        <w:t>:</w:t>
      </w:r>
      <w:r w:rsidR="005A7DC1" w:rsidRPr="00CE0DE7">
        <w:rPr>
          <w:color w:val="000000"/>
          <w:sz w:val="20"/>
          <w:szCs w:val="20"/>
          <w:lang w:val="en-GB" w:eastAsia="zh-CN"/>
        </w:rPr>
        <w:t xml:space="preserve"> </w:t>
      </w:r>
    </w:p>
    <w:p w14:paraId="5DF584BD" w14:textId="3DDF4C09" w:rsidR="006820CC" w:rsidRPr="00CE0DE7" w:rsidRDefault="004971D2" w:rsidP="00B01B7C">
      <w:pPr>
        <w:autoSpaceDE w:val="0"/>
        <w:autoSpaceDN w:val="0"/>
        <w:adjustRightInd w:val="0"/>
        <w:snapToGrid w:val="0"/>
        <w:spacing w:before="120" w:line="480" w:lineRule="auto"/>
        <w:ind w:firstLine="720"/>
        <w:jc w:val="right"/>
        <w:rPr>
          <w:color w:val="000000"/>
          <w:sz w:val="20"/>
          <w:szCs w:val="20"/>
          <w:lang w:val="en-GB" w:eastAsia="zh-CN"/>
        </w:rPr>
      </w:pPr>
      <w:r w:rsidRPr="004971D2">
        <w:rPr>
          <w:color w:val="000000"/>
          <w:position w:val="-24"/>
          <w:sz w:val="20"/>
          <w:szCs w:val="20"/>
          <w:lang w:val="en-GB" w:eastAsia="zh-CN"/>
        </w:rPr>
        <w:object w:dxaOrig="3300" w:dyaOrig="600" w14:anchorId="07B11A5C">
          <v:shape id="_x0000_i1035" type="#_x0000_t75" style="width:165.3pt;height:30.7pt" o:ole="">
            <v:imagedata r:id="rId29" o:title=""/>
          </v:shape>
          <o:OLEObject Type="Embed" ProgID="Equation.DSMT4" ShapeID="_x0000_i1035" DrawAspect="Content" ObjectID="_1674838650" r:id="rId30"/>
        </w:object>
      </w:r>
      <w:r w:rsidR="006820CC" w:rsidRPr="00CE0DE7">
        <w:rPr>
          <w:color w:val="000000"/>
          <w:sz w:val="20"/>
          <w:szCs w:val="20"/>
          <w:lang w:val="en-GB" w:eastAsia="zh-CN"/>
        </w:rPr>
        <w:t xml:space="preserve">   </w:t>
      </w:r>
      <w:r w:rsidR="00640363" w:rsidRPr="00CE0DE7">
        <w:rPr>
          <w:color w:val="000000"/>
          <w:sz w:val="20"/>
          <w:szCs w:val="20"/>
          <w:lang w:val="en-GB" w:eastAsia="zh-CN"/>
        </w:rPr>
        <w:t xml:space="preserve">       </w:t>
      </w:r>
      <w:r>
        <w:rPr>
          <w:color w:val="000000"/>
          <w:sz w:val="20"/>
          <w:szCs w:val="20"/>
          <w:lang w:val="en-GB" w:eastAsia="zh-CN"/>
        </w:rPr>
        <w:t xml:space="preserve">         </w:t>
      </w:r>
      <w:r w:rsidR="00640363" w:rsidRPr="00CE0DE7">
        <w:rPr>
          <w:color w:val="000000"/>
          <w:sz w:val="20"/>
          <w:szCs w:val="20"/>
          <w:lang w:val="en-GB" w:eastAsia="zh-CN"/>
        </w:rPr>
        <w:t xml:space="preserve">     </w:t>
      </w:r>
      <w:r w:rsidR="008276B8" w:rsidRPr="00CE0DE7">
        <w:rPr>
          <w:color w:val="000000"/>
          <w:sz w:val="20"/>
          <w:szCs w:val="20"/>
          <w:lang w:val="en-GB" w:eastAsia="zh-CN"/>
        </w:rPr>
        <w:t xml:space="preserve"> </w:t>
      </w:r>
      <w:r w:rsidR="00640363" w:rsidRPr="00CE0DE7">
        <w:rPr>
          <w:color w:val="000000"/>
          <w:sz w:val="20"/>
          <w:szCs w:val="20"/>
          <w:lang w:val="en-GB" w:eastAsia="zh-CN"/>
        </w:rPr>
        <w:t xml:space="preserve">  </w:t>
      </w:r>
      <w:r w:rsidR="006820CC" w:rsidRPr="00CE0DE7">
        <w:rPr>
          <w:color w:val="000000"/>
          <w:sz w:val="20"/>
          <w:szCs w:val="20"/>
          <w:lang w:val="en-GB" w:eastAsia="zh-CN"/>
        </w:rPr>
        <w:t xml:space="preserve">                 </w:t>
      </w:r>
      <w:r w:rsidR="00EA2354" w:rsidRPr="00CE0DE7">
        <w:rPr>
          <w:color w:val="000000"/>
          <w:sz w:val="20"/>
          <w:szCs w:val="20"/>
          <w:lang w:val="en-GB" w:eastAsia="zh-CN"/>
        </w:rPr>
        <w:t xml:space="preserve"> (</w:t>
      </w:r>
      <w:r w:rsidR="00F71EDB" w:rsidRPr="00CE0DE7">
        <w:rPr>
          <w:color w:val="000000"/>
          <w:sz w:val="20"/>
          <w:szCs w:val="20"/>
          <w:lang w:val="en-GB" w:eastAsia="zh-CN"/>
        </w:rPr>
        <w:t>5a</w:t>
      </w:r>
      <w:r w:rsidR="006820CC" w:rsidRPr="00CE0DE7">
        <w:rPr>
          <w:color w:val="000000"/>
          <w:sz w:val="20"/>
          <w:szCs w:val="20"/>
          <w:lang w:val="en-GB" w:eastAsia="zh-CN"/>
        </w:rPr>
        <w:t>)</w:t>
      </w:r>
    </w:p>
    <w:p w14:paraId="1A314C37" w14:textId="28C295E2" w:rsidR="00D27EB6" w:rsidRPr="00CE0DE7" w:rsidRDefault="004971D2" w:rsidP="00B01B7C">
      <w:pPr>
        <w:autoSpaceDE w:val="0"/>
        <w:autoSpaceDN w:val="0"/>
        <w:adjustRightInd w:val="0"/>
        <w:snapToGrid w:val="0"/>
        <w:spacing w:after="120" w:line="480" w:lineRule="auto"/>
        <w:ind w:firstLine="720"/>
        <w:jc w:val="right"/>
        <w:rPr>
          <w:color w:val="000000"/>
          <w:sz w:val="20"/>
          <w:szCs w:val="20"/>
          <w:lang w:val="en-GB" w:eastAsia="zh-CN"/>
        </w:rPr>
      </w:pPr>
      <w:r w:rsidRPr="004971D2">
        <w:rPr>
          <w:color w:val="000000"/>
          <w:position w:val="-24"/>
          <w:sz w:val="20"/>
          <w:szCs w:val="20"/>
          <w:lang w:val="en-GB" w:eastAsia="zh-CN"/>
        </w:rPr>
        <w:object w:dxaOrig="3460" w:dyaOrig="600" w14:anchorId="304CECA7">
          <v:shape id="_x0000_i1036" type="#_x0000_t75" style="width:171.55pt;height:30.7pt" o:ole="">
            <v:imagedata r:id="rId31" o:title=""/>
          </v:shape>
          <o:OLEObject Type="Embed" ProgID="Equation.DSMT4" ShapeID="_x0000_i1036" DrawAspect="Content" ObjectID="_1674838651" r:id="rId32"/>
        </w:object>
      </w:r>
      <w:r w:rsidR="006820CC" w:rsidRPr="00CE0DE7">
        <w:rPr>
          <w:color w:val="000000"/>
          <w:sz w:val="20"/>
          <w:szCs w:val="20"/>
          <w:lang w:val="en-GB" w:eastAsia="zh-CN"/>
        </w:rPr>
        <w:t xml:space="preserve">     </w:t>
      </w:r>
      <w:r w:rsidR="00640363" w:rsidRPr="00CE0DE7">
        <w:rPr>
          <w:color w:val="000000"/>
          <w:sz w:val="20"/>
          <w:szCs w:val="20"/>
          <w:lang w:val="en-GB" w:eastAsia="zh-CN"/>
        </w:rPr>
        <w:t xml:space="preserve"> </w:t>
      </w:r>
      <w:r>
        <w:rPr>
          <w:color w:val="000000"/>
          <w:sz w:val="20"/>
          <w:szCs w:val="20"/>
          <w:lang w:val="en-GB" w:eastAsia="zh-CN"/>
        </w:rPr>
        <w:t xml:space="preserve">           </w:t>
      </w:r>
      <w:r w:rsidR="00640363" w:rsidRPr="00CE0DE7">
        <w:rPr>
          <w:color w:val="000000"/>
          <w:sz w:val="20"/>
          <w:szCs w:val="20"/>
          <w:lang w:val="en-GB" w:eastAsia="zh-CN"/>
        </w:rPr>
        <w:t xml:space="preserve">     </w:t>
      </w:r>
      <w:r w:rsidR="008276B8" w:rsidRPr="00CE0DE7">
        <w:rPr>
          <w:color w:val="000000"/>
          <w:sz w:val="20"/>
          <w:szCs w:val="20"/>
          <w:lang w:val="en-GB" w:eastAsia="zh-CN"/>
        </w:rPr>
        <w:t xml:space="preserve"> </w:t>
      </w:r>
      <w:r w:rsidR="00640363" w:rsidRPr="00CE0DE7">
        <w:rPr>
          <w:color w:val="000000"/>
          <w:sz w:val="20"/>
          <w:szCs w:val="20"/>
          <w:lang w:val="en-GB" w:eastAsia="zh-CN"/>
        </w:rPr>
        <w:t xml:space="preserve">       </w:t>
      </w:r>
      <w:r w:rsidR="006820CC" w:rsidRPr="00CE0DE7">
        <w:rPr>
          <w:color w:val="000000"/>
          <w:sz w:val="20"/>
          <w:szCs w:val="20"/>
          <w:lang w:val="en-GB" w:eastAsia="zh-CN"/>
        </w:rPr>
        <w:t xml:space="preserve">      </w:t>
      </w:r>
      <w:r w:rsidR="00EA2354" w:rsidRPr="00CE0DE7">
        <w:rPr>
          <w:color w:val="000000"/>
          <w:sz w:val="20"/>
          <w:szCs w:val="20"/>
          <w:lang w:val="en-GB" w:eastAsia="zh-CN"/>
        </w:rPr>
        <w:t xml:space="preserve">       (</w:t>
      </w:r>
      <w:r w:rsidR="00F71EDB" w:rsidRPr="00CE0DE7">
        <w:rPr>
          <w:color w:val="000000"/>
          <w:sz w:val="20"/>
          <w:szCs w:val="20"/>
          <w:lang w:val="en-GB" w:eastAsia="zh-CN"/>
        </w:rPr>
        <w:t>5b</w:t>
      </w:r>
      <w:r w:rsidR="006820CC" w:rsidRPr="00CE0DE7">
        <w:rPr>
          <w:color w:val="000000"/>
          <w:sz w:val="20"/>
          <w:szCs w:val="20"/>
          <w:lang w:val="en-GB" w:eastAsia="zh-CN"/>
        </w:rPr>
        <w:t>)</w:t>
      </w:r>
    </w:p>
    <w:p w14:paraId="2E432FE0" w14:textId="73C772CB" w:rsidR="00D668DD" w:rsidRPr="00CE0DE7" w:rsidRDefault="005837C9"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W</w:t>
      </w:r>
      <w:r w:rsidR="005A7DC1" w:rsidRPr="00CE0DE7">
        <w:rPr>
          <w:color w:val="000000"/>
          <w:sz w:val="20"/>
          <w:szCs w:val="20"/>
          <w:lang w:val="en-GB" w:eastAsia="zh-CN"/>
        </w:rPr>
        <w:t xml:space="preserve">e examine whether </w:t>
      </w:r>
      <w:r w:rsidR="008C7149" w:rsidRPr="00CE0DE7">
        <w:rPr>
          <w:color w:val="000000"/>
          <w:sz w:val="20"/>
          <w:szCs w:val="20"/>
          <w:lang w:val="en-GB" w:eastAsia="zh-CN"/>
        </w:rPr>
        <w:t xml:space="preserve">the </w:t>
      </w:r>
      <w:r w:rsidR="00EE26D0" w:rsidRPr="00CE0DE7">
        <w:rPr>
          <w:color w:val="000000"/>
          <w:sz w:val="20"/>
          <w:szCs w:val="20"/>
          <w:lang w:val="en-GB" w:eastAsia="zh-CN"/>
        </w:rPr>
        <w:t>VRP</w:t>
      </w:r>
      <w:r w:rsidR="005A7DC1" w:rsidRPr="00CE0DE7">
        <w:rPr>
          <w:color w:val="000000"/>
          <w:sz w:val="20"/>
          <w:szCs w:val="20"/>
          <w:lang w:val="en-GB" w:eastAsia="zh-CN"/>
        </w:rPr>
        <w:t xml:space="preserve"> Granger-cause</w:t>
      </w:r>
      <w:r w:rsidR="000E2DB2" w:rsidRPr="00CE0DE7">
        <w:rPr>
          <w:color w:val="000000"/>
          <w:sz w:val="20"/>
          <w:szCs w:val="20"/>
          <w:lang w:val="en-GB" w:eastAsia="zh-CN"/>
        </w:rPr>
        <w:t>s</w:t>
      </w:r>
      <w:r w:rsidR="005A7DC1" w:rsidRPr="00CE0DE7">
        <w:rPr>
          <w:color w:val="000000"/>
          <w:sz w:val="20"/>
          <w:szCs w:val="20"/>
          <w:lang w:val="en-GB" w:eastAsia="zh-CN"/>
        </w:rPr>
        <w:t xml:space="preserve"> </w:t>
      </w:r>
      <w:r w:rsidR="009268D4" w:rsidRPr="00CE0DE7">
        <w:rPr>
          <w:sz w:val="20"/>
          <w:szCs w:val="20"/>
          <w:lang w:val="en-GB" w:eastAsia="zh-CN"/>
        </w:rPr>
        <w:t>excess</w:t>
      </w:r>
      <w:r w:rsidR="005A7DC1" w:rsidRPr="00CE0DE7">
        <w:rPr>
          <w:color w:val="000000"/>
          <w:sz w:val="20"/>
          <w:szCs w:val="20"/>
          <w:lang w:val="en-GB" w:eastAsia="zh-CN"/>
        </w:rPr>
        <w:t xml:space="preserve"> returns and whether </w:t>
      </w:r>
      <w:r w:rsidR="009268D4" w:rsidRPr="00CE0DE7">
        <w:rPr>
          <w:sz w:val="20"/>
          <w:szCs w:val="20"/>
          <w:lang w:val="en-GB" w:eastAsia="zh-CN"/>
        </w:rPr>
        <w:t>excess</w:t>
      </w:r>
      <w:r w:rsidR="005A7DC1" w:rsidRPr="00CE0DE7">
        <w:rPr>
          <w:color w:val="000000"/>
          <w:sz w:val="20"/>
          <w:szCs w:val="20"/>
          <w:lang w:val="en-GB" w:eastAsia="zh-CN"/>
        </w:rPr>
        <w:t xml:space="preserve"> returns Granger-cause </w:t>
      </w:r>
      <w:r w:rsidR="008A433B" w:rsidRPr="00CE0DE7">
        <w:rPr>
          <w:color w:val="000000"/>
          <w:sz w:val="20"/>
          <w:szCs w:val="20"/>
          <w:lang w:val="en-GB" w:eastAsia="zh-CN"/>
        </w:rPr>
        <w:t xml:space="preserve">the </w:t>
      </w:r>
      <w:r w:rsidR="00EE26D0" w:rsidRPr="00CE0DE7">
        <w:rPr>
          <w:color w:val="000000"/>
          <w:sz w:val="20"/>
          <w:szCs w:val="20"/>
          <w:lang w:val="en-GB" w:eastAsia="zh-CN"/>
        </w:rPr>
        <w:t>VRP</w:t>
      </w:r>
      <w:r w:rsidRPr="00CE0DE7">
        <w:rPr>
          <w:color w:val="000000"/>
          <w:sz w:val="20"/>
          <w:szCs w:val="20"/>
          <w:lang w:val="en-GB" w:eastAsia="zh-CN"/>
        </w:rPr>
        <w:t xml:space="preserve"> using equations (5a)</w:t>
      </w:r>
      <w:r w:rsidR="00FF7BB7" w:rsidRPr="00CE0DE7">
        <w:rPr>
          <w:color w:val="000000"/>
          <w:sz w:val="20"/>
          <w:szCs w:val="20"/>
          <w:lang w:val="en-GB" w:eastAsia="zh-CN"/>
        </w:rPr>
        <w:t xml:space="preserve"> </w:t>
      </w:r>
      <w:r w:rsidRPr="00CE0DE7">
        <w:rPr>
          <w:color w:val="000000"/>
          <w:sz w:val="20"/>
          <w:szCs w:val="20"/>
          <w:lang w:val="en-GB" w:eastAsia="zh-CN"/>
        </w:rPr>
        <w:t>-</w:t>
      </w:r>
      <w:r w:rsidR="00FF7BB7" w:rsidRPr="00CE0DE7">
        <w:rPr>
          <w:color w:val="000000"/>
          <w:sz w:val="20"/>
          <w:szCs w:val="20"/>
          <w:lang w:val="en-GB" w:eastAsia="zh-CN"/>
        </w:rPr>
        <w:t xml:space="preserve"> </w:t>
      </w:r>
      <w:r w:rsidRPr="00CE0DE7">
        <w:rPr>
          <w:color w:val="000000"/>
          <w:sz w:val="20"/>
          <w:szCs w:val="20"/>
          <w:lang w:val="en-GB" w:eastAsia="zh-CN"/>
        </w:rPr>
        <w:t>(5b)</w:t>
      </w:r>
      <w:r w:rsidR="005A7DC1" w:rsidRPr="00CE0DE7">
        <w:rPr>
          <w:color w:val="000000"/>
          <w:sz w:val="20"/>
          <w:szCs w:val="20"/>
          <w:lang w:val="en-GB" w:eastAsia="zh-CN"/>
        </w:rPr>
        <w:t>. We also investigat</w:t>
      </w:r>
      <w:r w:rsidR="004D6869" w:rsidRPr="00CE0DE7">
        <w:rPr>
          <w:color w:val="000000"/>
          <w:sz w:val="20"/>
          <w:szCs w:val="20"/>
          <w:lang w:val="en-GB" w:eastAsia="zh-CN"/>
        </w:rPr>
        <w:t>e the Ganger-causality relation</w:t>
      </w:r>
      <w:r w:rsidR="005A7DC1" w:rsidRPr="00CE0DE7">
        <w:rPr>
          <w:color w:val="000000"/>
          <w:sz w:val="20"/>
          <w:szCs w:val="20"/>
          <w:lang w:val="en-GB" w:eastAsia="zh-CN"/>
        </w:rPr>
        <w:t xml:space="preserve"> between illiquidity and returns</w:t>
      </w:r>
      <w:r w:rsidR="00D668DD" w:rsidRPr="00CE0DE7">
        <w:rPr>
          <w:color w:val="000000"/>
          <w:sz w:val="20"/>
          <w:szCs w:val="20"/>
          <w:lang w:val="en-GB" w:eastAsia="zh-CN"/>
        </w:rPr>
        <w:t xml:space="preserve"> using </w:t>
      </w:r>
      <w:r w:rsidR="004D6869" w:rsidRPr="00CE0DE7">
        <w:rPr>
          <w:color w:val="000000"/>
          <w:sz w:val="20"/>
          <w:szCs w:val="20"/>
          <w:lang w:val="en-GB" w:eastAsia="zh-CN"/>
        </w:rPr>
        <w:t>equations (</w:t>
      </w:r>
      <w:r w:rsidRPr="00CE0DE7">
        <w:rPr>
          <w:color w:val="000000"/>
          <w:sz w:val="20"/>
          <w:szCs w:val="20"/>
          <w:lang w:val="en-GB" w:eastAsia="zh-CN"/>
        </w:rPr>
        <w:t>6</w:t>
      </w:r>
      <w:r w:rsidR="00D668DD" w:rsidRPr="00CE0DE7">
        <w:rPr>
          <w:color w:val="000000"/>
          <w:sz w:val="20"/>
          <w:szCs w:val="20"/>
          <w:lang w:val="en-GB" w:eastAsia="zh-CN"/>
        </w:rPr>
        <w:t>a</w:t>
      </w:r>
      <w:r w:rsidR="004D6869" w:rsidRPr="00CE0DE7">
        <w:rPr>
          <w:color w:val="000000"/>
          <w:sz w:val="20"/>
          <w:szCs w:val="20"/>
          <w:lang w:val="en-GB" w:eastAsia="zh-CN"/>
        </w:rPr>
        <w:t>)</w:t>
      </w:r>
      <w:r w:rsidR="00FF7BB7" w:rsidRPr="00CE0DE7">
        <w:rPr>
          <w:color w:val="000000"/>
          <w:sz w:val="20"/>
          <w:szCs w:val="20"/>
          <w:lang w:val="en-GB" w:eastAsia="zh-CN"/>
        </w:rPr>
        <w:t xml:space="preserve"> </w:t>
      </w:r>
      <w:r w:rsidR="004D6869" w:rsidRPr="00CE0DE7">
        <w:rPr>
          <w:color w:val="000000"/>
          <w:sz w:val="20"/>
          <w:szCs w:val="20"/>
          <w:lang w:val="en-GB" w:eastAsia="zh-CN"/>
        </w:rPr>
        <w:t>-</w:t>
      </w:r>
      <w:r w:rsidR="00FF7BB7" w:rsidRPr="00CE0DE7">
        <w:rPr>
          <w:color w:val="000000"/>
          <w:sz w:val="20"/>
          <w:szCs w:val="20"/>
          <w:lang w:val="en-GB" w:eastAsia="zh-CN"/>
        </w:rPr>
        <w:t xml:space="preserve"> </w:t>
      </w:r>
      <w:r w:rsidR="004D6869" w:rsidRPr="00CE0DE7">
        <w:rPr>
          <w:color w:val="000000"/>
          <w:sz w:val="20"/>
          <w:szCs w:val="20"/>
          <w:lang w:val="en-GB" w:eastAsia="zh-CN"/>
        </w:rPr>
        <w:t>(</w:t>
      </w:r>
      <w:r w:rsidRPr="00CE0DE7">
        <w:rPr>
          <w:color w:val="000000"/>
          <w:sz w:val="20"/>
          <w:szCs w:val="20"/>
          <w:lang w:val="en-GB" w:eastAsia="zh-CN"/>
        </w:rPr>
        <w:t>6</w:t>
      </w:r>
      <w:r w:rsidR="00D668DD" w:rsidRPr="00CE0DE7">
        <w:rPr>
          <w:color w:val="000000"/>
          <w:sz w:val="20"/>
          <w:szCs w:val="20"/>
          <w:lang w:val="en-GB" w:eastAsia="zh-CN"/>
        </w:rPr>
        <w:t>b</w:t>
      </w:r>
      <w:r w:rsidR="004D6869" w:rsidRPr="00CE0DE7">
        <w:rPr>
          <w:color w:val="000000"/>
          <w:sz w:val="20"/>
          <w:szCs w:val="20"/>
          <w:lang w:val="en-GB" w:eastAsia="zh-CN"/>
        </w:rPr>
        <w:t>)</w:t>
      </w:r>
      <w:r w:rsidR="005A7DC1" w:rsidRPr="00CE0DE7">
        <w:rPr>
          <w:color w:val="000000"/>
          <w:sz w:val="20"/>
          <w:szCs w:val="20"/>
          <w:lang w:val="en-GB" w:eastAsia="zh-CN"/>
        </w:rPr>
        <w:t xml:space="preserve"> and between </w:t>
      </w:r>
      <w:r w:rsidR="008A433B" w:rsidRPr="00CE0DE7">
        <w:rPr>
          <w:color w:val="000000"/>
          <w:sz w:val="20"/>
          <w:szCs w:val="20"/>
          <w:lang w:val="en-GB" w:eastAsia="zh-CN"/>
        </w:rPr>
        <w:t xml:space="preserve">the </w:t>
      </w:r>
      <w:r w:rsidR="00EE26D0" w:rsidRPr="00CE0DE7">
        <w:rPr>
          <w:color w:val="000000"/>
          <w:sz w:val="20"/>
          <w:szCs w:val="20"/>
          <w:lang w:val="en-GB" w:eastAsia="zh-CN"/>
        </w:rPr>
        <w:t>VRP</w:t>
      </w:r>
      <w:r w:rsidR="005A7DC1" w:rsidRPr="00CE0DE7">
        <w:rPr>
          <w:color w:val="000000"/>
          <w:sz w:val="20"/>
          <w:szCs w:val="20"/>
          <w:lang w:val="en-GB" w:eastAsia="zh-CN"/>
        </w:rPr>
        <w:t xml:space="preserve"> and illiquidity</w:t>
      </w:r>
      <w:r w:rsidR="00D668DD" w:rsidRPr="00CE0DE7">
        <w:rPr>
          <w:color w:val="000000"/>
          <w:sz w:val="20"/>
          <w:szCs w:val="20"/>
          <w:lang w:val="en-GB" w:eastAsia="zh-CN"/>
        </w:rPr>
        <w:t xml:space="preserve"> using </w:t>
      </w:r>
      <w:r w:rsidR="004D6869" w:rsidRPr="00CE0DE7">
        <w:rPr>
          <w:color w:val="000000"/>
          <w:sz w:val="20"/>
          <w:szCs w:val="20"/>
          <w:lang w:val="en-GB" w:eastAsia="zh-CN"/>
        </w:rPr>
        <w:t>(</w:t>
      </w:r>
      <w:r w:rsidRPr="00CE0DE7">
        <w:rPr>
          <w:color w:val="000000"/>
          <w:sz w:val="20"/>
          <w:szCs w:val="20"/>
          <w:lang w:val="en-GB" w:eastAsia="zh-CN"/>
        </w:rPr>
        <w:t>7</w:t>
      </w:r>
      <w:r w:rsidR="00D668DD" w:rsidRPr="00CE0DE7">
        <w:rPr>
          <w:color w:val="000000"/>
          <w:sz w:val="20"/>
          <w:szCs w:val="20"/>
          <w:lang w:val="en-GB" w:eastAsia="zh-CN"/>
        </w:rPr>
        <w:t>a</w:t>
      </w:r>
      <w:r w:rsidR="004D6869" w:rsidRPr="00CE0DE7">
        <w:rPr>
          <w:color w:val="000000"/>
          <w:sz w:val="20"/>
          <w:szCs w:val="20"/>
          <w:lang w:val="en-GB" w:eastAsia="zh-CN"/>
        </w:rPr>
        <w:t>)</w:t>
      </w:r>
      <w:r w:rsidR="00FF7BB7" w:rsidRPr="00CE0DE7">
        <w:rPr>
          <w:color w:val="000000"/>
          <w:sz w:val="20"/>
          <w:szCs w:val="20"/>
          <w:lang w:val="en-GB" w:eastAsia="zh-CN"/>
        </w:rPr>
        <w:t xml:space="preserve"> </w:t>
      </w:r>
      <w:r w:rsidR="004D6869" w:rsidRPr="00CE0DE7">
        <w:rPr>
          <w:color w:val="000000"/>
          <w:sz w:val="20"/>
          <w:szCs w:val="20"/>
          <w:lang w:val="en-GB" w:eastAsia="zh-CN"/>
        </w:rPr>
        <w:t>-</w:t>
      </w:r>
      <w:r w:rsidR="00FF7BB7" w:rsidRPr="00CE0DE7">
        <w:rPr>
          <w:color w:val="000000"/>
          <w:sz w:val="20"/>
          <w:szCs w:val="20"/>
          <w:lang w:val="en-GB" w:eastAsia="zh-CN"/>
        </w:rPr>
        <w:t xml:space="preserve"> </w:t>
      </w:r>
      <w:r w:rsidR="004D6869" w:rsidRPr="00CE0DE7">
        <w:rPr>
          <w:color w:val="000000"/>
          <w:sz w:val="20"/>
          <w:szCs w:val="20"/>
          <w:lang w:val="en-GB" w:eastAsia="zh-CN"/>
        </w:rPr>
        <w:t>(</w:t>
      </w:r>
      <w:r w:rsidRPr="00CE0DE7">
        <w:rPr>
          <w:color w:val="000000"/>
          <w:sz w:val="20"/>
          <w:szCs w:val="20"/>
          <w:lang w:val="en-GB" w:eastAsia="zh-CN"/>
        </w:rPr>
        <w:t>7</w:t>
      </w:r>
      <w:r w:rsidR="004D6869" w:rsidRPr="00CE0DE7">
        <w:rPr>
          <w:color w:val="000000"/>
          <w:sz w:val="20"/>
          <w:szCs w:val="20"/>
          <w:lang w:val="en-GB" w:eastAsia="zh-CN"/>
        </w:rPr>
        <w:t>b)</w:t>
      </w:r>
      <w:r w:rsidR="005A7DC1" w:rsidRPr="00CE0DE7">
        <w:rPr>
          <w:color w:val="000000"/>
          <w:sz w:val="20"/>
          <w:szCs w:val="20"/>
          <w:lang w:val="en-GB" w:eastAsia="zh-CN"/>
        </w:rPr>
        <w:t xml:space="preserve">. </w:t>
      </w:r>
    </w:p>
    <w:p w14:paraId="338361E8" w14:textId="2E89B5F8" w:rsidR="00D668DD" w:rsidRPr="00CE0DE7" w:rsidRDefault="004971D2" w:rsidP="00B01B7C">
      <w:pPr>
        <w:autoSpaceDE w:val="0"/>
        <w:autoSpaceDN w:val="0"/>
        <w:adjustRightInd w:val="0"/>
        <w:snapToGrid w:val="0"/>
        <w:spacing w:before="120" w:line="480" w:lineRule="auto"/>
        <w:ind w:firstLine="720"/>
        <w:jc w:val="right"/>
        <w:rPr>
          <w:color w:val="000000"/>
          <w:sz w:val="20"/>
          <w:szCs w:val="20"/>
          <w:lang w:val="en-GB" w:eastAsia="zh-CN"/>
        </w:rPr>
      </w:pPr>
      <w:r w:rsidRPr="004971D2">
        <w:rPr>
          <w:color w:val="000000"/>
          <w:position w:val="-24"/>
          <w:sz w:val="20"/>
          <w:szCs w:val="20"/>
          <w:lang w:val="en-GB" w:eastAsia="zh-CN"/>
        </w:rPr>
        <w:object w:dxaOrig="3480" w:dyaOrig="600" w14:anchorId="12724C93">
          <v:shape id="_x0000_i1037" type="#_x0000_t75" style="width:174.7pt;height:30.7pt" o:ole="">
            <v:imagedata r:id="rId33" o:title=""/>
          </v:shape>
          <o:OLEObject Type="Embed" ProgID="Equation.DSMT4" ShapeID="_x0000_i1037" DrawAspect="Content" ObjectID="_1674838652" r:id="rId34"/>
        </w:object>
      </w:r>
      <w:r w:rsidR="00D668DD" w:rsidRPr="00CE0DE7">
        <w:rPr>
          <w:color w:val="000000"/>
          <w:sz w:val="20"/>
          <w:szCs w:val="20"/>
          <w:lang w:val="en-GB" w:eastAsia="zh-CN"/>
        </w:rPr>
        <w:t xml:space="preserve">     </w:t>
      </w:r>
      <w:r w:rsidR="00640363" w:rsidRPr="00CE0DE7">
        <w:rPr>
          <w:color w:val="000000"/>
          <w:sz w:val="20"/>
          <w:szCs w:val="20"/>
          <w:lang w:val="en-GB" w:eastAsia="zh-CN"/>
        </w:rPr>
        <w:t xml:space="preserve"> </w:t>
      </w:r>
      <w:r w:rsidR="00D668DD" w:rsidRPr="00CE0DE7">
        <w:rPr>
          <w:color w:val="000000"/>
          <w:sz w:val="20"/>
          <w:szCs w:val="20"/>
          <w:lang w:val="en-GB" w:eastAsia="zh-CN"/>
        </w:rPr>
        <w:t xml:space="preserve"> </w:t>
      </w:r>
      <w:r w:rsidR="00640363" w:rsidRPr="00CE0DE7">
        <w:rPr>
          <w:color w:val="000000"/>
          <w:sz w:val="20"/>
          <w:szCs w:val="20"/>
          <w:lang w:val="en-GB" w:eastAsia="zh-CN"/>
        </w:rPr>
        <w:t xml:space="preserve"> </w:t>
      </w:r>
      <w:r w:rsidR="00D668DD" w:rsidRPr="00CE0DE7">
        <w:rPr>
          <w:color w:val="000000"/>
          <w:sz w:val="20"/>
          <w:szCs w:val="20"/>
          <w:lang w:val="en-GB" w:eastAsia="zh-CN"/>
        </w:rPr>
        <w:t xml:space="preserve">  </w:t>
      </w:r>
      <w:r w:rsidR="00640363" w:rsidRPr="00CE0DE7">
        <w:rPr>
          <w:color w:val="000000"/>
          <w:sz w:val="20"/>
          <w:szCs w:val="20"/>
          <w:lang w:val="en-GB" w:eastAsia="zh-CN"/>
        </w:rPr>
        <w:t xml:space="preserve">  </w:t>
      </w:r>
      <w:r>
        <w:rPr>
          <w:color w:val="000000"/>
          <w:sz w:val="20"/>
          <w:szCs w:val="20"/>
          <w:lang w:val="en-GB" w:eastAsia="zh-CN"/>
        </w:rPr>
        <w:t xml:space="preserve">       </w:t>
      </w:r>
      <w:r w:rsidR="00640363" w:rsidRPr="00CE0DE7">
        <w:rPr>
          <w:color w:val="000000"/>
          <w:sz w:val="20"/>
          <w:szCs w:val="20"/>
          <w:lang w:val="en-GB" w:eastAsia="zh-CN"/>
        </w:rPr>
        <w:t xml:space="preserve">          </w:t>
      </w:r>
      <w:r w:rsidR="00D668DD" w:rsidRPr="00CE0DE7">
        <w:rPr>
          <w:color w:val="000000"/>
          <w:sz w:val="20"/>
          <w:szCs w:val="20"/>
          <w:lang w:val="en-GB" w:eastAsia="zh-CN"/>
        </w:rPr>
        <w:t xml:space="preserve">             (</w:t>
      </w:r>
      <w:r w:rsidR="00F71EDB" w:rsidRPr="00CE0DE7">
        <w:rPr>
          <w:color w:val="000000"/>
          <w:sz w:val="20"/>
          <w:szCs w:val="20"/>
          <w:lang w:val="en-GB" w:eastAsia="zh-CN"/>
        </w:rPr>
        <w:t>6a</w:t>
      </w:r>
      <w:r w:rsidR="00D668DD" w:rsidRPr="00CE0DE7">
        <w:rPr>
          <w:color w:val="000000"/>
          <w:sz w:val="20"/>
          <w:szCs w:val="20"/>
          <w:lang w:val="en-GB" w:eastAsia="zh-CN"/>
        </w:rPr>
        <w:t>)</w:t>
      </w:r>
    </w:p>
    <w:p w14:paraId="037153E8" w14:textId="412C7897" w:rsidR="00D668DD" w:rsidRPr="00CE0DE7" w:rsidRDefault="004971D2" w:rsidP="00A473B5">
      <w:pPr>
        <w:autoSpaceDE w:val="0"/>
        <w:autoSpaceDN w:val="0"/>
        <w:adjustRightInd w:val="0"/>
        <w:snapToGrid w:val="0"/>
        <w:spacing w:line="480" w:lineRule="auto"/>
        <w:ind w:firstLine="720"/>
        <w:jc w:val="right"/>
        <w:rPr>
          <w:color w:val="000000"/>
          <w:sz w:val="20"/>
          <w:szCs w:val="20"/>
          <w:lang w:val="en-GB" w:eastAsia="zh-CN"/>
        </w:rPr>
      </w:pPr>
      <w:r w:rsidRPr="004971D2">
        <w:rPr>
          <w:color w:val="000000"/>
          <w:position w:val="-24"/>
          <w:sz w:val="20"/>
          <w:szCs w:val="20"/>
          <w:lang w:val="en-GB" w:eastAsia="zh-CN"/>
        </w:rPr>
        <w:object w:dxaOrig="3640" w:dyaOrig="600" w14:anchorId="45F06C9B">
          <v:shape id="_x0000_i1038" type="#_x0000_t75" style="width:180.95pt;height:30.7pt" o:ole="">
            <v:imagedata r:id="rId35" o:title=""/>
          </v:shape>
          <o:OLEObject Type="Embed" ProgID="Equation.DSMT4" ShapeID="_x0000_i1038" DrawAspect="Content" ObjectID="_1674838653" r:id="rId36"/>
        </w:object>
      </w:r>
      <w:r w:rsidR="00D668DD" w:rsidRPr="00CE0DE7">
        <w:rPr>
          <w:color w:val="000000"/>
          <w:sz w:val="20"/>
          <w:szCs w:val="20"/>
          <w:lang w:val="en-GB" w:eastAsia="zh-CN"/>
        </w:rPr>
        <w:t xml:space="preserve">    </w:t>
      </w:r>
      <w:r w:rsidR="00640363" w:rsidRPr="00CE0DE7">
        <w:rPr>
          <w:color w:val="000000"/>
          <w:sz w:val="20"/>
          <w:szCs w:val="20"/>
          <w:lang w:val="en-GB" w:eastAsia="zh-CN"/>
        </w:rPr>
        <w:t xml:space="preserve">   </w:t>
      </w:r>
      <w:r w:rsidR="00D668DD" w:rsidRPr="00CE0DE7">
        <w:rPr>
          <w:color w:val="000000"/>
          <w:sz w:val="20"/>
          <w:szCs w:val="20"/>
          <w:lang w:val="en-GB" w:eastAsia="zh-CN"/>
        </w:rPr>
        <w:t xml:space="preserve"> </w:t>
      </w:r>
      <w:r>
        <w:rPr>
          <w:color w:val="000000"/>
          <w:sz w:val="20"/>
          <w:szCs w:val="20"/>
          <w:lang w:val="en-GB" w:eastAsia="zh-CN"/>
        </w:rPr>
        <w:t xml:space="preserve">        </w:t>
      </w:r>
      <w:r w:rsidR="00D668DD" w:rsidRPr="00CE0DE7">
        <w:rPr>
          <w:color w:val="000000"/>
          <w:sz w:val="20"/>
          <w:szCs w:val="20"/>
          <w:lang w:val="en-GB" w:eastAsia="zh-CN"/>
        </w:rPr>
        <w:t xml:space="preserve"> </w:t>
      </w:r>
      <w:r w:rsidR="00640363" w:rsidRPr="00CE0DE7">
        <w:rPr>
          <w:color w:val="000000"/>
          <w:sz w:val="20"/>
          <w:szCs w:val="20"/>
          <w:lang w:val="en-GB" w:eastAsia="zh-CN"/>
        </w:rPr>
        <w:t xml:space="preserve">   </w:t>
      </w:r>
      <w:r w:rsidR="00D668DD" w:rsidRPr="00CE0DE7">
        <w:rPr>
          <w:color w:val="000000"/>
          <w:sz w:val="20"/>
          <w:szCs w:val="20"/>
          <w:lang w:val="en-GB" w:eastAsia="zh-CN"/>
        </w:rPr>
        <w:t xml:space="preserve">    </w:t>
      </w:r>
      <w:r w:rsidR="00640363" w:rsidRPr="00CE0DE7">
        <w:rPr>
          <w:color w:val="000000"/>
          <w:sz w:val="20"/>
          <w:szCs w:val="20"/>
          <w:lang w:val="en-GB" w:eastAsia="zh-CN"/>
        </w:rPr>
        <w:t xml:space="preserve">        </w:t>
      </w:r>
      <w:r w:rsidR="00D668DD" w:rsidRPr="00CE0DE7">
        <w:rPr>
          <w:color w:val="000000"/>
          <w:sz w:val="20"/>
          <w:szCs w:val="20"/>
          <w:lang w:val="en-GB" w:eastAsia="zh-CN"/>
        </w:rPr>
        <w:t xml:space="preserve">        </w:t>
      </w:r>
      <w:r w:rsidR="004D6869" w:rsidRPr="00CE0DE7">
        <w:rPr>
          <w:color w:val="000000"/>
          <w:sz w:val="20"/>
          <w:szCs w:val="20"/>
          <w:lang w:val="en-GB" w:eastAsia="zh-CN"/>
        </w:rPr>
        <w:t xml:space="preserve"> </w:t>
      </w:r>
      <w:r w:rsidR="00D668DD" w:rsidRPr="00CE0DE7">
        <w:rPr>
          <w:color w:val="000000"/>
          <w:sz w:val="20"/>
          <w:szCs w:val="20"/>
          <w:lang w:val="en-GB" w:eastAsia="zh-CN"/>
        </w:rPr>
        <w:t>(</w:t>
      </w:r>
      <w:r w:rsidR="00F71EDB" w:rsidRPr="00CE0DE7">
        <w:rPr>
          <w:color w:val="000000"/>
          <w:sz w:val="20"/>
          <w:szCs w:val="20"/>
          <w:lang w:val="en-GB" w:eastAsia="zh-CN"/>
        </w:rPr>
        <w:t>6b</w:t>
      </w:r>
      <w:r w:rsidR="00D668DD" w:rsidRPr="00CE0DE7">
        <w:rPr>
          <w:color w:val="000000"/>
          <w:sz w:val="20"/>
          <w:szCs w:val="20"/>
          <w:lang w:val="en-GB" w:eastAsia="zh-CN"/>
        </w:rPr>
        <w:t>)</w:t>
      </w:r>
    </w:p>
    <w:p w14:paraId="70B46827" w14:textId="572C7647" w:rsidR="00246968" w:rsidRPr="00CE0DE7" w:rsidRDefault="004971D2" w:rsidP="00A473B5">
      <w:pPr>
        <w:autoSpaceDE w:val="0"/>
        <w:autoSpaceDN w:val="0"/>
        <w:adjustRightInd w:val="0"/>
        <w:snapToGrid w:val="0"/>
        <w:spacing w:line="480" w:lineRule="auto"/>
        <w:ind w:firstLine="720"/>
        <w:jc w:val="right"/>
        <w:rPr>
          <w:color w:val="000000"/>
          <w:sz w:val="20"/>
          <w:szCs w:val="20"/>
          <w:lang w:val="en-GB" w:eastAsia="zh-CN"/>
        </w:rPr>
      </w:pPr>
      <w:r w:rsidRPr="004971D2">
        <w:rPr>
          <w:color w:val="000000"/>
          <w:position w:val="-24"/>
          <w:sz w:val="20"/>
          <w:szCs w:val="20"/>
          <w:lang w:val="en-GB" w:eastAsia="zh-CN"/>
        </w:rPr>
        <w:object w:dxaOrig="3620" w:dyaOrig="600" w14:anchorId="1436166B">
          <v:shape id="_x0000_i1039" type="#_x0000_t75" style="width:179.7pt;height:30.7pt" o:ole="">
            <v:imagedata r:id="rId37" o:title=""/>
          </v:shape>
          <o:OLEObject Type="Embed" ProgID="Equation.DSMT4" ShapeID="_x0000_i1039" DrawAspect="Content" ObjectID="_1674838654" r:id="rId38"/>
        </w:object>
      </w:r>
      <w:r w:rsidR="00246968" w:rsidRPr="00CE0DE7">
        <w:rPr>
          <w:color w:val="000000"/>
          <w:sz w:val="20"/>
          <w:szCs w:val="20"/>
          <w:lang w:val="en-GB" w:eastAsia="zh-CN"/>
        </w:rPr>
        <w:t xml:space="preserve">     </w:t>
      </w:r>
      <w:r w:rsidR="00640363" w:rsidRPr="00CE0DE7">
        <w:rPr>
          <w:color w:val="000000"/>
          <w:sz w:val="20"/>
          <w:szCs w:val="20"/>
          <w:lang w:val="en-GB" w:eastAsia="zh-CN"/>
        </w:rPr>
        <w:t xml:space="preserve"> </w:t>
      </w:r>
      <w:r w:rsidR="00246968" w:rsidRPr="00CE0DE7">
        <w:rPr>
          <w:color w:val="000000"/>
          <w:sz w:val="20"/>
          <w:szCs w:val="20"/>
          <w:lang w:val="en-GB" w:eastAsia="zh-CN"/>
        </w:rPr>
        <w:t xml:space="preserve"> </w:t>
      </w:r>
      <w:r w:rsidR="00640363" w:rsidRPr="00CE0DE7">
        <w:rPr>
          <w:color w:val="000000"/>
          <w:sz w:val="20"/>
          <w:szCs w:val="20"/>
          <w:lang w:val="en-GB" w:eastAsia="zh-CN"/>
        </w:rPr>
        <w:t xml:space="preserve">   </w:t>
      </w:r>
      <w:r w:rsidR="00246968" w:rsidRPr="00CE0DE7">
        <w:rPr>
          <w:color w:val="000000"/>
          <w:sz w:val="20"/>
          <w:szCs w:val="20"/>
          <w:lang w:val="en-GB" w:eastAsia="zh-CN"/>
        </w:rPr>
        <w:t xml:space="preserve"> </w:t>
      </w:r>
      <w:r>
        <w:rPr>
          <w:color w:val="000000"/>
          <w:sz w:val="20"/>
          <w:szCs w:val="20"/>
          <w:lang w:val="en-GB" w:eastAsia="zh-CN"/>
        </w:rPr>
        <w:t xml:space="preserve">        </w:t>
      </w:r>
      <w:r w:rsidR="00246968" w:rsidRPr="00CE0DE7">
        <w:rPr>
          <w:color w:val="000000"/>
          <w:sz w:val="20"/>
          <w:szCs w:val="20"/>
          <w:lang w:val="en-GB" w:eastAsia="zh-CN"/>
        </w:rPr>
        <w:t xml:space="preserve"> </w:t>
      </w:r>
      <w:r w:rsidR="00640363" w:rsidRPr="00CE0DE7">
        <w:rPr>
          <w:color w:val="000000"/>
          <w:sz w:val="20"/>
          <w:szCs w:val="20"/>
          <w:lang w:val="en-GB" w:eastAsia="zh-CN"/>
        </w:rPr>
        <w:t xml:space="preserve">         </w:t>
      </w:r>
      <w:r w:rsidR="00246968" w:rsidRPr="00CE0DE7">
        <w:rPr>
          <w:color w:val="000000"/>
          <w:sz w:val="20"/>
          <w:szCs w:val="20"/>
          <w:lang w:val="en-GB" w:eastAsia="zh-CN"/>
        </w:rPr>
        <w:t xml:space="preserve">            (</w:t>
      </w:r>
      <w:r w:rsidR="00F71EDB" w:rsidRPr="00CE0DE7">
        <w:rPr>
          <w:color w:val="000000"/>
          <w:sz w:val="20"/>
          <w:szCs w:val="20"/>
          <w:lang w:val="en-GB" w:eastAsia="zh-CN"/>
        </w:rPr>
        <w:t>7</w:t>
      </w:r>
      <w:r w:rsidR="00246968" w:rsidRPr="00CE0DE7">
        <w:rPr>
          <w:color w:val="000000"/>
          <w:sz w:val="20"/>
          <w:szCs w:val="20"/>
          <w:lang w:val="en-GB" w:eastAsia="zh-CN"/>
        </w:rPr>
        <w:t>a)</w:t>
      </w:r>
    </w:p>
    <w:p w14:paraId="540CA6AA" w14:textId="0B500CBD" w:rsidR="00246968" w:rsidRPr="00CE0DE7" w:rsidRDefault="004971D2" w:rsidP="00B01B7C">
      <w:pPr>
        <w:autoSpaceDE w:val="0"/>
        <w:autoSpaceDN w:val="0"/>
        <w:adjustRightInd w:val="0"/>
        <w:snapToGrid w:val="0"/>
        <w:spacing w:after="120" w:line="480" w:lineRule="auto"/>
        <w:ind w:firstLine="720"/>
        <w:jc w:val="right"/>
        <w:rPr>
          <w:color w:val="000000"/>
          <w:sz w:val="20"/>
          <w:szCs w:val="20"/>
          <w:lang w:val="en-GB" w:eastAsia="zh-CN"/>
        </w:rPr>
      </w:pPr>
      <w:r w:rsidRPr="004971D2">
        <w:rPr>
          <w:color w:val="000000"/>
          <w:position w:val="-24"/>
          <w:sz w:val="20"/>
          <w:szCs w:val="20"/>
          <w:lang w:val="en-GB" w:eastAsia="zh-CN"/>
        </w:rPr>
        <w:object w:dxaOrig="3900" w:dyaOrig="600" w14:anchorId="7A06C4AF">
          <v:shape id="_x0000_i1040" type="#_x0000_t75" style="width:194.1pt;height:30.7pt" o:ole="">
            <v:imagedata r:id="rId39" o:title=""/>
          </v:shape>
          <o:OLEObject Type="Embed" ProgID="Equation.DSMT4" ShapeID="_x0000_i1040" DrawAspect="Content" ObjectID="_1674838655" r:id="rId40"/>
        </w:object>
      </w:r>
      <w:r w:rsidR="00246968" w:rsidRPr="00CE0DE7">
        <w:rPr>
          <w:color w:val="000000"/>
          <w:sz w:val="20"/>
          <w:szCs w:val="20"/>
          <w:lang w:val="en-GB" w:eastAsia="zh-CN"/>
        </w:rPr>
        <w:t xml:space="preserve">     </w:t>
      </w:r>
      <w:r>
        <w:rPr>
          <w:color w:val="000000"/>
          <w:sz w:val="20"/>
          <w:szCs w:val="20"/>
          <w:lang w:val="en-GB" w:eastAsia="zh-CN"/>
        </w:rPr>
        <w:t xml:space="preserve">            </w:t>
      </w:r>
      <w:r w:rsidR="00640363" w:rsidRPr="00CE0DE7">
        <w:rPr>
          <w:color w:val="000000"/>
          <w:sz w:val="20"/>
          <w:szCs w:val="20"/>
          <w:lang w:val="en-GB" w:eastAsia="zh-CN"/>
        </w:rPr>
        <w:t xml:space="preserve">       </w:t>
      </w:r>
      <w:r w:rsidR="00246968" w:rsidRPr="00CE0DE7">
        <w:rPr>
          <w:color w:val="000000"/>
          <w:sz w:val="20"/>
          <w:szCs w:val="20"/>
          <w:lang w:val="en-GB" w:eastAsia="zh-CN"/>
        </w:rPr>
        <w:t xml:space="preserve"> </w:t>
      </w:r>
      <w:r w:rsidR="00640363" w:rsidRPr="00CE0DE7">
        <w:rPr>
          <w:color w:val="000000"/>
          <w:sz w:val="20"/>
          <w:szCs w:val="20"/>
          <w:lang w:val="en-GB" w:eastAsia="zh-CN"/>
        </w:rPr>
        <w:t xml:space="preserve">     </w:t>
      </w:r>
      <w:r w:rsidR="00246968" w:rsidRPr="00CE0DE7">
        <w:rPr>
          <w:color w:val="000000"/>
          <w:sz w:val="20"/>
          <w:szCs w:val="20"/>
          <w:lang w:val="en-GB" w:eastAsia="zh-CN"/>
        </w:rPr>
        <w:t xml:space="preserve">         (</w:t>
      </w:r>
      <w:r w:rsidR="00F71EDB" w:rsidRPr="00CE0DE7">
        <w:rPr>
          <w:color w:val="000000"/>
          <w:sz w:val="20"/>
          <w:szCs w:val="20"/>
          <w:lang w:val="en-GB" w:eastAsia="zh-CN"/>
        </w:rPr>
        <w:t>7b</w:t>
      </w:r>
      <w:r w:rsidR="00246968" w:rsidRPr="00CE0DE7">
        <w:rPr>
          <w:color w:val="000000"/>
          <w:sz w:val="20"/>
          <w:szCs w:val="20"/>
          <w:lang w:val="en-GB" w:eastAsia="zh-CN"/>
        </w:rPr>
        <w:t>)</w:t>
      </w:r>
    </w:p>
    <w:p w14:paraId="6A950F6F" w14:textId="05FA0327" w:rsidR="006326B6" w:rsidRPr="00CE0DE7" w:rsidRDefault="00A566CA"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lastRenderedPageBreak/>
        <w:t xml:space="preserve">Tables 5 and 6 report the </w:t>
      </w:r>
      <w:r w:rsidRPr="00CE0DE7">
        <w:rPr>
          <w:i/>
          <w:color w:val="000000"/>
          <w:sz w:val="20"/>
          <w:szCs w:val="20"/>
          <w:lang w:val="en-GB" w:eastAsia="zh-CN"/>
        </w:rPr>
        <w:t>p</w:t>
      </w:r>
      <w:r w:rsidRPr="00CE0DE7">
        <w:rPr>
          <w:color w:val="000000"/>
          <w:sz w:val="20"/>
          <w:szCs w:val="20"/>
          <w:lang w:val="en-GB" w:eastAsia="zh-CN"/>
        </w:rPr>
        <w:t>-value of chi-square statistics for the Toda-Yamamoto Granger non-causality tests based on the bi-variate VAR models without and with control variables, respectively. In order to test the robustness of the results over different sample periods with sufficient observation</w:t>
      </w:r>
      <w:r w:rsidR="004E36E8" w:rsidRPr="00CE0DE7">
        <w:rPr>
          <w:color w:val="000000"/>
          <w:sz w:val="20"/>
          <w:szCs w:val="20"/>
          <w:lang w:val="en-GB" w:eastAsia="zh-CN"/>
        </w:rPr>
        <w:t>s</w:t>
      </w:r>
      <w:r w:rsidRPr="00CE0DE7">
        <w:rPr>
          <w:color w:val="000000"/>
          <w:sz w:val="20"/>
          <w:szCs w:val="20"/>
          <w:lang w:val="en-GB" w:eastAsia="zh-CN"/>
        </w:rPr>
        <w:t xml:space="preserve">, we conduct the test over </w:t>
      </w:r>
      <w:r w:rsidR="00C50EEB" w:rsidRPr="00CE0DE7">
        <w:rPr>
          <w:color w:val="000000"/>
          <w:sz w:val="20"/>
          <w:szCs w:val="20"/>
          <w:lang w:val="en-GB" w:eastAsia="zh-CN"/>
        </w:rPr>
        <w:t>four</w:t>
      </w:r>
      <w:r w:rsidRPr="00CE0DE7">
        <w:rPr>
          <w:color w:val="000000"/>
          <w:sz w:val="20"/>
          <w:szCs w:val="20"/>
          <w:lang w:val="en-GB" w:eastAsia="zh-CN"/>
        </w:rPr>
        <w:t xml:space="preserve"> 23-year rolling windows: 1990-2012, 1992-20</w:t>
      </w:r>
      <w:r w:rsidR="00C50EEB" w:rsidRPr="00CE0DE7">
        <w:rPr>
          <w:color w:val="000000"/>
          <w:sz w:val="20"/>
          <w:szCs w:val="20"/>
          <w:lang w:val="en-GB" w:eastAsia="zh-CN"/>
        </w:rPr>
        <w:t>14,</w:t>
      </w:r>
      <w:r w:rsidRPr="00CE0DE7">
        <w:rPr>
          <w:color w:val="000000"/>
          <w:sz w:val="20"/>
          <w:szCs w:val="20"/>
          <w:lang w:val="en-GB" w:eastAsia="zh-CN"/>
        </w:rPr>
        <w:t xml:space="preserve"> 1994-2016</w:t>
      </w:r>
      <w:r w:rsidR="004E36E8" w:rsidRPr="00CE0DE7">
        <w:rPr>
          <w:color w:val="000000"/>
          <w:sz w:val="20"/>
          <w:szCs w:val="20"/>
          <w:lang w:val="en-GB" w:eastAsia="zh-CN"/>
        </w:rPr>
        <w:t>,</w:t>
      </w:r>
      <w:r w:rsidR="00C50EEB" w:rsidRPr="00CE0DE7">
        <w:rPr>
          <w:color w:val="000000"/>
          <w:sz w:val="20"/>
          <w:szCs w:val="20"/>
          <w:lang w:val="en-GB" w:eastAsia="zh-CN"/>
        </w:rPr>
        <w:t xml:space="preserve"> and 1996-2018</w:t>
      </w:r>
      <w:r w:rsidRPr="00CE0DE7">
        <w:rPr>
          <w:color w:val="000000"/>
          <w:sz w:val="20"/>
          <w:szCs w:val="20"/>
          <w:lang w:val="en-GB" w:eastAsia="zh-CN"/>
        </w:rPr>
        <w:t xml:space="preserve">. We reach the same conclusions as those based on </w:t>
      </w:r>
      <w:r w:rsidR="00C50EEB" w:rsidRPr="00CE0DE7">
        <w:rPr>
          <w:color w:val="000000"/>
          <w:sz w:val="20"/>
          <w:szCs w:val="20"/>
          <w:lang w:val="en-GB" w:eastAsia="zh-CN"/>
        </w:rPr>
        <w:t>tri</w:t>
      </w:r>
      <w:r w:rsidRPr="00CE0DE7">
        <w:rPr>
          <w:color w:val="000000"/>
          <w:sz w:val="20"/>
          <w:szCs w:val="20"/>
          <w:lang w:val="en-GB" w:eastAsia="zh-CN"/>
        </w:rPr>
        <w:t>-variate VAR models: changes in the VRP drive innovation</w:t>
      </w:r>
      <w:r w:rsidR="004E36E8" w:rsidRPr="00CE0DE7">
        <w:rPr>
          <w:color w:val="000000"/>
          <w:sz w:val="20"/>
          <w:szCs w:val="20"/>
          <w:lang w:val="en-GB" w:eastAsia="zh-CN"/>
        </w:rPr>
        <w:t>s</w:t>
      </w:r>
      <w:r w:rsidRPr="00CE0DE7">
        <w:rPr>
          <w:color w:val="000000"/>
          <w:sz w:val="20"/>
          <w:szCs w:val="20"/>
          <w:lang w:val="en-GB" w:eastAsia="zh-CN"/>
        </w:rPr>
        <w:t xml:space="preserve"> in stock returns and stock returns affect illiquidity. For the relation between illiquidity and the VRP, we find no evidence of illiquidity driving the VRP, while there is an </w:t>
      </w:r>
      <w:r w:rsidR="004E36E8" w:rsidRPr="00CE0DE7">
        <w:rPr>
          <w:color w:val="000000"/>
          <w:sz w:val="20"/>
          <w:szCs w:val="20"/>
          <w:lang w:val="en-GB" w:eastAsia="zh-CN"/>
        </w:rPr>
        <w:t xml:space="preserve">evident </w:t>
      </w:r>
      <w:r w:rsidRPr="00CE0DE7">
        <w:rPr>
          <w:color w:val="000000"/>
          <w:sz w:val="20"/>
          <w:szCs w:val="20"/>
          <w:lang w:val="en-GB" w:eastAsia="zh-CN"/>
        </w:rPr>
        <w:t xml:space="preserve">causal relationship from the VRP to illiquidity in most cases. </w:t>
      </w:r>
      <w:r w:rsidR="004E36E8" w:rsidRPr="00CE0DE7">
        <w:rPr>
          <w:color w:val="000000"/>
          <w:sz w:val="20"/>
          <w:szCs w:val="20"/>
          <w:lang w:val="en-GB" w:eastAsia="zh-CN"/>
        </w:rPr>
        <w:t xml:space="preserve">We also </w:t>
      </w:r>
      <w:r w:rsidRPr="00CE0DE7">
        <w:rPr>
          <w:color w:val="000000"/>
          <w:sz w:val="20"/>
          <w:szCs w:val="20"/>
          <w:lang w:val="en-GB" w:eastAsia="zh-CN"/>
        </w:rPr>
        <w:t>divide the entire sample period into pre- and post-financial crisis windows (1990-2006 and 2007-201</w:t>
      </w:r>
      <w:r w:rsidR="00C50EEB" w:rsidRPr="00CE0DE7">
        <w:rPr>
          <w:color w:val="000000"/>
          <w:sz w:val="20"/>
          <w:szCs w:val="20"/>
          <w:lang w:val="en-GB" w:eastAsia="zh-CN"/>
        </w:rPr>
        <w:t>8</w:t>
      </w:r>
      <w:r w:rsidRPr="00CE0DE7">
        <w:rPr>
          <w:color w:val="000000"/>
          <w:sz w:val="20"/>
          <w:szCs w:val="20"/>
          <w:lang w:val="en-GB" w:eastAsia="zh-CN"/>
        </w:rPr>
        <w:t xml:space="preserve">), and the results remain </w:t>
      </w:r>
      <w:r w:rsidR="004E36E8" w:rsidRPr="00CE0DE7">
        <w:rPr>
          <w:color w:val="000000"/>
          <w:sz w:val="20"/>
          <w:szCs w:val="20"/>
          <w:lang w:val="en-GB" w:eastAsia="zh-CN"/>
        </w:rPr>
        <w:t xml:space="preserve">qualitatively the same. These </w:t>
      </w:r>
      <w:r w:rsidRPr="00CE0DE7">
        <w:rPr>
          <w:color w:val="000000"/>
          <w:sz w:val="20"/>
          <w:szCs w:val="20"/>
          <w:lang w:val="en-GB" w:eastAsia="zh-CN"/>
        </w:rPr>
        <w:t>results are available upon request.</w:t>
      </w:r>
    </w:p>
    <w:p w14:paraId="2C9918CD" w14:textId="51CE7E5A" w:rsidR="00EE26D0" w:rsidRPr="00CE0DE7" w:rsidRDefault="00EE26D0" w:rsidP="00196F3B">
      <w:pPr>
        <w:autoSpaceDE w:val="0"/>
        <w:autoSpaceDN w:val="0"/>
        <w:adjustRightInd w:val="0"/>
        <w:snapToGrid w:val="0"/>
        <w:spacing w:before="240" w:after="240" w:line="480" w:lineRule="auto"/>
        <w:ind w:firstLine="720"/>
        <w:jc w:val="center"/>
        <w:rPr>
          <w:color w:val="000000"/>
          <w:sz w:val="20"/>
          <w:szCs w:val="20"/>
          <w:lang w:val="en-GB" w:eastAsia="zh-CN"/>
        </w:rPr>
      </w:pPr>
      <w:r w:rsidRPr="00CE0DE7">
        <w:rPr>
          <w:color w:val="000000"/>
          <w:sz w:val="20"/>
          <w:szCs w:val="20"/>
          <w:lang w:val="en-GB" w:eastAsia="zh-CN"/>
        </w:rPr>
        <w:t>[Insert Table</w:t>
      </w:r>
      <w:r w:rsidR="009A3796" w:rsidRPr="00CE0DE7">
        <w:rPr>
          <w:color w:val="000000"/>
          <w:sz w:val="20"/>
          <w:szCs w:val="20"/>
          <w:lang w:val="en-GB" w:eastAsia="zh-CN"/>
        </w:rPr>
        <w:t>s</w:t>
      </w:r>
      <w:r w:rsidRPr="00CE0DE7">
        <w:rPr>
          <w:color w:val="000000"/>
          <w:sz w:val="20"/>
          <w:szCs w:val="20"/>
          <w:lang w:val="en-GB" w:eastAsia="zh-CN"/>
        </w:rPr>
        <w:t xml:space="preserve"> </w:t>
      </w:r>
      <w:r w:rsidR="00093C95" w:rsidRPr="00CE0DE7">
        <w:rPr>
          <w:color w:val="000000"/>
          <w:sz w:val="20"/>
          <w:szCs w:val="20"/>
          <w:lang w:val="en-GB" w:eastAsia="zh-CN"/>
        </w:rPr>
        <w:t xml:space="preserve">5 &amp; </w:t>
      </w:r>
      <w:r w:rsidR="00F71EDB" w:rsidRPr="00CE0DE7">
        <w:rPr>
          <w:color w:val="000000"/>
          <w:sz w:val="20"/>
          <w:szCs w:val="20"/>
          <w:lang w:val="en-GB" w:eastAsia="zh-CN"/>
        </w:rPr>
        <w:t xml:space="preserve">6 </w:t>
      </w:r>
      <w:r w:rsidRPr="00CE0DE7">
        <w:rPr>
          <w:color w:val="000000"/>
          <w:sz w:val="20"/>
          <w:szCs w:val="20"/>
          <w:lang w:val="en-GB" w:eastAsia="zh-CN"/>
        </w:rPr>
        <w:t>around here]</w:t>
      </w:r>
    </w:p>
    <w:p w14:paraId="43D1EE3A" w14:textId="62BD8EE8" w:rsidR="00093C95" w:rsidRPr="00CE0DE7" w:rsidRDefault="00093C95"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Overall, the results from the Toda-Yamamoto Granger non-causality test with </w:t>
      </w:r>
      <w:r w:rsidR="004E36E8" w:rsidRPr="00CE0DE7">
        <w:rPr>
          <w:color w:val="000000"/>
          <w:sz w:val="20"/>
          <w:szCs w:val="20"/>
          <w:lang w:val="en-GB" w:eastAsia="zh-CN"/>
        </w:rPr>
        <w:t>tr</w:t>
      </w:r>
      <w:r w:rsidRPr="00CE0DE7">
        <w:rPr>
          <w:color w:val="000000"/>
          <w:sz w:val="20"/>
          <w:szCs w:val="20"/>
          <w:lang w:val="en-GB" w:eastAsia="zh-CN"/>
        </w:rPr>
        <w:t xml:space="preserve">i- and </w:t>
      </w:r>
      <w:r w:rsidR="004E36E8" w:rsidRPr="00CE0DE7">
        <w:rPr>
          <w:color w:val="000000"/>
          <w:sz w:val="20"/>
          <w:szCs w:val="20"/>
          <w:lang w:val="en-GB" w:eastAsia="zh-CN"/>
        </w:rPr>
        <w:t>bi</w:t>
      </w:r>
      <w:r w:rsidRPr="00CE0DE7">
        <w:rPr>
          <w:color w:val="000000"/>
          <w:sz w:val="20"/>
          <w:szCs w:val="20"/>
          <w:lang w:val="en-GB" w:eastAsia="zh-CN"/>
        </w:rPr>
        <w:t xml:space="preserve">-variate VAR models provide strong evidence to suggest that investor risk aversion Granger-causes stock market returns, and in turn, affects illiquidity. This further supports the evidence that innovations in investor risk aversion cause variations in market returns </w:t>
      </w:r>
      <w:r w:rsidR="00E71ED9" w:rsidRPr="00CE0DE7">
        <w:rPr>
          <w:color w:val="000000"/>
          <w:sz w:val="20"/>
          <w:szCs w:val="20"/>
          <w:lang w:val="en-GB" w:eastAsia="zh-CN"/>
        </w:rPr>
        <w:fldChar w:fldCharType="begin" w:fldLock="1"/>
      </w:r>
      <w:r w:rsidR="00DC30A0">
        <w:rPr>
          <w:color w:val="000000"/>
          <w:sz w:val="20"/>
          <w:szCs w:val="20"/>
          <w:lang w:val="en-GB" w:eastAsia="zh-CN"/>
        </w:rPr>
        <w:instrText>ADDIN CSL_CITATION {"citationItems":[{"id":"ITEM-1","itemData":{"ISSN":"0893-9454","abstract":"Motivated by the implications from a stylized self-contained general equilibrium model incorporating the effects of time-varying economic uncertainty, we show that the difference between implied and realized variation, or the variance risk premium, is able to explain a nontrivial fraction of the time-series variation in post-1990 aggregate stock market returns, with high (low) premia predicting high (low) future returns. Our empirical results depend crucially on the use of \"model-free,\" as opposed to Black-Scholes, options implied volatilities, along with accurate realized variation measures constructed from high-frequency intraday as opposed to daily data. The magnitude of the predictability is particularly strong at the intermediate quarterly return horizon, where it dominates that afforded by other popular predictor variables, such as the P/E ratio, the default spread, and the consumption-wealth ratio.","author":[{"dropping-particle":"","family":"Bollerslev","given":"Tim","non-dropping-particle":"","parse-names":false,"suffix":""},{"dropping-particle":"","family":"Tauchen","given":"George","non-dropping-particle":"","parse-names":false,"suffix":""},{"dropping-particle":"","family":"Zhou","given":"Hao","non-dropping-particle":"","parse-names":false,"suffix":""}],"container-title":"Review of Financial Studies","id":"ITEM-1","issue":"11","issued":{"date-parts":[["2009","11","1"]]},"page":"4463-4492","publisher":"Oxford Academic","title":"Expected stock returns and variance risk premia","type":"article-journal","volume":"22"},"uris":["http://www.mendeley.com/documents/?uuid=45d1ad30-ca4b-3155-bafd-b3e4bfaf3cf7"]},{"id":"ITEM-2","itemData":{"ISSN":"0893-9454","abstract":"Uncertainty plays a key role in economics, finance, and decision sciences. Financial markets, in particular derivative markets, provide fertile ground for understanding how perceptions of economic uncertainty and cash-flow risk manifest themselves in asset prices. We demonstrate that the variance premium, defined as the difference between the squared VIX index and expected realized variance, captures attitudes toward uncertainty. We show conditions under which the variance premium displays significant time variation and return predictability. A calibrated, generalized long-run risks model generates a variance premium with time variation and return predictability that is consistent with the data, while simultaneously matching the levels and volatilities of the market return and risk-free rate. Our evidence indicates an important role for transient non-Gaussian shocks to fundamentals that affect agents' views of economic uncertainty and prices. © The Author 2010.","author":[{"dropping-particle":"","family":"Drechsler","given":"Itamar","non-dropping-particle":"","parse-names":false,"suffix":""},{"dropping-particle":"","family":"Yaron","given":"Amir","non-dropping-particle":"","parse-names":false,"suffix":""}],"container-title":"Review of Financial Studies","id":"ITEM-2","issue":"1","issued":{"date-parts":[["2011","1","1"]]},"page":"1-45","publisher":"Oxford Academic","title":"What's vol got to do with it","type":"article-journal","volume":"24"},"uris":["http://www.mendeley.com/documents/?uuid=5678d2c9-a394-3c94-b405-0115086bc06a"]}],"mendeley":{"formattedCitation":"(Bollerslev et al. 2009; Drechsler and Yaron 2011)","plainTextFormattedCitation":"(Bollerslev et al. 2009; Drechsler and Yaron 2011)","previouslyFormattedCitation":"(Bollerslev et al. 2009; Drechsler and Yaron 2011)"},"properties":{"noteIndex":0},"schema":"https://github.com/citation-style-language/schema/raw/master/csl-citation.json"}</w:instrText>
      </w:r>
      <w:r w:rsidR="00E71ED9" w:rsidRPr="00CE0DE7">
        <w:rPr>
          <w:color w:val="000000"/>
          <w:sz w:val="20"/>
          <w:szCs w:val="20"/>
          <w:lang w:val="en-GB" w:eastAsia="zh-CN"/>
        </w:rPr>
        <w:fldChar w:fldCharType="separate"/>
      </w:r>
      <w:r w:rsidR="00E71ED9" w:rsidRPr="00CE0DE7">
        <w:rPr>
          <w:noProof/>
          <w:color w:val="000000"/>
          <w:sz w:val="20"/>
          <w:szCs w:val="20"/>
          <w:lang w:val="en-GB" w:eastAsia="zh-CN"/>
        </w:rPr>
        <w:t>(Bollerslev et al. 2009; Drechsler and Yaron 2011)</w:t>
      </w:r>
      <w:r w:rsidR="00E71ED9" w:rsidRPr="00CE0DE7">
        <w:rPr>
          <w:color w:val="000000"/>
          <w:sz w:val="20"/>
          <w:szCs w:val="20"/>
          <w:lang w:val="en-GB" w:eastAsia="zh-CN"/>
        </w:rPr>
        <w:fldChar w:fldCharType="end"/>
      </w:r>
      <w:r w:rsidRPr="00CE0DE7">
        <w:rPr>
          <w:color w:val="000000"/>
          <w:sz w:val="20"/>
          <w:szCs w:val="20"/>
          <w:lang w:val="en-GB" w:eastAsia="zh-CN"/>
        </w:rPr>
        <w:t xml:space="preserve"> and sheds light on the debate </w:t>
      </w:r>
      <w:r w:rsidRPr="00CE0DE7">
        <w:rPr>
          <w:color w:val="000000"/>
          <w:sz w:val="20"/>
          <w:szCs w:val="20"/>
          <w:lang w:val="en-GB"/>
        </w:rPr>
        <w:t xml:space="preserve">over causality between stock returns and liquidity. More importantly, our results concur with the arguments for the role played by aggregate risk aversion and economic uncertainty </w:t>
      </w:r>
      <w:r w:rsidR="00E71ED9" w:rsidRPr="00CE0DE7">
        <w:rPr>
          <w:color w:val="000000"/>
          <w:sz w:val="20"/>
          <w:szCs w:val="20"/>
          <w:lang w:val="en-GB" w:eastAsia="zh-CN"/>
        </w:rPr>
        <w:fldChar w:fldCharType="begin" w:fldLock="1"/>
      </w:r>
      <w:r w:rsidR="00E67DF0" w:rsidRPr="00CE0DE7">
        <w:rPr>
          <w:color w:val="000000"/>
          <w:sz w:val="20"/>
          <w:szCs w:val="20"/>
          <w:lang w:val="en-GB" w:eastAsia="zh-CN"/>
        </w:rPr>
        <w:instrText>ADDIN CSL_CITATION {"citationItems":[{"id":"ITEM-1","itemData":{"ISSN":"15446123","abstract":"In this study we provide evidence regarding the effect of macroeconomic uncertainty on stock market liquidity by analyzing the time-series relation between both types of macroeconomic uncertainty shocks: good and bad uncertainty and various measures of liquidity. Our study also sheds light on whether the impact of macroeconomic uncertainty on liquidity varies with information environment by examining the effects of investor competition over information on the relation between good and bad uncertainty and liquidity in the Taiwan markets. We find that there is a negative (positive) relation between bad (good) uncertainty and the subsequent liquidity of stocks. We also find that the magnitude of the impact of bad uncertainty on stock market liquidity is larger than good uncertainty. On the other side, macroeconomic uncertainty would exerts a larger impact on liquidity when the market is imperfectly competitive.","author":[{"dropping-particle":"","family":"Chiu","given":"Yen Chen","non-dropping-particle":"","parse-names":false,"suffix":""}],"container-title":"Finance Research Letters","id":"ITEM-1","issued":{"date-parts":[["2020","5","1"]]},"page":"101262","publisher":"Elsevier Ltd","title":"Macroeconomic uncertainty, information competition, and liquidity","type":"article-journal","volume":"34"},"uris":["http://www.mendeley.com/documents/?uuid=88b43f44-8df2-332b-ac7a-65ef056d436d"]},{"id":"ITEM-2","itemData":{"ISSN":"0304405X","abstract":"In this study we show that market uncertainty [measured by the Chicago Board Options Exchange Market Volatility Index (VIX)] exerts a large market-wide impact on liquidity, which gives rise to co-movements in individual asset liquidity. The effect of VIX on stock liquidity is greater than the combined effects of all other common determinants of stock liquidity. We show that the uncertainty elasticity of liquidity (UEL: percent change in liquidity given a 1% change in VIX) has increased around regulatory changes in the US markets that increased the role of public traders in liquidity provision, reduced the minimum allowable price variation, weakened the affirmative obligation of NASDAQ dealers, and abolished the specialist system on the NYSE. © 2014 Elsevier B.V.","author":[{"dropping-particle":"","family":"Chung","given":"Kee H.","non-dropping-particle":"","parse-names":false,"suffix":""},{"dropping-particle":"","family":"Chuwonganant","given":"Chairat","non-dropping-particle":"","parse-names":false,"suffix":""}],"container-title":"Journal of Financial Economics","id":"ITEM-2","issue":"3","issued":{"date-parts":[["2014","9","1"]]},"page":"476-499","publisher":"Elsevier","title":"Uncertainty, market structure, and liquidity","type":"article-journal","volume":"113"},"uris":["http://www.mendeley.com/documents/?uuid=2fb8e6f0-0787-3423-9bc1-164dbeca43f9"]},{"id":"ITEM-3","itemData":{"ISSN":"0893-9454","abstract":"We analyze how asymmetric information and imperfect competition affect liquidity and asset prices. Our model has three periods: Agents are identical in the first, become heterogeneous and trade in the second, and consume asset payoffs in the third. We show that asymmetric information in the second period raises ex ante expected asset returns in the first, comparing both to the case where all private signals are made public and to that where private signals are not observed. Imperfect competition can instead lower expected returns. Each imperfection can move common measures of illiquidity in opposite directions. © The Author 2011. Published by Oxford University Press on behalf of The Society for Financial Studies. All rights reserved.","author":[{"dropping-particle":"","family":"Vayanos","given":"Dimitri","non-dropping-particle":"","parse-names":false,"suffix":""},{"dropping-particle":"","family":"Wang","given":"Jiang","non-dropping-particle":"","parse-names":false,"suffix":""}],"container-title":"Review of Financial Studies","id":"ITEM-3","issue":"5","issued":{"date-parts":[["2012","5","1"]]},"page":"1339-1365","publisher":"Oxford Academic","title":"Liquidity and asset returns Under asymmetric information and imperfect competition","type":"article-journal","volume":"25"},"uris":["http://www.mendeley.com/documents/?uuid=c06d6347-7e54-384c-b984-98dfe90a35ed"]}],"mendeley":{"formattedCitation":"(Vayanos and Wang 2012; Chung and Chuwonganant 2014; Chiu 2020)","plainTextFormattedCitation":"(Vayanos and Wang 2012; Chung and Chuwonganant 2014; Chiu 2020)","previouslyFormattedCitation":"(Vayanos and Wang 2012; Chung and Chuwonganant 2014; Chiu 2020)"},"properties":{"noteIndex":0},"schema":"https://github.com/citation-style-language/schema/raw/master/csl-citation.json"}</w:instrText>
      </w:r>
      <w:r w:rsidR="00E71ED9" w:rsidRPr="00CE0DE7">
        <w:rPr>
          <w:color w:val="000000"/>
          <w:sz w:val="20"/>
          <w:szCs w:val="20"/>
          <w:lang w:val="en-GB" w:eastAsia="zh-CN"/>
        </w:rPr>
        <w:fldChar w:fldCharType="separate"/>
      </w:r>
      <w:r w:rsidR="00E71ED9" w:rsidRPr="00CE0DE7">
        <w:rPr>
          <w:noProof/>
          <w:color w:val="000000"/>
          <w:sz w:val="20"/>
          <w:szCs w:val="20"/>
          <w:lang w:val="en-GB" w:eastAsia="zh-CN"/>
        </w:rPr>
        <w:t>(Vayanos and Wang 2012; Chung and Chuwonganant 2014; Chiu 2020)</w:t>
      </w:r>
      <w:r w:rsidR="00E71ED9" w:rsidRPr="00CE0DE7">
        <w:rPr>
          <w:color w:val="000000"/>
          <w:sz w:val="20"/>
          <w:szCs w:val="20"/>
          <w:lang w:val="en-GB" w:eastAsia="zh-CN"/>
        </w:rPr>
        <w:fldChar w:fldCharType="end"/>
      </w:r>
      <w:r w:rsidRPr="00CE0DE7">
        <w:rPr>
          <w:color w:val="000000"/>
          <w:sz w:val="20"/>
          <w:szCs w:val="20"/>
          <w:lang w:val="en-GB"/>
        </w:rPr>
        <w:t xml:space="preserve"> by revealing new evidence on the direct relation between the VRP and stock market liquidity and that </w:t>
      </w:r>
      <w:r w:rsidRPr="00CE0DE7">
        <w:rPr>
          <w:sz w:val="20"/>
          <w:szCs w:val="20"/>
          <w:lang w:val="en-GB" w:eastAsia="zh-CN"/>
        </w:rPr>
        <w:t xml:space="preserve">VRP </w:t>
      </w:r>
      <w:r w:rsidR="004E36E8" w:rsidRPr="00CE0DE7">
        <w:rPr>
          <w:sz w:val="20"/>
          <w:szCs w:val="20"/>
          <w:lang w:val="en-GB" w:eastAsia="zh-CN"/>
        </w:rPr>
        <w:t>exhibits</w:t>
      </w:r>
      <w:r w:rsidRPr="00CE0DE7">
        <w:rPr>
          <w:sz w:val="20"/>
          <w:szCs w:val="20"/>
          <w:lang w:val="en-GB" w:eastAsia="zh-CN"/>
        </w:rPr>
        <w:t xml:space="preserve"> strong predictability not only on stock returns but also </w:t>
      </w:r>
      <w:r w:rsidR="004E36E8" w:rsidRPr="00CE0DE7">
        <w:rPr>
          <w:sz w:val="20"/>
          <w:szCs w:val="20"/>
          <w:lang w:val="en-GB" w:eastAsia="zh-CN"/>
        </w:rPr>
        <w:t xml:space="preserve">on </w:t>
      </w:r>
      <w:r w:rsidRPr="00CE0DE7">
        <w:rPr>
          <w:sz w:val="20"/>
          <w:szCs w:val="20"/>
          <w:lang w:val="en-GB" w:eastAsia="zh-CN"/>
        </w:rPr>
        <w:t>liquidity</w:t>
      </w:r>
      <w:r w:rsidRPr="00CE0DE7">
        <w:rPr>
          <w:color w:val="000000"/>
          <w:sz w:val="20"/>
          <w:szCs w:val="20"/>
          <w:lang w:val="en-GB" w:eastAsia="zh-CN"/>
        </w:rPr>
        <w:t>.</w:t>
      </w:r>
    </w:p>
    <w:p w14:paraId="1C4A7F95" w14:textId="77777777" w:rsidR="00953215" w:rsidRPr="00CE0DE7" w:rsidRDefault="00953215" w:rsidP="00BE0037">
      <w:pPr>
        <w:autoSpaceDE w:val="0"/>
        <w:autoSpaceDN w:val="0"/>
        <w:adjustRightInd w:val="0"/>
        <w:snapToGrid w:val="0"/>
        <w:spacing w:line="480" w:lineRule="auto"/>
        <w:ind w:firstLineChars="300" w:firstLine="600"/>
        <w:jc w:val="both"/>
        <w:rPr>
          <w:color w:val="000000"/>
          <w:sz w:val="20"/>
          <w:szCs w:val="20"/>
          <w:lang w:val="en-GB" w:eastAsia="zh-CN"/>
        </w:rPr>
      </w:pPr>
    </w:p>
    <w:p w14:paraId="070C49EA" w14:textId="710D2D86" w:rsidR="005A7DC1" w:rsidRPr="00CE0DE7" w:rsidRDefault="00953215" w:rsidP="00D51ACE">
      <w:pPr>
        <w:pStyle w:val="2"/>
        <w:spacing w:after="240"/>
        <w:rPr>
          <w:rStyle w:val="a7"/>
          <w:rFonts w:eastAsia="宋体" w:cs="Times New Roman"/>
          <w:i/>
          <w:iCs w:val="0"/>
          <w:sz w:val="20"/>
          <w:szCs w:val="20"/>
          <w:lang w:eastAsia="zh-CN"/>
        </w:rPr>
      </w:pPr>
      <w:r w:rsidRPr="00CE0DE7">
        <w:rPr>
          <w:rStyle w:val="a7"/>
          <w:rFonts w:cs="Times New Roman"/>
          <w:i/>
          <w:iCs w:val="0"/>
          <w:sz w:val="20"/>
          <w:szCs w:val="20"/>
          <w:lang w:eastAsia="zh-CN"/>
        </w:rPr>
        <w:t xml:space="preserve">4.2 </w:t>
      </w:r>
      <w:r w:rsidR="00377535" w:rsidRPr="00CE0DE7">
        <w:rPr>
          <w:rStyle w:val="a7"/>
          <w:rFonts w:cs="Times New Roman"/>
          <w:i/>
          <w:iCs w:val="0"/>
          <w:sz w:val="20"/>
          <w:szCs w:val="20"/>
          <w:lang w:eastAsia="zh-CN"/>
        </w:rPr>
        <w:t xml:space="preserve">The </w:t>
      </w:r>
      <w:r w:rsidR="007E6C3D" w:rsidRPr="00CE0DE7">
        <w:rPr>
          <w:rStyle w:val="a7"/>
          <w:rFonts w:cs="Times New Roman"/>
          <w:i/>
          <w:iCs w:val="0"/>
          <w:sz w:val="20"/>
          <w:szCs w:val="20"/>
          <w:lang w:eastAsia="zh-CN"/>
        </w:rPr>
        <w:t>i</w:t>
      </w:r>
      <w:r w:rsidR="00580AA9" w:rsidRPr="00CE0DE7">
        <w:rPr>
          <w:rStyle w:val="a7"/>
          <w:rFonts w:cs="Times New Roman"/>
          <w:i/>
          <w:iCs w:val="0"/>
          <w:sz w:val="20"/>
          <w:szCs w:val="20"/>
        </w:rPr>
        <w:t xml:space="preserve">mpulse </w:t>
      </w:r>
      <w:r w:rsidR="007E6C3D" w:rsidRPr="00CE0DE7">
        <w:rPr>
          <w:rStyle w:val="a7"/>
          <w:rFonts w:cs="Times New Roman"/>
          <w:i/>
          <w:iCs w:val="0"/>
          <w:sz w:val="20"/>
          <w:szCs w:val="20"/>
          <w:lang w:eastAsia="zh-CN"/>
        </w:rPr>
        <w:t>r</w:t>
      </w:r>
      <w:r w:rsidR="00377535" w:rsidRPr="00CE0DE7">
        <w:rPr>
          <w:rStyle w:val="a7"/>
          <w:rFonts w:cs="Times New Roman"/>
          <w:i/>
          <w:iCs w:val="0"/>
          <w:sz w:val="20"/>
          <w:szCs w:val="20"/>
        </w:rPr>
        <w:t>esponse</w:t>
      </w:r>
    </w:p>
    <w:p w14:paraId="1545B576" w14:textId="71270FA2" w:rsidR="00580AA9" w:rsidRPr="00CE0DE7" w:rsidRDefault="006A74F5" w:rsidP="00BD081C">
      <w:pPr>
        <w:pStyle w:val="10"/>
        <w:autoSpaceDE w:val="0"/>
        <w:autoSpaceDN w:val="0"/>
        <w:adjustRightInd w:val="0"/>
        <w:snapToGrid w:val="0"/>
        <w:spacing w:line="480" w:lineRule="auto"/>
        <w:ind w:left="0" w:firstLine="425"/>
        <w:jc w:val="both"/>
        <w:rPr>
          <w:color w:val="000000"/>
          <w:sz w:val="20"/>
          <w:szCs w:val="20"/>
          <w:lang w:val="en-GB" w:eastAsia="zh-CN"/>
        </w:rPr>
      </w:pPr>
      <w:r w:rsidRPr="00CE0DE7">
        <w:rPr>
          <w:rStyle w:val="a7"/>
          <w:i w:val="0"/>
          <w:color w:val="000000"/>
          <w:sz w:val="20"/>
          <w:szCs w:val="20"/>
          <w:lang w:eastAsia="zh-CN"/>
        </w:rPr>
        <w:t>Following Koop et al</w:t>
      </w:r>
      <w:r w:rsidR="00767F0D" w:rsidRPr="00CE0DE7">
        <w:rPr>
          <w:rStyle w:val="a7"/>
          <w:i w:val="0"/>
          <w:color w:val="000000"/>
          <w:sz w:val="20"/>
          <w:szCs w:val="20"/>
          <w:lang w:eastAsia="zh-CN"/>
        </w:rPr>
        <w:t>.</w:t>
      </w:r>
      <w:r w:rsidRPr="00CE0DE7">
        <w:rPr>
          <w:rStyle w:val="a7"/>
          <w:i w:val="0"/>
          <w:color w:val="000000"/>
          <w:sz w:val="20"/>
          <w:szCs w:val="20"/>
          <w:lang w:eastAsia="zh-CN"/>
        </w:rPr>
        <w:t xml:space="preserve"> </w:t>
      </w:r>
      <w:r w:rsidR="00E71ED9" w:rsidRPr="00CE0DE7">
        <w:rPr>
          <w:rStyle w:val="a7"/>
          <w:i w:val="0"/>
          <w:color w:val="000000"/>
          <w:sz w:val="20"/>
          <w:szCs w:val="20"/>
          <w:lang w:eastAsia="zh-CN"/>
        </w:rPr>
        <w:fldChar w:fldCharType="begin" w:fldLock="1"/>
      </w:r>
      <w:r w:rsidR="00E71ED9" w:rsidRPr="00CE0DE7">
        <w:rPr>
          <w:rStyle w:val="a7"/>
          <w:i w:val="0"/>
          <w:color w:val="000000"/>
          <w:sz w:val="20"/>
          <w:szCs w:val="20"/>
          <w:lang w:eastAsia="zh-CN"/>
        </w:rPr>
        <w:instrText>ADDIN CSL_CITATION {"citationItems":[{"id":"ITEM-1","itemData":{"ISSN":"03044076","abstract":"This paper presents a unified approach to impulse response analysis which can be used for both linear and nonlinear multivariate models. After discussing the advantages and disadvantages of traditional impulse response functions for nonlinear models, we introduce the concept of a generalized impulse response function which, we argue, is applicable to both linear and nonlinear models. We develop measures of shock persistence and asymmetric effects of shocks derived from the generalized impulse response function. We illustrate the use of these measures for a nonlinear bivariate model of US output and the unemployment rate.","author":[{"dropping-particle":"","family":"Koop","given":"Gary","non-dropping-particle":"","parse-names":false,"suffix":""},{"dropping-particle":"","family":"Pesaran","given":"M. Hashem","non-dropping-particle":"","parse-names":false,"suffix":""},{"dropping-particle":"","family":"Potter","given":"Simon M.","non-dropping-particle":"","parse-names":false,"suffix":""}],"container-title":"Journal of Econometrics","id":"ITEM-1","issue":"1","issued":{"date-parts":[["1996","9","1"]]},"page":"119-147","publisher":"Elsevier BV","title":"Impulse response analysis in nonlinear multivariate models","type":"article-journal","volume":"74"},"suppress-author":1,"uris":["http://www.mendeley.com/documents/?uuid=6f0c9462-7e4f-3ea5-bc3e-64a673abc009"]}],"mendeley":{"formattedCitation":"(1996)","plainTextFormattedCitation":"(1996)","previouslyFormattedCitation":"(1996)"},"properties":{"noteIndex":0},"schema":"https://github.com/citation-style-language/schema/raw/master/csl-citation.json"}</w:instrText>
      </w:r>
      <w:r w:rsidR="00E71ED9" w:rsidRPr="00CE0DE7">
        <w:rPr>
          <w:rStyle w:val="a7"/>
          <w:i w:val="0"/>
          <w:color w:val="000000"/>
          <w:sz w:val="20"/>
          <w:szCs w:val="20"/>
          <w:lang w:eastAsia="zh-CN"/>
        </w:rPr>
        <w:fldChar w:fldCharType="separate"/>
      </w:r>
      <w:r w:rsidR="00E71ED9" w:rsidRPr="00CE0DE7">
        <w:rPr>
          <w:rStyle w:val="a7"/>
          <w:i w:val="0"/>
          <w:noProof/>
          <w:color w:val="000000"/>
          <w:sz w:val="20"/>
          <w:szCs w:val="20"/>
          <w:lang w:eastAsia="zh-CN"/>
        </w:rPr>
        <w:t>(1996)</w:t>
      </w:r>
      <w:r w:rsidR="00E71ED9" w:rsidRPr="00CE0DE7">
        <w:rPr>
          <w:rStyle w:val="a7"/>
          <w:i w:val="0"/>
          <w:color w:val="000000"/>
          <w:sz w:val="20"/>
          <w:szCs w:val="20"/>
          <w:lang w:eastAsia="zh-CN"/>
        </w:rPr>
        <w:fldChar w:fldCharType="end"/>
      </w:r>
      <w:r w:rsidRPr="00CE0DE7">
        <w:rPr>
          <w:rStyle w:val="a7"/>
          <w:i w:val="0"/>
          <w:color w:val="000000"/>
          <w:sz w:val="20"/>
          <w:szCs w:val="20"/>
          <w:lang w:eastAsia="zh-CN"/>
        </w:rPr>
        <w:t xml:space="preserve"> and Griffin et al</w:t>
      </w:r>
      <w:r w:rsidR="00767F0D" w:rsidRPr="00CE0DE7">
        <w:rPr>
          <w:rStyle w:val="a7"/>
          <w:i w:val="0"/>
          <w:color w:val="000000"/>
          <w:sz w:val="20"/>
          <w:szCs w:val="20"/>
          <w:lang w:eastAsia="zh-CN"/>
        </w:rPr>
        <w:t>.</w:t>
      </w:r>
      <w:r w:rsidRPr="00CE0DE7">
        <w:rPr>
          <w:rStyle w:val="a7"/>
          <w:i w:val="0"/>
          <w:color w:val="000000"/>
          <w:sz w:val="20"/>
          <w:szCs w:val="20"/>
          <w:lang w:eastAsia="zh-CN"/>
        </w:rPr>
        <w:t xml:space="preserve"> </w:t>
      </w:r>
      <w:r w:rsidR="00E71ED9" w:rsidRPr="00CE0DE7">
        <w:rPr>
          <w:rStyle w:val="a7"/>
          <w:i w:val="0"/>
          <w:color w:val="000000"/>
          <w:sz w:val="20"/>
          <w:szCs w:val="20"/>
          <w:lang w:eastAsia="zh-CN"/>
        </w:rPr>
        <w:fldChar w:fldCharType="begin" w:fldLock="1"/>
      </w:r>
      <w:r w:rsidR="00E71ED9" w:rsidRPr="00CE0DE7">
        <w:rPr>
          <w:rStyle w:val="a7"/>
          <w:i w:val="0"/>
          <w:color w:val="000000"/>
          <w:sz w:val="20"/>
          <w:szCs w:val="20"/>
          <w:lang w:eastAsia="zh-CN"/>
        </w:rPr>
        <w:instrText>ADDIN CSL_CITATION {"citationItems":[{"id":"ITEM-1","itemData":{"ISSN":"0893-9454","abstract":"This article investigates the dynamic relation between market-wide trading activity and returns in 46 markets. Many stock markets exhibit a strong positive relation between turnover and past returns. These findings stand up in the face of various controls for volatility, alternative definitions of turnover, differing sample periods, and are present at both the weekly and daily frequency. The relation is more statistically and economically significant in countries with high levels of corruption, with short-sale restrictions, and in which market volatility is high. © The Author 2006.","author":[{"dropping-particle":"","family":"Griffin","given":"John M.","non-dropping-particle":"","parse-names":false,"suffix":""},{"dropping-particle":"","family":"Nardari","given":"Federico","non-dropping-particle":"","parse-names":false,"suffix":""},{"dropping-particle":"","family":"Stulz","given":"René M.","non-dropping-particle":"","parse-names":false,"suffix":""}],"container-title":"Review of Financial Studies","id":"ITEM-1","issue":"3","issued":{"date-parts":[["2007","5","1"]]},"page":"905-951","publisher":"Oxford Academic","title":"Do investors trade more when stocks have performed well? Evidence from 46 countries","type":"article-journal","volume":"20"},"suppress-author":1,"uris":["http://www.mendeley.com/documents/?uuid=a29253ec-2c3b-3802-b68c-1691dc1cf6c0"]}],"mendeley":{"formattedCitation":"(2007)","plainTextFormattedCitation":"(2007)","previouslyFormattedCitation":"(2007)"},"properties":{"noteIndex":0},"schema":"https://github.com/citation-style-language/schema/raw/master/csl-citation.json"}</w:instrText>
      </w:r>
      <w:r w:rsidR="00E71ED9" w:rsidRPr="00CE0DE7">
        <w:rPr>
          <w:rStyle w:val="a7"/>
          <w:i w:val="0"/>
          <w:color w:val="000000"/>
          <w:sz w:val="20"/>
          <w:szCs w:val="20"/>
          <w:lang w:eastAsia="zh-CN"/>
        </w:rPr>
        <w:fldChar w:fldCharType="separate"/>
      </w:r>
      <w:r w:rsidR="00E71ED9" w:rsidRPr="00CE0DE7">
        <w:rPr>
          <w:rStyle w:val="a7"/>
          <w:i w:val="0"/>
          <w:noProof/>
          <w:color w:val="000000"/>
          <w:sz w:val="20"/>
          <w:szCs w:val="20"/>
          <w:lang w:eastAsia="zh-CN"/>
        </w:rPr>
        <w:t>(2007)</w:t>
      </w:r>
      <w:r w:rsidR="00E71ED9" w:rsidRPr="00CE0DE7">
        <w:rPr>
          <w:rStyle w:val="a7"/>
          <w:i w:val="0"/>
          <w:color w:val="000000"/>
          <w:sz w:val="20"/>
          <w:szCs w:val="20"/>
          <w:lang w:eastAsia="zh-CN"/>
        </w:rPr>
        <w:fldChar w:fldCharType="end"/>
      </w:r>
      <w:r w:rsidRPr="00CE0DE7">
        <w:rPr>
          <w:rStyle w:val="a7"/>
          <w:i w:val="0"/>
          <w:color w:val="000000"/>
          <w:sz w:val="20"/>
          <w:szCs w:val="20"/>
          <w:lang w:eastAsia="zh-CN"/>
        </w:rPr>
        <w:t>, w</w:t>
      </w:r>
      <w:r w:rsidR="005A7DC1" w:rsidRPr="00CE0DE7">
        <w:rPr>
          <w:rStyle w:val="a7"/>
          <w:i w:val="0"/>
          <w:color w:val="000000"/>
          <w:sz w:val="20"/>
          <w:szCs w:val="20"/>
        </w:rPr>
        <w:t xml:space="preserve">e </w:t>
      </w:r>
      <w:r w:rsidR="00240657" w:rsidRPr="00CE0DE7">
        <w:rPr>
          <w:rStyle w:val="a7"/>
          <w:i w:val="0"/>
          <w:color w:val="000000"/>
          <w:sz w:val="20"/>
          <w:szCs w:val="20"/>
        </w:rPr>
        <w:t>utilize</w:t>
      </w:r>
      <w:r w:rsidR="005A7DC1" w:rsidRPr="00CE0DE7">
        <w:rPr>
          <w:rStyle w:val="a7"/>
          <w:i w:val="0"/>
          <w:color w:val="000000"/>
          <w:sz w:val="20"/>
          <w:szCs w:val="20"/>
        </w:rPr>
        <w:t xml:space="preserve"> the generalized impulse response function derived from the VAR models</w:t>
      </w:r>
      <w:r w:rsidR="007E6C3D" w:rsidRPr="00CE0DE7">
        <w:rPr>
          <w:rStyle w:val="a7"/>
          <w:i w:val="0"/>
          <w:color w:val="000000"/>
          <w:sz w:val="20"/>
          <w:szCs w:val="20"/>
          <w:lang w:eastAsia="zh-CN"/>
        </w:rPr>
        <w:t xml:space="preserve"> to </w:t>
      </w:r>
      <w:r w:rsidR="007E6C3D" w:rsidRPr="00CE0DE7">
        <w:rPr>
          <w:rStyle w:val="a7"/>
          <w:i w:val="0"/>
          <w:sz w:val="20"/>
          <w:szCs w:val="20"/>
        </w:rPr>
        <w:t>show</w:t>
      </w:r>
      <w:r w:rsidR="007E6C3D" w:rsidRPr="00CE0DE7">
        <w:rPr>
          <w:rStyle w:val="a7"/>
          <w:i w:val="0"/>
          <w:color w:val="000000"/>
          <w:sz w:val="20"/>
          <w:szCs w:val="20"/>
        </w:rPr>
        <w:t xml:space="preserve"> how a variable responds to </w:t>
      </w:r>
      <w:r w:rsidR="00767F0D" w:rsidRPr="00CE0DE7">
        <w:rPr>
          <w:rStyle w:val="a7"/>
          <w:i w:val="0"/>
          <w:color w:val="000000"/>
          <w:sz w:val="20"/>
          <w:szCs w:val="20"/>
          <w:lang w:eastAsia="zh-CN"/>
        </w:rPr>
        <w:t>a</w:t>
      </w:r>
      <w:r w:rsidR="00767F0D" w:rsidRPr="00CE0DE7">
        <w:rPr>
          <w:rStyle w:val="a7"/>
          <w:i w:val="0"/>
          <w:color w:val="000000"/>
          <w:sz w:val="20"/>
          <w:szCs w:val="20"/>
        </w:rPr>
        <w:t xml:space="preserve"> </w:t>
      </w:r>
      <w:r w:rsidR="007E6C3D" w:rsidRPr="00CE0DE7">
        <w:rPr>
          <w:rStyle w:val="a7"/>
          <w:i w:val="0"/>
          <w:color w:val="000000"/>
          <w:sz w:val="20"/>
          <w:szCs w:val="20"/>
        </w:rPr>
        <w:t xml:space="preserve">shock </w:t>
      </w:r>
      <w:r w:rsidR="00767F0D" w:rsidRPr="00CE0DE7">
        <w:rPr>
          <w:rStyle w:val="a7"/>
          <w:i w:val="0"/>
          <w:color w:val="000000"/>
          <w:sz w:val="20"/>
          <w:szCs w:val="20"/>
          <w:lang w:eastAsia="zh-CN"/>
        </w:rPr>
        <w:t xml:space="preserve">on </w:t>
      </w:r>
      <w:r w:rsidR="007E6C3D" w:rsidRPr="00CE0DE7">
        <w:rPr>
          <w:rStyle w:val="a7"/>
          <w:i w:val="0"/>
          <w:color w:val="000000"/>
          <w:sz w:val="20"/>
          <w:szCs w:val="20"/>
        </w:rPr>
        <w:t>other variables</w:t>
      </w:r>
      <w:r w:rsidR="007E6C3D" w:rsidRPr="00CE0DE7">
        <w:rPr>
          <w:rStyle w:val="a7"/>
          <w:i w:val="0"/>
          <w:color w:val="000000"/>
          <w:sz w:val="20"/>
          <w:szCs w:val="20"/>
          <w:lang w:eastAsia="zh-CN"/>
        </w:rPr>
        <w:t xml:space="preserve"> in the system</w:t>
      </w:r>
      <w:r w:rsidR="007E6C3D" w:rsidRPr="00CE0DE7">
        <w:rPr>
          <w:rStyle w:val="a7"/>
          <w:i w:val="0"/>
          <w:color w:val="000000"/>
          <w:sz w:val="20"/>
          <w:szCs w:val="20"/>
        </w:rPr>
        <w:t>, and how long the impact will persist through the VAR.</w:t>
      </w:r>
      <w:r w:rsidR="005A7DC1" w:rsidRPr="00440039">
        <w:rPr>
          <w:rStyle w:val="a9"/>
        </w:rPr>
        <w:footnoteReference w:id="7"/>
      </w:r>
      <w:r w:rsidR="000158DE" w:rsidRPr="00CE0DE7">
        <w:rPr>
          <w:rStyle w:val="a7"/>
          <w:i w:val="0"/>
          <w:color w:val="000000"/>
          <w:sz w:val="20"/>
          <w:szCs w:val="20"/>
        </w:rPr>
        <w:t xml:space="preserve"> </w:t>
      </w:r>
      <w:r w:rsidR="000158DE" w:rsidRPr="00CE0DE7">
        <w:rPr>
          <w:rStyle w:val="a7"/>
          <w:i w:val="0"/>
          <w:sz w:val="20"/>
          <w:szCs w:val="20"/>
        </w:rPr>
        <w:t xml:space="preserve">The generalized </w:t>
      </w:r>
      <w:r w:rsidR="00AD4288" w:rsidRPr="00CE0DE7">
        <w:rPr>
          <w:rStyle w:val="a7"/>
          <w:i w:val="0"/>
          <w:sz w:val="20"/>
          <w:szCs w:val="20"/>
        </w:rPr>
        <w:t>technique</w:t>
      </w:r>
      <w:r w:rsidR="00240657" w:rsidRPr="00CE0DE7">
        <w:rPr>
          <w:rStyle w:val="a7"/>
          <w:i w:val="0"/>
          <w:sz w:val="20"/>
          <w:szCs w:val="20"/>
        </w:rPr>
        <w:t xml:space="preserve"> </w:t>
      </w:r>
      <w:r w:rsidR="00AD4288" w:rsidRPr="00CE0DE7">
        <w:rPr>
          <w:rStyle w:val="a7"/>
          <w:i w:val="0"/>
          <w:sz w:val="20"/>
          <w:szCs w:val="20"/>
        </w:rPr>
        <w:t>is</w:t>
      </w:r>
      <w:r w:rsidR="00240657" w:rsidRPr="00CE0DE7">
        <w:rPr>
          <w:rStyle w:val="a7"/>
          <w:i w:val="0"/>
          <w:sz w:val="20"/>
          <w:szCs w:val="20"/>
        </w:rPr>
        <w:t xml:space="preserve"> superior to the traditional approach since </w:t>
      </w:r>
      <w:r w:rsidR="00C95EEA" w:rsidRPr="00CE0DE7">
        <w:rPr>
          <w:rStyle w:val="a7"/>
          <w:i w:val="0"/>
          <w:sz w:val="20"/>
          <w:szCs w:val="20"/>
        </w:rPr>
        <w:t>it is</w:t>
      </w:r>
      <w:r w:rsidR="000158DE" w:rsidRPr="00CE0DE7">
        <w:rPr>
          <w:rStyle w:val="a7"/>
          <w:i w:val="0"/>
          <w:sz w:val="20"/>
          <w:szCs w:val="20"/>
        </w:rPr>
        <w:t xml:space="preserve"> not sensitive to the ordering of variables in the underlying VAR.</w:t>
      </w:r>
      <w:r w:rsidR="00DC3ABC" w:rsidRPr="00CE0DE7">
        <w:rPr>
          <w:rStyle w:val="a7"/>
          <w:i w:val="0"/>
          <w:sz w:val="20"/>
          <w:szCs w:val="20"/>
        </w:rPr>
        <w:t xml:space="preserve"> </w:t>
      </w:r>
      <w:r w:rsidR="0085687C" w:rsidRPr="00CE0DE7">
        <w:rPr>
          <w:color w:val="000000"/>
          <w:sz w:val="20"/>
          <w:szCs w:val="20"/>
          <w:lang w:val="en-GB" w:eastAsia="zh-CN"/>
        </w:rPr>
        <w:t>Fig</w:t>
      </w:r>
      <w:r w:rsidR="007E6C3D" w:rsidRPr="00CE0DE7">
        <w:rPr>
          <w:color w:val="000000"/>
          <w:sz w:val="20"/>
          <w:szCs w:val="20"/>
          <w:lang w:val="en-GB" w:eastAsia="zh-CN"/>
        </w:rPr>
        <w:t>ure</w:t>
      </w:r>
      <w:r w:rsidR="0085687C" w:rsidRPr="00CE0DE7">
        <w:rPr>
          <w:color w:val="000000"/>
          <w:sz w:val="20"/>
          <w:szCs w:val="20"/>
          <w:lang w:val="en-GB" w:eastAsia="zh-CN"/>
        </w:rPr>
        <w:t xml:space="preserve"> </w:t>
      </w:r>
      <w:r w:rsidR="005A7DC1" w:rsidRPr="00CE0DE7">
        <w:rPr>
          <w:color w:val="000000"/>
          <w:sz w:val="20"/>
          <w:szCs w:val="20"/>
          <w:lang w:val="en-GB" w:eastAsia="zh-CN"/>
        </w:rPr>
        <w:t xml:space="preserve">1 depicts the estimated </w:t>
      </w:r>
      <w:r w:rsidR="00277887" w:rsidRPr="00CE0DE7">
        <w:rPr>
          <w:color w:val="000000"/>
          <w:sz w:val="20"/>
          <w:szCs w:val="20"/>
          <w:lang w:val="en-GB" w:eastAsia="zh-CN"/>
        </w:rPr>
        <w:t xml:space="preserve">generalized </w:t>
      </w:r>
      <w:r w:rsidR="005A7DC1" w:rsidRPr="00CE0DE7">
        <w:rPr>
          <w:color w:val="000000"/>
          <w:sz w:val="20"/>
          <w:szCs w:val="20"/>
          <w:lang w:val="en-GB" w:eastAsia="zh-CN"/>
        </w:rPr>
        <w:t xml:space="preserve">impulse response functions for </w:t>
      </w:r>
      <w:r w:rsidR="008A433B" w:rsidRPr="00CE0DE7">
        <w:rPr>
          <w:color w:val="000000"/>
          <w:sz w:val="20"/>
          <w:szCs w:val="20"/>
          <w:lang w:val="en-GB" w:eastAsia="zh-CN"/>
        </w:rPr>
        <w:t xml:space="preserve">the </w:t>
      </w:r>
      <w:r w:rsidR="0048419C" w:rsidRPr="00CE0DE7">
        <w:rPr>
          <w:color w:val="000000"/>
          <w:sz w:val="20"/>
          <w:szCs w:val="20"/>
          <w:lang w:val="en-GB" w:eastAsia="zh-CN"/>
        </w:rPr>
        <w:t>VRP</w:t>
      </w:r>
      <w:r w:rsidR="005A7DC1" w:rsidRPr="00CE0DE7">
        <w:rPr>
          <w:color w:val="000000"/>
          <w:sz w:val="20"/>
          <w:szCs w:val="20"/>
          <w:lang w:val="en-GB" w:eastAsia="zh-CN"/>
        </w:rPr>
        <w:t xml:space="preserve">, </w:t>
      </w:r>
      <w:r w:rsidR="006106F8" w:rsidRPr="00CE0DE7">
        <w:rPr>
          <w:sz w:val="20"/>
          <w:szCs w:val="20"/>
          <w:lang w:val="en-GB" w:eastAsia="zh-CN"/>
        </w:rPr>
        <w:t>excess</w:t>
      </w:r>
      <w:r w:rsidR="006106F8" w:rsidRPr="00CE0DE7" w:rsidDel="006106F8">
        <w:rPr>
          <w:color w:val="000000"/>
          <w:sz w:val="20"/>
          <w:szCs w:val="20"/>
          <w:lang w:val="en-GB" w:eastAsia="zh-CN"/>
        </w:rPr>
        <w:t xml:space="preserve"> </w:t>
      </w:r>
      <w:r w:rsidR="005A7DC1" w:rsidRPr="00CE0DE7">
        <w:rPr>
          <w:color w:val="000000"/>
          <w:sz w:val="20"/>
          <w:szCs w:val="20"/>
          <w:lang w:val="en-GB" w:eastAsia="zh-CN"/>
        </w:rPr>
        <w:t>returns, and illiquidity</w:t>
      </w:r>
      <w:r w:rsidR="00767F0D" w:rsidRPr="00CE0DE7">
        <w:rPr>
          <w:color w:val="000000"/>
          <w:sz w:val="20"/>
          <w:szCs w:val="20"/>
          <w:lang w:val="en-GB" w:eastAsia="zh-CN"/>
        </w:rPr>
        <w:t>,</w:t>
      </w:r>
      <w:r w:rsidR="005A7DC1" w:rsidRPr="00CE0DE7" w:rsidDel="004E22FC">
        <w:rPr>
          <w:color w:val="000000"/>
          <w:sz w:val="20"/>
          <w:szCs w:val="20"/>
          <w:lang w:val="en-GB" w:eastAsia="zh-CN"/>
        </w:rPr>
        <w:t xml:space="preserve"> </w:t>
      </w:r>
      <w:r w:rsidR="00083588" w:rsidRPr="00CE0DE7">
        <w:rPr>
          <w:color w:val="000000"/>
          <w:sz w:val="20"/>
          <w:szCs w:val="20"/>
          <w:lang w:val="en-GB" w:eastAsia="zh-CN"/>
        </w:rPr>
        <w:t xml:space="preserve">with control variables </w:t>
      </w:r>
      <w:r w:rsidR="005A7DC1" w:rsidRPr="00CE0DE7">
        <w:rPr>
          <w:color w:val="000000"/>
          <w:sz w:val="20"/>
          <w:szCs w:val="20"/>
          <w:lang w:val="en-GB" w:eastAsia="zh-CN"/>
        </w:rPr>
        <w:t>for 24 months</w:t>
      </w:r>
      <w:r w:rsidR="007E6C3D" w:rsidRPr="00CE0DE7">
        <w:rPr>
          <w:color w:val="000000"/>
          <w:sz w:val="20"/>
          <w:szCs w:val="20"/>
          <w:lang w:val="en-GB" w:eastAsia="zh-CN"/>
        </w:rPr>
        <w:t xml:space="preserve"> f</w:t>
      </w:r>
      <w:r w:rsidR="005A7DC1" w:rsidRPr="00CE0DE7">
        <w:rPr>
          <w:color w:val="000000"/>
          <w:sz w:val="20"/>
          <w:szCs w:val="20"/>
          <w:lang w:val="en-GB" w:eastAsia="zh-CN"/>
        </w:rPr>
        <w:t>or the full sample</w:t>
      </w:r>
      <w:r w:rsidR="007E6C3D" w:rsidRPr="00CE0DE7">
        <w:rPr>
          <w:color w:val="000000"/>
          <w:sz w:val="20"/>
          <w:szCs w:val="20"/>
          <w:lang w:val="en-GB" w:eastAsia="zh-CN"/>
        </w:rPr>
        <w:t xml:space="preserve">. The </w:t>
      </w:r>
      <w:r w:rsidR="005A7DC1" w:rsidRPr="00CE0DE7">
        <w:rPr>
          <w:color w:val="000000"/>
          <w:sz w:val="20"/>
          <w:szCs w:val="20"/>
          <w:lang w:val="en-GB" w:eastAsia="zh-CN"/>
        </w:rPr>
        <w:t xml:space="preserve">response is </w:t>
      </w:r>
      <w:r w:rsidR="00767F0D" w:rsidRPr="00CE0DE7">
        <w:rPr>
          <w:color w:val="000000"/>
          <w:sz w:val="20"/>
          <w:szCs w:val="20"/>
          <w:lang w:val="en-GB" w:eastAsia="zh-CN"/>
        </w:rPr>
        <w:t xml:space="preserve">depicted in a </w:t>
      </w:r>
      <w:r w:rsidR="005A7DC1" w:rsidRPr="00CE0DE7">
        <w:rPr>
          <w:color w:val="000000"/>
          <w:sz w:val="20"/>
          <w:szCs w:val="20"/>
          <w:lang w:val="en-GB" w:eastAsia="zh-CN"/>
        </w:rPr>
        <w:t>solid line</w:t>
      </w:r>
      <w:r w:rsidR="007E6C3D" w:rsidRPr="00CE0DE7">
        <w:rPr>
          <w:color w:val="000000"/>
          <w:sz w:val="20"/>
          <w:szCs w:val="20"/>
          <w:lang w:val="en-GB" w:eastAsia="zh-CN"/>
        </w:rPr>
        <w:t xml:space="preserve"> </w:t>
      </w:r>
      <w:r w:rsidR="00767F0D" w:rsidRPr="00CE0DE7">
        <w:rPr>
          <w:color w:val="000000"/>
          <w:sz w:val="20"/>
          <w:szCs w:val="20"/>
          <w:lang w:val="en-GB" w:eastAsia="zh-CN"/>
        </w:rPr>
        <w:t xml:space="preserve">with </w:t>
      </w:r>
      <w:r w:rsidR="005A7DC1" w:rsidRPr="00CE0DE7">
        <w:rPr>
          <w:color w:val="000000"/>
          <w:sz w:val="20"/>
          <w:szCs w:val="20"/>
          <w:lang w:val="en-GB" w:eastAsia="zh-CN"/>
        </w:rPr>
        <w:t>the confidence intervals (two standard errors)</w:t>
      </w:r>
      <w:r w:rsidR="007E6C3D" w:rsidRPr="00CE0DE7">
        <w:rPr>
          <w:color w:val="000000"/>
          <w:sz w:val="20"/>
          <w:szCs w:val="20"/>
          <w:lang w:val="en-GB" w:eastAsia="zh-CN"/>
        </w:rPr>
        <w:t xml:space="preserve"> in</w:t>
      </w:r>
      <w:r w:rsidR="005A7DC1" w:rsidRPr="00CE0DE7">
        <w:rPr>
          <w:color w:val="000000"/>
          <w:sz w:val="20"/>
          <w:szCs w:val="20"/>
          <w:lang w:val="en-GB" w:eastAsia="zh-CN"/>
        </w:rPr>
        <w:t xml:space="preserve"> dashed line</w:t>
      </w:r>
      <w:r w:rsidR="00E40993" w:rsidRPr="00CE0DE7">
        <w:rPr>
          <w:color w:val="000000"/>
          <w:sz w:val="20"/>
          <w:szCs w:val="20"/>
          <w:lang w:val="en-GB" w:eastAsia="zh-CN"/>
        </w:rPr>
        <w:t>s</w:t>
      </w:r>
      <w:r w:rsidR="005A7DC1" w:rsidRPr="00CE0DE7">
        <w:rPr>
          <w:color w:val="000000"/>
          <w:sz w:val="20"/>
          <w:szCs w:val="20"/>
          <w:lang w:val="en-GB" w:eastAsia="zh-CN"/>
        </w:rPr>
        <w:t xml:space="preserve">. </w:t>
      </w:r>
      <w:r w:rsidR="007E6C3D" w:rsidRPr="00CE0DE7">
        <w:rPr>
          <w:color w:val="000000"/>
          <w:sz w:val="20"/>
          <w:szCs w:val="20"/>
          <w:lang w:val="en-GB" w:eastAsia="zh-CN"/>
        </w:rPr>
        <w:t xml:space="preserve">In </w:t>
      </w:r>
      <w:r w:rsidR="005A7DC1" w:rsidRPr="00CE0DE7">
        <w:rPr>
          <w:color w:val="000000"/>
          <w:sz w:val="20"/>
          <w:szCs w:val="20"/>
          <w:lang w:val="en-GB" w:eastAsia="zh-CN"/>
        </w:rPr>
        <w:t>each graph, the horizontal axis represents the months relative to the shock</w:t>
      </w:r>
      <w:r w:rsidR="007E6C3D" w:rsidRPr="00CE0DE7">
        <w:rPr>
          <w:color w:val="000000"/>
          <w:sz w:val="20"/>
          <w:szCs w:val="20"/>
          <w:lang w:val="en-GB" w:eastAsia="zh-CN"/>
        </w:rPr>
        <w:t xml:space="preserve">, which </w:t>
      </w:r>
      <w:r w:rsidR="00767F0D" w:rsidRPr="00CE0DE7">
        <w:rPr>
          <w:color w:val="000000"/>
          <w:sz w:val="20"/>
          <w:szCs w:val="20"/>
          <w:lang w:val="en-GB" w:eastAsia="zh-CN"/>
        </w:rPr>
        <w:t>occurs</w:t>
      </w:r>
      <w:r w:rsidR="007E6C3D" w:rsidRPr="00CE0DE7">
        <w:rPr>
          <w:color w:val="000000"/>
          <w:sz w:val="20"/>
          <w:szCs w:val="20"/>
          <w:lang w:val="en-GB" w:eastAsia="zh-CN"/>
        </w:rPr>
        <w:t xml:space="preserve"> </w:t>
      </w:r>
      <w:r w:rsidR="007E6C3D" w:rsidRPr="00CE0DE7">
        <w:rPr>
          <w:color w:val="000000"/>
          <w:sz w:val="20"/>
          <w:szCs w:val="20"/>
          <w:lang w:val="en-GB" w:eastAsia="zh-CN"/>
        </w:rPr>
        <w:lastRenderedPageBreak/>
        <w:t>in</w:t>
      </w:r>
      <w:r w:rsidR="005A7DC1" w:rsidRPr="00CE0DE7">
        <w:rPr>
          <w:color w:val="000000"/>
          <w:sz w:val="20"/>
          <w:szCs w:val="20"/>
          <w:lang w:val="en-GB" w:eastAsia="zh-CN"/>
        </w:rPr>
        <w:t xml:space="preserve"> Month 1</w:t>
      </w:r>
      <w:r w:rsidR="007E6C3D" w:rsidRPr="00CE0DE7">
        <w:rPr>
          <w:color w:val="000000"/>
          <w:sz w:val="20"/>
          <w:szCs w:val="20"/>
          <w:lang w:val="en-GB" w:eastAsia="zh-CN"/>
        </w:rPr>
        <w:t xml:space="preserve">. </w:t>
      </w:r>
      <w:r w:rsidR="005A7DC1" w:rsidRPr="00CE0DE7">
        <w:rPr>
          <w:color w:val="000000"/>
          <w:sz w:val="20"/>
          <w:szCs w:val="20"/>
          <w:lang w:val="en-GB" w:eastAsia="zh-CN"/>
        </w:rPr>
        <w:t xml:space="preserve">The vertical axis </w:t>
      </w:r>
      <w:r w:rsidR="007E6C3D" w:rsidRPr="00CE0DE7">
        <w:rPr>
          <w:color w:val="000000"/>
          <w:sz w:val="20"/>
          <w:szCs w:val="20"/>
          <w:lang w:val="en-GB" w:eastAsia="zh-CN"/>
        </w:rPr>
        <w:t xml:space="preserve">denotes </w:t>
      </w:r>
      <w:r w:rsidR="005A7DC1" w:rsidRPr="00CE0DE7">
        <w:rPr>
          <w:color w:val="000000"/>
          <w:sz w:val="20"/>
          <w:szCs w:val="20"/>
          <w:lang w:val="en-GB" w:eastAsia="zh-CN"/>
        </w:rPr>
        <w:t xml:space="preserve">the percentage change in each variable following a one-standard-deviation increase in </w:t>
      </w:r>
      <w:r w:rsidR="007E6C3D" w:rsidRPr="00CE0DE7">
        <w:rPr>
          <w:color w:val="000000"/>
          <w:sz w:val="20"/>
          <w:szCs w:val="20"/>
          <w:lang w:val="en-GB" w:eastAsia="zh-CN"/>
        </w:rPr>
        <w:t>the ot</w:t>
      </w:r>
      <w:r w:rsidR="005A7DC1" w:rsidRPr="00CE0DE7">
        <w:rPr>
          <w:color w:val="000000"/>
          <w:sz w:val="20"/>
          <w:szCs w:val="20"/>
          <w:lang w:val="en-GB" w:eastAsia="zh-CN"/>
        </w:rPr>
        <w:t xml:space="preserve">her variable. </w:t>
      </w:r>
    </w:p>
    <w:p w14:paraId="4BDBECFD" w14:textId="77777777" w:rsidR="0081445C" w:rsidRPr="00CE0DE7" w:rsidRDefault="0081445C" w:rsidP="008276B8">
      <w:pPr>
        <w:pStyle w:val="10"/>
        <w:autoSpaceDE w:val="0"/>
        <w:autoSpaceDN w:val="0"/>
        <w:adjustRightInd w:val="0"/>
        <w:snapToGrid w:val="0"/>
        <w:spacing w:before="240" w:after="240" w:line="480" w:lineRule="auto"/>
        <w:ind w:left="0"/>
        <w:jc w:val="center"/>
        <w:rPr>
          <w:rStyle w:val="a7"/>
          <w:i w:val="0"/>
          <w:sz w:val="20"/>
          <w:szCs w:val="20"/>
        </w:rPr>
      </w:pPr>
      <w:r w:rsidRPr="00CE0DE7">
        <w:rPr>
          <w:rStyle w:val="a7"/>
          <w:i w:val="0"/>
          <w:sz w:val="20"/>
          <w:szCs w:val="20"/>
        </w:rPr>
        <w:t>[Insert Figure 1 around here]</w:t>
      </w:r>
    </w:p>
    <w:p w14:paraId="140259C1" w14:textId="2020CA43" w:rsidR="005A7DC1" w:rsidRPr="00CE0DE7" w:rsidRDefault="005A7DC1"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In Panel A, we </w:t>
      </w:r>
      <w:r w:rsidR="00E40993" w:rsidRPr="00CE0DE7">
        <w:rPr>
          <w:color w:val="000000"/>
          <w:sz w:val="20"/>
          <w:szCs w:val="20"/>
          <w:lang w:val="en-GB" w:eastAsia="zh-CN"/>
        </w:rPr>
        <w:t>plot</w:t>
      </w:r>
      <w:r w:rsidRPr="00CE0DE7">
        <w:rPr>
          <w:color w:val="000000"/>
          <w:sz w:val="20"/>
          <w:szCs w:val="20"/>
          <w:lang w:val="en-GB" w:eastAsia="zh-CN"/>
        </w:rPr>
        <w:t xml:space="preserve"> how stock returns respond to a one-standard-deviation innovation in </w:t>
      </w:r>
      <w:r w:rsidR="00C24E43" w:rsidRPr="00CE0DE7">
        <w:rPr>
          <w:color w:val="000000"/>
          <w:sz w:val="20"/>
          <w:szCs w:val="20"/>
          <w:lang w:val="en-GB" w:eastAsia="zh-CN"/>
        </w:rPr>
        <w:t xml:space="preserve">the VRP and </w:t>
      </w:r>
      <w:r w:rsidRPr="00CE0DE7">
        <w:rPr>
          <w:color w:val="000000"/>
          <w:sz w:val="20"/>
          <w:szCs w:val="20"/>
          <w:lang w:val="en-GB" w:eastAsia="zh-CN"/>
        </w:rPr>
        <w:t xml:space="preserve">illiquidity. </w:t>
      </w:r>
      <w:r w:rsidR="00C24E43" w:rsidRPr="00CE0DE7">
        <w:rPr>
          <w:color w:val="000000"/>
          <w:sz w:val="20"/>
          <w:szCs w:val="20"/>
          <w:lang w:val="en-GB" w:eastAsia="zh-CN"/>
        </w:rPr>
        <w:t xml:space="preserve">The third diagram in Panel A shows that stock returns significantly respond to shocks in </w:t>
      </w:r>
      <w:r w:rsidR="00E40993" w:rsidRPr="00CE0DE7">
        <w:rPr>
          <w:color w:val="000000"/>
          <w:sz w:val="20"/>
          <w:szCs w:val="20"/>
          <w:lang w:val="en-GB" w:eastAsia="zh-CN"/>
        </w:rPr>
        <w:t xml:space="preserve">the </w:t>
      </w:r>
      <w:r w:rsidR="00C24E43" w:rsidRPr="00CE0DE7">
        <w:rPr>
          <w:color w:val="000000"/>
          <w:sz w:val="20"/>
          <w:szCs w:val="20"/>
          <w:lang w:val="en-GB" w:eastAsia="zh-CN"/>
        </w:rPr>
        <w:t xml:space="preserve">VRP. In response to a one-standard-deviation disturbance in </w:t>
      </w:r>
      <w:r w:rsidR="00C24E43" w:rsidRPr="00CE0DE7">
        <w:rPr>
          <w:i/>
          <w:color w:val="000000"/>
          <w:sz w:val="20"/>
          <w:szCs w:val="20"/>
          <w:lang w:val="en-GB" w:eastAsia="zh-CN"/>
        </w:rPr>
        <w:t>VRP</w:t>
      </w:r>
      <w:r w:rsidR="00C24E43" w:rsidRPr="00CE0DE7">
        <w:rPr>
          <w:i/>
          <w:color w:val="000000"/>
          <w:sz w:val="20"/>
          <w:szCs w:val="20"/>
          <w:vertAlign w:val="superscript"/>
          <w:lang w:val="en-GB" w:eastAsia="zh-CN"/>
        </w:rPr>
        <w:t>BTZ</w:t>
      </w:r>
      <w:r w:rsidR="00C24E43" w:rsidRPr="00CE0DE7">
        <w:rPr>
          <w:color w:val="000000"/>
          <w:sz w:val="20"/>
          <w:szCs w:val="20"/>
          <w:lang w:val="en-GB" w:eastAsia="zh-CN"/>
        </w:rPr>
        <w:t xml:space="preserve">, stock returns are initially negative; they begin to increase in the first month, reach 10% in the second month, and decline gradually from the fourth month. For the first six months, the impulse response function is positive and significant. This indicates that the shocks in </w:t>
      </w:r>
      <w:r w:rsidR="00C24E43" w:rsidRPr="00CE0DE7">
        <w:rPr>
          <w:i/>
          <w:color w:val="000000"/>
          <w:sz w:val="20"/>
          <w:szCs w:val="20"/>
          <w:lang w:val="en-GB" w:eastAsia="zh-CN"/>
        </w:rPr>
        <w:t>VRP</w:t>
      </w:r>
      <w:r w:rsidR="00C24E43" w:rsidRPr="00CE0DE7">
        <w:rPr>
          <w:i/>
          <w:color w:val="000000"/>
          <w:sz w:val="20"/>
          <w:szCs w:val="20"/>
          <w:vertAlign w:val="superscript"/>
          <w:lang w:val="en-GB" w:eastAsia="zh-CN"/>
        </w:rPr>
        <w:t>BTZ</w:t>
      </w:r>
      <w:r w:rsidR="00C24E43" w:rsidRPr="00CE0DE7">
        <w:rPr>
          <w:color w:val="000000"/>
          <w:sz w:val="20"/>
          <w:szCs w:val="20"/>
          <w:lang w:val="en-GB" w:eastAsia="zh-CN"/>
        </w:rPr>
        <w:t xml:space="preserve"> exhibit a positive effect on stock market returns. It also implies that it takes about seven months for the stock returns to recover from a shock to the VRP on stock returns, for the relation between the two variables to fully play out while other variables remain constant. Similar patterns of impulse response are shown for the other two VRP measures, </w:t>
      </w:r>
      <w:r w:rsidR="00C24E43" w:rsidRPr="00CE0DE7">
        <w:rPr>
          <w:i/>
          <w:color w:val="000000"/>
          <w:sz w:val="20"/>
          <w:szCs w:val="20"/>
          <w:lang w:val="en-GB" w:eastAsia="zh-CN"/>
        </w:rPr>
        <w:t>VRP</w:t>
      </w:r>
      <w:r w:rsidR="00C24E43" w:rsidRPr="00CE0DE7">
        <w:rPr>
          <w:i/>
          <w:color w:val="000000"/>
          <w:sz w:val="20"/>
          <w:szCs w:val="20"/>
          <w:vertAlign w:val="superscript"/>
          <w:lang w:val="en-GB" w:eastAsia="zh-CN"/>
        </w:rPr>
        <w:t>CW</w:t>
      </w:r>
      <w:r w:rsidR="00C24E43" w:rsidRPr="00CE0DE7">
        <w:rPr>
          <w:color w:val="000000"/>
          <w:sz w:val="20"/>
          <w:szCs w:val="20"/>
          <w:lang w:val="en-GB" w:eastAsia="zh-CN"/>
        </w:rPr>
        <w:t xml:space="preserve"> and </w:t>
      </w:r>
      <w:r w:rsidR="00C24E43" w:rsidRPr="00CE0DE7">
        <w:rPr>
          <w:i/>
          <w:color w:val="000000"/>
          <w:sz w:val="20"/>
          <w:szCs w:val="20"/>
          <w:lang w:val="en-GB" w:eastAsia="zh-CN"/>
        </w:rPr>
        <w:t>VRP</w:t>
      </w:r>
      <w:r w:rsidR="00C24E43" w:rsidRPr="00CE0DE7">
        <w:rPr>
          <w:i/>
          <w:color w:val="000000"/>
          <w:sz w:val="20"/>
          <w:szCs w:val="20"/>
          <w:vertAlign w:val="superscript"/>
          <w:lang w:val="en-GB" w:eastAsia="zh-CN"/>
        </w:rPr>
        <w:t>DY</w:t>
      </w:r>
      <w:r w:rsidR="00C24E43" w:rsidRPr="00CE0DE7">
        <w:rPr>
          <w:color w:val="000000"/>
          <w:sz w:val="20"/>
          <w:szCs w:val="20"/>
          <w:lang w:val="en-GB" w:eastAsia="zh-CN"/>
        </w:rPr>
        <w:t>. In contrast, t</w:t>
      </w:r>
      <w:r w:rsidRPr="00CE0DE7">
        <w:rPr>
          <w:color w:val="000000"/>
          <w:sz w:val="20"/>
          <w:szCs w:val="20"/>
          <w:lang w:val="en-GB" w:eastAsia="zh-CN"/>
        </w:rPr>
        <w:t xml:space="preserve">he </w:t>
      </w:r>
      <w:r w:rsidR="00C24E43" w:rsidRPr="00CE0DE7">
        <w:rPr>
          <w:color w:val="000000"/>
          <w:sz w:val="20"/>
          <w:szCs w:val="20"/>
          <w:lang w:val="en-GB" w:eastAsia="zh-CN"/>
        </w:rPr>
        <w:t>last</w:t>
      </w:r>
      <w:r w:rsidRPr="00CE0DE7">
        <w:rPr>
          <w:color w:val="000000"/>
          <w:sz w:val="20"/>
          <w:szCs w:val="20"/>
          <w:lang w:val="en-GB" w:eastAsia="zh-CN"/>
        </w:rPr>
        <w:t xml:space="preserve"> two </w:t>
      </w:r>
      <w:r w:rsidR="00AC71C6" w:rsidRPr="00CE0DE7">
        <w:rPr>
          <w:color w:val="000000"/>
          <w:sz w:val="20"/>
          <w:szCs w:val="20"/>
          <w:lang w:val="en-GB" w:eastAsia="zh-CN"/>
        </w:rPr>
        <w:t>diagrams</w:t>
      </w:r>
      <w:r w:rsidRPr="00CE0DE7">
        <w:rPr>
          <w:color w:val="000000"/>
          <w:sz w:val="20"/>
          <w:szCs w:val="20"/>
          <w:lang w:val="en-GB" w:eastAsia="zh-CN"/>
        </w:rPr>
        <w:t xml:space="preserve"> illustrate that</w:t>
      </w:r>
      <w:r w:rsidR="00C95EEA" w:rsidRPr="00CE0DE7">
        <w:rPr>
          <w:color w:val="000000"/>
          <w:sz w:val="20"/>
          <w:szCs w:val="20"/>
          <w:lang w:val="en-GB" w:eastAsia="zh-CN"/>
        </w:rPr>
        <w:t>,</w:t>
      </w:r>
      <w:r w:rsidRPr="00CE0DE7">
        <w:rPr>
          <w:color w:val="000000"/>
          <w:sz w:val="20"/>
          <w:szCs w:val="20"/>
          <w:lang w:val="en-GB" w:eastAsia="zh-CN"/>
        </w:rPr>
        <w:t xml:space="preserve"> </w:t>
      </w:r>
      <w:r w:rsidR="00DC24A7" w:rsidRPr="00CE0DE7">
        <w:rPr>
          <w:color w:val="000000"/>
          <w:sz w:val="20"/>
          <w:szCs w:val="20"/>
          <w:lang w:val="en-GB" w:eastAsia="zh-CN"/>
        </w:rPr>
        <w:t xml:space="preserve">although </w:t>
      </w:r>
      <w:r w:rsidR="00730061" w:rsidRPr="00CE0DE7">
        <w:rPr>
          <w:color w:val="000000"/>
          <w:sz w:val="20"/>
          <w:szCs w:val="20"/>
          <w:lang w:val="en-GB" w:eastAsia="zh-CN"/>
        </w:rPr>
        <w:t xml:space="preserve">the </w:t>
      </w:r>
      <w:r w:rsidR="00DC24A7" w:rsidRPr="00CE0DE7">
        <w:rPr>
          <w:color w:val="000000"/>
          <w:sz w:val="20"/>
          <w:szCs w:val="20"/>
          <w:lang w:val="en-GB" w:eastAsia="zh-CN"/>
        </w:rPr>
        <w:t>response</w:t>
      </w:r>
      <w:r w:rsidR="00730061" w:rsidRPr="00CE0DE7">
        <w:rPr>
          <w:color w:val="000000"/>
          <w:sz w:val="20"/>
          <w:szCs w:val="20"/>
          <w:lang w:val="en-GB" w:eastAsia="zh-CN"/>
        </w:rPr>
        <w:t xml:space="preserve"> of returns to </w:t>
      </w:r>
      <w:r w:rsidR="00AC71C6" w:rsidRPr="00CE0DE7">
        <w:rPr>
          <w:color w:val="000000"/>
          <w:sz w:val="20"/>
          <w:szCs w:val="20"/>
          <w:lang w:val="en-GB" w:eastAsia="zh-CN"/>
        </w:rPr>
        <w:t xml:space="preserve">a shock </w:t>
      </w:r>
      <w:r w:rsidR="00730061" w:rsidRPr="00CE0DE7">
        <w:rPr>
          <w:color w:val="000000"/>
          <w:sz w:val="20"/>
          <w:szCs w:val="20"/>
          <w:lang w:val="en-GB" w:eastAsia="zh-CN"/>
        </w:rPr>
        <w:t xml:space="preserve">in </w:t>
      </w:r>
      <w:r w:rsidR="00730061" w:rsidRPr="00CE0DE7">
        <w:rPr>
          <w:i/>
          <w:iCs/>
          <w:color w:val="000000"/>
          <w:sz w:val="20"/>
          <w:szCs w:val="20"/>
          <w:lang w:val="en-GB" w:eastAsia="zh-CN"/>
        </w:rPr>
        <w:t>ILLIQ</w:t>
      </w:r>
      <w:r w:rsidR="00730061" w:rsidRPr="00CE0DE7">
        <w:rPr>
          <w:i/>
          <w:iCs/>
          <w:color w:val="000000"/>
          <w:sz w:val="20"/>
          <w:szCs w:val="20"/>
          <w:vertAlign w:val="superscript"/>
          <w:lang w:val="en-GB" w:eastAsia="zh-CN"/>
        </w:rPr>
        <w:t>NYSE</w:t>
      </w:r>
      <w:r w:rsidR="00730061" w:rsidRPr="00CE0DE7">
        <w:rPr>
          <w:color w:val="000000"/>
          <w:sz w:val="20"/>
          <w:szCs w:val="20"/>
          <w:lang w:val="en-GB" w:eastAsia="zh-CN"/>
        </w:rPr>
        <w:t xml:space="preserve"> and </w:t>
      </w:r>
      <w:r w:rsidR="00730061" w:rsidRPr="00CE0DE7">
        <w:rPr>
          <w:i/>
          <w:iCs/>
          <w:color w:val="000000"/>
          <w:sz w:val="20"/>
          <w:szCs w:val="20"/>
          <w:lang w:val="en-GB" w:eastAsia="zh-CN"/>
        </w:rPr>
        <w:t>ILLIQ</w:t>
      </w:r>
      <w:r w:rsidR="00730061" w:rsidRPr="00CE0DE7">
        <w:rPr>
          <w:i/>
          <w:iCs/>
          <w:color w:val="000000"/>
          <w:sz w:val="20"/>
          <w:szCs w:val="20"/>
          <w:vertAlign w:val="superscript"/>
          <w:lang w:val="en-GB" w:eastAsia="zh-CN"/>
        </w:rPr>
        <w:t>SP500</w:t>
      </w:r>
      <w:r w:rsidR="00730061" w:rsidRPr="00CE0DE7">
        <w:rPr>
          <w:color w:val="000000"/>
          <w:sz w:val="20"/>
          <w:szCs w:val="20"/>
          <w:lang w:val="en-GB" w:eastAsia="zh-CN"/>
        </w:rPr>
        <w:t xml:space="preserve"> </w:t>
      </w:r>
      <w:r w:rsidR="00AC71C6" w:rsidRPr="00CE0DE7">
        <w:rPr>
          <w:color w:val="000000"/>
          <w:sz w:val="20"/>
          <w:szCs w:val="20"/>
          <w:lang w:val="en-GB" w:eastAsia="zh-CN"/>
        </w:rPr>
        <w:t>is</w:t>
      </w:r>
      <w:r w:rsidR="0071350B" w:rsidRPr="00CE0DE7">
        <w:rPr>
          <w:color w:val="000000"/>
          <w:sz w:val="20"/>
          <w:szCs w:val="20"/>
          <w:lang w:val="en-GB" w:eastAsia="zh-CN"/>
        </w:rPr>
        <w:t xml:space="preserve"> initially </w:t>
      </w:r>
      <w:r w:rsidR="00DC24A7" w:rsidRPr="00CE0DE7">
        <w:rPr>
          <w:color w:val="000000"/>
          <w:sz w:val="20"/>
          <w:szCs w:val="20"/>
          <w:lang w:val="en-GB" w:eastAsia="zh-CN"/>
        </w:rPr>
        <w:t xml:space="preserve">significant, </w:t>
      </w:r>
      <w:r w:rsidR="00AC71C6" w:rsidRPr="00CE0DE7">
        <w:rPr>
          <w:color w:val="000000"/>
          <w:sz w:val="20"/>
          <w:szCs w:val="20"/>
          <w:lang w:val="en-GB" w:eastAsia="zh-CN"/>
        </w:rPr>
        <w:t>it</w:t>
      </w:r>
      <w:r w:rsidR="00332261" w:rsidRPr="00CE0DE7">
        <w:rPr>
          <w:color w:val="000000"/>
          <w:sz w:val="20"/>
          <w:szCs w:val="20"/>
          <w:lang w:val="en-GB" w:eastAsia="zh-CN"/>
        </w:rPr>
        <w:t xml:space="preserve"> </w:t>
      </w:r>
      <w:r w:rsidR="0071350B" w:rsidRPr="00CE0DE7">
        <w:rPr>
          <w:color w:val="000000"/>
          <w:sz w:val="20"/>
          <w:szCs w:val="20"/>
          <w:lang w:val="en-GB" w:eastAsia="zh-CN"/>
        </w:rPr>
        <w:t>become</w:t>
      </w:r>
      <w:r w:rsidR="00AC71C6" w:rsidRPr="00CE0DE7">
        <w:rPr>
          <w:color w:val="000000"/>
          <w:sz w:val="20"/>
          <w:szCs w:val="20"/>
          <w:lang w:val="en-GB" w:eastAsia="zh-CN"/>
        </w:rPr>
        <w:t>s</w:t>
      </w:r>
      <w:r w:rsidR="0071350B" w:rsidRPr="00CE0DE7">
        <w:rPr>
          <w:color w:val="000000"/>
          <w:sz w:val="20"/>
          <w:szCs w:val="20"/>
          <w:lang w:val="en-GB" w:eastAsia="zh-CN"/>
        </w:rPr>
        <w:t xml:space="preserve"> insignificant</w:t>
      </w:r>
      <w:r w:rsidR="00FF6D9F" w:rsidRPr="00CE0DE7">
        <w:rPr>
          <w:color w:val="000000"/>
          <w:sz w:val="20"/>
          <w:szCs w:val="20"/>
          <w:lang w:val="en-GB" w:eastAsia="zh-CN"/>
        </w:rPr>
        <w:t xml:space="preserve"> after the first month. </w:t>
      </w:r>
      <w:r w:rsidRPr="00CE0DE7">
        <w:rPr>
          <w:color w:val="000000"/>
          <w:sz w:val="20"/>
          <w:szCs w:val="20"/>
          <w:lang w:val="en-GB" w:eastAsia="zh-CN"/>
        </w:rPr>
        <w:t xml:space="preserve">This is consistent with our </w:t>
      </w:r>
      <w:r w:rsidR="00AC71C6" w:rsidRPr="00CE0DE7">
        <w:rPr>
          <w:color w:val="000000"/>
          <w:sz w:val="20"/>
          <w:szCs w:val="20"/>
          <w:lang w:val="en-GB" w:eastAsia="zh-CN"/>
        </w:rPr>
        <w:t xml:space="preserve">prior </w:t>
      </w:r>
      <w:r w:rsidRPr="00CE0DE7">
        <w:rPr>
          <w:color w:val="000000"/>
          <w:sz w:val="20"/>
          <w:szCs w:val="20"/>
          <w:lang w:val="en-GB" w:eastAsia="zh-CN"/>
        </w:rPr>
        <w:t xml:space="preserve">results that illiquidity measures for both aggregate stock market and S&amp;P 500 index do not </w:t>
      </w:r>
      <w:r w:rsidR="006C0668" w:rsidRPr="00CE0DE7">
        <w:rPr>
          <w:color w:val="000000"/>
          <w:sz w:val="20"/>
          <w:szCs w:val="20"/>
          <w:lang w:val="en-GB" w:eastAsia="zh-CN"/>
        </w:rPr>
        <w:t>Granger-</w:t>
      </w:r>
      <w:r w:rsidRPr="00CE0DE7">
        <w:rPr>
          <w:color w:val="000000"/>
          <w:sz w:val="20"/>
          <w:szCs w:val="20"/>
          <w:lang w:val="en-GB" w:eastAsia="zh-CN"/>
        </w:rPr>
        <w:t>cause returns.</w:t>
      </w:r>
      <w:r w:rsidR="00C24E43" w:rsidRPr="00CE0DE7">
        <w:rPr>
          <w:color w:val="000000"/>
          <w:sz w:val="20"/>
          <w:szCs w:val="20"/>
          <w:lang w:val="en-GB" w:eastAsia="zh-CN"/>
        </w:rPr>
        <w:t xml:space="preserve"> </w:t>
      </w:r>
      <w:r w:rsidRPr="00CE0DE7">
        <w:rPr>
          <w:color w:val="000000"/>
          <w:sz w:val="20"/>
          <w:szCs w:val="20"/>
          <w:lang w:val="en-GB" w:eastAsia="zh-CN"/>
        </w:rPr>
        <w:t xml:space="preserve">In addition, our results are </w:t>
      </w:r>
      <w:r w:rsidR="00EE64DA" w:rsidRPr="00CE0DE7">
        <w:rPr>
          <w:color w:val="000000"/>
          <w:sz w:val="20"/>
          <w:szCs w:val="20"/>
          <w:lang w:val="en-GB" w:eastAsia="zh-CN"/>
        </w:rPr>
        <w:t xml:space="preserve">qualitatively similar </w:t>
      </w:r>
      <w:r w:rsidRPr="00CE0DE7">
        <w:rPr>
          <w:color w:val="000000"/>
          <w:sz w:val="20"/>
          <w:szCs w:val="20"/>
          <w:lang w:val="en-GB" w:eastAsia="zh-CN"/>
        </w:rPr>
        <w:t xml:space="preserve">for </w:t>
      </w:r>
      <w:r w:rsidR="00E40993" w:rsidRPr="00CE0DE7">
        <w:rPr>
          <w:color w:val="000000"/>
          <w:sz w:val="20"/>
          <w:szCs w:val="20"/>
          <w:lang w:val="en-GB" w:eastAsia="zh-CN"/>
        </w:rPr>
        <w:t xml:space="preserve">returns to the </w:t>
      </w:r>
      <w:r w:rsidRPr="00CE0DE7">
        <w:rPr>
          <w:color w:val="000000"/>
          <w:sz w:val="20"/>
          <w:szCs w:val="20"/>
          <w:lang w:val="en-GB" w:eastAsia="zh-CN"/>
        </w:rPr>
        <w:t>S&amp;P 500 index in Panel B.</w:t>
      </w:r>
    </w:p>
    <w:p w14:paraId="2E4F3208" w14:textId="24FC3938" w:rsidR="00580AA9" w:rsidRPr="00CE0DE7" w:rsidRDefault="005A7DC1"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Panels C and D display </w:t>
      </w:r>
      <w:r w:rsidR="00D20D19" w:rsidRPr="00CE0DE7">
        <w:rPr>
          <w:color w:val="000000"/>
          <w:sz w:val="20"/>
          <w:szCs w:val="20"/>
          <w:lang w:val="en-GB" w:eastAsia="zh-CN"/>
        </w:rPr>
        <w:t xml:space="preserve">how </w:t>
      </w:r>
      <w:r w:rsidRPr="00CE0DE7">
        <w:rPr>
          <w:color w:val="000000"/>
          <w:sz w:val="20"/>
          <w:szCs w:val="20"/>
          <w:lang w:val="en-GB" w:eastAsia="zh-CN"/>
        </w:rPr>
        <w:t xml:space="preserve">illiquidity </w:t>
      </w:r>
      <w:r w:rsidR="00D20D19" w:rsidRPr="00CE0DE7">
        <w:rPr>
          <w:color w:val="000000"/>
          <w:sz w:val="20"/>
          <w:szCs w:val="20"/>
          <w:lang w:val="en-GB" w:eastAsia="zh-CN"/>
        </w:rPr>
        <w:t xml:space="preserve">responds </w:t>
      </w:r>
      <w:r w:rsidRPr="00CE0DE7">
        <w:rPr>
          <w:color w:val="000000"/>
          <w:sz w:val="20"/>
          <w:szCs w:val="20"/>
          <w:lang w:val="en-GB" w:eastAsia="zh-CN"/>
        </w:rPr>
        <w:t xml:space="preserve">to a </w:t>
      </w:r>
      <w:r w:rsidR="00D20D19" w:rsidRPr="00CE0DE7">
        <w:rPr>
          <w:color w:val="000000"/>
          <w:sz w:val="20"/>
          <w:szCs w:val="20"/>
          <w:lang w:val="en-GB" w:eastAsia="zh-CN"/>
        </w:rPr>
        <w:t>shock to</w:t>
      </w:r>
      <w:r w:rsidRPr="00CE0DE7">
        <w:rPr>
          <w:color w:val="000000"/>
          <w:sz w:val="20"/>
          <w:szCs w:val="20"/>
          <w:lang w:val="en-GB" w:eastAsia="zh-CN"/>
        </w:rPr>
        <w:t xml:space="preserve"> stock </w:t>
      </w:r>
      <w:r w:rsidR="006106F8" w:rsidRPr="00CE0DE7">
        <w:rPr>
          <w:color w:val="000000"/>
          <w:sz w:val="20"/>
          <w:szCs w:val="20"/>
          <w:lang w:val="en-GB" w:eastAsia="zh-CN"/>
        </w:rPr>
        <w:t xml:space="preserve">market </w:t>
      </w:r>
      <w:r w:rsidRPr="00CE0DE7">
        <w:rPr>
          <w:color w:val="000000"/>
          <w:sz w:val="20"/>
          <w:szCs w:val="20"/>
          <w:lang w:val="en-GB" w:eastAsia="zh-CN"/>
        </w:rPr>
        <w:t xml:space="preserve">returns </w:t>
      </w:r>
      <w:r w:rsidR="00D20D19" w:rsidRPr="00CE0DE7">
        <w:rPr>
          <w:color w:val="000000"/>
          <w:sz w:val="20"/>
          <w:szCs w:val="20"/>
          <w:lang w:val="en-GB" w:eastAsia="zh-CN"/>
        </w:rPr>
        <w:t>or</w:t>
      </w:r>
      <w:r w:rsidRPr="00CE0DE7">
        <w:rPr>
          <w:color w:val="000000"/>
          <w:sz w:val="20"/>
          <w:szCs w:val="20"/>
          <w:lang w:val="en-GB" w:eastAsia="zh-CN"/>
        </w:rPr>
        <w:t xml:space="preserve"> </w:t>
      </w:r>
      <w:r w:rsidR="008A433B" w:rsidRPr="00CE0DE7">
        <w:rPr>
          <w:color w:val="000000"/>
          <w:sz w:val="20"/>
          <w:szCs w:val="20"/>
          <w:lang w:val="en-GB" w:eastAsia="zh-CN"/>
        </w:rPr>
        <w:t xml:space="preserve">the </w:t>
      </w:r>
      <w:r w:rsidR="0048419C" w:rsidRPr="00CE0DE7">
        <w:rPr>
          <w:color w:val="000000"/>
          <w:sz w:val="20"/>
          <w:szCs w:val="20"/>
          <w:lang w:val="en-GB" w:eastAsia="zh-CN"/>
        </w:rPr>
        <w:t>VRP</w:t>
      </w:r>
      <w:r w:rsidRPr="00CE0DE7">
        <w:rPr>
          <w:color w:val="000000"/>
          <w:sz w:val="20"/>
          <w:szCs w:val="20"/>
          <w:lang w:val="en-GB" w:eastAsia="zh-CN"/>
        </w:rPr>
        <w:t xml:space="preserve">. We find that a one-standard-deviation disturbance </w:t>
      </w:r>
      <w:r w:rsidR="00106A51" w:rsidRPr="00CE0DE7">
        <w:rPr>
          <w:color w:val="000000"/>
          <w:sz w:val="20"/>
          <w:szCs w:val="20"/>
          <w:lang w:val="en-GB" w:eastAsia="zh-CN"/>
        </w:rPr>
        <w:t>to</w:t>
      </w:r>
      <w:r w:rsidRPr="00CE0DE7">
        <w:rPr>
          <w:color w:val="000000"/>
          <w:sz w:val="20"/>
          <w:szCs w:val="20"/>
          <w:lang w:val="en-GB" w:eastAsia="zh-CN"/>
        </w:rPr>
        <w:t xml:space="preserve"> </w:t>
      </w:r>
      <w:r w:rsidRPr="00CE0DE7">
        <w:rPr>
          <w:i/>
          <w:color w:val="000000"/>
          <w:sz w:val="20"/>
          <w:szCs w:val="20"/>
          <w:lang w:val="en-GB" w:eastAsia="zh-CN"/>
        </w:rPr>
        <w:t>VW</w:t>
      </w:r>
      <w:r w:rsidRPr="00CE0DE7">
        <w:rPr>
          <w:color w:val="000000"/>
          <w:sz w:val="20"/>
          <w:szCs w:val="20"/>
          <w:lang w:val="en-GB" w:eastAsia="zh-CN"/>
        </w:rPr>
        <w:t xml:space="preserve"> and </w:t>
      </w:r>
      <w:r w:rsidRPr="00CE0DE7">
        <w:rPr>
          <w:i/>
          <w:color w:val="000000"/>
          <w:sz w:val="20"/>
          <w:szCs w:val="20"/>
          <w:lang w:val="en-GB" w:eastAsia="zh-CN"/>
        </w:rPr>
        <w:t>INDEX</w:t>
      </w:r>
      <w:r w:rsidRPr="00CE0DE7">
        <w:rPr>
          <w:color w:val="000000"/>
          <w:sz w:val="20"/>
          <w:szCs w:val="20"/>
          <w:lang w:val="en-GB" w:eastAsia="zh-CN"/>
        </w:rPr>
        <w:t xml:space="preserve"> results in around </w:t>
      </w:r>
      <w:r w:rsidR="00332261" w:rsidRPr="00CE0DE7">
        <w:rPr>
          <w:color w:val="000000"/>
          <w:sz w:val="20"/>
          <w:szCs w:val="20"/>
          <w:lang w:val="en-GB" w:eastAsia="zh-CN"/>
        </w:rPr>
        <w:t xml:space="preserve">a </w:t>
      </w:r>
      <w:r w:rsidR="007F2393" w:rsidRPr="00CE0DE7">
        <w:rPr>
          <w:color w:val="000000"/>
          <w:sz w:val="20"/>
          <w:szCs w:val="20"/>
          <w:lang w:val="en-GB" w:eastAsia="zh-CN"/>
        </w:rPr>
        <w:t>0.2</w:t>
      </w:r>
      <w:r w:rsidRPr="00CE0DE7">
        <w:rPr>
          <w:color w:val="000000"/>
          <w:sz w:val="20"/>
          <w:szCs w:val="20"/>
          <w:lang w:val="en-GB" w:eastAsia="zh-CN"/>
        </w:rPr>
        <w:t xml:space="preserve">% decrease in stock illiquidity for the first two months, and </w:t>
      </w:r>
      <w:r w:rsidR="00D20D19" w:rsidRPr="00CE0DE7">
        <w:rPr>
          <w:color w:val="000000"/>
          <w:sz w:val="20"/>
          <w:szCs w:val="20"/>
          <w:lang w:val="en-GB" w:eastAsia="zh-CN"/>
        </w:rPr>
        <w:t>gradually</w:t>
      </w:r>
      <w:r w:rsidR="00116C90" w:rsidRPr="00CE0DE7">
        <w:rPr>
          <w:color w:val="000000"/>
          <w:sz w:val="20"/>
          <w:szCs w:val="20"/>
          <w:lang w:val="en-GB" w:eastAsia="zh-CN"/>
        </w:rPr>
        <w:t xml:space="preserve"> </w:t>
      </w:r>
      <w:r w:rsidRPr="00CE0DE7">
        <w:rPr>
          <w:color w:val="000000"/>
          <w:sz w:val="20"/>
          <w:szCs w:val="20"/>
          <w:lang w:val="en-GB" w:eastAsia="zh-CN"/>
        </w:rPr>
        <w:t>decrease</w:t>
      </w:r>
      <w:r w:rsidR="00D20D19" w:rsidRPr="00CE0DE7">
        <w:rPr>
          <w:color w:val="000000"/>
          <w:sz w:val="20"/>
          <w:szCs w:val="20"/>
          <w:lang w:val="en-GB" w:eastAsia="zh-CN"/>
        </w:rPr>
        <w:t>s</w:t>
      </w:r>
      <w:r w:rsidR="00116C90" w:rsidRPr="00CE0DE7">
        <w:rPr>
          <w:color w:val="000000"/>
          <w:sz w:val="20"/>
          <w:szCs w:val="20"/>
          <w:lang w:val="en-GB" w:eastAsia="zh-CN"/>
        </w:rPr>
        <w:t xml:space="preserve">. </w:t>
      </w:r>
      <w:r w:rsidR="00683FDC" w:rsidRPr="00CE0DE7">
        <w:rPr>
          <w:color w:val="000000"/>
          <w:sz w:val="20"/>
          <w:szCs w:val="20"/>
          <w:lang w:val="en-GB" w:eastAsia="zh-CN"/>
        </w:rPr>
        <w:t xml:space="preserve">It is </w:t>
      </w:r>
      <w:r w:rsidR="00332261" w:rsidRPr="00CE0DE7">
        <w:rPr>
          <w:color w:val="000000"/>
          <w:sz w:val="20"/>
          <w:szCs w:val="20"/>
          <w:lang w:val="en-GB" w:eastAsia="zh-CN"/>
        </w:rPr>
        <w:t xml:space="preserve">worth </w:t>
      </w:r>
      <w:r w:rsidR="00683FDC" w:rsidRPr="00CE0DE7">
        <w:rPr>
          <w:color w:val="000000"/>
          <w:sz w:val="20"/>
          <w:szCs w:val="20"/>
          <w:lang w:val="en-GB" w:eastAsia="zh-CN"/>
        </w:rPr>
        <w:t>noting that</w:t>
      </w:r>
      <w:r w:rsidR="00116C90" w:rsidRPr="00CE0DE7">
        <w:rPr>
          <w:color w:val="000000"/>
          <w:sz w:val="20"/>
          <w:szCs w:val="20"/>
          <w:lang w:val="en-GB" w:eastAsia="zh-CN"/>
        </w:rPr>
        <w:t xml:space="preserve"> the negative impact </w:t>
      </w:r>
      <w:r w:rsidR="00855D08" w:rsidRPr="00CE0DE7">
        <w:rPr>
          <w:color w:val="000000"/>
          <w:sz w:val="20"/>
          <w:szCs w:val="20"/>
          <w:lang w:val="en-GB" w:eastAsia="zh-CN"/>
        </w:rPr>
        <w:t xml:space="preserve">is significant </w:t>
      </w:r>
      <w:r w:rsidR="001C6DCF" w:rsidRPr="00CE0DE7">
        <w:rPr>
          <w:color w:val="000000"/>
          <w:sz w:val="20"/>
          <w:szCs w:val="20"/>
          <w:lang w:val="en-GB" w:eastAsia="zh-CN"/>
        </w:rPr>
        <w:t xml:space="preserve">for </w:t>
      </w:r>
      <w:r w:rsidR="007F2393" w:rsidRPr="00CE0DE7">
        <w:rPr>
          <w:color w:val="000000"/>
          <w:sz w:val="20"/>
          <w:szCs w:val="20"/>
          <w:lang w:val="en-GB" w:eastAsia="zh-CN"/>
        </w:rPr>
        <w:t>more than ten</w:t>
      </w:r>
      <w:r w:rsidR="00855D08" w:rsidRPr="00CE0DE7">
        <w:rPr>
          <w:color w:val="000000"/>
          <w:sz w:val="20"/>
          <w:szCs w:val="20"/>
          <w:lang w:val="en-GB" w:eastAsia="zh-CN"/>
        </w:rPr>
        <w:t xml:space="preserve"> months </w:t>
      </w:r>
      <w:r w:rsidR="00683FDC" w:rsidRPr="00CE0DE7">
        <w:rPr>
          <w:color w:val="000000"/>
          <w:sz w:val="20"/>
          <w:szCs w:val="20"/>
          <w:lang w:val="en-GB" w:eastAsia="zh-CN"/>
        </w:rPr>
        <w:t>following</w:t>
      </w:r>
      <w:r w:rsidR="00855D08" w:rsidRPr="00CE0DE7">
        <w:rPr>
          <w:color w:val="000000"/>
          <w:sz w:val="20"/>
          <w:szCs w:val="20"/>
          <w:lang w:val="en-GB" w:eastAsia="zh-CN"/>
        </w:rPr>
        <w:t xml:space="preserve"> the shock, consistent with the </w:t>
      </w:r>
      <w:r w:rsidR="00106A51" w:rsidRPr="00CE0DE7">
        <w:rPr>
          <w:color w:val="000000"/>
          <w:sz w:val="20"/>
          <w:szCs w:val="20"/>
          <w:lang w:val="en-GB" w:eastAsia="zh-CN"/>
        </w:rPr>
        <w:t xml:space="preserve">findings </w:t>
      </w:r>
      <w:r w:rsidR="00855D08" w:rsidRPr="00CE0DE7">
        <w:rPr>
          <w:color w:val="000000"/>
          <w:sz w:val="20"/>
          <w:szCs w:val="20"/>
          <w:lang w:val="en-GB" w:eastAsia="zh-CN"/>
        </w:rPr>
        <w:t xml:space="preserve">from the </w:t>
      </w:r>
      <w:r w:rsidR="001C6DCF" w:rsidRPr="00CE0DE7">
        <w:rPr>
          <w:color w:val="000000"/>
          <w:sz w:val="20"/>
          <w:szCs w:val="20"/>
          <w:lang w:val="en-GB" w:eastAsia="zh-CN"/>
        </w:rPr>
        <w:t xml:space="preserve">Toda-Yamamoto </w:t>
      </w:r>
      <w:r w:rsidR="00855D08" w:rsidRPr="00CE0DE7">
        <w:rPr>
          <w:color w:val="000000"/>
          <w:sz w:val="20"/>
          <w:szCs w:val="20"/>
          <w:lang w:val="en-GB" w:eastAsia="zh-CN"/>
        </w:rPr>
        <w:t xml:space="preserve">Granger non-causality test </w:t>
      </w:r>
      <w:r w:rsidR="001C6DCF" w:rsidRPr="00CE0DE7">
        <w:rPr>
          <w:color w:val="000000"/>
          <w:sz w:val="20"/>
          <w:szCs w:val="20"/>
          <w:lang w:val="en-GB" w:eastAsia="zh-CN"/>
        </w:rPr>
        <w:t xml:space="preserve">indicating </w:t>
      </w:r>
      <w:r w:rsidR="00855D08" w:rsidRPr="00CE0DE7">
        <w:rPr>
          <w:color w:val="000000"/>
          <w:sz w:val="20"/>
          <w:szCs w:val="20"/>
          <w:lang w:val="en-GB" w:eastAsia="zh-CN"/>
        </w:rPr>
        <w:t xml:space="preserve">that </w:t>
      </w:r>
      <w:r w:rsidR="00EB732A" w:rsidRPr="00CE0DE7">
        <w:rPr>
          <w:color w:val="000000"/>
          <w:sz w:val="20"/>
          <w:szCs w:val="20"/>
          <w:lang w:val="en-GB" w:eastAsia="zh-CN"/>
        </w:rPr>
        <w:t xml:space="preserve">changes in </w:t>
      </w:r>
      <w:r w:rsidR="00855D08" w:rsidRPr="00CE0DE7">
        <w:rPr>
          <w:color w:val="000000"/>
          <w:sz w:val="20"/>
          <w:szCs w:val="20"/>
          <w:lang w:val="en-GB" w:eastAsia="zh-CN"/>
        </w:rPr>
        <w:t xml:space="preserve">stock </w:t>
      </w:r>
      <w:r w:rsidR="006106F8" w:rsidRPr="00CE0DE7">
        <w:rPr>
          <w:color w:val="000000"/>
          <w:sz w:val="20"/>
          <w:szCs w:val="20"/>
          <w:lang w:val="en-GB" w:eastAsia="zh-CN"/>
        </w:rPr>
        <w:t xml:space="preserve">market </w:t>
      </w:r>
      <w:r w:rsidR="00855D08" w:rsidRPr="00CE0DE7">
        <w:rPr>
          <w:color w:val="000000"/>
          <w:sz w:val="20"/>
          <w:szCs w:val="20"/>
          <w:lang w:val="en-GB" w:eastAsia="zh-CN"/>
        </w:rPr>
        <w:t>return</w:t>
      </w:r>
      <w:r w:rsidR="00244903" w:rsidRPr="00CE0DE7">
        <w:rPr>
          <w:color w:val="000000"/>
          <w:sz w:val="20"/>
          <w:szCs w:val="20"/>
          <w:lang w:val="en-GB" w:eastAsia="zh-CN"/>
        </w:rPr>
        <w:t>s</w:t>
      </w:r>
      <w:r w:rsidR="00855D08" w:rsidRPr="00CE0DE7">
        <w:rPr>
          <w:color w:val="000000"/>
          <w:sz w:val="20"/>
          <w:szCs w:val="20"/>
          <w:lang w:val="en-GB" w:eastAsia="zh-CN"/>
        </w:rPr>
        <w:t xml:space="preserve"> lead </w:t>
      </w:r>
      <w:r w:rsidR="00244903" w:rsidRPr="00CE0DE7">
        <w:rPr>
          <w:color w:val="000000"/>
          <w:sz w:val="20"/>
          <w:szCs w:val="20"/>
          <w:lang w:val="en-GB" w:eastAsia="zh-CN"/>
        </w:rPr>
        <w:t xml:space="preserve">to </w:t>
      </w:r>
      <w:r w:rsidR="00EB732A" w:rsidRPr="00CE0DE7">
        <w:rPr>
          <w:color w:val="000000"/>
          <w:sz w:val="20"/>
          <w:szCs w:val="20"/>
          <w:lang w:val="en-GB" w:eastAsia="zh-CN"/>
        </w:rPr>
        <w:t>innovation</w:t>
      </w:r>
      <w:r w:rsidR="00B97ACA" w:rsidRPr="00CE0DE7">
        <w:rPr>
          <w:color w:val="000000"/>
          <w:sz w:val="20"/>
          <w:szCs w:val="20"/>
          <w:lang w:val="en-GB" w:eastAsia="zh-CN"/>
        </w:rPr>
        <w:t>s</w:t>
      </w:r>
      <w:r w:rsidR="00EB732A" w:rsidRPr="00CE0DE7">
        <w:rPr>
          <w:color w:val="000000"/>
          <w:sz w:val="20"/>
          <w:szCs w:val="20"/>
          <w:lang w:val="en-GB" w:eastAsia="zh-CN"/>
        </w:rPr>
        <w:t xml:space="preserve"> in </w:t>
      </w:r>
      <w:r w:rsidR="00855D08" w:rsidRPr="00CE0DE7">
        <w:rPr>
          <w:color w:val="000000"/>
          <w:sz w:val="20"/>
          <w:szCs w:val="20"/>
          <w:lang w:val="en-GB" w:eastAsia="zh-CN"/>
        </w:rPr>
        <w:t>illiquidity</w:t>
      </w:r>
      <w:r w:rsidR="00EB732A" w:rsidRPr="00CE0DE7">
        <w:rPr>
          <w:color w:val="000000"/>
          <w:sz w:val="20"/>
          <w:szCs w:val="20"/>
          <w:lang w:val="en-GB" w:eastAsia="zh-CN"/>
        </w:rPr>
        <w:t>.</w:t>
      </w:r>
      <w:r w:rsidRPr="00CE0DE7">
        <w:rPr>
          <w:color w:val="000000"/>
          <w:sz w:val="20"/>
          <w:szCs w:val="20"/>
          <w:lang w:val="en-GB" w:eastAsia="zh-CN"/>
        </w:rPr>
        <w:t xml:space="preserve"> </w:t>
      </w:r>
      <w:r w:rsidR="007F2393" w:rsidRPr="00CE0DE7">
        <w:rPr>
          <w:color w:val="000000"/>
          <w:sz w:val="20"/>
          <w:szCs w:val="20"/>
          <w:lang w:val="en-GB" w:eastAsia="zh-CN"/>
        </w:rPr>
        <w:t>Meanwhile</w:t>
      </w:r>
      <w:r w:rsidR="00EB732A" w:rsidRPr="00CE0DE7">
        <w:rPr>
          <w:color w:val="000000"/>
          <w:sz w:val="20"/>
          <w:szCs w:val="20"/>
          <w:lang w:val="en-GB" w:eastAsia="zh-CN"/>
        </w:rPr>
        <w:t xml:space="preserve">, </w:t>
      </w:r>
      <w:r w:rsidR="001C6DCF" w:rsidRPr="00CE0DE7">
        <w:rPr>
          <w:color w:val="000000"/>
          <w:sz w:val="20"/>
          <w:szCs w:val="20"/>
          <w:lang w:val="en-GB" w:eastAsia="zh-CN"/>
        </w:rPr>
        <w:t xml:space="preserve">a </w:t>
      </w:r>
      <w:r w:rsidR="00D20D19" w:rsidRPr="00CE0DE7">
        <w:rPr>
          <w:color w:val="000000"/>
          <w:sz w:val="20"/>
          <w:szCs w:val="20"/>
          <w:lang w:val="en-GB" w:eastAsia="zh-CN"/>
        </w:rPr>
        <w:t xml:space="preserve">similar pattern is observed between </w:t>
      </w:r>
      <w:r w:rsidRPr="00CE0DE7">
        <w:rPr>
          <w:color w:val="000000"/>
          <w:sz w:val="20"/>
          <w:szCs w:val="20"/>
          <w:lang w:val="en-GB" w:eastAsia="zh-CN"/>
        </w:rPr>
        <w:t xml:space="preserve">illiquidity </w:t>
      </w:r>
      <w:r w:rsidR="00D20D19" w:rsidRPr="00CE0DE7">
        <w:rPr>
          <w:color w:val="000000"/>
          <w:sz w:val="20"/>
          <w:szCs w:val="20"/>
          <w:lang w:val="en-GB" w:eastAsia="zh-CN"/>
        </w:rPr>
        <w:t xml:space="preserve">and </w:t>
      </w:r>
      <w:r w:rsidRPr="00CE0DE7">
        <w:rPr>
          <w:color w:val="000000"/>
          <w:sz w:val="20"/>
          <w:szCs w:val="20"/>
          <w:lang w:val="en-GB" w:eastAsia="zh-CN"/>
        </w:rPr>
        <w:t xml:space="preserve">the </w:t>
      </w:r>
      <w:r w:rsidR="0048419C" w:rsidRPr="00CE0DE7">
        <w:rPr>
          <w:color w:val="000000"/>
          <w:sz w:val="20"/>
          <w:szCs w:val="20"/>
          <w:lang w:val="en-GB" w:eastAsia="zh-CN"/>
        </w:rPr>
        <w:t>VRP</w:t>
      </w:r>
      <w:r w:rsidRPr="00CE0DE7">
        <w:rPr>
          <w:color w:val="000000"/>
          <w:sz w:val="20"/>
          <w:szCs w:val="20"/>
          <w:lang w:val="en-GB" w:eastAsia="zh-CN"/>
        </w:rPr>
        <w:t xml:space="preserve">. The </w:t>
      </w:r>
      <w:r w:rsidR="00EB732A" w:rsidRPr="00CE0DE7">
        <w:rPr>
          <w:color w:val="000000"/>
          <w:sz w:val="20"/>
          <w:szCs w:val="20"/>
          <w:lang w:val="en-GB" w:eastAsia="zh-CN"/>
        </w:rPr>
        <w:t xml:space="preserve">marginally </w:t>
      </w:r>
      <w:r w:rsidRPr="00CE0DE7">
        <w:rPr>
          <w:color w:val="000000"/>
          <w:sz w:val="20"/>
          <w:szCs w:val="20"/>
          <w:lang w:val="en-GB" w:eastAsia="zh-CN"/>
        </w:rPr>
        <w:t xml:space="preserve">significant </w:t>
      </w:r>
      <w:r w:rsidR="000C3DA4" w:rsidRPr="00CE0DE7">
        <w:rPr>
          <w:color w:val="000000"/>
          <w:sz w:val="20"/>
          <w:szCs w:val="20"/>
          <w:lang w:val="en-GB" w:eastAsia="zh-CN"/>
        </w:rPr>
        <w:t xml:space="preserve">and negative </w:t>
      </w:r>
      <w:r w:rsidRPr="00CE0DE7">
        <w:rPr>
          <w:color w:val="000000"/>
          <w:sz w:val="20"/>
          <w:szCs w:val="20"/>
          <w:lang w:val="en-GB" w:eastAsia="zh-CN"/>
        </w:rPr>
        <w:t xml:space="preserve">response </w:t>
      </w:r>
      <w:r w:rsidR="00C26B3E" w:rsidRPr="00CE0DE7">
        <w:rPr>
          <w:color w:val="000000"/>
          <w:sz w:val="20"/>
          <w:szCs w:val="20"/>
          <w:lang w:val="en-GB" w:eastAsia="zh-CN"/>
        </w:rPr>
        <w:t xml:space="preserve">of illiquidity </w:t>
      </w:r>
      <w:r w:rsidRPr="00CE0DE7">
        <w:rPr>
          <w:color w:val="000000"/>
          <w:sz w:val="20"/>
          <w:szCs w:val="20"/>
          <w:lang w:val="en-GB" w:eastAsia="zh-CN"/>
        </w:rPr>
        <w:t xml:space="preserve">to </w:t>
      </w:r>
      <w:r w:rsidRPr="00CE0DE7">
        <w:rPr>
          <w:i/>
          <w:color w:val="000000"/>
          <w:sz w:val="20"/>
          <w:szCs w:val="20"/>
          <w:lang w:val="en-GB" w:eastAsia="zh-CN"/>
        </w:rPr>
        <w:t>VRP</w:t>
      </w:r>
      <w:r w:rsidRPr="00CE0DE7">
        <w:rPr>
          <w:i/>
          <w:color w:val="000000"/>
          <w:sz w:val="20"/>
          <w:szCs w:val="20"/>
          <w:vertAlign w:val="superscript"/>
          <w:lang w:val="en-GB" w:eastAsia="zh-CN"/>
        </w:rPr>
        <w:t>BTZ</w:t>
      </w:r>
      <w:r w:rsidRPr="00CE0DE7">
        <w:rPr>
          <w:i/>
          <w:color w:val="000000"/>
          <w:sz w:val="20"/>
          <w:szCs w:val="20"/>
          <w:lang w:val="en-GB" w:eastAsia="zh-CN"/>
        </w:rPr>
        <w:t xml:space="preserve"> </w:t>
      </w:r>
      <w:r w:rsidRPr="00CE0DE7">
        <w:rPr>
          <w:color w:val="000000"/>
          <w:sz w:val="20"/>
          <w:szCs w:val="20"/>
          <w:lang w:val="en-GB" w:eastAsia="zh-CN"/>
        </w:rPr>
        <w:t xml:space="preserve">can be observed using conventional levels of confidence. </w:t>
      </w:r>
      <w:r w:rsidR="000C3DA4" w:rsidRPr="00CE0DE7">
        <w:rPr>
          <w:sz w:val="20"/>
          <w:szCs w:val="20"/>
          <w:lang w:val="en-GB" w:eastAsia="zh-CN"/>
        </w:rPr>
        <w:t>Similarly, t</w:t>
      </w:r>
      <w:r w:rsidRPr="00CE0DE7">
        <w:rPr>
          <w:sz w:val="20"/>
          <w:szCs w:val="20"/>
          <w:lang w:val="en-GB" w:eastAsia="zh-CN"/>
        </w:rPr>
        <w:t xml:space="preserve">he </w:t>
      </w:r>
      <w:r w:rsidR="00EB732A" w:rsidRPr="00CE0DE7">
        <w:rPr>
          <w:sz w:val="20"/>
          <w:szCs w:val="20"/>
          <w:lang w:val="en-GB" w:eastAsia="zh-CN"/>
        </w:rPr>
        <w:t>fourth</w:t>
      </w:r>
      <w:r w:rsidRPr="00CE0DE7">
        <w:rPr>
          <w:sz w:val="20"/>
          <w:szCs w:val="20"/>
          <w:lang w:val="en-GB" w:eastAsia="zh-CN"/>
        </w:rPr>
        <w:t xml:space="preserve"> figure in Panel C shows that </w:t>
      </w:r>
      <w:r w:rsidR="00332261" w:rsidRPr="00CE0DE7">
        <w:rPr>
          <w:sz w:val="20"/>
          <w:szCs w:val="20"/>
          <w:lang w:val="en-GB" w:eastAsia="zh-CN"/>
        </w:rPr>
        <w:t xml:space="preserve">a </w:t>
      </w:r>
      <w:r w:rsidRPr="00CE0DE7">
        <w:rPr>
          <w:sz w:val="20"/>
          <w:szCs w:val="20"/>
          <w:lang w:val="en-GB" w:eastAsia="zh-CN"/>
        </w:rPr>
        <w:t xml:space="preserve">one-standard-deviation disturbance </w:t>
      </w:r>
      <w:r w:rsidR="00106A51" w:rsidRPr="00CE0DE7">
        <w:rPr>
          <w:sz w:val="20"/>
          <w:szCs w:val="20"/>
          <w:lang w:val="en-GB" w:eastAsia="zh-CN"/>
        </w:rPr>
        <w:t xml:space="preserve">to </w:t>
      </w:r>
      <w:r w:rsidRPr="00CE0DE7">
        <w:rPr>
          <w:i/>
          <w:color w:val="000000"/>
          <w:sz w:val="20"/>
          <w:szCs w:val="20"/>
          <w:lang w:val="en-GB" w:eastAsia="zh-CN"/>
        </w:rPr>
        <w:t>VRP</w:t>
      </w:r>
      <w:r w:rsidRPr="00CE0DE7">
        <w:rPr>
          <w:i/>
          <w:color w:val="000000"/>
          <w:sz w:val="20"/>
          <w:szCs w:val="20"/>
          <w:vertAlign w:val="superscript"/>
          <w:lang w:val="en-GB" w:eastAsia="zh-CN"/>
        </w:rPr>
        <w:t>CW</w:t>
      </w:r>
      <w:r w:rsidRPr="00CE0DE7">
        <w:rPr>
          <w:sz w:val="20"/>
          <w:szCs w:val="20"/>
          <w:lang w:val="en-GB" w:eastAsia="zh-CN"/>
        </w:rPr>
        <w:t xml:space="preserve"> results in around </w:t>
      </w:r>
      <w:r w:rsidR="007F2393" w:rsidRPr="00CE0DE7">
        <w:rPr>
          <w:sz w:val="20"/>
          <w:szCs w:val="20"/>
          <w:lang w:val="en-GB" w:eastAsia="zh-CN"/>
        </w:rPr>
        <w:t>0.1</w:t>
      </w:r>
      <w:r w:rsidRPr="00CE0DE7">
        <w:rPr>
          <w:sz w:val="20"/>
          <w:szCs w:val="20"/>
          <w:lang w:val="en-GB" w:eastAsia="zh-CN"/>
        </w:rPr>
        <w:t>% decrease in illiquidity for the NYSE stocks</w:t>
      </w:r>
      <w:r w:rsidRPr="00CE0DE7" w:rsidDel="00143DD7">
        <w:rPr>
          <w:color w:val="000000"/>
          <w:position w:val="-6"/>
          <w:sz w:val="20"/>
          <w:szCs w:val="20"/>
          <w:lang w:val="en-GB" w:eastAsia="zh-CN"/>
        </w:rPr>
        <w:t xml:space="preserve"> </w:t>
      </w:r>
      <w:r w:rsidRPr="00CE0DE7">
        <w:rPr>
          <w:sz w:val="20"/>
          <w:szCs w:val="20"/>
          <w:lang w:val="en-GB" w:eastAsia="zh-CN"/>
        </w:rPr>
        <w:t>in the first two months.</w:t>
      </w:r>
      <w:r w:rsidRPr="00CE0DE7">
        <w:rPr>
          <w:color w:val="000000"/>
          <w:sz w:val="20"/>
          <w:szCs w:val="20"/>
          <w:lang w:val="en-GB" w:eastAsia="zh-CN"/>
        </w:rPr>
        <w:t xml:space="preserve"> Panel D </w:t>
      </w:r>
      <w:r w:rsidR="00106A51" w:rsidRPr="00CE0DE7">
        <w:rPr>
          <w:color w:val="000000"/>
          <w:sz w:val="20"/>
          <w:szCs w:val="20"/>
          <w:lang w:val="en-GB" w:eastAsia="zh-CN"/>
        </w:rPr>
        <w:t>illustrates the results of</w:t>
      </w:r>
      <w:r w:rsidRPr="00CE0DE7">
        <w:rPr>
          <w:color w:val="000000"/>
          <w:sz w:val="20"/>
          <w:szCs w:val="20"/>
          <w:lang w:val="en-GB" w:eastAsia="zh-CN"/>
        </w:rPr>
        <w:t xml:space="preserve"> illiquidity </w:t>
      </w:r>
      <w:r w:rsidR="00106A51" w:rsidRPr="00CE0DE7">
        <w:rPr>
          <w:color w:val="000000"/>
          <w:sz w:val="20"/>
          <w:szCs w:val="20"/>
          <w:lang w:val="en-GB" w:eastAsia="zh-CN"/>
        </w:rPr>
        <w:t>on</w:t>
      </w:r>
      <w:r w:rsidR="00BB56CB" w:rsidRPr="00CE0DE7">
        <w:rPr>
          <w:color w:val="000000"/>
          <w:sz w:val="20"/>
          <w:szCs w:val="20"/>
          <w:lang w:val="en-GB" w:eastAsia="zh-CN"/>
        </w:rPr>
        <w:t xml:space="preserve"> the</w:t>
      </w:r>
      <w:r w:rsidRPr="00CE0DE7">
        <w:rPr>
          <w:color w:val="000000"/>
          <w:sz w:val="20"/>
          <w:szCs w:val="20"/>
          <w:lang w:val="en-GB" w:eastAsia="zh-CN"/>
        </w:rPr>
        <w:t xml:space="preserve"> S&amp;P 500 index</w:t>
      </w:r>
      <w:r w:rsidR="00BB56CB" w:rsidRPr="00CE0DE7">
        <w:rPr>
          <w:color w:val="000000"/>
          <w:sz w:val="20"/>
          <w:szCs w:val="20"/>
          <w:lang w:val="en-GB" w:eastAsia="zh-CN"/>
        </w:rPr>
        <w:t xml:space="preserve"> </w:t>
      </w:r>
      <w:r w:rsidR="00106A51" w:rsidRPr="00CE0DE7">
        <w:rPr>
          <w:color w:val="000000"/>
          <w:sz w:val="20"/>
          <w:szCs w:val="20"/>
          <w:lang w:val="en-GB" w:eastAsia="zh-CN"/>
        </w:rPr>
        <w:t>with similar patterns</w:t>
      </w:r>
      <w:r w:rsidRPr="00CE0DE7">
        <w:rPr>
          <w:color w:val="000000"/>
          <w:sz w:val="20"/>
          <w:szCs w:val="20"/>
          <w:lang w:val="en-GB" w:eastAsia="zh-CN"/>
        </w:rPr>
        <w:t xml:space="preserve">. </w:t>
      </w:r>
      <w:r w:rsidR="00435B8E" w:rsidRPr="00CE0DE7">
        <w:rPr>
          <w:color w:val="000000"/>
          <w:sz w:val="20"/>
          <w:szCs w:val="20"/>
          <w:lang w:val="en-GB" w:eastAsia="zh-CN"/>
        </w:rPr>
        <w:t>Together</w:t>
      </w:r>
      <w:r w:rsidRPr="00CE0DE7">
        <w:rPr>
          <w:color w:val="000000"/>
          <w:sz w:val="20"/>
          <w:szCs w:val="20"/>
          <w:lang w:val="en-GB" w:eastAsia="zh-CN"/>
        </w:rPr>
        <w:t xml:space="preserve">, Panels C and D </w:t>
      </w:r>
      <w:r w:rsidR="0032747D" w:rsidRPr="00CE0DE7">
        <w:rPr>
          <w:color w:val="000000"/>
          <w:sz w:val="20"/>
          <w:szCs w:val="20"/>
          <w:lang w:val="en-GB" w:eastAsia="zh-CN"/>
        </w:rPr>
        <w:t>reveal</w:t>
      </w:r>
      <w:r w:rsidRPr="00CE0DE7">
        <w:rPr>
          <w:color w:val="000000"/>
          <w:sz w:val="20"/>
          <w:szCs w:val="20"/>
          <w:lang w:val="en-GB" w:eastAsia="zh-CN"/>
        </w:rPr>
        <w:t xml:space="preserve"> that </w:t>
      </w:r>
      <w:r w:rsidR="000C3DA4" w:rsidRPr="00CE0DE7">
        <w:rPr>
          <w:color w:val="000000"/>
          <w:sz w:val="20"/>
          <w:szCs w:val="20"/>
          <w:lang w:val="en-GB" w:eastAsia="zh-CN"/>
        </w:rPr>
        <w:t xml:space="preserve">shocks in </w:t>
      </w:r>
      <w:r w:rsidRPr="00CE0DE7">
        <w:rPr>
          <w:color w:val="000000"/>
          <w:sz w:val="20"/>
          <w:szCs w:val="20"/>
          <w:lang w:val="en-GB" w:eastAsia="zh-CN"/>
        </w:rPr>
        <w:t xml:space="preserve">stock market returns have a </w:t>
      </w:r>
      <w:r w:rsidR="0032747D" w:rsidRPr="00CE0DE7">
        <w:rPr>
          <w:color w:val="000000"/>
          <w:sz w:val="20"/>
          <w:szCs w:val="20"/>
          <w:lang w:val="en-GB" w:eastAsia="zh-CN"/>
        </w:rPr>
        <w:t xml:space="preserve">substantial </w:t>
      </w:r>
      <w:r w:rsidR="000C3DA4" w:rsidRPr="00CE0DE7">
        <w:rPr>
          <w:color w:val="000000"/>
          <w:sz w:val="20"/>
          <w:szCs w:val="20"/>
          <w:lang w:val="en-GB" w:eastAsia="zh-CN"/>
        </w:rPr>
        <w:t xml:space="preserve">negative </w:t>
      </w:r>
      <w:r w:rsidRPr="00CE0DE7">
        <w:rPr>
          <w:color w:val="000000"/>
          <w:sz w:val="20"/>
          <w:szCs w:val="20"/>
          <w:lang w:val="en-GB" w:eastAsia="zh-CN"/>
        </w:rPr>
        <w:t>impact on illiquidity</w:t>
      </w:r>
      <w:r w:rsidR="009D4BEB" w:rsidRPr="00CE0DE7">
        <w:rPr>
          <w:color w:val="000000"/>
          <w:sz w:val="20"/>
          <w:szCs w:val="20"/>
          <w:lang w:val="en-GB" w:eastAsia="zh-CN"/>
        </w:rPr>
        <w:t xml:space="preserve"> </w:t>
      </w:r>
      <w:r w:rsidR="00CB51CB" w:rsidRPr="00CE0DE7">
        <w:rPr>
          <w:color w:val="000000"/>
          <w:sz w:val="20"/>
          <w:szCs w:val="20"/>
          <w:lang w:val="en-GB" w:eastAsia="zh-CN"/>
        </w:rPr>
        <w:t xml:space="preserve">and so do </w:t>
      </w:r>
      <w:r w:rsidR="000C3DA4" w:rsidRPr="00CE0DE7">
        <w:rPr>
          <w:color w:val="000000"/>
          <w:sz w:val="20"/>
          <w:szCs w:val="20"/>
          <w:lang w:val="en-GB" w:eastAsia="zh-CN"/>
        </w:rPr>
        <w:t xml:space="preserve">shocks in </w:t>
      </w:r>
      <w:r w:rsidR="0048419C" w:rsidRPr="00CE0DE7">
        <w:rPr>
          <w:color w:val="000000"/>
          <w:sz w:val="20"/>
          <w:szCs w:val="20"/>
          <w:lang w:val="en-GB" w:eastAsia="zh-CN"/>
        </w:rPr>
        <w:t>VRP</w:t>
      </w:r>
      <w:r w:rsidR="00CB51CB" w:rsidRPr="00CE0DE7">
        <w:rPr>
          <w:color w:val="000000"/>
          <w:sz w:val="20"/>
          <w:szCs w:val="20"/>
          <w:lang w:val="en-GB" w:eastAsia="zh-CN"/>
        </w:rPr>
        <w:t xml:space="preserve"> measures</w:t>
      </w:r>
      <w:r w:rsidRPr="00CE0DE7">
        <w:rPr>
          <w:color w:val="000000"/>
          <w:sz w:val="20"/>
          <w:szCs w:val="20"/>
          <w:lang w:val="en-GB" w:eastAsia="zh-CN"/>
        </w:rPr>
        <w:t xml:space="preserve">. </w:t>
      </w:r>
    </w:p>
    <w:p w14:paraId="44D2F823" w14:textId="7B2BDAC1" w:rsidR="005A7DC1" w:rsidRPr="00CE0DE7" w:rsidRDefault="005A7DC1"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The impulse response of </w:t>
      </w:r>
      <w:r w:rsidR="008A433B" w:rsidRPr="00CE0DE7">
        <w:rPr>
          <w:color w:val="000000"/>
          <w:sz w:val="20"/>
          <w:szCs w:val="20"/>
          <w:lang w:val="en-GB" w:eastAsia="zh-CN"/>
        </w:rPr>
        <w:t xml:space="preserve">the </w:t>
      </w:r>
      <w:r w:rsidR="0048419C" w:rsidRPr="00CE0DE7">
        <w:rPr>
          <w:color w:val="000000"/>
          <w:sz w:val="20"/>
          <w:szCs w:val="20"/>
          <w:lang w:val="en-GB" w:eastAsia="zh-CN"/>
        </w:rPr>
        <w:t>VRP</w:t>
      </w:r>
      <w:r w:rsidRPr="00CE0DE7">
        <w:rPr>
          <w:color w:val="000000"/>
          <w:sz w:val="20"/>
          <w:szCs w:val="20"/>
          <w:lang w:val="en-GB" w:eastAsia="zh-CN"/>
        </w:rPr>
        <w:t xml:space="preserve"> to illiquidity and </w:t>
      </w:r>
      <w:r w:rsidR="00814ACB" w:rsidRPr="00CE0DE7">
        <w:rPr>
          <w:color w:val="000000"/>
          <w:sz w:val="20"/>
          <w:szCs w:val="20"/>
          <w:lang w:val="en-GB" w:eastAsia="zh-CN"/>
        </w:rPr>
        <w:t xml:space="preserve">market </w:t>
      </w:r>
      <w:r w:rsidRPr="00CE0DE7">
        <w:rPr>
          <w:color w:val="000000"/>
          <w:sz w:val="20"/>
          <w:szCs w:val="20"/>
          <w:lang w:val="en-GB" w:eastAsia="zh-CN"/>
        </w:rPr>
        <w:t xml:space="preserve">returns are </w:t>
      </w:r>
      <w:r w:rsidR="0032747D" w:rsidRPr="00CE0DE7">
        <w:rPr>
          <w:color w:val="000000"/>
          <w:sz w:val="20"/>
          <w:szCs w:val="20"/>
          <w:lang w:val="en-GB" w:eastAsia="zh-CN"/>
        </w:rPr>
        <w:t>shown</w:t>
      </w:r>
      <w:r w:rsidRPr="00CE0DE7">
        <w:rPr>
          <w:color w:val="000000"/>
          <w:sz w:val="20"/>
          <w:szCs w:val="20"/>
          <w:lang w:val="en-GB" w:eastAsia="zh-CN"/>
        </w:rPr>
        <w:t xml:space="preserve"> in Panels E, F</w:t>
      </w:r>
      <w:r w:rsidR="00BB56CB" w:rsidRPr="00CE0DE7">
        <w:rPr>
          <w:color w:val="000000"/>
          <w:sz w:val="20"/>
          <w:szCs w:val="20"/>
          <w:lang w:val="en-GB" w:eastAsia="zh-CN"/>
        </w:rPr>
        <w:t>,</w:t>
      </w:r>
      <w:r w:rsidRPr="00CE0DE7">
        <w:rPr>
          <w:color w:val="000000"/>
          <w:sz w:val="20"/>
          <w:szCs w:val="20"/>
          <w:lang w:val="en-GB" w:eastAsia="zh-CN"/>
        </w:rPr>
        <w:t xml:space="preserve"> and G. </w:t>
      </w:r>
      <w:r w:rsidR="009C005B" w:rsidRPr="00CE0DE7">
        <w:rPr>
          <w:color w:val="000000"/>
          <w:sz w:val="20"/>
          <w:szCs w:val="20"/>
          <w:lang w:val="en-GB" w:eastAsia="zh-CN"/>
        </w:rPr>
        <w:t xml:space="preserve">Although the initial responses of </w:t>
      </w:r>
      <w:r w:rsidR="0048419C" w:rsidRPr="00CE0DE7">
        <w:rPr>
          <w:color w:val="000000"/>
          <w:sz w:val="20"/>
          <w:szCs w:val="20"/>
          <w:lang w:val="en-GB" w:eastAsia="zh-CN"/>
        </w:rPr>
        <w:t>VRP</w:t>
      </w:r>
      <w:r w:rsidR="009C005B" w:rsidRPr="00CE0DE7">
        <w:rPr>
          <w:color w:val="000000"/>
          <w:sz w:val="20"/>
          <w:szCs w:val="20"/>
          <w:lang w:val="en-GB" w:eastAsia="zh-CN"/>
        </w:rPr>
        <w:t xml:space="preserve"> measures </w:t>
      </w:r>
      <w:r w:rsidR="00000683" w:rsidRPr="00CE0DE7">
        <w:rPr>
          <w:color w:val="000000"/>
          <w:sz w:val="20"/>
          <w:szCs w:val="20"/>
          <w:lang w:val="en-GB" w:eastAsia="zh-CN"/>
        </w:rPr>
        <w:t xml:space="preserve">to </w:t>
      </w:r>
      <w:r w:rsidR="000C3DA4" w:rsidRPr="00CE0DE7">
        <w:rPr>
          <w:color w:val="000000"/>
          <w:sz w:val="20"/>
          <w:szCs w:val="20"/>
          <w:lang w:val="en-GB" w:eastAsia="zh-CN"/>
        </w:rPr>
        <w:t xml:space="preserve">shocks in </w:t>
      </w:r>
      <w:r w:rsidR="00000683" w:rsidRPr="00CE0DE7">
        <w:rPr>
          <w:color w:val="000000"/>
          <w:sz w:val="20"/>
          <w:szCs w:val="20"/>
          <w:lang w:val="en-GB" w:eastAsia="zh-CN"/>
        </w:rPr>
        <w:t xml:space="preserve">returns or illiquidity are significant for some </w:t>
      </w:r>
      <w:r w:rsidR="009D4BEB" w:rsidRPr="00CE0DE7">
        <w:rPr>
          <w:color w:val="000000"/>
          <w:sz w:val="20"/>
          <w:szCs w:val="20"/>
          <w:lang w:val="en-GB" w:eastAsia="zh-CN"/>
        </w:rPr>
        <w:t>measure</w:t>
      </w:r>
      <w:r w:rsidR="00000683" w:rsidRPr="00CE0DE7">
        <w:rPr>
          <w:color w:val="000000"/>
          <w:sz w:val="20"/>
          <w:szCs w:val="20"/>
          <w:lang w:val="en-GB" w:eastAsia="zh-CN"/>
        </w:rPr>
        <w:t xml:space="preserve">s, the </w:t>
      </w:r>
      <w:r w:rsidR="00000683" w:rsidRPr="00CE0DE7">
        <w:rPr>
          <w:color w:val="000000"/>
          <w:sz w:val="20"/>
          <w:szCs w:val="20"/>
          <w:lang w:val="en-GB" w:eastAsia="zh-CN"/>
        </w:rPr>
        <w:lastRenderedPageBreak/>
        <w:t xml:space="preserve">significant effects disappear rapidly and </w:t>
      </w:r>
      <w:r w:rsidR="0032747D" w:rsidRPr="00CE0DE7">
        <w:rPr>
          <w:color w:val="000000"/>
          <w:sz w:val="20"/>
          <w:szCs w:val="20"/>
          <w:lang w:val="en-GB" w:eastAsia="zh-CN"/>
        </w:rPr>
        <w:t>last</w:t>
      </w:r>
      <w:r w:rsidR="00BB56CB" w:rsidRPr="00CE0DE7">
        <w:rPr>
          <w:color w:val="000000"/>
          <w:sz w:val="20"/>
          <w:szCs w:val="20"/>
          <w:lang w:val="en-GB" w:eastAsia="zh-CN"/>
        </w:rPr>
        <w:t xml:space="preserve"> </w:t>
      </w:r>
      <w:r w:rsidR="00000683" w:rsidRPr="00CE0DE7">
        <w:rPr>
          <w:color w:val="000000"/>
          <w:sz w:val="20"/>
          <w:szCs w:val="20"/>
          <w:lang w:val="en-GB" w:eastAsia="zh-CN"/>
        </w:rPr>
        <w:t xml:space="preserve">for </w:t>
      </w:r>
      <w:r w:rsidR="0032747D" w:rsidRPr="00CE0DE7">
        <w:rPr>
          <w:color w:val="000000"/>
          <w:sz w:val="20"/>
          <w:szCs w:val="20"/>
          <w:lang w:val="en-GB" w:eastAsia="zh-CN"/>
        </w:rPr>
        <w:t xml:space="preserve">at most </w:t>
      </w:r>
      <w:r w:rsidR="00000683" w:rsidRPr="00CE0DE7">
        <w:rPr>
          <w:color w:val="000000"/>
          <w:sz w:val="20"/>
          <w:szCs w:val="20"/>
          <w:lang w:val="en-GB" w:eastAsia="zh-CN"/>
        </w:rPr>
        <w:t xml:space="preserve">two months. </w:t>
      </w:r>
      <w:r w:rsidRPr="00CE0DE7">
        <w:rPr>
          <w:color w:val="000000"/>
          <w:sz w:val="20"/>
          <w:szCs w:val="20"/>
          <w:lang w:val="en-GB" w:eastAsia="zh-CN"/>
        </w:rPr>
        <w:t xml:space="preserve">It is worth noting that the statistically significant responses of </w:t>
      </w:r>
      <w:r w:rsidR="0048419C" w:rsidRPr="00CE0DE7">
        <w:rPr>
          <w:color w:val="000000"/>
          <w:sz w:val="20"/>
          <w:szCs w:val="20"/>
          <w:lang w:val="en-GB" w:eastAsia="zh-CN"/>
        </w:rPr>
        <w:t>VRP</w:t>
      </w:r>
      <w:r w:rsidRPr="00CE0DE7">
        <w:rPr>
          <w:color w:val="000000"/>
          <w:sz w:val="20"/>
          <w:szCs w:val="20"/>
          <w:lang w:val="en-GB" w:eastAsia="zh-CN"/>
        </w:rPr>
        <w:t xml:space="preserve"> measures to both </w:t>
      </w:r>
      <w:r w:rsidR="006106F8" w:rsidRPr="00CE0DE7">
        <w:rPr>
          <w:sz w:val="20"/>
          <w:szCs w:val="20"/>
          <w:lang w:val="en-GB" w:eastAsia="zh-CN"/>
        </w:rPr>
        <w:t>excess</w:t>
      </w:r>
      <w:r w:rsidR="006106F8" w:rsidRPr="00CE0DE7" w:rsidDel="006106F8">
        <w:rPr>
          <w:color w:val="000000"/>
          <w:sz w:val="20"/>
          <w:szCs w:val="20"/>
          <w:lang w:val="en-GB" w:eastAsia="zh-CN"/>
        </w:rPr>
        <w:t xml:space="preserve"> </w:t>
      </w:r>
      <w:r w:rsidRPr="00CE0DE7">
        <w:rPr>
          <w:color w:val="000000"/>
          <w:sz w:val="20"/>
          <w:szCs w:val="20"/>
          <w:lang w:val="en-GB" w:eastAsia="zh-CN"/>
        </w:rPr>
        <w:t>returns and illiquidity cannot be observed. Therefore, it appears that</w:t>
      </w:r>
      <w:r w:rsidR="0032747D" w:rsidRPr="00CE0DE7">
        <w:rPr>
          <w:color w:val="000000"/>
          <w:sz w:val="20"/>
          <w:szCs w:val="20"/>
          <w:lang w:val="en-GB" w:eastAsia="zh-CN"/>
        </w:rPr>
        <w:t xml:space="preserve"> </w:t>
      </w:r>
      <w:r w:rsidR="000C3DA4" w:rsidRPr="00CE0DE7">
        <w:rPr>
          <w:color w:val="000000"/>
          <w:sz w:val="20"/>
          <w:szCs w:val="20"/>
          <w:lang w:val="en-GB" w:eastAsia="zh-CN"/>
        </w:rPr>
        <w:t xml:space="preserve">shocks in </w:t>
      </w:r>
      <w:r w:rsidR="0032747D" w:rsidRPr="00CE0DE7">
        <w:rPr>
          <w:color w:val="000000"/>
          <w:sz w:val="20"/>
          <w:szCs w:val="20"/>
          <w:lang w:val="en-GB" w:eastAsia="zh-CN"/>
        </w:rPr>
        <w:t xml:space="preserve">neither </w:t>
      </w:r>
      <w:r w:rsidRPr="00CE0DE7">
        <w:rPr>
          <w:color w:val="000000"/>
          <w:sz w:val="20"/>
          <w:szCs w:val="20"/>
          <w:lang w:val="en-GB" w:eastAsia="zh-CN"/>
        </w:rPr>
        <w:t xml:space="preserve">stock market returns nor illiquidity affect investor </w:t>
      </w:r>
      <w:r w:rsidRPr="00CE0DE7">
        <w:rPr>
          <w:sz w:val="20"/>
          <w:szCs w:val="20"/>
          <w:lang w:val="en-GB" w:eastAsia="zh-CN"/>
        </w:rPr>
        <w:t>attitude</w:t>
      </w:r>
      <w:r w:rsidR="00BB56CB" w:rsidRPr="00CE0DE7">
        <w:rPr>
          <w:sz w:val="20"/>
          <w:szCs w:val="20"/>
          <w:lang w:val="en-GB" w:eastAsia="zh-CN"/>
        </w:rPr>
        <w:t>s</w:t>
      </w:r>
      <w:r w:rsidRPr="00CE0DE7">
        <w:rPr>
          <w:sz w:val="20"/>
          <w:szCs w:val="20"/>
          <w:lang w:val="en-GB" w:eastAsia="zh-CN"/>
        </w:rPr>
        <w:t xml:space="preserve"> </w:t>
      </w:r>
      <w:r w:rsidR="00BB56CB" w:rsidRPr="00CE0DE7">
        <w:rPr>
          <w:sz w:val="20"/>
          <w:szCs w:val="20"/>
          <w:lang w:val="en-GB" w:eastAsia="zh-CN"/>
        </w:rPr>
        <w:t xml:space="preserve">on </w:t>
      </w:r>
      <w:r w:rsidRPr="00CE0DE7">
        <w:rPr>
          <w:sz w:val="20"/>
          <w:szCs w:val="20"/>
          <w:lang w:val="en-GB" w:eastAsia="zh-CN"/>
        </w:rPr>
        <w:t xml:space="preserve">risk aversion, measured by </w:t>
      </w:r>
      <w:r w:rsidR="008A433B" w:rsidRPr="00CE0DE7">
        <w:rPr>
          <w:sz w:val="20"/>
          <w:szCs w:val="20"/>
          <w:lang w:val="en-GB" w:eastAsia="zh-CN"/>
        </w:rPr>
        <w:t xml:space="preserve">the </w:t>
      </w:r>
      <w:r w:rsidR="0048419C" w:rsidRPr="00CE0DE7">
        <w:rPr>
          <w:color w:val="000000"/>
          <w:sz w:val="20"/>
          <w:szCs w:val="20"/>
          <w:lang w:val="en-GB" w:eastAsia="zh-CN"/>
        </w:rPr>
        <w:t>VRP</w:t>
      </w:r>
      <w:r w:rsidRPr="00CE0DE7">
        <w:rPr>
          <w:color w:val="000000"/>
          <w:sz w:val="20"/>
          <w:szCs w:val="20"/>
          <w:lang w:val="en-GB" w:eastAsia="zh-CN"/>
        </w:rPr>
        <w:t>.</w:t>
      </w:r>
      <w:r w:rsidR="00090D2C" w:rsidRPr="00440039">
        <w:rPr>
          <w:rStyle w:val="a9"/>
        </w:rPr>
        <w:footnoteReference w:id="8"/>
      </w:r>
      <w:r w:rsidRPr="00CE0DE7">
        <w:rPr>
          <w:color w:val="000000"/>
          <w:sz w:val="20"/>
          <w:szCs w:val="20"/>
          <w:lang w:val="en-GB" w:eastAsia="zh-CN"/>
        </w:rPr>
        <w:t xml:space="preserve"> </w:t>
      </w:r>
    </w:p>
    <w:p w14:paraId="2F7EF2C5" w14:textId="5C740DE8" w:rsidR="008F1441" w:rsidRPr="00CE0DE7" w:rsidRDefault="008F1441"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To summarize, the impulse response functions reveal a significant and positive response of stock returns to shocks in the VRP, a significant and negative response of illiquidity to shocks in stock returns, and a significant response of illiquidity to shocks in the VRP. These are consistent with theoretical predictions and empirical evidence in a number of prior studies that we discuss above in Section 2.</w:t>
      </w:r>
    </w:p>
    <w:p w14:paraId="2CB27809" w14:textId="77777777" w:rsidR="009B530B" w:rsidRPr="00CE0DE7" w:rsidRDefault="009B530B" w:rsidP="00580AA9">
      <w:pPr>
        <w:autoSpaceDE w:val="0"/>
        <w:autoSpaceDN w:val="0"/>
        <w:adjustRightInd w:val="0"/>
        <w:snapToGrid w:val="0"/>
        <w:spacing w:line="480" w:lineRule="auto"/>
        <w:jc w:val="both"/>
        <w:rPr>
          <w:color w:val="000000"/>
          <w:sz w:val="20"/>
          <w:szCs w:val="20"/>
          <w:lang w:val="en-GB" w:eastAsia="zh-CN"/>
        </w:rPr>
      </w:pPr>
    </w:p>
    <w:p w14:paraId="6C862B15" w14:textId="3128E04C" w:rsidR="005A7DC1" w:rsidRPr="00CE0DE7" w:rsidRDefault="00953215" w:rsidP="00D51ACE">
      <w:pPr>
        <w:pStyle w:val="2"/>
        <w:spacing w:before="0" w:after="240"/>
        <w:rPr>
          <w:rFonts w:cs="Times New Roman"/>
          <w:sz w:val="20"/>
          <w:szCs w:val="20"/>
        </w:rPr>
      </w:pPr>
      <w:r w:rsidRPr="00CE0DE7">
        <w:rPr>
          <w:rFonts w:cs="Times New Roman"/>
          <w:sz w:val="20"/>
          <w:szCs w:val="20"/>
          <w:lang w:eastAsia="zh-CN"/>
        </w:rPr>
        <w:t xml:space="preserve">4.3 </w:t>
      </w:r>
      <w:r w:rsidR="00377535" w:rsidRPr="00CE0DE7">
        <w:rPr>
          <w:rFonts w:cs="Times New Roman"/>
          <w:sz w:val="20"/>
          <w:szCs w:val="20"/>
          <w:lang w:eastAsia="zh-CN"/>
        </w:rPr>
        <w:t xml:space="preserve">The </w:t>
      </w:r>
      <w:r w:rsidR="000F0B25" w:rsidRPr="00CE0DE7">
        <w:rPr>
          <w:rFonts w:cs="Times New Roman"/>
          <w:sz w:val="20"/>
          <w:szCs w:val="20"/>
        </w:rPr>
        <w:t>in-sample and out-sample forecasting</w:t>
      </w:r>
    </w:p>
    <w:p w14:paraId="07051F85" w14:textId="543F1943" w:rsidR="005A7DC1" w:rsidRPr="00CE0DE7" w:rsidRDefault="00377535"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eastAsia="zh-CN"/>
        </w:rPr>
        <w:t>W</w:t>
      </w:r>
      <w:r w:rsidR="00627D18" w:rsidRPr="00CE0DE7">
        <w:rPr>
          <w:color w:val="000000"/>
          <w:sz w:val="20"/>
          <w:szCs w:val="20"/>
          <w:lang w:val="en-GB" w:eastAsia="zh-CN"/>
        </w:rPr>
        <w:t xml:space="preserve">e investigate the predictability of </w:t>
      </w:r>
      <w:r w:rsidR="00BB56CB" w:rsidRPr="00CE0DE7">
        <w:rPr>
          <w:color w:val="000000"/>
          <w:sz w:val="20"/>
          <w:szCs w:val="20"/>
          <w:lang w:val="en-GB" w:eastAsia="zh-CN"/>
        </w:rPr>
        <w:t xml:space="preserve">the </w:t>
      </w:r>
      <w:r w:rsidR="0048419C" w:rsidRPr="00CE0DE7">
        <w:rPr>
          <w:color w:val="000000"/>
          <w:sz w:val="20"/>
          <w:szCs w:val="20"/>
          <w:lang w:val="en-GB" w:eastAsia="zh-CN"/>
        </w:rPr>
        <w:t>VRP</w:t>
      </w:r>
      <w:r w:rsidR="00627D18" w:rsidRPr="00CE0DE7">
        <w:rPr>
          <w:color w:val="000000"/>
          <w:sz w:val="20"/>
          <w:szCs w:val="20"/>
          <w:lang w:val="en-GB" w:eastAsia="zh-CN"/>
        </w:rPr>
        <w:t xml:space="preserve"> and illiquidity</w:t>
      </w:r>
      <w:r w:rsidRPr="00CE0DE7">
        <w:rPr>
          <w:color w:val="000000"/>
          <w:sz w:val="20"/>
          <w:szCs w:val="20"/>
          <w:lang w:val="en-GB" w:eastAsia="zh-CN"/>
        </w:rPr>
        <w:t xml:space="preserve"> </w:t>
      </w:r>
      <w:r w:rsidR="00BB56CB" w:rsidRPr="00CE0DE7">
        <w:rPr>
          <w:color w:val="000000"/>
          <w:sz w:val="20"/>
          <w:szCs w:val="20"/>
          <w:lang w:val="en-GB" w:eastAsia="zh-CN"/>
        </w:rPr>
        <w:t>through</w:t>
      </w:r>
      <w:r w:rsidR="0032747D" w:rsidRPr="00CE0DE7">
        <w:rPr>
          <w:color w:val="000000"/>
          <w:sz w:val="20"/>
          <w:szCs w:val="20"/>
          <w:lang w:val="en-GB" w:eastAsia="zh-CN"/>
        </w:rPr>
        <w:t xml:space="preserve"> in-sample regression as follows</w:t>
      </w:r>
      <w:r w:rsidR="00BB56CB" w:rsidRPr="00CE0DE7">
        <w:rPr>
          <w:color w:val="000000"/>
          <w:sz w:val="20"/>
          <w:szCs w:val="20"/>
          <w:lang w:val="en-GB" w:eastAsia="zh-CN"/>
        </w:rPr>
        <w:t xml:space="preserve"> </w:t>
      </w:r>
      <w:r w:rsidR="00E71ED9" w:rsidRPr="00CE0DE7">
        <w:rPr>
          <w:color w:val="000000"/>
          <w:sz w:val="20"/>
          <w:szCs w:val="20"/>
          <w:lang w:val="en-GB" w:eastAsia="zh-CN"/>
        </w:rPr>
        <w:fldChar w:fldCharType="begin" w:fldLock="1"/>
      </w:r>
      <w:r w:rsidR="00E71ED9" w:rsidRPr="00CE0DE7">
        <w:rPr>
          <w:color w:val="000000"/>
          <w:sz w:val="20"/>
          <w:szCs w:val="20"/>
          <w:lang w:val="en-GB" w:eastAsia="zh-CN"/>
        </w:rPr>
        <w:instrText>ADDIN CSL_CITATION {"citationItems":[{"id":"ITEM-1","itemData":{"ISSN":"0893-9454","abstract":"We examine the predictive power of the dividend yields for forecasting excess returns, cash flows, and interest rates. Dividend yields predict excess returns only at short horizons together with the short rate and do not have any long-horizon predictive power. At short horizons, the short rate strongly negatively predicts returns. These results are robust in international data and are not due to lack of power. A present value model that matches the data shows that discount rate and short rate movements play a large role in explaining the variation in dividend yields. Finally, we find that earnings yields significantly predict future cash flows. © The Author 2006.","author":[{"dropping-particle":"","family":"Ang","given":"Andrew","non-dropping-particle":"","parse-names":false,"suffix":""},{"dropping-particle":"","family":"Bekaert","given":"Geert","non-dropping-particle":"","parse-names":false,"suffix":""}],"container-title":"Review of Financial Studies","id":"ITEM-1","issue":"3","issued":{"date-parts":[["2007","5","1"]]},"page":"651-707","publisher":"Oxford Academic","title":"Stock return predictability: Is it there?","type":"article-journal","volume":"20"},"uris":["http://www.mendeley.com/documents/?uuid=53f516bf-7e1f-3154-891b-930483c0578c"]},{"id":"ITEM-2","itemData":{"ISSN":"00221082","abstract":"This paper studies the role of fluctuations in the aggregate consumption-wealth ratio for predicting stock returns. Using U.S. quarterly stock market data, we find that these fluctuations in the consumption-wealth ratio are strong predictors of both real stock returns and excess returns over a Treasury bill rate. We also find that this variable is a better forecaster of future returns at short and intermediate horizons than is the dividend yield, the dividend payout ratio, and several other popular forecasting variables. Why should the consumption-wealth ratio forecast asset returns? We show that a wide class of optimal models of consumer behavior imply that the log consumption-aggregate wealth (human capital plus asset holdings) ratio summarizes expected returns on aggregate wealth, or the market portfolio. Although this ratio is not observable, we provide assumptions under which its important predictive components for future asset returns may be expressed in terms of observable variables, namely in terms of consumption, asset holdings and labor income. The framework implies that these variables are cointegrated, and that deviations from this shared trend summarize agents' expectations of future returns on the market portfolio.","author":[{"dropping-particle":"","family":"Lettau","given":"Martin","non-dropping-particle":"","parse-names":false,"suffix":""},{"dropping-particle":"","family":"Ludvigson","given":"Sydney","non-dropping-particle":"","parse-names":false,"suffix":""}],"container-title":"Journal of Finance","id":"ITEM-2","issue":"3","issued":{"date-parts":[["2001","6","1"]]},"page":"815-849","publisher":"John Wiley &amp; Sons, Ltd","title":"Consumption, aggregate wealth, and expected stock returns","type":"article-journal","volume":"56"},"uris":["http://www.mendeley.com/documents/?uuid=20923465-9e2a-3c16-9e4a-3f0241fb34ad"]}],"mendeley":{"formattedCitation":"(Lettau and Ludvigson 2001; Ang and Bekaert 2007)","plainTextFormattedCitation":"(Lettau and Ludvigson 2001; Ang and Bekaert 2007)","previouslyFormattedCitation":"(Lettau and Ludvigson 2001; Ang and Bekaert 2007)"},"properties":{"noteIndex":0},"schema":"https://github.com/citation-style-language/schema/raw/master/csl-citation.json"}</w:instrText>
      </w:r>
      <w:r w:rsidR="00E71ED9" w:rsidRPr="00CE0DE7">
        <w:rPr>
          <w:color w:val="000000"/>
          <w:sz w:val="20"/>
          <w:szCs w:val="20"/>
          <w:lang w:val="en-GB" w:eastAsia="zh-CN"/>
        </w:rPr>
        <w:fldChar w:fldCharType="separate"/>
      </w:r>
      <w:r w:rsidR="00E71ED9" w:rsidRPr="00CE0DE7">
        <w:rPr>
          <w:noProof/>
          <w:color w:val="000000"/>
          <w:sz w:val="20"/>
          <w:szCs w:val="20"/>
          <w:lang w:val="en-GB" w:eastAsia="zh-CN"/>
        </w:rPr>
        <w:t>(Lettau and Ludvigson 2001; Ang and Bekaert 2007)</w:t>
      </w:r>
      <w:r w:rsidR="00E71ED9" w:rsidRPr="00CE0DE7">
        <w:rPr>
          <w:color w:val="000000"/>
          <w:sz w:val="20"/>
          <w:szCs w:val="20"/>
          <w:lang w:val="en-GB" w:eastAsia="zh-CN"/>
        </w:rPr>
        <w:fldChar w:fldCharType="end"/>
      </w:r>
      <w:r w:rsidR="0032747D" w:rsidRPr="00CE0DE7">
        <w:rPr>
          <w:color w:val="000000"/>
          <w:sz w:val="20"/>
          <w:szCs w:val="20"/>
          <w:lang w:val="en-GB" w:eastAsia="zh-CN"/>
        </w:rPr>
        <w:t>:</w:t>
      </w:r>
      <w:r w:rsidR="007E4E2F" w:rsidRPr="00CE0DE7">
        <w:rPr>
          <w:sz w:val="20"/>
          <w:szCs w:val="20"/>
        </w:rPr>
        <w:t xml:space="preserve"> </w:t>
      </w:r>
    </w:p>
    <w:p w14:paraId="6A96F473" w14:textId="5253F5F0" w:rsidR="005A7DC1" w:rsidRPr="00CE0DE7" w:rsidRDefault="003E1BAC" w:rsidP="00B01B7C">
      <w:pPr>
        <w:autoSpaceDE w:val="0"/>
        <w:autoSpaceDN w:val="0"/>
        <w:adjustRightInd w:val="0"/>
        <w:snapToGrid w:val="0"/>
        <w:spacing w:before="120" w:after="120" w:line="480" w:lineRule="auto"/>
        <w:jc w:val="right"/>
        <w:rPr>
          <w:color w:val="000000"/>
          <w:sz w:val="20"/>
          <w:szCs w:val="20"/>
          <w:lang w:val="en-GB" w:eastAsia="zh-CN"/>
        </w:rPr>
      </w:pPr>
      <w:r w:rsidRPr="00CE0DE7">
        <w:rPr>
          <w:color w:val="000000"/>
          <w:position w:val="-12"/>
          <w:sz w:val="20"/>
          <w:szCs w:val="20"/>
          <w:lang w:val="en-GB" w:eastAsia="zh-CN"/>
        </w:rPr>
        <w:t xml:space="preserve">                                         </w:t>
      </w:r>
      <w:r w:rsidR="004971D2" w:rsidRPr="004971D2">
        <w:rPr>
          <w:color w:val="000000"/>
          <w:position w:val="-10"/>
          <w:sz w:val="20"/>
          <w:szCs w:val="20"/>
          <w:lang w:val="en-GB" w:eastAsia="zh-CN"/>
        </w:rPr>
        <w:object w:dxaOrig="1579" w:dyaOrig="300" w14:anchorId="0005462C">
          <v:shape id="_x0000_i1041" type="#_x0000_t75" style="width:80.15pt;height:18.15pt" o:ole="">
            <v:imagedata r:id="rId41" o:title=""/>
          </v:shape>
          <o:OLEObject Type="Embed" ProgID="Equation.DSMT4" ShapeID="_x0000_i1041" DrawAspect="Content" ObjectID="_1674838656" r:id="rId42"/>
        </w:object>
      </w:r>
      <w:r w:rsidR="00EA2354" w:rsidRPr="00CE0DE7">
        <w:rPr>
          <w:color w:val="000000"/>
          <w:position w:val="-12"/>
          <w:sz w:val="20"/>
          <w:szCs w:val="20"/>
          <w:lang w:val="en-GB" w:eastAsia="zh-CN"/>
        </w:rPr>
        <w:t xml:space="preserve"> </w:t>
      </w:r>
      <w:r w:rsidR="005A7DC1" w:rsidRPr="00CE0DE7">
        <w:rPr>
          <w:color w:val="000000"/>
          <w:position w:val="-12"/>
          <w:sz w:val="20"/>
          <w:szCs w:val="20"/>
          <w:lang w:val="en-GB" w:eastAsia="zh-CN"/>
        </w:rPr>
        <w:t xml:space="preserve">       </w:t>
      </w:r>
      <w:r w:rsidR="00272A52" w:rsidRPr="00CE0DE7">
        <w:rPr>
          <w:color w:val="000000"/>
          <w:position w:val="-12"/>
          <w:sz w:val="20"/>
          <w:szCs w:val="20"/>
          <w:lang w:val="en-GB" w:eastAsia="zh-CN"/>
        </w:rPr>
        <w:t xml:space="preserve">    </w:t>
      </w:r>
      <w:r w:rsidR="00640363" w:rsidRPr="00CE0DE7">
        <w:rPr>
          <w:color w:val="000000"/>
          <w:position w:val="-12"/>
          <w:sz w:val="20"/>
          <w:szCs w:val="20"/>
          <w:lang w:val="en-GB" w:eastAsia="zh-CN"/>
        </w:rPr>
        <w:t xml:space="preserve">      </w:t>
      </w:r>
      <w:r w:rsidR="005A7DC1" w:rsidRPr="00CE0DE7">
        <w:rPr>
          <w:color w:val="000000"/>
          <w:position w:val="-12"/>
          <w:sz w:val="20"/>
          <w:szCs w:val="20"/>
          <w:lang w:val="en-GB" w:eastAsia="zh-CN"/>
        </w:rPr>
        <w:t xml:space="preserve">  </w:t>
      </w:r>
      <w:r w:rsidR="008276B8" w:rsidRPr="00CE0DE7">
        <w:rPr>
          <w:color w:val="000000"/>
          <w:position w:val="-12"/>
          <w:sz w:val="20"/>
          <w:szCs w:val="20"/>
          <w:lang w:val="en-GB" w:eastAsia="zh-CN"/>
        </w:rPr>
        <w:t xml:space="preserve">     </w:t>
      </w:r>
      <w:r w:rsidR="004971D2">
        <w:rPr>
          <w:color w:val="000000"/>
          <w:position w:val="-12"/>
          <w:sz w:val="20"/>
          <w:szCs w:val="20"/>
          <w:lang w:val="en-GB" w:eastAsia="zh-CN"/>
        </w:rPr>
        <w:t xml:space="preserve">       </w:t>
      </w:r>
      <w:r w:rsidR="005A7DC1" w:rsidRPr="00CE0DE7">
        <w:rPr>
          <w:color w:val="000000"/>
          <w:position w:val="-12"/>
          <w:sz w:val="20"/>
          <w:szCs w:val="20"/>
          <w:lang w:val="en-GB" w:eastAsia="zh-CN"/>
        </w:rPr>
        <w:t xml:space="preserve">       </w:t>
      </w:r>
      <w:r w:rsidR="006326B6" w:rsidRPr="00CE0DE7">
        <w:rPr>
          <w:color w:val="000000"/>
          <w:sz w:val="20"/>
          <w:szCs w:val="20"/>
          <w:lang w:val="en-GB" w:eastAsia="zh-CN"/>
        </w:rPr>
        <w:t xml:space="preserve"> </w:t>
      </w:r>
      <w:r w:rsidR="005A7DC1" w:rsidRPr="00CE0DE7">
        <w:rPr>
          <w:color w:val="000000"/>
          <w:sz w:val="20"/>
          <w:szCs w:val="20"/>
          <w:lang w:val="en-GB" w:eastAsia="zh-CN"/>
        </w:rPr>
        <w:t xml:space="preserve">                          </w:t>
      </w:r>
      <w:r w:rsidR="006326B6" w:rsidRPr="00CE0DE7">
        <w:rPr>
          <w:color w:val="000000"/>
          <w:sz w:val="20"/>
          <w:szCs w:val="20"/>
          <w:lang w:val="en-GB" w:eastAsia="zh-CN"/>
        </w:rPr>
        <w:t xml:space="preserve">   </w:t>
      </w:r>
      <w:r w:rsidR="005A7DC1" w:rsidRPr="00CE0DE7">
        <w:rPr>
          <w:color w:val="000000"/>
          <w:sz w:val="20"/>
          <w:szCs w:val="20"/>
          <w:lang w:val="en-GB" w:eastAsia="zh-CN"/>
        </w:rPr>
        <w:t xml:space="preserve">   (</w:t>
      </w:r>
      <w:r w:rsidR="00377535" w:rsidRPr="00CE0DE7">
        <w:rPr>
          <w:color w:val="000000"/>
          <w:sz w:val="20"/>
          <w:szCs w:val="20"/>
          <w:lang w:val="en-GB" w:eastAsia="zh-CN"/>
        </w:rPr>
        <w:t>7</w:t>
      </w:r>
      <w:r w:rsidR="005A7DC1" w:rsidRPr="00CE0DE7">
        <w:rPr>
          <w:color w:val="000000"/>
          <w:sz w:val="20"/>
          <w:szCs w:val="20"/>
          <w:lang w:val="en-GB" w:eastAsia="zh-CN"/>
        </w:rPr>
        <w:t>)</w:t>
      </w:r>
    </w:p>
    <w:p w14:paraId="04FC2B5E" w14:textId="2CC45FC0" w:rsidR="0081445C" w:rsidRPr="00CE0DE7" w:rsidRDefault="005A7DC1" w:rsidP="00283F07">
      <w:pPr>
        <w:autoSpaceDE w:val="0"/>
        <w:autoSpaceDN w:val="0"/>
        <w:adjustRightInd w:val="0"/>
        <w:snapToGrid w:val="0"/>
        <w:spacing w:line="480" w:lineRule="auto"/>
        <w:jc w:val="both"/>
        <w:rPr>
          <w:color w:val="000000"/>
          <w:sz w:val="20"/>
          <w:szCs w:val="20"/>
          <w:lang w:val="en-GB" w:eastAsia="zh-CN"/>
        </w:rPr>
      </w:pPr>
      <w:r w:rsidRPr="00CE0DE7">
        <w:rPr>
          <w:color w:val="000000"/>
          <w:sz w:val="20"/>
          <w:szCs w:val="20"/>
          <w:lang w:val="en-GB" w:eastAsia="zh-CN"/>
        </w:rPr>
        <w:t xml:space="preserve">where </w:t>
      </w:r>
      <w:r w:rsidR="006326B6" w:rsidRPr="00CE0DE7">
        <w:rPr>
          <w:i/>
          <w:color w:val="000000"/>
          <w:sz w:val="20"/>
          <w:szCs w:val="20"/>
          <w:lang w:val="en-GB" w:eastAsia="zh-CN"/>
        </w:rPr>
        <w:t>R</w:t>
      </w:r>
      <w:r w:rsidR="006326B6" w:rsidRPr="00CE0DE7">
        <w:rPr>
          <w:color w:val="000000"/>
          <w:sz w:val="20"/>
          <w:szCs w:val="20"/>
          <w:vertAlign w:val="subscript"/>
          <w:lang w:val="en-GB" w:eastAsia="zh-CN"/>
        </w:rPr>
        <w:t>t+1</w:t>
      </w:r>
      <w:r w:rsidR="006326B6" w:rsidRPr="00CE0DE7">
        <w:rPr>
          <w:color w:val="000000"/>
          <w:sz w:val="20"/>
          <w:szCs w:val="20"/>
          <w:lang w:val="en-GB" w:eastAsia="zh-CN"/>
        </w:rPr>
        <w:t xml:space="preserve"> </w:t>
      </w:r>
      <w:r w:rsidRPr="00CE0DE7">
        <w:rPr>
          <w:color w:val="000000"/>
          <w:sz w:val="20"/>
          <w:szCs w:val="20"/>
          <w:lang w:val="en-GB" w:eastAsia="zh-CN"/>
        </w:rPr>
        <w:t xml:space="preserve">is the excess stock market return at time </w:t>
      </w:r>
      <w:r w:rsidRPr="00CE0DE7">
        <w:rPr>
          <w:i/>
          <w:color w:val="000000"/>
          <w:sz w:val="20"/>
          <w:szCs w:val="20"/>
          <w:lang w:val="en-GB" w:eastAsia="zh-CN"/>
        </w:rPr>
        <w:t>t+</w:t>
      </w:r>
      <w:r w:rsidRPr="00CE0DE7">
        <w:rPr>
          <w:color w:val="000000"/>
          <w:sz w:val="20"/>
          <w:szCs w:val="20"/>
          <w:lang w:val="en-GB" w:eastAsia="zh-CN"/>
        </w:rPr>
        <w:t>1,</w:t>
      </w:r>
      <w:r w:rsidR="00DD1CD1" w:rsidRPr="00CE0DE7">
        <w:rPr>
          <w:color w:val="000000"/>
          <w:sz w:val="20"/>
          <w:szCs w:val="20"/>
          <w:lang w:val="en-GB" w:eastAsia="zh-CN"/>
        </w:rPr>
        <w:t xml:space="preserve"> </w:t>
      </w:r>
      <m:oMath>
        <m:sSub>
          <m:sSubPr>
            <m:ctrlPr>
              <w:rPr>
                <w:rFonts w:ascii="Cambria Math" w:hAnsi="Cambria Math"/>
                <w:color w:val="000000"/>
                <w:sz w:val="20"/>
                <w:szCs w:val="20"/>
                <w:lang w:val="en-GB" w:eastAsia="zh-CN"/>
              </w:rPr>
            </m:ctrlPr>
          </m:sSubPr>
          <m:e>
            <m:r>
              <w:rPr>
                <w:rFonts w:ascii="Cambria Math" w:hAnsi="Cambria Math"/>
                <w:color w:val="000000"/>
                <w:sz w:val="20"/>
                <w:szCs w:val="20"/>
                <w:lang w:val="en-GB" w:eastAsia="zh-CN"/>
              </w:rPr>
              <m:t>x</m:t>
            </m:r>
          </m:e>
          <m:sub>
            <m:r>
              <w:rPr>
                <w:rFonts w:ascii="Cambria Math" w:hAnsi="Cambria Math"/>
                <w:color w:val="000000"/>
                <w:sz w:val="20"/>
                <w:szCs w:val="20"/>
                <w:lang w:val="en-GB" w:eastAsia="zh-CN"/>
              </w:rPr>
              <m:t>t</m:t>
            </m:r>
          </m:sub>
        </m:sSub>
      </m:oMath>
      <w:r w:rsidRPr="00CE0DE7">
        <w:rPr>
          <w:color w:val="000000"/>
          <w:sz w:val="20"/>
          <w:szCs w:val="20"/>
          <w:lang w:val="en-GB" w:eastAsia="zh-CN"/>
        </w:rPr>
        <w:t xml:space="preserve"> is the </w:t>
      </w:r>
      <w:r w:rsidR="0048419C" w:rsidRPr="00CE0DE7">
        <w:rPr>
          <w:color w:val="000000"/>
          <w:sz w:val="20"/>
          <w:szCs w:val="20"/>
          <w:lang w:val="en-GB" w:eastAsia="zh-CN"/>
        </w:rPr>
        <w:t>VRP</w:t>
      </w:r>
      <w:r w:rsidR="009B5962" w:rsidRPr="00CE0DE7">
        <w:rPr>
          <w:color w:val="000000"/>
          <w:sz w:val="20"/>
          <w:szCs w:val="20"/>
          <w:lang w:val="en-GB" w:eastAsia="zh-CN"/>
        </w:rPr>
        <w:t xml:space="preserve"> </w:t>
      </w:r>
      <w:r w:rsidR="00CA4674" w:rsidRPr="00CE0DE7">
        <w:rPr>
          <w:color w:val="000000"/>
          <w:sz w:val="20"/>
          <w:szCs w:val="20"/>
          <w:lang w:val="en-GB" w:eastAsia="zh-CN"/>
        </w:rPr>
        <w:t>or</w:t>
      </w:r>
      <w:r w:rsidR="009B5962" w:rsidRPr="00CE0DE7">
        <w:rPr>
          <w:color w:val="000000"/>
          <w:sz w:val="20"/>
          <w:szCs w:val="20"/>
          <w:lang w:val="en-GB" w:eastAsia="zh-CN"/>
        </w:rPr>
        <w:t xml:space="preserve"> </w:t>
      </w:r>
      <w:r w:rsidR="007E4E2F" w:rsidRPr="00CE0DE7">
        <w:rPr>
          <w:color w:val="000000"/>
          <w:sz w:val="20"/>
          <w:szCs w:val="20"/>
          <w:lang w:val="en-GB" w:eastAsia="zh-CN"/>
        </w:rPr>
        <w:t>illiquidity</w:t>
      </w:r>
      <w:r w:rsidRPr="00CE0DE7">
        <w:rPr>
          <w:color w:val="000000"/>
          <w:sz w:val="20"/>
          <w:szCs w:val="20"/>
          <w:lang w:val="en-GB" w:eastAsia="zh-CN"/>
        </w:rPr>
        <w:t xml:space="preserve"> at time </w:t>
      </w:r>
      <w:r w:rsidRPr="00CE0DE7">
        <w:rPr>
          <w:i/>
          <w:color w:val="000000"/>
          <w:sz w:val="20"/>
          <w:szCs w:val="20"/>
          <w:lang w:val="en-GB" w:eastAsia="zh-CN"/>
        </w:rPr>
        <w:t>t</w:t>
      </w:r>
      <w:r w:rsidRPr="00CE0DE7">
        <w:rPr>
          <w:color w:val="000000"/>
          <w:sz w:val="20"/>
          <w:szCs w:val="20"/>
          <w:lang w:val="en-GB" w:eastAsia="zh-CN"/>
        </w:rPr>
        <w:t xml:space="preserve">, and </w:t>
      </w:r>
      <m:oMath>
        <m:sSub>
          <m:sSubPr>
            <m:ctrlPr>
              <w:rPr>
                <w:rFonts w:ascii="Cambria Math" w:hAnsi="Cambria Math"/>
                <w:i/>
                <w:color w:val="000000"/>
                <w:sz w:val="20"/>
                <w:szCs w:val="20"/>
                <w:lang w:val="en-GB" w:eastAsia="zh-CN"/>
              </w:rPr>
            </m:ctrlPr>
          </m:sSubPr>
          <m:e>
            <m:r>
              <w:rPr>
                <w:rFonts w:ascii="Cambria Math" w:hAnsi="Cambria Math"/>
                <w:color w:val="000000"/>
                <w:sz w:val="20"/>
                <w:szCs w:val="20"/>
                <w:lang w:val="en-GB" w:eastAsia="zh-CN"/>
              </w:rPr>
              <m:t>ε</m:t>
            </m:r>
          </m:e>
          <m:sub>
            <m:r>
              <w:rPr>
                <w:rFonts w:ascii="Cambria Math" w:hAnsi="Cambria Math"/>
                <w:color w:val="000000"/>
                <w:sz w:val="20"/>
                <w:szCs w:val="20"/>
                <w:lang w:val="en-GB" w:eastAsia="zh-CN"/>
              </w:rPr>
              <m:t>t+1</m:t>
            </m:r>
          </m:sub>
        </m:sSub>
      </m:oMath>
      <w:r w:rsidR="007E4E2F" w:rsidRPr="00CE0DE7">
        <w:rPr>
          <w:color w:val="000000"/>
          <w:sz w:val="20"/>
          <w:szCs w:val="20"/>
          <w:lang w:val="en-GB" w:eastAsia="zh-CN"/>
        </w:rPr>
        <w:t xml:space="preserve"> is a zero-mean di</w:t>
      </w:r>
      <w:r w:rsidR="00283F07" w:rsidRPr="00CE0DE7">
        <w:rPr>
          <w:color w:val="000000"/>
          <w:sz w:val="20"/>
          <w:szCs w:val="20"/>
          <w:lang w:val="en-GB" w:eastAsia="zh-CN"/>
        </w:rPr>
        <w:t xml:space="preserve">sturbance term. The </w:t>
      </w:r>
      <w:r w:rsidRPr="00CE0DE7">
        <w:rPr>
          <w:color w:val="000000"/>
          <w:sz w:val="20"/>
          <w:szCs w:val="20"/>
          <w:lang w:val="en-GB" w:eastAsia="zh-CN"/>
        </w:rPr>
        <w:t xml:space="preserve">significance </w:t>
      </w:r>
      <w:r w:rsidR="00377535" w:rsidRPr="00CE0DE7">
        <w:rPr>
          <w:color w:val="000000"/>
          <w:sz w:val="20"/>
          <w:szCs w:val="20"/>
          <w:lang w:val="en-GB" w:eastAsia="zh-CN"/>
        </w:rPr>
        <w:t>of</w:t>
      </w:r>
      <w:r w:rsidR="006326B6" w:rsidRPr="00CE0DE7">
        <w:rPr>
          <w:color w:val="000000"/>
          <w:sz w:val="20"/>
          <w:szCs w:val="20"/>
          <w:lang w:val="en-GB" w:eastAsia="zh-CN"/>
        </w:rPr>
        <w:t xml:space="preserve"> </w:t>
      </w:r>
      <w:r w:rsidR="006326B6" w:rsidRPr="00CE0DE7">
        <w:rPr>
          <w:i/>
          <w:color w:val="000000"/>
          <w:sz w:val="20"/>
          <w:szCs w:val="20"/>
          <w:lang w:val="en-GB" w:eastAsia="zh-CN"/>
        </w:rPr>
        <w:t>β</w:t>
      </w:r>
      <w:r w:rsidRPr="00CE0DE7">
        <w:rPr>
          <w:color w:val="000000"/>
          <w:sz w:val="20"/>
          <w:szCs w:val="20"/>
          <w:lang w:val="en-GB" w:eastAsia="zh-CN"/>
        </w:rPr>
        <w:t xml:space="preserve"> </w:t>
      </w:r>
      <w:r w:rsidR="00377535" w:rsidRPr="00CE0DE7">
        <w:rPr>
          <w:color w:val="000000"/>
          <w:sz w:val="20"/>
          <w:szCs w:val="20"/>
          <w:lang w:val="en-GB" w:eastAsia="zh-CN"/>
        </w:rPr>
        <w:t>is</w:t>
      </w:r>
      <w:r w:rsidRPr="00CE0DE7">
        <w:rPr>
          <w:color w:val="000000"/>
          <w:sz w:val="20"/>
          <w:szCs w:val="20"/>
          <w:lang w:val="en-GB" w:eastAsia="zh-CN"/>
        </w:rPr>
        <w:t xml:space="preserve"> used to</w:t>
      </w:r>
      <w:r w:rsidR="00377535" w:rsidRPr="00CE0DE7">
        <w:rPr>
          <w:color w:val="000000"/>
          <w:sz w:val="20"/>
          <w:szCs w:val="20"/>
          <w:lang w:val="en-GB" w:eastAsia="zh-CN"/>
        </w:rPr>
        <w:t xml:space="preserve"> evaluate the</w:t>
      </w:r>
      <w:r w:rsidRPr="00CE0DE7">
        <w:rPr>
          <w:color w:val="000000"/>
          <w:sz w:val="20"/>
          <w:szCs w:val="20"/>
          <w:lang w:val="en-GB" w:eastAsia="zh-CN"/>
        </w:rPr>
        <w:t xml:space="preserve"> </w:t>
      </w:r>
      <w:r w:rsidR="00283F07" w:rsidRPr="00CE0DE7">
        <w:rPr>
          <w:color w:val="000000"/>
          <w:sz w:val="20"/>
          <w:szCs w:val="20"/>
          <w:lang w:val="en-GB" w:eastAsia="zh-CN"/>
        </w:rPr>
        <w:t xml:space="preserve">in-sample </w:t>
      </w:r>
      <w:r w:rsidR="008B2DF6" w:rsidRPr="00CE0DE7">
        <w:rPr>
          <w:color w:val="000000"/>
          <w:sz w:val="20"/>
          <w:szCs w:val="20"/>
          <w:lang w:val="en-GB" w:eastAsia="zh-CN"/>
        </w:rPr>
        <w:t>forecasting</w:t>
      </w:r>
      <w:r w:rsidRPr="00CE0DE7">
        <w:rPr>
          <w:color w:val="000000"/>
          <w:sz w:val="20"/>
          <w:szCs w:val="20"/>
          <w:lang w:val="en-GB" w:eastAsia="zh-CN"/>
        </w:rPr>
        <w:t xml:space="preserve"> of predictors over excess returns. </w:t>
      </w:r>
      <w:r w:rsidR="00283F07" w:rsidRPr="00CE0DE7">
        <w:rPr>
          <w:color w:val="000000"/>
          <w:sz w:val="20"/>
          <w:szCs w:val="20"/>
          <w:lang w:val="en-GB" w:eastAsia="zh-CN"/>
        </w:rPr>
        <w:t xml:space="preserve">Following </w:t>
      </w:r>
      <w:r w:rsidR="007618B6" w:rsidRPr="00CE0DE7">
        <w:rPr>
          <w:color w:val="000000"/>
          <w:sz w:val="20"/>
          <w:szCs w:val="20"/>
          <w:lang w:val="en-GB" w:eastAsia="zh-CN"/>
        </w:rPr>
        <w:t xml:space="preserve">Neely et al. </w:t>
      </w:r>
      <w:r w:rsidR="00E71ED9" w:rsidRPr="00CE0DE7">
        <w:rPr>
          <w:color w:val="000000"/>
          <w:sz w:val="20"/>
          <w:szCs w:val="20"/>
          <w:lang w:val="en-GB" w:eastAsia="zh-CN"/>
        </w:rPr>
        <w:fldChar w:fldCharType="begin" w:fldLock="1"/>
      </w:r>
      <w:r w:rsidR="00E71ED9" w:rsidRPr="00CE0DE7">
        <w:rPr>
          <w:color w:val="000000"/>
          <w:sz w:val="20"/>
          <w:szCs w:val="20"/>
          <w:lang w:val="en-GB" w:eastAsia="zh-CN"/>
        </w:rPr>
        <w:instrText>ADDIN CSL_CITATION {"citationItems":[{"id":"ITEM-1","itemData":{"ISSN":"15265501","abstract":"Academic research relies extensively on macroeconomic variables to forecast the U.S. equity risk premium, with relatively little attention paid to the technical indicators widely employed by practitioners. Our paper fills this gap by comparing the predictive ability of technical indicators with that of macroeconomic variables. Technical indicators display statistically and economically significant in-sample and out-of-sample predictive power, matching or exceeding that of macroeconomic variables. Furthermore, technical indicators and macroeconomic variables provide complementary information over the business cycle: technical indicators better detect the typical decline in the equity risk premium near business-cycle peaks, whereas macroeconomic variables more readily pick up the typical rise in the equity risk premium near cyclical troughs. Consistent with this behavior, we show that combining information from both technical indicators and macroeconomic variables significantly improves equity risk premium forecasts versus using either type of information alone. Overall, the substantial countercyclical fluctuations in the equity risk premium appear well captured by the combined information in technical indicators and macroeconomic variables.","author":[{"dropping-particle":"","family":"Neely","given":"Christopher J.","non-dropping-particle":"","parse-names":false,"suffix":""},{"dropping-particle":"","family":"Rapach","given":"David E.","non-dropping-particle":"","parse-names":false,"suffix":""},{"dropping-particle":"","family":"Tu","given":"Jun","non-dropping-particle":"","parse-names":false,"suffix":""},{"dropping-particle":"","family":"Zhou","given":"Guofu","non-dropping-particle":"","parse-names":false,"suffix":""}],"container-title":"Management Science","id":"ITEM-1","issue":"7","issued":{"date-parts":[["2014","3","4"]]},"page":"1772-1791","publisher":"INFORMS Inst.for Operations Res.and the Management Sciences","title":"Forecasting the equity risk premium: The role of technical indicators","type":"article-journal","volume":"60"},"suppress-author":1,"uris":["http://www.mendeley.com/documents/?uuid=0a809bb8-5b23-3508-9761-7b6d7e042931"]}],"mendeley":{"formattedCitation":"(2014)","plainTextFormattedCitation":"(2014)","previouslyFormattedCitation":"(2014)"},"properties":{"noteIndex":0},"schema":"https://github.com/citation-style-language/schema/raw/master/csl-citation.json"}</w:instrText>
      </w:r>
      <w:r w:rsidR="00E71ED9" w:rsidRPr="00CE0DE7">
        <w:rPr>
          <w:color w:val="000000"/>
          <w:sz w:val="20"/>
          <w:szCs w:val="20"/>
          <w:lang w:val="en-GB" w:eastAsia="zh-CN"/>
        </w:rPr>
        <w:fldChar w:fldCharType="separate"/>
      </w:r>
      <w:r w:rsidR="00E71ED9" w:rsidRPr="00CE0DE7">
        <w:rPr>
          <w:noProof/>
          <w:color w:val="000000"/>
          <w:sz w:val="20"/>
          <w:szCs w:val="20"/>
          <w:lang w:val="en-GB" w:eastAsia="zh-CN"/>
        </w:rPr>
        <w:t>(2014)</w:t>
      </w:r>
      <w:r w:rsidR="00E71ED9" w:rsidRPr="00CE0DE7">
        <w:rPr>
          <w:color w:val="000000"/>
          <w:sz w:val="20"/>
          <w:szCs w:val="20"/>
          <w:lang w:val="en-GB" w:eastAsia="zh-CN"/>
        </w:rPr>
        <w:fldChar w:fldCharType="end"/>
      </w:r>
      <w:r w:rsidR="00283F07" w:rsidRPr="00CE0DE7">
        <w:rPr>
          <w:color w:val="000000"/>
          <w:sz w:val="20"/>
          <w:szCs w:val="20"/>
          <w:lang w:val="en-GB" w:eastAsia="zh-CN"/>
        </w:rPr>
        <w:t xml:space="preserve">, we use </w:t>
      </w:r>
      <w:r w:rsidR="00BB56CB" w:rsidRPr="00CE0DE7">
        <w:rPr>
          <w:color w:val="000000"/>
          <w:sz w:val="20"/>
          <w:szCs w:val="20"/>
          <w:lang w:val="en-GB" w:eastAsia="zh-CN"/>
        </w:rPr>
        <w:t xml:space="preserve">a </w:t>
      </w:r>
      <w:r w:rsidR="00283F07" w:rsidRPr="00CE0DE7">
        <w:rPr>
          <w:color w:val="000000"/>
          <w:sz w:val="20"/>
          <w:szCs w:val="20"/>
          <w:lang w:val="en-GB" w:eastAsia="zh-CN"/>
        </w:rPr>
        <w:t xml:space="preserve">one-sided alternative hypothesis to </w:t>
      </w:r>
      <w:r w:rsidR="003631D1" w:rsidRPr="00CE0DE7">
        <w:rPr>
          <w:color w:val="000000"/>
          <w:sz w:val="20"/>
          <w:szCs w:val="20"/>
          <w:lang w:val="en-GB" w:eastAsia="zh-CN"/>
        </w:rPr>
        <w:t>enhance</w:t>
      </w:r>
      <w:r w:rsidR="00283F07" w:rsidRPr="00CE0DE7">
        <w:rPr>
          <w:color w:val="000000"/>
          <w:sz w:val="20"/>
          <w:szCs w:val="20"/>
          <w:lang w:val="en-GB" w:eastAsia="zh-CN"/>
        </w:rPr>
        <w:t xml:space="preserve"> the </w:t>
      </w:r>
      <w:r w:rsidR="003631D1" w:rsidRPr="00CE0DE7">
        <w:rPr>
          <w:color w:val="000000"/>
          <w:sz w:val="20"/>
          <w:szCs w:val="20"/>
          <w:lang w:val="en-GB" w:eastAsia="zh-CN"/>
        </w:rPr>
        <w:t xml:space="preserve">statistical </w:t>
      </w:r>
      <w:r w:rsidR="00283F07" w:rsidRPr="00CE0DE7">
        <w:rPr>
          <w:color w:val="000000"/>
          <w:sz w:val="20"/>
          <w:szCs w:val="20"/>
          <w:lang w:val="en-GB" w:eastAsia="zh-CN"/>
        </w:rPr>
        <w:t xml:space="preserve">power </w:t>
      </w:r>
      <w:r w:rsidR="00C463FB" w:rsidRPr="00CE0DE7">
        <w:rPr>
          <w:color w:val="000000"/>
          <w:sz w:val="20"/>
          <w:szCs w:val="20"/>
          <w:lang w:val="en-GB" w:eastAsia="zh-CN"/>
        </w:rPr>
        <w:t xml:space="preserve">and compute </w:t>
      </w:r>
      <w:r w:rsidR="00C463FB" w:rsidRPr="00CE0DE7">
        <w:rPr>
          <w:i/>
          <w:color w:val="000000"/>
          <w:sz w:val="20"/>
          <w:szCs w:val="20"/>
          <w:lang w:val="en-GB" w:eastAsia="zh-CN"/>
        </w:rPr>
        <w:t>p</w:t>
      </w:r>
      <w:r w:rsidR="00C463FB" w:rsidRPr="00CE0DE7">
        <w:rPr>
          <w:color w:val="000000"/>
          <w:sz w:val="20"/>
          <w:szCs w:val="20"/>
          <w:lang w:val="en-GB" w:eastAsia="zh-CN"/>
        </w:rPr>
        <w:t xml:space="preserve">-values </w:t>
      </w:r>
      <w:r w:rsidR="003631D1" w:rsidRPr="00CE0DE7">
        <w:rPr>
          <w:color w:val="000000"/>
          <w:sz w:val="20"/>
          <w:szCs w:val="20"/>
          <w:lang w:val="en-GB" w:eastAsia="zh-CN"/>
        </w:rPr>
        <w:t>with</w:t>
      </w:r>
      <w:r w:rsidR="00C463FB" w:rsidRPr="00CE0DE7">
        <w:rPr>
          <w:color w:val="000000"/>
          <w:sz w:val="20"/>
          <w:szCs w:val="20"/>
          <w:lang w:val="en-GB" w:eastAsia="zh-CN"/>
        </w:rPr>
        <w:t xml:space="preserve"> a wild bootstrap procedure to address </w:t>
      </w:r>
      <w:r w:rsidR="00AA050C" w:rsidRPr="00CE0DE7">
        <w:rPr>
          <w:color w:val="000000"/>
          <w:sz w:val="20"/>
          <w:szCs w:val="20"/>
          <w:lang w:val="en-GB" w:eastAsia="zh-CN"/>
        </w:rPr>
        <w:t xml:space="preserve">the concern for coefficient bias </w:t>
      </w:r>
      <w:r w:rsidR="00E71ED9" w:rsidRPr="00CE0DE7">
        <w:rPr>
          <w:color w:val="000000"/>
          <w:sz w:val="20"/>
          <w:szCs w:val="20"/>
          <w:lang w:val="en-GB" w:eastAsia="zh-CN"/>
        </w:rPr>
        <w:fldChar w:fldCharType="begin" w:fldLock="1"/>
      </w:r>
      <w:r w:rsidR="00E71ED9" w:rsidRPr="00CE0DE7">
        <w:rPr>
          <w:color w:val="000000"/>
          <w:sz w:val="20"/>
          <w:szCs w:val="20"/>
          <w:lang w:val="en-GB" w:eastAsia="zh-CN"/>
        </w:rPr>
        <w:instrText>ADDIN CSL_CITATION {"citationItems":[{"id":"ITEM-1","itemData":{"ISSN":"0304405X","abstract":"When a rate of return is regressed on a lagged stochastic regressor, such as a dividend yield, the regression disturbance is correlated with the regressor's innovation. The OLS estimator's finite-sample properties, derived here, can depart substantially from the standard regression setting. Bayesian posterior distributions for the regression parameters are obtained under specifications that differ with respect to (i) prior beliefs about the autocorrelation of the regressor and (ii) whether the initial observation of the regressor is specified as fixed or stochastic. The posteriors differ across such specifications, and asset allocations in the presence of estimation risk exhibit sensitivity to those differences. © 1999 Elsevier Science S.A. All rights reserved.","author":[{"dropping-particle":"","family":"Stambaugh","given":"Robert F.","non-dropping-particle":"","parse-names":false,"suffix":""}],"container-title":"Journal of Financial Economics","id":"ITEM-1","issue":"3","issued":{"date-parts":[["1999","12","1"]]},"page":"375-421","publisher":"Elsevier","title":"Predictive regressions","type":"article-journal","volume":"54"},"uris":["http://www.mendeley.com/documents/?uuid=87e0f93c-8333-3d6b-b7e2-8e833c8d8b25"]}],"mendeley":{"formattedCitation":"(Stambaugh 1999)","plainTextFormattedCitation":"(Stambaugh 1999)","previouslyFormattedCitation":"(Stambaugh 1999)"},"properties":{"noteIndex":0},"schema":"https://github.com/citation-style-language/schema/raw/master/csl-citation.json"}</w:instrText>
      </w:r>
      <w:r w:rsidR="00E71ED9" w:rsidRPr="00CE0DE7">
        <w:rPr>
          <w:color w:val="000000"/>
          <w:sz w:val="20"/>
          <w:szCs w:val="20"/>
          <w:lang w:val="en-GB" w:eastAsia="zh-CN"/>
        </w:rPr>
        <w:fldChar w:fldCharType="separate"/>
      </w:r>
      <w:r w:rsidR="00E71ED9" w:rsidRPr="00CE0DE7">
        <w:rPr>
          <w:noProof/>
          <w:color w:val="000000"/>
          <w:sz w:val="20"/>
          <w:szCs w:val="20"/>
          <w:lang w:val="en-GB" w:eastAsia="zh-CN"/>
        </w:rPr>
        <w:t>(Stambaugh 1999)</w:t>
      </w:r>
      <w:r w:rsidR="00E71ED9" w:rsidRPr="00CE0DE7">
        <w:rPr>
          <w:color w:val="000000"/>
          <w:sz w:val="20"/>
          <w:szCs w:val="20"/>
          <w:lang w:val="en-GB" w:eastAsia="zh-CN"/>
        </w:rPr>
        <w:fldChar w:fldCharType="end"/>
      </w:r>
      <w:r w:rsidR="00E31912" w:rsidRPr="00CE0DE7">
        <w:rPr>
          <w:color w:val="000000"/>
          <w:sz w:val="20"/>
          <w:szCs w:val="20"/>
          <w:lang w:val="en-GB" w:eastAsia="zh-CN"/>
        </w:rPr>
        <w:t>.</w:t>
      </w:r>
      <w:r w:rsidR="00260400" w:rsidRPr="00440039">
        <w:rPr>
          <w:rStyle w:val="a9"/>
        </w:rPr>
        <w:footnoteReference w:id="9"/>
      </w:r>
      <w:r w:rsidR="00C463FB" w:rsidRPr="00CE0DE7">
        <w:rPr>
          <w:color w:val="000000"/>
          <w:sz w:val="20"/>
          <w:szCs w:val="20"/>
          <w:lang w:val="en-GB" w:eastAsia="zh-CN"/>
        </w:rPr>
        <w:t xml:space="preserve"> </w:t>
      </w:r>
    </w:p>
    <w:p w14:paraId="1057DF37" w14:textId="7554D28F" w:rsidR="00283F07" w:rsidRPr="00CE0DE7" w:rsidRDefault="00995954"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The first three columns </w:t>
      </w:r>
      <w:r w:rsidR="00E31912" w:rsidRPr="00CE0DE7">
        <w:rPr>
          <w:color w:val="000000"/>
          <w:sz w:val="20"/>
          <w:szCs w:val="20"/>
          <w:lang w:val="en-GB" w:eastAsia="zh-CN"/>
        </w:rPr>
        <w:t xml:space="preserve">in </w:t>
      </w:r>
      <w:r w:rsidR="000F3BFE" w:rsidRPr="00CE0DE7">
        <w:rPr>
          <w:color w:val="000000"/>
          <w:sz w:val="20"/>
          <w:szCs w:val="20"/>
          <w:lang w:val="en-GB" w:eastAsia="zh-CN"/>
        </w:rPr>
        <w:t>Panel A</w:t>
      </w:r>
      <w:r w:rsidR="0081445C" w:rsidRPr="00CE0DE7">
        <w:rPr>
          <w:color w:val="000000"/>
          <w:sz w:val="20"/>
          <w:szCs w:val="20"/>
          <w:lang w:val="en-GB" w:eastAsia="zh-CN"/>
        </w:rPr>
        <w:t xml:space="preserve"> of</w:t>
      </w:r>
      <w:r w:rsidR="000F3BFE" w:rsidRPr="00CE0DE7">
        <w:rPr>
          <w:color w:val="000000"/>
          <w:sz w:val="20"/>
          <w:szCs w:val="20"/>
          <w:lang w:val="en-GB" w:eastAsia="zh-CN"/>
        </w:rPr>
        <w:t xml:space="preserve"> </w:t>
      </w:r>
      <w:r w:rsidRPr="00CE0DE7">
        <w:rPr>
          <w:color w:val="000000"/>
          <w:sz w:val="20"/>
          <w:szCs w:val="20"/>
          <w:lang w:val="en-GB" w:eastAsia="zh-CN"/>
        </w:rPr>
        <w:t xml:space="preserve">Table 7 report the in-sample slope coefficients, </w:t>
      </w:r>
      <w:r w:rsidR="00E055B5" w:rsidRPr="00CE0DE7">
        <w:rPr>
          <w:color w:val="000000"/>
          <w:sz w:val="20"/>
          <w:szCs w:val="20"/>
          <w:lang w:val="en-GB" w:eastAsia="zh-CN"/>
        </w:rPr>
        <w:t xml:space="preserve">the </w:t>
      </w:r>
      <w:r w:rsidRPr="00CE0DE7">
        <w:rPr>
          <w:color w:val="000000"/>
          <w:sz w:val="20"/>
          <w:szCs w:val="20"/>
          <w:lang w:val="en-GB" w:eastAsia="zh-CN"/>
        </w:rPr>
        <w:t xml:space="preserve">heteroscedasticity-robust </w:t>
      </w:r>
      <w:r w:rsidRPr="00CE0DE7">
        <w:rPr>
          <w:i/>
          <w:color w:val="000000"/>
          <w:sz w:val="20"/>
          <w:szCs w:val="20"/>
          <w:lang w:val="en-GB" w:eastAsia="zh-CN"/>
        </w:rPr>
        <w:t>t</w:t>
      </w:r>
      <w:r w:rsidRPr="00CE0DE7">
        <w:rPr>
          <w:color w:val="000000"/>
          <w:sz w:val="20"/>
          <w:szCs w:val="20"/>
          <w:lang w:val="en-GB" w:eastAsia="zh-CN"/>
        </w:rPr>
        <w:t>-statistics, and</w:t>
      </w:r>
      <w:r w:rsidR="00E055B5" w:rsidRPr="00CE0DE7">
        <w:rPr>
          <w:color w:val="000000"/>
          <w:sz w:val="20"/>
          <w:szCs w:val="20"/>
          <w:lang w:val="en-GB" w:eastAsia="zh-CN"/>
        </w:rPr>
        <w:t xml:space="preserve"> the</w:t>
      </w:r>
      <w:r w:rsidRPr="00CE0DE7">
        <w:rPr>
          <w:color w:val="000000"/>
          <w:sz w:val="20"/>
          <w:szCs w:val="20"/>
          <w:lang w:val="en-GB" w:eastAsia="zh-CN"/>
        </w:rPr>
        <w:t xml:space="preserve"> </w:t>
      </w:r>
      <w:r w:rsidRPr="00CE0DE7">
        <w:rPr>
          <w:i/>
          <w:color w:val="000000"/>
          <w:sz w:val="20"/>
          <w:szCs w:val="20"/>
          <w:lang w:val="en-GB" w:eastAsia="zh-CN"/>
        </w:rPr>
        <w:t>R</w:t>
      </w:r>
      <w:r w:rsidRPr="00CE0DE7">
        <w:rPr>
          <w:color w:val="000000"/>
          <w:sz w:val="20"/>
          <w:szCs w:val="20"/>
          <w:vertAlign w:val="superscript"/>
          <w:lang w:val="en-GB" w:eastAsia="zh-CN"/>
        </w:rPr>
        <w:t>2</w:t>
      </w:r>
      <w:r w:rsidRPr="00CE0DE7">
        <w:rPr>
          <w:color w:val="000000"/>
          <w:sz w:val="20"/>
          <w:szCs w:val="20"/>
          <w:lang w:val="en-GB" w:eastAsia="zh-CN"/>
        </w:rPr>
        <w:t xml:space="preserve">. </w:t>
      </w:r>
      <w:r w:rsidR="00AE4ADC" w:rsidRPr="00CE0DE7">
        <w:rPr>
          <w:color w:val="000000"/>
          <w:sz w:val="20"/>
          <w:szCs w:val="20"/>
          <w:lang w:val="en-GB" w:eastAsia="zh-CN"/>
        </w:rPr>
        <w:t xml:space="preserve">The results </w:t>
      </w:r>
      <w:r w:rsidR="00E055B5" w:rsidRPr="00CE0DE7">
        <w:rPr>
          <w:color w:val="000000"/>
          <w:sz w:val="20"/>
          <w:szCs w:val="20"/>
          <w:lang w:val="en-GB" w:eastAsia="zh-CN"/>
        </w:rPr>
        <w:t xml:space="preserve">indicate </w:t>
      </w:r>
      <w:r w:rsidR="00AE4ADC" w:rsidRPr="00CE0DE7">
        <w:rPr>
          <w:color w:val="000000"/>
          <w:sz w:val="20"/>
          <w:szCs w:val="20"/>
          <w:lang w:val="en-GB" w:eastAsia="zh-CN"/>
        </w:rPr>
        <w:t>that for the three VRP proxies, the estimated</w:t>
      </w:r>
      <w:r w:rsidR="005275A1" w:rsidRPr="00CE0DE7">
        <w:rPr>
          <w:color w:val="000000"/>
          <w:sz w:val="20"/>
          <w:szCs w:val="20"/>
          <w:lang w:val="en-GB" w:eastAsia="zh-CN"/>
        </w:rPr>
        <w:t xml:space="preserve"> </w:t>
      </w:r>
      <w:r w:rsidR="005275A1" w:rsidRPr="00CE0DE7">
        <w:rPr>
          <w:i/>
          <w:color w:val="000000"/>
          <w:sz w:val="20"/>
          <w:szCs w:val="20"/>
          <w:lang w:val="en-GB" w:eastAsia="zh-CN"/>
        </w:rPr>
        <w:t xml:space="preserve">β </w:t>
      </w:r>
      <w:r w:rsidR="005275A1" w:rsidRPr="00CE0DE7">
        <w:rPr>
          <w:color w:val="000000"/>
          <w:sz w:val="20"/>
          <w:szCs w:val="20"/>
          <w:lang w:val="en-GB" w:eastAsia="zh-CN"/>
        </w:rPr>
        <w:t>for</w:t>
      </w:r>
      <w:r w:rsidR="00AE4ADC" w:rsidRPr="00CE0DE7">
        <w:rPr>
          <w:color w:val="000000"/>
          <w:sz w:val="20"/>
          <w:szCs w:val="20"/>
          <w:lang w:val="en-GB" w:eastAsia="zh-CN"/>
        </w:rPr>
        <w:t xml:space="preserve"> </w:t>
      </w:r>
      <w:r w:rsidR="00CF4769" w:rsidRPr="00CE0DE7">
        <w:rPr>
          <w:i/>
          <w:color w:val="000000"/>
          <w:sz w:val="20"/>
          <w:szCs w:val="20"/>
          <w:lang w:val="en-GB" w:eastAsia="zh-CN"/>
        </w:rPr>
        <w:t>VRP</w:t>
      </w:r>
      <w:r w:rsidR="00CF4769" w:rsidRPr="00CE0DE7">
        <w:rPr>
          <w:i/>
          <w:color w:val="000000"/>
          <w:sz w:val="20"/>
          <w:szCs w:val="20"/>
          <w:vertAlign w:val="superscript"/>
          <w:lang w:val="en-GB" w:eastAsia="zh-CN"/>
        </w:rPr>
        <w:t>BTZ</w:t>
      </w:r>
      <w:r w:rsidR="00CF4769" w:rsidRPr="00CE0DE7">
        <w:rPr>
          <w:i/>
          <w:color w:val="000000"/>
          <w:sz w:val="20"/>
          <w:szCs w:val="20"/>
          <w:lang w:val="en-GB" w:eastAsia="zh-CN"/>
        </w:rPr>
        <w:t xml:space="preserve"> </w:t>
      </w:r>
      <w:r w:rsidR="000F3BFE" w:rsidRPr="00CE0DE7">
        <w:rPr>
          <w:color w:val="000000"/>
          <w:sz w:val="20"/>
          <w:szCs w:val="20"/>
          <w:lang w:val="en-GB" w:eastAsia="zh-CN"/>
        </w:rPr>
        <w:t xml:space="preserve">and </w:t>
      </w:r>
      <w:r w:rsidR="00CF4769" w:rsidRPr="00CE0DE7">
        <w:rPr>
          <w:i/>
          <w:color w:val="000000"/>
          <w:sz w:val="20"/>
          <w:szCs w:val="20"/>
          <w:lang w:val="en-GB" w:eastAsia="zh-CN"/>
        </w:rPr>
        <w:t>VRP</w:t>
      </w:r>
      <w:r w:rsidR="00CF4769" w:rsidRPr="00CE0DE7">
        <w:rPr>
          <w:i/>
          <w:color w:val="000000"/>
          <w:sz w:val="20"/>
          <w:szCs w:val="20"/>
          <w:vertAlign w:val="superscript"/>
          <w:lang w:val="en-GB" w:eastAsia="zh-CN"/>
        </w:rPr>
        <w:t>CW</w:t>
      </w:r>
      <w:r w:rsidR="00CF4769" w:rsidRPr="00CE0DE7">
        <w:rPr>
          <w:color w:val="000000"/>
          <w:sz w:val="20"/>
          <w:szCs w:val="20"/>
          <w:lang w:val="en-GB" w:eastAsia="zh-CN"/>
        </w:rPr>
        <w:t xml:space="preserve"> </w:t>
      </w:r>
      <w:r w:rsidR="005275A1" w:rsidRPr="00CE0DE7">
        <w:rPr>
          <w:color w:val="000000"/>
          <w:sz w:val="20"/>
          <w:szCs w:val="20"/>
          <w:lang w:val="en-GB" w:eastAsia="zh-CN"/>
        </w:rPr>
        <w:t>is</w:t>
      </w:r>
      <w:r w:rsidR="00AE4ADC" w:rsidRPr="00CE0DE7">
        <w:rPr>
          <w:color w:val="000000"/>
          <w:sz w:val="20"/>
          <w:szCs w:val="20"/>
          <w:lang w:val="en-GB" w:eastAsia="zh-CN"/>
        </w:rPr>
        <w:t xml:space="preserve"> statistically significant at</w:t>
      </w:r>
      <w:r w:rsidR="005275A1" w:rsidRPr="00CE0DE7">
        <w:rPr>
          <w:color w:val="000000"/>
          <w:sz w:val="20"/>
          <w:szCs w:val="20"/>
          <w:lang w:val="en-GB" w:eastAsia="zh-CN"/>
        </w:rPr>
        <w:t xml:space="preserve"> the</w:t>
      </w:r>
      <w:r w:rsidR="00AE4ADC" w:rsidRPr="00CE0DE7">
        <w:rPr>
          <w:color w:val="000000"/>
          <w:sz w:val="20"/>
          <w:szCs w:val="20"/>
          <w:lang w:val="en-GB" w:eastAsia="zh-CN"/>
        </w:rPr>
        <w:t xml:space="preserve"> 1% level</w:t>
      </w:r>
      <w:r w:rsidR="005275A1" w:rsidRPr="00CE0DE7">
        <w:rPr>
          <w:color w:val="000000"/>
          <w:sz w:val="20"/>
          <w:szCs w:val="20"/>
          <w:lang w:val="en-GB" w:eastAsia="zh-CN"/>
        </w:rPr>
        <w:t xml:space="preserve">, suggesting </w:t>
      </w:r>
      <w:r w:rsidR="00CF4769" w:rsidRPr="00CE0DE7">
        <w:rPr>
          <w:i/>
          <w:color w:val="000000"/>
          <w:sz w:val="20"/>
          <w:szCs w:val="20"/>
          <w:lang w:val="en-GB" w:eastAsia="zh-CN"/>
        </w:rPr>
        <w:t>VRP</w:t>
      </w:r>
      <w:r w:rsidR="00CF4769" w:rsidRPr="00CE0DE7">
        <w:rPr>
          <w:i/>
          <w:color w:val="000000"/>
          <w:sz w:val="20"/>
          <w:szCs w:val="20"/>
          <w:vertAlign w:val="superscript"/>
          <w:lang w:val="en-GB" w:eastAsia="zh-CN"/>
        </w:rPr>
        <w:t>BTZ</w:t>
      </w:r>
      <w:r w:rsidR="00CF4769" w:rsidRPr="00CE0DE7">
        <w:rPr>
          <w:i/>
          <w:color w:val="000000"/>
          <w:sz w:val="20"/>
          <w:szCs w:val="20"/>
          <w:lang w:val="en-GB" w:eastAsia="zh-CN"/>
        </w:rPr>
        <w:t xml:space="preserve"> </w:t>
      </w:r>
      <w:r w:rsidR="00F873C4" w:rsidRPr="00CE0DE7">
        <w:rPr>
          <w:color w:val="000000"/>
          <w:sz w:val="20"/>
          <w:szCs w:val="20"/>
          <w:lang w:val="en-GB" w:eastAsia="zh-CN"/>
        </w:rPr>
        <w:t xml:space="preserve">and </w:t>
      </w:r>
      <w:r w:rsidR="00CF4769" w:rsidRPr="00CE0DE7">
        <w:rPr>
          <w:i/>
          <w:color w:val="000000"/>
          <w:sz w:val="20"/>
          <w:szCs w:val="20"/>
          <w:lang w:val="en-GB" w:eastAsia="zh-CN"/>
        </w:rPr>
        <w:t>VRP</w:t>
      </w:r>
      <w:r w:rsidR="00CF4769" w:rsidRPr="00CE0DE7">
        <w:rPr>
          <w:i/>
          <w:color w:val="000000"/>
          <w:sz w:val="20"/>
          <w:szCs w:val="20"/>
          <w:vertAlign w:val="superscript"/>
          <w:lang w:val="en-GB" w:eastAsia="zh-CN"/>
        </w:rPr>
        <w:t>CW</w:t>
      </w:r>
      <w:r w:rsidR="00CF4769" w:rsidRPr="00CE0DE7">
        <w:rPr>
          <w:color w:val="000000"/>
          <w:sz w:val="20"/>
          <w:szCs w:val="20"/>
          <w:lang w:val="en-GB" w:eastAsia="zh-CN"/>
        </w:rPr>
        <w:t xml:space="preserve"> </w:t>
      </w:r>
      <w:r w:rsidR="00CA4674" w:rsidRPr="00CE0DE7">
        <w:rPr>
          <w:color w:val="000000"/>
          <w:sz w:val="20"/>
          <w:szCs w:val="20"/>
          <w:lang w:val="en-GB" w:eastAsia="zh-CN"/>
        </w:rPr>
        <w:t>can</w:t>
      </w:r>
      <w:r w:rsidR="005275A1" w:rsidRPr="00CE0DE7">
        <w:rPr>
          <w:color w:val="000000"/>
          <w:sz w:val="20"/>
          <w:szCs w:val="20"/>
          <w:lang w:val="en-GB" w:eastAsia="zh-CN"/>
        </w:rPr>
        <w:t xml:space="preserve"> significantly predict</w:t>
      </w:r>
      <w:r w:rsidR="00F873C4" w:rsidRPr="00CE0DE7">
        <w:rPr>
          <w:color w:val="000000"/>
          <w:sz w:val="20"/>
          <w:szCs w:val="20"/>
          <w:lang w:val="en-GB" w:eastAsia="zh-CN"/>
        </w:rPr>
        <w:t xml:space="preserve"> </w:t>
      </w:r>
      <w:r w:rsidR="00E31912" w:rsidRPr="00CE0DE7">
        <w:rPr>
          <w:color w:val="000000"/>
          <w:sz w:val="20"/>
          <w:szCs w:val="20"/>
          <w:lang w:val="en-GB" w:eastAsia="zh-CN"/>
        </w:rPr>
        <w:t xml:space="preserve">future </w:t>
      </w:r>
      <w:r w:rsidR="00F873C4" w:rsidRPr="00CE0DE7">
        <w:rPr>
          <w:color w:val="000000"/>
          <w:sz w:val="20"/>
          <w:szCs w:val="20"/>
          <w:lang w:val="en-GB" w:eastAsia="zh-CN"/>
        </w:rPr>
        <w:t>market return</w:t>
      </w:r>
      <w:r w:rsidR="00E31912" w:rsidRPr="00CE0DE7">
        <w:rPr>
          <w:color w:val="000000"/>
          <w:sz w:val="20"/>
          <w:szCs w:val="20"/>
          <w:lang w:val="en-GB" w:eastAsia="zh-CN"/>
        </w:rPr>
        <w:t>s</w:t>
      </w:r>
      <w:r w:rsidR="00AA050C" w:rsidRPr="00CE0DE7">
        <w:rPr>
          <w:color w:val="000000"/>
          <w:sz w:val="20"/>
          <w:szCs w:val="20"/>
          <w:lang w:val="en-GB" w:eastAsia="zh-CN"/>
        </w:rPr>
        <w:t xml:space="preserve"> in-sample</w:t>
      </w:r>
      <w:r w:rsidR="00F873C4" w:rsidRPr="00CE0DE7">
        <w:rPr>
          <w:color w:val="000000"/>
          <w:sz w:val="20"/>
          <w:szCs w:val="20"/>
          <w:lang w:val="en-GB" w:eastAsia="zh-CN"/>
        </w:rPr>
        <w:t xml:space="preserve">. </w:t>
      </w:r>
      <w:r w:rsidR="00AE4ADC" w:rsidRPr="00CE0DE7">
        <w:rPr>
          <w:color w:val="000000"/>
          <w:sz w:val="20"/>
          <w:szCs w:val="20"/>
          <w:lang w:val="en-GB" w:eastAsia="zh-CN"/>
        </w:rPr>
        <w:t>Meanwhile, the two stock</w:t>
      </w:r>
      <w:r w:rsidR="005275A1" w:rsidRPr="00CE0DE7">
        <w:rPr>
          <w:color w:val="000000"/>
          <w:sz w:val="20"/>
          <w:szCs w:val="20"/>
          <w:lang w:val="en-GB" w:eastAsia="zh-CN"/>
        </w:rPr>
        <w:t xml:space="preserve"> market</w:t>
      </w:r>
      <w:r w:rsidR="00AE4ADC" w:rsidRPr="00CE0DE7">
        <w:rPr>
          <w:color w:val="000000"/>
          <w:sz w:val="20"/>
          <w:szCs w:val="20"/>
          <w:lang w:val="en-GB" w:eastAsia="zh-CN"/>
        </w:rPr>
        <w:t xml:space="preserve"> illiquidity</w:t>
      </w:r>
      <w:r w:rsidR="00F873C4" w:rsidRPr="00CE0DE7">
        <w:rPr>
          <w:color w:val="000000"/>
          <w:sz w:val="20"/>
          <w:szCs w:val="20"/>
          <w:lang w:val="en-GB" w:eastAsia="zh-CN"/>
        </w:rPr>
        <w:t xml:space="preserve"> </w:t>
      </w:r>
      <w:r w:rsidR="005275A1" w:rsidRPr="00CE0DE7">
        <w:rPr>
          <w:color w:val="000000"/>
          <w:sz w:val="20"/>
          <w:szCs w:val="20"/>
          <w:lang w:val="en-GB" w:eastAsia="zh-CN"/>
        </w:rPr>
        <w:t xml:space="preserve">measures </w:t>
      </w:r>
      <w:r w:rsidR="00F873C4" w:rsidRPr="00CE0DE7">
        <w:rPr>
          <w:color w:val="000000"/>
          <w:sz w:val="20"/>
          <w:szCs w:val="20"/>
          <w:lang w:val="en-GB" w:eastAsia="zh-CN"/>
        </w:rPr>
        <w:t xml:space="preserve">do not </w:t>
      </w:r>
      <w:r w:rsidR="005275A1" w:rsidRPr="00CE0DE7">
        <w:rPr>
          <w:color w:val="000000"/>
          <w:sz w:val="20"/>
          <w:szCs w:val="20"/>
          <w:lang w:val="en-GB" w:eastAsia="zh-CN"/>
        </w:rPr>
        <w:t>exhibit</w:t>
      </w:r>
      <w:r w:rsidR="00F873C4" w:rsidRPr="00CE0DE7">
        <w:rPr>
          <w:color w:val="000000"/>
          <w:sz w:val="20"/>
          <w:szCs w:val="20"/>
          <w:lang w:val="en-GB" w:eastAsia="zh-CN"/>
        </w:rPr>
        <w:t xml:space="preserve"> significant return predictability for market returns. These </w:t>
      </w:r>
      <w:r w:rsidR="005275A1" w:rsidRPr="00CE0DE7">
        <w:rPr>
          <w:color w:val="000000"/>
          <w:sz w:val="20"/>
          <w:szCs w:val="20"/>
          <w:lang w:val="en-GB" w:eastAsia="zh-CN"/>
        </w:rPr>
        <w:t xml:space="preserve">findings </w:t>
      </w:r>
      <w:r w:rsidR="00F873C4" w:rsidRPr="00CE0DE7">
        <w:rPr>
          <w:color w:val="000000"/>
          <w:sz w:val="20"/>
          <w:szCs w:val="20"/>
          <w:lang w:val="en-GB" w:eastAsia="zh-CN"/>
        </w:rPr>
        <w:t xml:space="preserve">are consistent with </w:t>
      </w:r>
      <w:r w:rsidR="005275A1" w:rsidRPr="00CE0DE7">
        <w:rPr>
          <w:color w:val="000000"/>
          <w:sz w:val="20"/>
          <w:szCs w:val="20"/>
          <w:lang w:val="en-GB" w:eastAsia="zh-CN"/>
        </w:rPr>
        <w:t xml:space="preserve">those </w:t>
      </w:r>
      <w:r w:rsidR="00F873C4" w:rsidRPr="00CE0DE7">
        <w:rPr>
          <w:color w:val="000000"/>
          <w:sz w:val="20"/>
          <w:szCs w:val="20"/>
          <w:lang w:val="en-GB" w:eastAsia="zh-CN"/>
        </w:rPr>
        <w:t>in Table</w:t>
      </w:r>
      <w:r w:rsidR="005275A1" w:rsidRPr="00CE0DE7">
        <w:rPr>
          <w:color w:val="000000"/>
          <w:sz w:val="20"/>
          <w:szCs w:val="20"/>
          <w:lang w:val="en-GB" w:eastAsia="zh-CN"/>
        </w:rPr>
        <w:t>s</w:t>
      </w:r>
      <w:r w:rsidR="00F873C4" w:rsidRPr="00CE0DE7">
        <w:rPr>
          <w:color w:val="000000"/>
          <w:sz w:val="20"/>
          <w:szCs w:val="20"/>
          <w:lang w:val="en-GB" w:eastAsia="zh-CN"/>
        </w:rPr>
        <w:t xml:space="preserve"> 3-6 </w:t>
      </w:r>
      <w:r w:rsidR="005275A1" w:rsidRPr="00CE0DE7">
        <w:rPr>
          <w:color w:val="000000"/>
          <w:sz w:val="20"/>
          <w:szCs w:val="20"/>
          <w:lang w:val="en-GB" w:eastAsia="zh-CN"/>
        </w:rPr>
        <w:t xml:space="preserve">and provide corroborating evidence </w:t>
      </w:r>
      <w:r w:rsidR="00F873C4" w:rsidRPr="00CE0DE7">
        <w:rPr>
          <w:color w:val="000000"/>
          <w:sz w:val="20"/>
          <w:szCs w:val="20"/>
          <w:lang w:val="en-GB" w:eastAsia="zh-CN"/>
        </w:rPr>
        <w:t xml:space="preserve">that the </w:t>
      </w:r>
      <w:r w:rsidR="0048419C" w:rsidRPr="00CE0DE7">
        <w:rPr>
          <w:color w:val="000000"/>
          <w:sz w:val="20"/>
          <w:szCs w:val="20"/>
          <w:lang w:val="en-GB" w:eastAsia="zh-CN"/>
        </w:rPr>
        <w:t>VRP</w:t>
      </w:r>
      <w:r w:rsidR="005275A1" w:rsidRPr="00CE0DE7">
        <w:rPr>
          <w:color w:val="000000"/>
          <w:sz w:val="20"/>
          <w:szCs w:val="20"/>
          <w:lang w:val="en-GB" w:eastAsia="zh-CN"/>
        </w:rPr>
        <w:t>, not illiquidity,</w:t>
      </w:r>
      <w:r w:rsidR="00F873C4" w:rsidRPr="00CE0DE7">
        <w:rPr>
          <w:color w:val="000000"/>
          <w:sz w:val="20"/>
          <w:szCs w:val="20"/>
          <w:lang w:val="en-GB" w:eastAsia="zh-CN"/>
        </w:rPr>
        <w:t xml:space="preserve"> Granger-cause</w:t>
      </w:r>
      <w:r w:rsidR="005275A1" w:rsidRPr="00CE0DE7">
        <w:rPr>
          <w:color w:val="000000"/>
          <w:sz w:val="20"/>
          <w:szCs w:val="20"/>
          <w:lang w:val="en-GB" w:eastAsia="zh-CN"/>
        </w:rPr>
        <w:t>s</w:t>
      </w:r>
      <w:r w:rsidR="00F873C4" w:rsidRPr="00CE0DE7">
        <w:rPr>
          <w:color w:val="000000"/>
          <w:sz w:val="20"/>
          <w:szCs w:val="20"/>
          <w:lang w:val="en-GB" w:eastAsia="zh-CN"/>
        </w:rPr>
        <w:t xml:space="preserve"> stock returns. </w:t>
      </w:r>
    </w:p>
    <w:p w14:paraId="55228EA9" w14:textId="4913A9AB" w:rsidR="0048419C" w:rsidRPr="00CE0DE7" w:rsidRDefault="0048419C" w:rsidP="00B01B7C">
      <w:pPr>
        <w:autoSpaceDE w:val="0"/>
        <w:autoSpaceDN w:val="0"/>
        <w:adjustRightInd w:val="0"/>
        <w:snapToGrid w:val="0"/>
        <w:spacing w:before="240" w:after="240" w:line="480" w:lineRule="auto"/>
        <w:jc w:val="center"/>
        <w:rPr>
          <w:color w:val="000000"/>
          <w:sz w:val="20"/>
          <w:szCs w:val="20"/>
          <w:lang w:val="en-GB" w:eastAsia="zh-CN"/>
        </w:rPr>
      </w:pPr>
      <w:r w:rsidRPr="00CE0DE7">
        <w:rPr>
          <w:color w:val="000000"/>
          <w:sz w:val="20"/>
          <w:szCs w:val="20"/>
          <w:lang w:val="en-GB" w:eastAsia="zh-CN"/>
        </w:rPr>
        <w:t>[Insert Table 7 around here]</w:t>
      </w:r>
    </w:p>
    <w:p w14:paraId="04DE4CF1" w14:textId="4EF78CCE" w:rsidR="008818EA" w:rsidRPr="00CE0DE7" w:rsidRDefault="00F23426"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lastRenderedPageBreak/>
        <w:t xml:space="preserve">Following Campbell and Thompson </w:t>
      </w:r>
      <w:r w:rsidR="00E71ED9" w:rsidRPr="00CE0DE7">
        <w:rPr>
          <w:color w:val="000000"/>
          <w:sz w:val="20"/>
          <w:szCs w:val="20"/>
          <w:lang w:val="en-GB" w:eastAsia="zh-CN"/>
        </w:rPr>
        <w:fldChar w:fldCharType="begin" w:fldLock="1"/>
      </w:r>
      <w:r w:rsidR="00E67DF0" w:rsidRPr="00CE0DE7">
        <w:rPr>
          <w:color w:val="000000"/>
          <w:sz w:val="20"/>
          <w:szCs w:val="20"/>
          <w:lang w:val="en-GB" w:eastAsia="zh-CN"/>
        </w:rPr>
        <w:instrText>ADDIN CSL_CITATION {"citationItems":[{"id":"ITEM-1","itemData":{"ISSN":"0893-9454","abstract":"Goyal and Welch (2007) argue that the historical average excess stock return forecasts future excess stock returns better than regressions of excess returns on predictor variables. In this article, we show that many predictive regressions beat the historical average return, once weak restrictions are imposed on the signs of coefficients and return forecasts. The out-of-sample explanatory power is small, but nonetheless is economically meaningful for mean-variance investors. Even better results can be obtained by imposing the restrictions of steady-state valuation models, thereby removing the need to estimate the average from a short sample of volatile stock returns. © The Author 2007. Published by Oxford University Press on behalf of The Society for Financial Studies. All rights reserved.","author":[{"dropping-particle":"","family":"Campbell","given":"John Y.","non-dropping-particle":"","parse-names":false,"suffix":""},{"dropping-particle":"","family":"Thompson","given":"Samuel B.","non-dropping-particle":"","parse-names":false,"suffix":""}],"container-title":"Review of Financial Studies","id":"ITEM-1","issue":"4","issued":{"date-parts":[["2008","7","1"]]},"page":"1509-1531","publisher":"Oxford Academic","title":"Predicting excess stock returns out of sample: Can anything beat the historical average?","type":"article-journal","volume":"21"},"suppress-author":1,"uris":["http://www.mendeley.com/documents/?uuid=fbe6034b-a92b-32b5-b9fa-22b1068d8b90"]}],"mendeley":{"formattedCitation":"(2008)","plainTextFormattedCitation":"(2008)","previouslyFormattedCitation":"(2008)"},"properties":{"noteIndex":0},"schema":"https://github.com/citation-style-language/schema/raw/master/csl-citation.json"}</w:instrText>
      </w:r>
      <w:r w:rsidR="00E71ED9" w:rsidRPr="00CE0DE7">
        <w:rPr>
          <w:color w:val="000000"/>
          <w:sz w:val="20"/>
          <w:szCs w:val="20"/>
          <w:lang w:val="en-GB" w:eastAsia="zh-CN"/>
        </w:rPr>
        <w:fldChar w:fldCharType="separate"/>
      </w:r>
      <w:r w:rsidR="00E71ED9" w:rsidRPr="00CE0DE7">
        <w:rPr>
          <w:noProof/>
          <w:color w:val="000000"/>
          <w:sz w:val="20"/>
          <w:szCs w:val="20"/>
          <w:lang w:val="en-GB" w:eastAsia="zh-CN"/>
        </w:rPr>
        <w:t>(2008)</w:t>
      </w:r>
      <w:r w:rsidR="00E71ED9" w:rsidRPr="00CE0DE7">
        <w:rPr>
          <w:color w:val="000000"/>
          <w:sz w:val="20"/>
          <w:szCs w:val="20"/>
          <w:lang w:val="en-GB" w:eastAsia="zh-CN"/>
        </w:rPr>
        <w:fldChar w:fldCharType="end"/>
      </w:r>
      <w:r w:rsidRPr="00CE0DE7">
        <w:rPr>
          <w:color w:val="000000"/>
          <w:sz w:val="20"/>
          <w:szCs w:val="20"/>
          <w:lang w:val="en-GB" w:eastAsia="zh-CN"/>
        </w:rPr>
        <w:t xml:space="preserve"> and Welch and Goyal </w:t>
      </w:r>
      <w:r w:rsidR="00E71ED9" w:rsidRPr="00CE0DE7">
        <w:rPr>
          <w:color w:val="000000"/>
          <w:sz w:val="20"/>
          <w:szCs w:val="20"/>
          <w:lang w:val="en-GB" w:eastAsia="zh-CN"/>
        </w:rPr>
        <w:fldChar w:fldCharType="begin" w:fldLock="1"/>
      </w:r>
      <w:r w:rsidR="00753336" w:rsidRPr="00CE0DE7">
        <w:rPr>
          <w:color w:val="000000"/>
          <w:sz w:val="20"/>
          <w:szCs w:val="20"/>
          <w:lang w:val="en-GB" w:eastAsia="zh-CN"/>
        </w:rPr>
        <w:instrText>ADDIN CSL_CITATION {"citationItems":[{"id":"ITEM-1","itemData":{"ISSN":"0893-9454","abstract":"Our article comprehensively reexamines the performance of variables that have been suggested by the academic literature to be good predictors of the equity premium. We find that by and large, these models have predicted poorly both in-sample (IS) and out-of-sample (OOS) for 30 years now; these models seem unstable, as diagnosed by their out-of-sample predictions and other statistics; and these models would not have helped an investor with access only to available information to profitably time the market. © The Author 2007. Published by Oxford University Press on behalf of the Society for Financial Studies. All rights reserved.","author":[{"dropping-particle":"","family":"Welch","given":"Ivo","non-dropping-particle":"","parse-names":false,"suffix":""},{"dropping-particle":"","family":"Goyal","given":"Amit","non-dropping-particle":"","parse-names":false,"suffix":""}],"container-title":"Review of Financial Studies","id":"ITEM-1","issue":"4","issued":{"date-parts":[["2008","7","1"]]},"page":"1455-1508","publisher":"Oxford Academic","title":"A comprehensive look at the empirical performance of equity premium prediction","type":"article-journal","volume":"21"},"suppress-author":1,"uris":["http://www.mendeley.com/documents/?uuid=18e64634-3bbc-3315-8da7-d065c7df7ec4"]}],"mendeley":{"formattedCitation":"(2008)","plainTextFormattedCitation":"(2008)","previouslyFormattedCitation":"(2008)"},"properties":{"noteIndex":0},"schema":"https://github.com/citation-style-language/schema/raw/master/csl-citation.json"}</w:instrText>
      </w:r>
      <w:r w:rsidR="00E71ED9" w:rsidRPr="00CE0DE7">
        <w:rPr>
          <w:color w:val="000000"/>
          <w:sz w:val="20"/>
          <w:szCs w:val="20"/>
          <w:lang w:val="en-GB" w:eastAsia="zh-CN"/>
        </w:rPr>
        <w:fldChar w:fldCharType="separate"/>
      </w:r>
      <w:r w:rsidR="00E71ED9" w:rsidRPr="00CE0DE7">
        <w:rPr>
          <w:noProof/>
          <w:color w:val="000000"/>
          <w:sz w:val="20"/>
          <w:szCs w:val="20"/>
          <w:lang w:val="en-GB" w:eastAsia="zh-CN"/>
        </w:rPr>
        <w:t>(2008)</w:t>
      </w:r>
      <w:r w:rsidR="00E71ED9" w:rsidRPr="00CE0DE7">
        <w:rPr>
          <w:color w:val="000000"/>
          <w:sz w:val="20"/>
          <w:szCs w:val="20"/>
          <w:lang w:val="en-GB" w:eastAsia="zh-CN"/>
        </w:rPr>
        <w:fldChar w:fldCharType="end"/>
      </w:r>
      <w:r w:rsidRPr="00CE0DE7">
        <w:rPr>
          <w:color w:val="000000"/>
          <w:sz w:val="20"/>
          <w:szCs w:val="20"/>
          <w:lang w:val="en-GB" w:eastAsia="zh-CN"/>
        </w:rPr>
        <w:t xml:space="preserve">, we </w:t>
      </w:r>
      <w:r w:rsidR="00E31912" w:rsidRPr="00CE0DE7">
        <w:rPr>
          <w:color w:val="000000"/>
          <w:sz w:val="20"/>
          <w:szCs w:val="20"/>
          <w:lang w:val="en-GB" w:eastAsia="zh-CN"/>
        </w:rPr>
        <w:t>also</w:t>
      </w:r>
      <w:r w:rsidRPr="00CE0DE7">
        <w:rPr>
          <w:color w:val="000000"/>
          <w:sz w:val="20"/>
          <w:szCs w:val="20"/>
          <w:lang w:val="en-GB" w:eastAsia="zh-CN"/>
        </w:rPr>
        <w:t xml:space="preserve"> test the out-of-sample </w:t>
      </w:r>
      <w:r w:rsidR="008B2DF6" w:rsidRPr="00CE0DE7">
        <w:rPr>
          <w:color w:val="000000"/>
          <w:sz w:val="20"/>
          <w:szCs w:val="20"/>
          <w:lang w:val="en-GB" w:eastAsia="zh-CN"/>
        </w:rPr>
        <w:t xml:space="preserve">forecasting </w:t>
      </w:r>
      <w:r w:rsidRPr="00CE0DE7">
        <w:rPr>
          <w:color w:val="000000"/>
          <w:sz w:val="20"/>
          <w:szCs w:val="20"/>
          <w:lang w:val="en-GB" w:eastAsia="zh-CN"/>
        </w:rPr>
        <w:t xml:space="preserve">of </w:t>
      </w:r>
      <w:r w:rsidR="0048419C" w:rsidRPr="00CE0DE7">
        <w:rPr>
          <w:color w:val="000000"/>
          <w:sz w:val="20"/>
          <w:szCs w:val="20"/>
          <w:lang w:val="en-GB" w:eastAsia="zh-CN"/>
        </w:rPr>
        <w:t>VRP</w:t>
      </w:r>
      <w:r w:rsidRPr="00CE0DE7">
        <w:rPr>
          <w:color w:val="000000"/>
          <w:sz w:val="20"/>
          <w:szCs w:val="20"/>
          <w:lang w:val="en-GB" w:eastAsia="zh-CN"/>
        </w:rPr>
        <w:t xml:space="preserve"> and illiquidity</w:t>
      </w:r>
      <w:r w:rsidR="00486458" w:rsidRPr="00CE0DE7">
        <w:rPr>
          <w:color w:val="000000"/>
          <w:sz w:val="20"/>
          <w:szCs w:val="20"/>
          <w:lang w:val="en-GB" w:eastAsia="zh-CN"/>
        </w:rPr>
        <w:t>,</w:t>
      </w:r>
      <w:r w:rsidR="00E3370B" w:rsidRPr="00CE0DE7">
        <w:rPr>
          <w:color w:val="000000"/>
          <w:sz w:val="20"/>
          <w:szCs w:val="20"/>
          <w:lang w:val="en-GB" w:eastAsia="zh-CN"/>
        </w:rPr>
        <w:t xml:space="preserve"> </w:t>
      </w:r>
      <w:r w:rsidR="00E31912" w:rsidRPr="00CE0DE7">
        <w:rPr>
          <w:color w:val="000000"/>
          <w:sz w:val="20"/>
          <w:szCs w:val="20"/>
          <w:lang w:val="en-GB" w:eastAsia="zh-CN"/>
        </w:rPr>
        <w:t>respectively</w:t>
      </w:r>
      <w:r w:rsidR="00486458" w:rsidRPr="00CE0DE7">
        <w:rPr>
          <w:color w:val="000000"/>
          <w:sz w:val="20"/>
          <w:szCs w:val="20"/>
          <w:lang w:val="en-GB" w:eastAsia="zh-CN"/>
        </w:rPr>
        <w:t>,</w:t>
      </w:r>
      <w:r w:rsidR="00E31912" w:rsidRPr="00CE0DE7">
        <w:rPr>
          <w:color w:val="000000"/>
          <w:sz w:val="20"/>
          <w:szCs w:val="20"/>
          <w:lang w:val="en-GB" w:eastAsia="zh-CN"/>
        </w:rPr>
        <w:t xml:space="preserve"> </w:t>
      </w:r>
      <w:r w:rsidR="00486458" w:rsidRPr="00CE0DE7">
        <w:rPr>
          <w:color w:val="000000"/>
          <w:sz w:val="20"/>
          <w:szCs w:val="20"/>
          <w:lang w:val="en-GB" w:eastAsia="zh-CN"/>
        </w:rPr>
        <w:t>via a recursive approach</w:t>
      </w:r>
      <w:r w:rsidRPr="00CE0DE7">
        <w:rPr>
          <w:color w:val="000000"/>
          <w:sz w:val="20"/>
          <w:szCs w:val="20"/>
          <w:lang w:val="en-GB" w:eastAsia="zh-CN"/>
        </w:rPr>
        <w:t xml:space="preserve">.  </w:t>
      </w:r>
      <w:r w:rsidR="00AA1829" w:rsidRPr="00CE0DE7">
        <w:rPr>
          <w:color w:val="000000"/>
          <w:sz w:val="20"/>
          <w:szCs w:val="20"/>
          <w:lang w:val="en-GB" w:eastAsia="zh-CN"/>
        </w:rPr>
        <w:t xml:space="preserve">We divide the </w:t>
      </w:r>
      <w:r w:rsidR="006B458A" w:rsidRPr="00CE0DE7">
        <w:rPr>
          <w:color w:val="000000"/>
          <w:sz w:val="20"/>
          <w:szCs w:val="20"/>
          <w:lang w:val="en-GB" w:eastAsia="zh-CN"/>
        </w:rPr>
        <w:t xml:space="preserve">whole </w:t>
      </w:r>
      <w:r w:rsidR="00AA1829" w:rsidRPr="00CE0DE7">
        <w:rPr>
          <w:color w:val="000000"/>
          <w:sz w:val="20"/>
          <w:szCs w:val="20"/>
          <w:lang w:val="en-GB" w:eastAsia="zh-CN"/>
        </w:rPr>
        <w:t>sample into</w:t>
      </w:r>
      <w:r w:rsidR="00AF3A65" w:rsidRPr="00CE0DE7">
        <w:rPr>
          <w:color w:val="000000"/>
          <w:sz w:val="20"/>
          <w:szCs w:val="20"/>
          <w:lang w:val="en-GB" w:eastAsia="zh-CN"/>
        </w:rPr>
        <w:t xml:space="preserve"> two </w:t>
      </w:r>
      <w:r w:rsidR="006B458A" w:rsidRPr="00CE0DE7">
        <w:rPr>
          <w:color w:val="000000"/>
          <w:sz w:val="20"/>
          <w:szCs w:val="20"/>
          <w:lang w:val="en-GB" w:eastAsia="zh-CN"/>
        </w:rPr>
        <w:t>sub-sample</w:t>
      </w:r>
      <w:r w:rsidR="00E31912" w:rsidRPr="00CE0DE7">
        <w:rPr>
          <w:color w:val="000000"/>
          <w:sz w:val="20"/>
          <w:szCs w:val="20"/>
          <w:lang w:val="en-GB" w:eastAsia="zh-CN"/>
        </w:rPr>
        <w:t>s</w:t>
      </w:r>
      <w:r w:rsidR="00AF3A65" w:rsidRPr="00CE0DE7">
        <w:rPr>
          <w:color w:val="000000"/>
          <w:sz w:val="20"/>
          <w:szCs w:val="20"/>
          <w:lang w:val="en-GB" w:eastAsia="zh-CN"/>
        </w:rPr>
        <w:t xml:space="preserve">: </w:t>
      </w:r>
      <w:r w:rsidR="00AA1829" w:rsidRPr="00CE0DE7">
        <w:rPr>
          <w:color w:val="000000"/>
          <w:sz w:val="20"/>
          <w:szCs w:val="20"/>
          <w:lang w:val="en-GB" w:eastAsia="zh-CN"/>
        </w:rPr>
        <w:t xml:space="preserve">initial estimation period </w:t>
      </w:r>
      <w:r w:rsidR="003F3CEE" w:rsidRPr="00CE0DE7">
        <w:rPr>
          <w:color w:val="000000"/>
          <w:sz w:val="20"/>
          <w:szCs w:val="20"/>
          <w:lang w:val="en-GB" w:eastAsia="zh-CN"/>
        </w:rPr>
        <w:t xml:space="preserve">from </w:t>
      </w:r>
      <w:r w:rsidR="00AA1829" w:rsidRPr="00CE0DE7">
        <w:rPr>
          <w:color w:val="000000"/>
          <w:sz w:val="20"/>
          <w:szCs w:val="20"/>
          <w:lang w:val="en-GB" w:eastAsia="zh-CN"/>
        </w:rPr>
        <w:t>time 1 (1990:01</w:t>
      </w:r>
      <w:r w:rsidR="00AF3A65" w:rsidRPr="00CE0DE7">
        <w:rPr>
          <w:color w:val="000000"/>
          <w:sz w:val="20"/>
          <w:szCs w:val="20"/>
          <w:lang w:val="en-GB" w:eastAsia="zh-CN"/>
        </w:rPr>
        <w:t xml:space="preserve">) to time </w:t>
      </w:r>
      <w:r w:rsidR="00AF3A65" w:rsidRPr="00CE0DE7">
        <w:rPr>
          <w:i/>
          <w:color w:val="000000"/>
          <w:sz w:val="20"/>
          <w:szCs w:val="20"/>
          <w:lang w:val="en-GB" w:eastAsia="zh-CN"/>
        </w:rPr>
        <w:t>n</w:t>
      </w:r>
      <w:r w:rsidR="00AF3A65" w:rsidRPr="00CE0DE7">
        <w:rPr>
          <w:color w:val="000000"/>
          <w:sz w:val="20"/>
          <w:szCs w:val="20"/>
          <w:lang w:val="en-GB" w:eastAsia="zh-CN"/>
        </w:rPr>
        <w:t xml:space="preserve"> (1999:12) </w:t>
      </w:r>
      <w:r w:rsidR="006B458A" w:rsidRPr="00CE0DE7">
        <w:rPr>
          <w:color w:val="000000"/>
          <w:sz w:val="20"/>
          <w:szCs w:val="20"/>
          <w:lang w:val="en-GB" w:eastAsia="zh-CN"/>
        </w:rPr>
        <w:t>with the</w:t>
      </w:r>
      <w:r w:rsidR="00AF3A65" w:rsidRPr="00CE0DE7">
        <w:rPr>
          <w:color w:val="000000"/>
          <w:sz w:val="20"/>
          <w:szCs w:val="20"/>
          <w:lang w:val="en-GB" w:eastAsia="zh-CN"/>
        </w:rPr>
        <w:t xml:space="preserve"> first </w:t>
      </w:r>
      <w:r w:rsidR="00AF3A65" w:rsidRPr="00CE0DE7">
        <w:rPr>
          <w:i/>
          <w:color w:val="000000"/>
          <w:sz w:val="20"/>
          <w:szCs w:val="20"/>
          <w:lang w:val="en-GB" w:eastAsia="zh-CN"/>
        </w:rPr>
        <w:t>n</w:t>
      </w:r>
      <w:r w:rsidR="00AF3A65" w:rsidRPr="00CE0DE7">
        <w:rPr>
          <w:color w:val="000000"/>
          <w:sz w:val="20"/>
          <w:szCs w:val="20"/>
          <w:lang w:val="en-GB" w:eastAsia="zh-CN"/>
        </w:rPr>
        <w:t xml:space="preserve"> </w:t>
      </w:r>
      <w:r w:rsidR="00AA050C" w:rsidRPr="00CE0DE7">
        <w:rPr>
          <w:color w:val="000000"/>
          <w:sz w:val="20"/>
          <w:szCs w:val="20"/>
          <w:lang w:val="en-GB" w:eastAsia="zh-CN"/>
        </w:rPr>
        <w:t xml:space="preserve">monthly </w:t>
      </w:r>
      <w:r w:rsidR="00AF3A65" w:rsidRPr="00CE0DE7">
        <w:rPr>
          <w:color w:val="000000"/>
          <w:sz w:val="20"/>
          <w:szCs w:val="20"/>
          <w:lang w:val="en-GB" w:eastAsia="zh-CN"/>
        </w:rPr>
        <w:t xml:space="preserve">observations, and the out-of-sample forecast period from time </w:t>
      </w:r>
      <w:r w:rsidR="00AF3A65" w:rsidRPr="00CE0DE7">
        <w:rPr>
          <w:i/>
          <w:color w:val="000000"/>
          <w:sz w:val="20"/>
          <w:szCs w:val="20"/>
          <w:lang w:val="en-GB" w:eastAsia="zh-CN"/>
        </w:rPr>
        <w:t>n</w:t>
      </w:r>
      <w:r w:rsidR="00AF3A65" w:rsidRPr="00CE0DE7">
        <w:rPr>
          <w:color w:val="000000"/>
          <w:sz w:val="20"/>
          <w:szCs w:val="20"/>
          <w:lang w:val="en-GB" w:eastAsia="zh-CN"/>
        </w:rPr>
        <w:t xml:space="preserve">+1 (2000:01) to time </w:t>
      </w:r>
      <w:r w:rsidR="00AF3A65" w:rsidRPr="00CE0DE7">
        <w:rPr>
          <w:i/>
          <w:color w:val="000000"/>
          <w:sz w:val="20"/>
          <w:szCs w:val="20"/>
          <w:lang w:val="en-GB" w:eastAsia="zh-CN"/>
        </w:rPr>
        <w:t>T</w:t>
      </w:r>
      <w:r w:rsidR="00AF3A65" w:rsidRPr="00CE0DE7">
        <w:rPr>
          <w:color w:val="000000"/>
          <w:sz w:val="20"/>
          <w:szCs w:val="20"/>
          <w:lang w:val="en-GB" w:eastAsia="zh-CN"/>
        </w:rPr>
        <w:t xml:space="preserve"> (</w:t>
      </w:r>
      <w:r w:rsidR="008B2DF6" w:rsidRPr="00CE0DE7">
        <w:rPr>
          <w:color w:val="000000"/>
          <w:sz w:val="20"/>
          <w:szCs w:val="20"/>
          <w:lang w:val="en-GB" w:eastAsia="zh-CN"/>
        </w:rPr>
        <w:t>2018</w:t>
      </w:r>
      <w:r w:rsidR="00AF3A65" w:rsidRPr="00CE0DE7">
        <w:rPr>
          <w:color w:val="000000"/>
          <w:sz w:val="20"/>
          <w:szCs w:val="20"/>
          <w:lang w:val="en-GB" w:eastAsia="zh-CN"/>
        </w:rPr>
        <w:t xml:space="preserve">:12) </w:t>
      </w:r>
      <w:r w:rsidR="006B458A" w:rsidRPr="00CE0DE7">
        <w:rPr>
          <w:color w:val="000000"/>
          <w:sz w:val="20"/>
          <w:szCs w:val="20"/>
          <w:lang w:val="en-GB" w:eastAsia="zh-CN"/>
        </w:rPr>
        <w:t xml:space="preserve">with </w:t>
      </w:r>
      <w:r w:rsidR="00AF3A65" w:rsidRPr="00CE0DE7">
        <w:rPr>
          <w:color w:val="000000"/>
          <w:sz w:val="20"/>
          <w:szCs w:val="20"/>
          <w:lang w:val="en-GB" w:eastAsia="zh-CN"/>
        </w:rPr>
        <w:t xml:space="preserve">the remaining </w:t>
      </w:r>
      <w:r w:rsidR="00AF3A65" w:rsidRPr="00CE0DE7">
        <w:rPr>
          <w:i/>
          <w:color w:val="000000"/>
          <w:sz w:val="20"/>
          <w:szCs w:val="20"/>
          <w:lang w:val="en-GB" w:eastAsia="zh-CN"/>
        </w:rPr>
        <w:t>T-n</w:t>
      </w:r>
      <w:r w:rsidR="00AF3A65" w:rsidRPr="00CE0DE7">
        <w:rPr>
          <w:color w:val="000000"/>
          <w:sz w:val="20"/>
          <w:szCs w:val="20"/>
          <w:lang w:val="en-GB" w:eastAsia="zh-CN"/>
        </w:rPr>
        <w:t xml:space="preserve"> observations. </w:t>
      </w:r>
      <w:r w:rsidR="005649B8" w:rsidRPr="00CE0DE7">
        <w:rPr>
          <w:color w:val="000000"/>
          <w:sz w:val="20"/>
          <w:szCs w:val="20"/>
          <w:lang w:val="en-GB" w:eastAsia="zh-CN"/>
        </w:rPr>
        <w:t xml:space="preserve">We </w:t>
      </w:r>
      <w:r w:rsidR="00E31912" w:rsidRPr="00CE0DE7">
        <w:rPr>
          <w:color w:val="000000"/>
          <w:sz w:val="20"/>
          <w:szCs w:val="20"/>
          <w:lang w:val="en-GB" w:eastAsia="zh-CN"/>
        </w:rPr>
        <w:t>compute</w:t>
      </w:r>
      <w:r w:rsidR="005649B8" w:rsidRPr="00CE0DE7">
        <w:rPr>
          <w:color w:val="000000"/>
          <w:sz w:val="20"/>
          <w:szCs w:val="20"/>
          <w:lang w:val="en-GB" w:eastAsia="zh-CN"/>
        </w:rPr>
        <w:t xml:space="preserve"> the first out-of-sample forecast </w:t>
      </w:r>
      <w:r w:rsidR="006B458A" w:rsidRPr="00CE0DE7">
        <w:rPr>
          <w:color w:val="000000"/>
          <w:sz w:val="20"/>
          <w:szCs w:val="20"/>
          <w:lang w:val="en-GB" w:eastAsia="zh-CN"/>
        </w:rPr>
        <w:t>for</w:t>
      </w:r>
      <w:r w:rsidR="005649B8" w:rsidRPr="00CE0DE7">
        <w:rPr>
          <w:color w:val="000000"/>
          <w:sz w:val="20"/>
          <w:szCs w:val="20"/>
          <w:lang w:val="en-GB" w:eastAsia="zh-CN"/>
        </w:rPr>
        <w:t xml:space="preserve"> </w:t>
      </w:r>
      <w:r w:rsidR="00AF3A65" w:rsidRPr="00CE0DE7">
        <w:rPr>
          <w:color w:val="000000"/>
          <w:sz w:val="20"/>
          <w:szCs w:val="20"/>
          <w:lang w:val="en-GB" w:eastAsia="zh-CN"/>
        </w:rPr>
        <w:t xml:space="preserve">time </w:t>
      </w:r>
      <w:r w:rsidR="00AF3A65" w:rsidRPr="00CE0DE7">
        <w:rPr>
          <w:i/>
          <w:color w:val="000000"/>
          <w:sz w:val="20"/>
          <w:szCs w:val="20"/>
          <w:lang w:val="en-GB" w:eastAsia="zh-CN"/>
        </w:rPr>
        <w:t>n</w:t>
      </w:r>
      <w:r w:rsidR="00AF3A65" w:rsidRPr="00CE0DE7">
        <w:rPr>
          <w:color w:val="000000"/>
          <w:sz w:val="20"/>
          <w:szCs w:val="20"/>
          <w:lang w:val="en-GB" w:eastAsia="zh-CN"/>
        </w:rPr>
        <w:t>+1 (</w:t>
      </w:r>
      <w:r w:rsidR="005649B8" w:rsidRPr="00CE0DE7">
        <w:rPr>
          <w:color w:val="000000"/>
          <w:sz w:val="20"/>
          <w:szCs w:val="20"/>
          <w:lang w:val="en-GB" w:eastAsia="zh-CN"/>
        </w:rPr>
        <w:t>2000:01</w:t>
      </w:r>
      <w:r w:rsidR="00AF3A65" w:rsidRPr="00CE0DE7">
        <w:rPr>
          <w:color w:val="000000"/>
          <w:sz w:val="20"/>
          <w:szCs w:val="20"/>
          <w:lang w:val="en-GB" w:eastAsia="zh-CN"/>
        </w:rPr>
        <w:t>) by estimating Eq. (</w:t>
      </w:r>
      <w:r w:rsidR="006B458A" w:rsidRPr="00CE0DE7">
        <w:rPr>
          <w:color w:val="000000"/>
          <w:sz w:val="20"/>
          <w:szCs w:val="20"/>
          <w:lang w:val="en-GB" w:eastAsia="zh-CN"/>
        </w:rPr>
        <w:t>7</w:t>
      </w:r>
      <w:r w:rsidR="00AF3A65" w:rsidRPr="00CE0DE7">
        <w:rPr>
          <w:color w:val="000000"/>
          <w:sz w:val="20"/>
          <w:szCs w:val="20"/>
          <w:lang w:val="en-GB" w:eastAsia="zh-CN"/>
        </w:rPr>
        <w:t xml:space="preserve">) </w:t>
      </w:r>
      <w:r w:rsidR="006B458A" w:rsidRPr="00CE0DE7">
        <w:rPr>
          <w:color w:val="000000"/>
          <w:sz w:val="20"/>
          <w:szCs w:val="20"/>
          <w:lang w:val="en-GB" w:eastAsia="zh-CN"/>
        </w:rPr>
        <w:t xml:space="preserve">using observations from 1 to </w:t>
      </w:r>
      <w:r w:rsidR="006B458A" w:rsidRPr="00CE0DE7">
        <w:rPr>
          <w:i/>
          <w:color w:val="000000"/>
          <w:sz w:val="20"/>
          <w:szCs w:val="20"/>
          <w:lang w:val="en-GB" w:eastAsia="zh-CN"/>
        </w:rPr>
        <w:t>n</w:t>
      </w:r>
      <w:r w:rsidR="005649B8" w:rsidRPr="00CE0DE7">
        <w:rPr>
          <w:color w:val="000000"/>
          <w:sz w:val="20"/>
          <w:szCs w:val="20"/>
          <w:lang w:val="en-GB" w:eastAsia="zh-CN"/>
        </w:rPr>
        <w:t xml:space="preserve">. </w:t>
      </w:r>
      <w:r w:rsidR="00CA4674" w:rsidRPr="00CE0DE7">
        <w:rPr>
          <w:color w:val="000000"/>
          <w:sz w:val="20"/>
          <w:szCs w:val="20"/>
          <w:lang w:val="en-GB" w:eastAsia="zh-CN"/>
        </w:rPr>
        <w:t>W</w:t>
      </w:r>
      <w:r w:rsidR="00977294" w:rsidRPr="00CE0DE7">
        <w:rPr>
          <w:color w:val="000000"/>
          <w:sz w:val="20"/>
          <w:szCs w:val="20"/>
          <w:lang w:val="en-GB" w:eastAsia="zh-CN"/>
        </w:rPr>
        <w:t xml:space="preserve">e </w:t>
      </w:r>
      <w:r w:rsidR="00CA4674" w:rsidRPr="00CE0DE7">
        <w:rPr>
          <w:color w:val="000000"/>
          <w:sz w:val="20"/>
          <w:szCs w:val="20"/>
          <w:lang w:val="en-GB" w:eastAsia="zh-CN"/>
        </w:rPr>
        <w:t xml:space="preserve">then </w:t>
      </w:r>
      <w:r w:rsidR="00977294" w:rsidRPr="00CE0DE7">
        <w:rPr>
          <w:color w:val="000000"/>
          <w:sz w:val="20"/>
          <w:szCs w:val="20"/>
          <w:lang w:val="en-GB" w:eastAsia="zh-CN"/>
        </w:rPr>
        <w:t>expand the e</w:t>
      </w:r>
      <w:r w:rsidR="00AA050C" w:rsidRPr="00CE0DE7">
        <w:rPr>
          <w:color w:val="000000"/>
          <w:sz w:val="20"/>
          <w:szCs w:val="20"/>
          <w:lang w:val="en-GB" w:eastAsia="zh-CN"/>
        </w:rPr>
        <w:t xml:space="preserve">stimation window and obtain return </w:t>
      </w:r>
      <w:r w:rsidR="00977294" w:rsidRPr="00CE0DE7">
        <w:rPr>
          <w:color w:val="000000"/>
          <w:sz w:val="20"/>
          <w:szCs w:val="20"/>
          <w:lang w:val="en-GB" w:eastAsia="zh-CN"/>
        </w:rPr>
        <w:t>forecast</w:t>
      </w:r>
      <w:r w:rsidR="00AA050C" w:rsidRPr="00CE0DE7">
        <w:rPr>
          <w:color w:val="000000"/>
          <w:sz w:val="20"/>
          <w:szCs w:val="20"/>
          <w:lang w:val="en-GB" w:eastAsia="zh-CN"/>
        </w:rPr>
        <w:t>s</w:t>
      </w:r>
      <w:r w:rsidR="00977294" w:rsidRPr="00CE0DE7">
        <w:rPr>
          <w:color w:val="000000"/>
          <w:sz w:val="20"/>
          <w:szCs w:val="20"/>
          <w:lang w:val="en-GB" w:eastAsia="zh-CN"/>
        </w:rPr>
        <w:t xml:space="preserve"> for the </w:t>
      </w:r>
      <w:r w:rsidR="00E31912" w:rsidRPr="00CE0DE7">
        <w:rPr>
          <w:color w:val="000000"/>
          <w:sz w:val="20"/>
          <w:szCs w:val="20"/>
          <w:lang w:val="en-GB" w:eastAsia="zh-CN"/>
        </w:rPr>
        <w:t>following</w:t>
      </w:r>
      <w:r w:rsidR="00977294" w:rsidRPr="00CE0DE7">
        <w:rPr>
          <w:color w:val="000000"/>
          <w:sz w:val="20"/>
          <w:szCs w:val="20"/>
          <w:lang w:val="en-GB" w:eastAsia="zh-CN"/>
        </w:rPr>
        <w:t xml:space="preserve"> period. </w:t>
      </w:r>
      <w:r w:rsidR="005B68EB" w:rsidRPr="00CE0DE7">
        <w:rPr>
          <w:color w:val="000000"/>
          <w:sz w:val="20"/>
          <w:szCs w:val="20"/>
          <w:lang w:val="en-GB" w:eastAsia="zh-CN"/>
        </w:rPr>
        <w:t>We repeat</w:t>
      </w:r>
      <w:r w:rsidR="00977294" w:rsidRPr="00CE0DE7">
        <w:rPr>
          <w:color w:val="000000"/>
          <w:sz w:val="20"/>
          <w:szCs w:val="20"/>
          <w:lang w:val="en-GB" w:eastAsia="zh-CN"/>
        </w:rPr>
        <w:t xml:space="preserve"> </w:t>
      </w:r>
      <w:r w:rsidR="006B458A" w:rsidRPr="00CE0DE7">
        <w:rPr>
          <w:color w:val="000000"/>
          <w:sz w:val="20"/>
          <w:szCs w:val="20"/>
          <w:lang w:val="en-GB" w:eastAsia="zh-CN"/>
        </w:rPr>
        <w:t xml:space="preserve">the </w:t>
      </w:r>
      <w:r w:rsidR="00977294" w:rsidRPr="00CE0DE7">
        <w:rPr>
          <w:color w:val="000000"/>
          <w:sz w:val="20"/>
          <w:szCs w:val="20"/>
          <w:lang w:val="en-GB" w:eastAsia="zh-CN"/>
        </w:rPr>
        <w:t xml:space="preserve">above steps until we reach the end of our sample period. </w:t>
      </w:r>
      <w:r w:rsidR="006B458A" w:rsidRPr="00CE0DE7">
        <w:rPr>
          <w:color w:val="000000"/>
          <w:sz w:val="20"/>
          <w:szCs w:val="20"/>
          <w:lang w:val="en-GB" w:eastAsia="zh-CN"/>
        </w:rPr>
        <w:t xml:space="preserve">In this way </w:t>
      </w:r>
      <w:r w:rsidR="008818EA" w:rsidRPr="00CE0DE7">
        <w:rPr>
          <w:color w:val="000000"/>
          <w:sz w:val="20"/>
          <w:szCs w:val="20"/>
          <w:lang w:val="en-GB" w:eastAsia="zh-CN"/>
        </w:rPr>
        <w:t xml:space="preserve">we obtain a time series of predicted excess market returns </w:t>
      </w:r>
      <m:oMath>
        <m:sSubSup>
          <m:sSubSupPr>
            <m:ctrlPr>
              <w:rPr>
                <w:rFonts w:ascii="Cambria Math" w:hAnsi="Cambria Math"/>
                <w:color w:val="000000"/>
                <w:sz w:val="20"/>
                <w:szCs w:val="20"/>
                <w:lang w:val="en-GB" w:eastAsia="zh-CN"/>
              </w:rPr>
            </m:ctrlPr>
          </m:sSubSupPr>
          <m:e>
            <m:d>
              <m:dPr>
                <m:begChr m:val="{"/>
                <m:endChr m:val="}"/>
                <m:ctrlPr>
                  <w:rPr>
                    <w:rFonts w:ascii="Cambria Math" w:hAnsi="Cambria Math"/>
                    <w:i/>
                    <w:color w:val="000000"/>
                    <w:sz w:val="20"/>
                    <w:szCs w:val="20"/>
                    <w:lang w:val="en-GB" w:eastAsia="zh-CN"/>
                  </w:rPr>
                </m:ctrlPr>
              </m:dPr>
              <m:e>
                <m:sSub>
                  <m:sSubPr>
                    <m:ctrlPr>
                      <w:rPr>
                        <w:rFonts w:ascii="Cambria Math" w:hAnsi="Cambria Math"/>
                        <w:i/>
                        <w:color w:val="000000"/>
                        <w:sz w:val="20"/>
                        <w:szCs w:val="20"/>
                        <w:lang w:val="en-GB" w:eastAsia="zh-CN"/>
                      </w:rPr>
                    </m:ctrlPr>
                  </m:sSubPr>
                  <m:e>
                    <m:acc>
                      <m:accPr>
                        <m:ctrlPr>
                          <w:rPr>
                            <w:rFonts w:ascii="Cambria Math" w:hAnsi="Cambria Math"/>
                            <w:i/>
                            <w:color w:val="000000"/>
                            <w:sz w:val="20"/>
                            <w:szCs w:val="20"/>
                            <w:lang w:val="en-GB" w:eastAsia="zh-CN"/>
                          </w:rPr>
                        </m:ctrlPr>
                      </m:accPr>
                      <m:e>
                        <m:r>
                          <w:rPr>
                            <w:rFonts w:ascii="Cambria Math" w:hAnsi="Cambria Math"/>
                            <w:color w:val="000000"/>
                            <w:sz w:val="20"/>
                            <w:szCs w:val="20"/>
                            <w:lang w:val="en-GB" w:eastAsia="zh-CN"/>
                          </w:rPr>
                          <m:t>r</m:t>
                        </m:r>
                      </m:e>
                    </m:acc>
                  </m:e>
                  <m:sub>
                    <m:r>
                      <w:rPr>
                        <w:rFonts w:ascii="Cambria Math" w:hAnsi="Cambria Math"/>
                        <w:color w:val="000000"/>
                        <w:sz w:val="20"/>
                        <w:szCs w:val="20"/>
                        <w:lang w:val="en-GB" w:eastAsia="zh-CN"/>
                      </w:rPr>
                      <m:t>t+1</m:t>
                    </m:r>
                  </m:sub>
                </m:sSub>
              </m:e>
            </m:d>
          </m:e>
          <m:sub>
            <m:r>
              <w:rPr>
                <w:rFonts w:ascii="Cambria Math" w:hAnsi="Cambria Math"/>
                <w:color w:val="000000"/>
                <w:sz w:val="20"/>
                <w:szCs w:val="20"/>
                <w:lang w:val="en-GB" w:eastAsia="zh-CN"/>
              </w:rPr>
              <m:t>t=n</m:t>
            </m:r>
          </m:sub>
          <m:sup>
            <m:r>
              <w:rPr>
                <w:rFonts w:ascii="Cambria Math" w:hAnsi="Cambria Math"/>
                <w:color w:val="000000"/>
                <w:sz w:val="20"/>
                <w:szCs w:val="20"/>
                <w:lang w:val="en-GB" w:eastAsia="zh-CN"/>
              </w:rPr>
              <m:t>T-1</m:t>
            </m:r>
          </m:sup>
        </m:sSubSup>
      </m:oMath>
      <w:r w:rsidR="00977294" w:rsidRPr="00CE0DE7">
        <w:rPr>
          <w:color w:val="000000"/>
          <w:sz w:val="20"/>
          <w:szCs w:val="20"/>
          <w:lang w:val="en-GB" w:eastAsia="zh-CN"/>
        </w:rPr>
        <w:t xml:space="preserve">. </w:t>
      </w:r>
    </w:p>
    <w:p w14:paraId="53A6D1AB" w14:textId="108128B7" w:rsidR="008818EA" w:rsidRPr="00CE0DE7" w:rsidRDefault="00977294"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We evaluate the out-of-sample forecasts using </w:t>
      </w:r>
      <w:r w:rsidR="00D449F9" w:rsidRPr="00CE0DE7">
        <w:rPr>
          <w:color w:val="000000"/>
          <w:sz w:val="20"/>
          <w:szCs w:val="20"/>
          <w:lang w:val="en-GB" w:eastAsia="zh-CN"/>
        </w:rPr>
        <w:t xml:space="preserve">the </w:t>
      </w:r>
      <w:r w:rsidRPr="00CE0DE7">
        <w:rPr>
          <w:color w:val="000000"/>
          <w:sz w:val="20"/>
          <w:szCs w:val="20"/>
          <w:lang w:val="en-GB" w:eastAsia="zh-CN"/>
        </w:rPr>
        <w:t>out-of-sample</w:t>
      </w:r>
      <w:r w:rsidR="00D449F9" w:rsidRPr="00CE0DE7">
        <w:rPr>
          <w:color w:val="000000"/>
          <w:sz w:val="20"/>
          <w:szCs w:val="20"/>
          <w:lang w:val="en-GB" w:eastAsia="zh-CN"/>
        </w:rPr>
        <w:t xml:space="preserve"> </w:t>
      </w:r>
      <w:r w:rsidR="00D449F9" w:rsidRPr="00CE0DE7">
        <w:rPr>
          <w:rFonts w:eastAsia="Times New Roman"/>
          <w:bCs/>
          <w:i/>
          <w:iCs/>
          <w:color w:val="000000"/>
          <w:sz w:val="20"/>
          <w:szCs w:val="20"/>
          <w:lang w:val="en-GB" w:eastAsia="zh-CN"/>
        </w:rPr>
        <w:t>R</w:t>
      </w:r>
      <w:r w:rsidR="00D449F9" w:rsidRPr="00CE0DE7">
        <w:rPr>
          <w:rFonts w:eastAsia="Times New Roman"/>
          <w:bCs/>
          <w:color w:val="000000"/>
          <w:sz w:val="20"/>
          <w:szCs w:val="20"/>
          <w:vertAlign w:val="superscript"/>
          <w:lang w:val="en-GB" w:eastAsia="zh-CN"/>
        </w:rPr>
        <w:t>2</w:t>
      </w:r>
      <w:r w:rsidR="00D449F9" w:rsidRPr="00CE0DE7">
        <w:rPr>
          <w:rFonts w:eastAsia="Times New Roman"/>
          <w:bCs/>
          <w:color w:val="000000"/>
          <w:sz w:val="20"/>
          <w:szCs w:val="20"/>
          <w:vertAlign w:val="subscript"/>
          <w:lang w:val="en-GB" w:eastAsia="zh-CN"/>
        </w:rPr>
        <w:t>OS</w:t>
      </w:r>
      <w:r w:rsidR="00D449F9" w:rsidRPr="00CE0DE7">
        <w:rPr>
          <w:color w:val="000000"/>
          <w:sz w:val="20"/>
          <w:szCs w:val="20"/>
          <w:lang w:val="en-GB" w:eastAsia="zh-CN"/>
        </w:rPr>
        <w:t xml:space="preserve"> of Campbell and Thompson </w:t>
      </w:r>
      <w:r w:rsidR="00753336" w:rsidRPr="00CE0DE7">
        <w:rPr>
          <w:color w:val="000000"/>
          <w:sz w:val="20"/>
          <w:szCs w:val="20"/>
          <w:lang w:val="en-GB" w:eastAsia="zh-CN"/>
        </w:rPr>
        <w:fldChar w:fldCharType="begin" w:fldLock="1"/>
      </w:r>
      <w:r w:rsidR="00E67DF0" w:rsidRPr="00CE0DE7">
        <w:rPr>
          <w:color w:val="000000"/>
          <w:sz w:val="20"/>
          <w:szCs w:val="20"/>
          <w:lang w:val="en-GB" w:eastAsia="zh-CN"/>
        </w:rPr>
        <w:instrText>ADDIN CSL_CITATION {"citationItems":[{"id":"ITEM-1","itemData":{"ISSN":"0893-9454","abstract":"Goyal and Welch (2007) argue that the historical average excess stock return forecasts future excess stock returns better than regressions of excess returns on predictor variables. In this article, we show that many predictive regressions beat the historical average return, once weak restrictions are imposed on the signs of coefficients and return forecasts. The out-of-sample explanatory power is small, but nonetheless is economically meaningful for mean-variance investors. Even better results can be obtained by imposing the restrictions of steady-state valuation models, thereby removing the need to estimate the average from a short sample of volatile stock returns. © The Author 2007. Published by Oxford University Press on behalf of The Society for Financial Studies. All rights reserved.","author":[{"dropping-particle":"","family":"Campbell","given":"John Y.","non-dropping-particle":"","parse-names":false,"suffix":""},{"dropping-particle":"","family":"Thompson","given":"Samuel B.","non-dropping-particle":"","parse-names":false,"suffix":""}],"container-title":"Review of Financial Studies","id":"ITEM-1","issue":"4","issued":{"date-parts":[["2008","7","1"]]},"page":"1509-1531","publisher":"Oxford Academic","title":"Predicting excess stock returns out of sample: Can anything beat the historical average?","type":"article-journal","volume":"21"},"suppress-author":1,"uris":["http://www.mendeley.com/documents/?uuid=fbe6034b-a92b-32b5-b9fa-22b1068d8b90"]}],"mendeley":{"formattedCitation":"(2008)","plainTextFormattedCitation":"(2008)","previouslyFormattedCitation":"(2008)"},"properties":{"noteIndex":0},"schema":"https://github.com/citation-style-language/schema/raw/master/csl-citation.json"}</w:instrText>
      </w:r>
      <w:r w:rsidR="00753336" w:rsidRPr="00CE0DE7">
        <w:rPr>
          <w:color w:val="000000"/>
          <w:sz w:val="20"/>
          <w:szCs w:val="20"/>
          <w:lang w:val="en-GB" w:eastAsia="zh-CN"/>
        </w:rPr>
        <w:fldChar w:fldCharType="separate"/>
      </w:r>
      <w:r w:rsidR="00753336" w:rsidRPr="00CE0DE7">
        <w:rPr>
          <w:noProof/>
          <w:color w:val="000000"/>
          <w:sz w:val="20"/>
          <w:szCs w:val="20"/>
          <w:lang w:val="en-GB" w:eastAsia="zh-CN"/>
        </w:rPr>
        <w:t>(2008)</w:t>
      </w:r>
      <w:r w:rsidR="00753336" w:rsidRPr="00CE0DE7">
        <w:rPr>
          <w:color w:val="000000"/>
          <w:sz w:val="20"/>
          <w:szCs w:val="20"/>
          <w:lang w:val="en-GB" w:eastAsia="zh-CN"/>
        </w:rPr>
        <w:fldChar w:fldCharType="end"/>
      </w:r>
      <w:r w:rsidR="00D449F9" w:rsidRPr="00CE0DE7">
        <w:rPr>
          <w:color w:val="000000"/>
          <w:sz w:val="20"/>
          <w:szCs w:val="20"/>
          <w:lang w:val="en-GB" w:eastAsia="zh-CN"/>
        </w:rPr>
        <w:t xml:space="preserve"> </w:t>
      </w:r>
      <w:r w:rsidRPr="00CE0DE7">
        <w:rPr>
          <w:color w:val="000000"/>
          <w:sz w:val="20"/>
          <w:szCs w:val="20"/>
          <w:lang w:val="en-GB" w:eastAsia="zh-CN"/>
        </w:rPr>
        <w:t xml:space="preserve">and </w:t>
      </w:r>
      <w:r w:rsidR="00D449F9" w:rsidRPr="00CE0DE7">
        <w:rPr>
          <w:color w:val="000000"/>
          <w:sz w:val="20"/>
          <w:szCs w:val="20"/>
          <w:lang w:val="en-GB" w:eastAsia="zh-CN"/>
        </w:rPr>
        <w:t xml:space="preserve">the </w:t>
      </w:r>
      <w:r w:rsidRPr="00CE0DE7">
        <w:rPr>
          <w:i/>
          <w:color w:val="000000"/>
          <w:sz w:val="20"/>
          <w:szCs w:val="20"/>
          <w:lang w:val="en-GB" w:eastAsia="zh-CN"/>
        </w:rPr>
        <w:t>MSFE-adjusted</w:t>
      </w:r>
      <w:r w:rsidRPr="00CE0DE7">
        <w:rPr>
          <w:color w:val="000000"/>
          <w:sz w:val="20"/>
          <w:szCs w:val="20"/>
          <w:lang w:val="en-GB" w:eastAsia="zh-CN"/>
        </w:rPr>
        <w:t xml:space="preserve"> statistics</w:t>
      </w:r>
      <w:r w:rsidR="00D449F9" w:rsidRPr="00CE0DE7">
        <w:rPr>
          <w:color w:val="000000"/>
          <w:sz w:val="20"/>
          <w:szCs w:val="20"/>
          <w:lang w:val="en-GB" w:eastAsia="zh-CN"/>
        </w:rPr>
        <w:t xml:space="preserve"> of Clark and West </w:t>
      </w:r>
      <w:r w:rsidR="00753336" w:rsidRPr="00CE0DE7">
        <w:rPr>
          <w:color w:val="000000"/>
          <w:sz w:val="20"/>
          <w:szCs w:val="20"/>
          <w:lang w:val="en-GB" w:eastAsia="zh-CN"/>
        </w:rPr>
        <w:fldChar w:fldCharType="begin" w:fldLock="1"/>
      </w:r>
      <w:r w:rsidR="00ED66D4" w:rsidRPr="00CE0DE7">
        <w:rPr>
          <w:color w:val="000000"/>
          <w:sz w:val="20"/>
          <w:szCs w:val="20"/>
          <w:lang w:val="en-GB" w:eastAsia="zh-CN"/>
        </w:rPr>
        <w:instrText>ADDIN CSL_CITATION {"citationItems":[{"id":"ITEM-1","itemData":{"ISSN":"03044076","abstract":"Forecast evaluation often compares a parsimonious null model to a larger model that nests the null model. Under the null that the parsimonious model generates the data, the larger model introduces noise into its forecasts by estimating parameters whose population values are zero. We observe that the mean squared prediction error (MSPE) from the parsimonious model is therefore expected to be smaller than that of the larger model. We describe how to adjust MSPEs to account for this noise. We propose applying standard methods [West, K.D., 1996. Asymptotic inference about predictive ability. Econometrica 64, 1067-1084] to test whether the adjusted mean squared error difference is zero. We refer to nonstandard limiting distributions derived in Clark and McCracken [2001. Tests of equal forecast accuracy and encompassing for nested models. Journal of Econometrics 105, 85-110; 2005a. Evaluating direct multistep forecasts. Econometric Reviews 24, 369-404] to argue that use of standard normal critical values will yield actual sizes close to, but a little less than, nominal size. Simulation evidence supports our recommended procedure. © 2006 Elsevier B.V. All rights reserved.","author":[{"dropping-particle":"","family":"Clark","given":"Todd E.","non-dropping-particle":"","parse-names":false,"suffix":""},{"dropping-particle":"","family":"West","given":"Kenneth D.","non-dropping-particle":"","parse-names":false,"suffix":""}],"container-title":"Journal of Econometrics","id":"ITEM-1","issue":"1","issued":{"date-parts":[["2007","5","1"]]},"page":"291-311","publisher":"North-Holland","title":"Approximately normal tests for equal predictive accuracy in nested models","type":"article-journal","volume":"138"},"suppress-author":1,"uris":["http://www.mendeley.com/documents/?uuid=ea90ff42-3e28-3368-8afb-9ffb7f873c74"]}],"mendeley":{"formattedCitation":"(2007)","plainTextFormattedCitation":"(2007)","previouslyFormattedCitation":"(2007)"},"properties":{"noteIndex":0},"schema":"https://github.com/citation-style-language/schema/raw/master/csl-citation.json"}</w:instrText>
      </w:r>
      <w:r w:rsidR="00753336" w:rsidRPr="00CE0DE7">
        <w:rPr>
          <w:color w:val="000000"/>
          <w:sz w:val="20"/>
          <w:szCs w:val="20"/>
          <w:lang w:val="en-GB" w:eastAsia="zh-CN"/>
        </w:rPr>
        <w:fldChar w:fldCharType="separate"/>
      </w:r>
      <w:r w:rsidR="00753336" w:rsidRPr="00CE0DE7">
        <w:rPr>
          <w:noProof/>
          <w:color w:val="000000"/>
          <w:sz w:val="20"/>
          <w:szCs w:val="20"/>
          <w:lang w:val="en-GB" w:eastAsia="zh-CN"/>
        </w:rPr>
        <w:t>(2007)</w:t>
      </w:r>
      <w:r w:rsidR="00753336" w:rsidRPr="00CE0DE7">
        <w:rPr>
          <w:color w:val="000000"/>
          <w:sz w:val="20"/>
          <w:szCs w:val="20"/>
          <w:lang w:val="en-GB" w:eastAsia="zh-CN"/>
        </w:rPr>
        <w:fldChar w:fldCharType="end"/>
      </w:r>
      <w:r w:rsidRPr="00CE0DE7">
        <w:rPr>
          <w:color w:val="000000"/>
          <w:sz w:val="20"/>
          <w:szCs w:val="20"/>
          <w:lang w:val="en-GB" w:eastAsia="zh-CN"/>
        </w:rPr>
        <w:t xml:space="preserve">. </w:t>
      </w:r>
      <w:r w:rsidR="003E1BAC" w:rsidRPr="00CE0DE7">
        <w:rPr>
          <w:color w:val="000000"/>
          <w:sz w:val="20"/>
          <w:szCs w:val="20"/>
          <w:lang w:val="en-GB" w:eastAsia="zh-CN"/>
        </w:rPr>
        <w:t xml:space="preserve">The </w:t>
      </w:r>
      <w:r w:rsidR="003E1BAC" w:rsidRPr="00CE0DE7">
        <w:rPr>
          <w:rFonts w:eastAsia="Times New Roman"/>
          <w:bCs/>
          <w:i/>
          <w:iCs/>
          <w:color w:val="000000"/>
          <w:sz w:val="20"/>
          <w:szCs w:val="20"/>
          <w:lang w:val="en-GB" w:eastAsia="zh-CN"/>
        </w:rPr>
        <w:t>R</w:t>
      </w:r>
      <w:r w:rsidR="003E1BAC" w:rsidRPr="00CE0DE7">
        <w:rPr>
          <w:rFonts w:eastAsia="Times New Roman"/>
          <w:bCs/>
          <w:color w:val="000000"/>
          <w:sz w:val="20"/>
          <w:szCs w:val="20"/>
          <w:vertAlign w:val="superscript"/>
          <w:lang w:val="en-GB" w:eastAsia="zh-CN"/>
        </w:rPr>
        <w:t>2</w:t>
      </w:r>
      <w:r w:rsidR="003E1BAC" w:rsidRPr="00CE0DE7">
        <w:rPr>
          <w:rFonts w:eastAsia="Times New Roman"/>
          <w:bCs/>
          <w:color w:val="000000"/>
          <w:sz w:val="20"/>
          <w:szCs w:val="20"/>
          <w:vertAlign w:val="subscript"/>
          <w:lang w:val="en-GB" w:eastAsia="zh-CN"/>
        </w:rPr>
        <w:t>OS</w:t>
      </w:r>
      <w:r w:rsidR="003E1BAC" w:rsidRPr="00CE0DE7">
        <w:rPr>
          <w:rFonts w:eastAsia="Times New Roman"/>
          <w:bCs/>
          <w:color w:val="000000"/>
          <w:sz w:val="20"/>
          <w:szCs w:val="20"/>
          <w:lang w:val="en-GB" w:eastAsia="zh-CN"/>
        </w:rPr>
        <w:t xml:space="preserve"> statistic is given </w:t>
      </w:r>
      <w:r w:rsidR="00E31912" w:rsidRPr="00CE0DE7">
        <w:rPr>
          <w:rFonts w:eastAsia="Times New Roman"/>
          <w:bCs/>
          <w:color w:val="000000"/>
          <w:sz w:val="20"/>
          <w:szCs w:val="20"/>
          <w:lang w:val="en-GB" w:eastAsia="zh-CN"/>
        </w:rPr>
        <w:t>below</w:t>
      </w:r>
      <w:r w:rsidR="00EE09D7" w:rsidRPr="00CE0DE7">
        <w:rPr>
          <w:rFonts w:eastAsia="Times New Roman"/>
          <w:bCs/>
          <w:color w:val="000000"/>
          <w:sz w:val="20"/>
          <w:szCs w:val="20"/>
          <w:lang w:val="en-GB" w:eastAsia="zh-CN"/>
        </w:rPr>
        <w:t>:</w:t>
      </w:r>
    </w:p>
    <w:p w14:paraId="7DDF21A4" w14:textId="2261CA47" w:rsidR="003E1BAC" w:rsidRPr="00CE0DE7" w:rsidRDefault="004971D2" w:rsidP="00B01B7C">
      <w:pPr>
        <w:autoSpaceDE w:val="0"/>
        <w:autoSpaceDN w:val="0"/>
        <w:adjustRightInd w:val="0"/>
        <w:snapToGrid w:val="0"/>
        <w:spacing w:before="120" w:after="120" w:line="480" w:lineRule="auto"/>
        <w:ind w:firstLine="720"/>
        <w:jc w:val="right"/>
        <w:rPr>
          <w:rFonts w:eastAsia="Times New Roman"/>
          <w:bCs/>
          <w:color w:val="000000"/>
          <w:sz w:val="20"/>
          <w:szCs w:val="20"/>
          <w:lang w:val="en-GB" w:eastAsia="zh-CN"/>
        </w:rPr>
      </w:pPr>
      <w:r w:rsidRPr="004971D2">
        <w:rPr>
          <w:rFonts w:eastAsia="Times New Roman"/>
          <w:bCs/>
          <w:color w:val="000000"/>
          <w:position w:val="-32"/>
          <w:sz w:val="20"/>
          <w:szCs w:val="20"/>
          <w:lang w:val="en-GB" w:eastAsia="zh-CN"/>
        </w:rPr>
        <w:object w:dxaOrig="2280" w:dyaOrig="740" w14:anchorId="49F17152">
          <v:shape id="_x0000_i1042" type="#_x0000_t75" style="width:110.8pt;height:36.95pt" o:ole="">
            <v:imagedata r:id="rId43" o:title=""/>
          </v:shape>
          <o:OLEObject Type="Embed" ProgID="Equation.DSMT4" ShapeID="_x0000_i1042" DrawAspect="Content" ObjectID="_1674838657" r:id="rId44"/>
        </w:object>
      </w:r>
      <w:r w:rsidR="0066683D" w:rsidRPr="00CE0DE7">
        <w:rPr>
          <w:rFonts w:eastAsia="Times New Roman"/>
          <w:bCs/>
          <w:color w:val="000000"/>
          <w:sz w:val="20"/>
          <w:szCs w:val="20"/>
          <w:lang w:val="en-GB" w:eastAsia="zh-CN"/>
        </w:rPr>
        <w:t xml:space="preserve">       </w:t>
      </w:r>
      <w:r w:rsidR="0048419C" w:rsidRPr="00CE0DE7">
        <w:rPr>
          <w:rFonts w:eastAsia="Times New Roman"/>
          <w:bCs/>
          <w:color w:val="000000"/>
          <w:sz w:val="20"/>
          <w:szCs w:val="20"/>
          <w:lang w:val="en-GB" w:eastAsia="zh-CN"/>
        </w:rPr>
        <w:t xml:space="preserve">        </w:t>
      </w:r>
      <w:r w:rsidR="008276B8" w:rsidRPr="00CE0DE7">
        <w:rPr>
          <w:rFonts w:eastAsia="Times New Roman"/>
          <w:bCs/>
          <w:color w:val="000000"/>
          <w:sz w:val="20"/>
          <w:szCs w:val="20"/>
          <w:lang w:val="en-GB" w:eastAsia="zh-CN"/>
        </w:rPr>
        <w:t xml:space="preserve">      </w:t>
      </w:r>
      <w:r>
        <w:rPr>
          <w:rFonts w:eastAsia="Times New Roman"/>
          <w:bCs/>
          <w:color w:val="000000"/>
          <w:sz w:val="20"/>
          <w:szCs w:val="20"/>
          <w:lang w:val="en-GB" w:eastAsia="zh-CN"/>
        </w:rPr>
        <w:t xml:space="preserve">        </w:t>
      </w:r>
      <w:r w:rsidR="008276B8" w:rsidRPr="00CE0DE7">
        <w:rPr>
          <w:rFonts w:eastAsia="Times New Roman"/>
          <w:bCs/>
          <w:color w:val="000000"/>
          <w:sz w:val="20"/>
          <w:szCs w:val="20"/>
          <w:lang w:val="en-GB" w:eastAsia="zh-CN"/>
        </w:rPr>
        <w:t xml:space="preserve">    </w:t>
      </w:r>
      <w:r w:rsidR="0048419C" w:rsidRPr="00CE0DE7">
        <w:rPr>
          <w:rFonts w:eastAsia="Times New Roman"/>
          <w:bCs/>
          <w:color w:val="000000"/>
          <w:sz w:val="20"/>
          <w:szCs w:val="20"/>
          <w:lang w:val="en-GB" w:eastAsia="zh-CN"/>
        </w:rPr>
        <w:t xml:space="preserve">           </w:t>
      </w:r>
      <w:r w:rsidR="0066683D" w:rsidRPr="00CE0DE7">
        <w:rPr>
          <w:rFonts w:eastAsia="Times New Roman"/>
          <w:bCs/>
          <w:color w:val="000000"/>
          <w:sz w:val="20"/>
          <w:szCs w:val="20"/>
          <w:lang w:val="en-GB" w:eastAsia="zh-CN"/>
        </w:rPr>
        <w:t xml:space="preserve">   </w:t>
      </w:r>
      <w:r w:rsidR="00AD04A8" w:rsidRPr="00CE0DE7">
        <w:rPr>
          <w:rFonts w:eastAsia="Times New Roman"/>
          <w:bCs/>
          <w:color w:val="000000"/>
          <w:sz w:val="20"/>
          <w:szCs w:val="20"/>
          <w:lang w:val="en-GB" w:eastAsia="zh-CN"/>
        </w:rPr>
        <w:t xml:space="preserve">                  </w:t>
      </w:r>
      <w:r w:rsidR="0066683D" w:rsidRPr="00CE0DE7">
        <w:rPr>
          <w:rFonts w:eastAsia="Times New Roman"/>
          <w:bCs/>
          <w:color w:val="000000"/>
          <w:sz w:val="20"/>
          <w:szCs w:val="20"/>
          <w:lang w:val="en-GB" w:eastAsia="zh-CN"/>
        </w:rPr>
        <w:t xml:space="preserve">     (</w:t>
      </w:r>
      <w:r w:rsidR="00D449F9" w:rsidRPr="00CE0DE7">
        <w:rPr>
          <w:rFonts w:eastAsiaTheme="minorEastAsia"/>
          <w:bCs/>
          <w:color w:val="000000"/>
          <w:sz w:val="20"/>
          <w:szCs w:val="20"/>
          <w:lang w:val="en-GB" w:eastAsia="zh-CN"/>
        </w:rPr>
        <w:t>8</w:t>
      </w:r>
      <w:r w:rsidR="0066683D" w:rsidRPr="00CE0DE7">
        <w:rPr>
          <w:rFonts w:eastAsia="Times New Roman"/>
          <w:bCs/>
          <w:color w:val="000000"/>
          <w:sz w:val="20"/>
          <w:szCs w:val="20"/>
          <w:lang w:val="en-GB" w:eastAsia="zh-CN"/>
        </w:rPr>
        <w:t>)</w:t>
      </w:r>
    </w:p>
    <w:p w14:paraId="546DA990" w14:textId="2101011A" w:rsidR="00580AA9" w:rsidRPr="00CE0DE7" w:rsidRDefault="003E1BAC" w:rsidP="0045085E">
      <w:pPr>
        <w:autoSpaceDE w:val="0"/>
        <w:autoSpaceDN w:val="0"/>
        <w:adjustRightInd w:val="0"/>
        <w:snapToGrid w:val="0"/>
        <w:spacing w:line="480" w:lineRule="auto"/>
        <w:jc w:val="both"/>
        <w:rPr>
          <w:rFonts w:eastAsia="Times New Roman"/>
          <w:bCs/>
          <w:color w:val="000000"/>
          <w:sz w:val="20"/>
          <w:szCs w:val="20"/>
          <w:lang w:val="en-GB" w:eastAsia="zh-CN"/>
        </w:rPr>
      </w:pPr>
      <w:r w:rsidRPr="00CE0DE7">
        <w:rPr>
          <w:rFonts w:eastAsia="Times New Roman"/>
          <w:bCs/>
          <w:color w:val="000000"/>
          <w:sz w:val="20"/>
          <w:szCs w:val="20"/>
          <w:lang w:val="en-GB" w:eastAsia="zh-CN"/>
        </w:rPr>
        <w:t>where</w:t>
      </w:r>
      <w:r w:rsidR="00EE09D7" w:rsidRPr="00CE0DE7">
        <w:rPr>
          <w:rFonts w:eastAsia="Times New Roman"/>
          <w:bCs/>
          <w:color w:val="000000"/>
          <w:sz w:val="20"/>
          <w:szCs w:val="20"/>
          <w:lang w:val="en-GB" w:eastAsia="zh-CN"/>
        </w:rPr>
        <w:t xml:space="preserve"> </w:t>
      </w:r>
      <m:oMath>
        <m:sSub>
          <m:sSubPr>
            <m:ctrlPr>
              <w:rPr>
                <w:rFonts w:ascii="Cambria Math" w:eastAsia="Times New Roman" w:hAnsi="Cambria Math"/>
                <w:bCs/>
                <w:color w:val="000000"/>
                <w:sz w:val="20"/>
                <w:szCs w:val="20"/>
                <w:lang w:val="en-GB" w:eastAsia="zh-CN"/>
              </w:rPr>
            </m:ctrlPr>
          </m:sSubPr>
          <m:e>
            <m:r>
              <w:rPr>
                <w:rFonts w:ascii="Cambria Math" w:eastAsia="Times New Roman" w:hAnsi="Cambria Math"/>
                <w:color w:val="000000"/>
                <w:sz w:val="20"/>
                <w:szCs w:val="20"/>
                <w:lang w:val="en-GB" w:eastAsia="zh-CN"/>
              </w:rPr>
              <m:t>r</m:t>
            </m:r>
          </m:e>
          <m:sub>
            <m:r>
              <w:rPr>
                <w:rFonts w:ascii="Cambria Math" w:eastAsia="Times New Roman" w:hAnsi="Cambria Math"/>
                <w:color w:val="000000"/>
                <w:sz w:val="20"/>
                <w:szCs w:val="20"/>
                <w:lang w:val="en-GB" w:eastAsia="zh-CN"/>
              </w:rPr>
              <m:t>n+k</m:t>
            </m:r>
          </m:sub>
        </m:sSub>
      </m:oMath>
      <w:r w:rsidRPr="00CE0DE7">
        <w:rPr>
          <w:rFonts w:eastAsia="Times New Roman"/>
          <w:bCs/>
          <w:color w:val="000000"/>
          <w:sz w:val="20"/>
          <w:szCs w:val="20"/>
          <w:lang w:val="en-GB" w:eastAsia="zh-CN"/>
        </w:rPr>
        <w:t xml:space="preserve"> </w:t>
      </w:r>
      <w:r w:rsidR="00EE09D7" w:rsidRPr="00CE0DE7">
        <w:rPr>
          <w:rFonts w:eastAsia="Times New Roman"/>
          <w:bCs/>
          <w:color w:val="000000"/>
          <w:sz w:val="20"/>
          <w:szCs w:val="20"/>
          <w:lang w:val="en-GB" w:eastAsia="zh-CN"/>
        </w:rPr>
        <w:t xml:space="preserve">represents the actual monthly </w:t>
      </w:r>
      <w:r w:rsidR="006837D8" w:rsidRPr="00CE0DE7">
        <w:rPr>
          <w:rFonts w:eastAsia="Times New Roman"/>
          <w:bCs/>
          <w:color w:val="000000"/>
          <w:sz w:val="20"/>
          <w:szCs w:val="20"/>
          <w:lang w:val="en-GB" w:eastAsia="zh-CN"/>
        </w:rPr>
        <w:t xml:space="preserve">excess </w:t>
      </w:r>
      <w:r w:rsidR="00EE09D7" w:rsidRPr="00CE0DE7">
        <w:rPr>
          <w:rFonts w:eastAsia="Times New Roman"/>
          <w:bCs/>
          <w:color w:val="000000"/>
          <w:sz w:val="20"/>
          <w:szCs w:val="20"/>
          <w:lang w:val="en-GB" w:eastAsia="zh-CN"/>
        </w:rPr>
        <w:t>market return</w:t>
      </w:r>
      <w:r w:rsidR="00E3370B" w:rsidRPr="00CE0DE7">
        <w:rPr>
          <w:rFonts w:eastAsia="Times New Roman"/>
          <w:bCs/>
          <w:color w:val="000000"/>
          <w:sz w:val="20"/>
          <w:szCs w:val="20"/>
          <w:lang w:val="en-GB" w:eastAsia="zh-CN"/>
        </w:rPr>
        <w:t xml:space="preserve"> </w:t>
      </w:r>
      <w:r w:rsidR="00D449F9" w:rsidRPr="00CE0DE7">
        <w:rPr>
          <w:rFonts w:eastAsiaTheme="minorEastAsia"/>
          <w:bCs/>
          <w:color w:val="000000"/>
          <w:sz w:val="20"/>
          <w:szCs w:val="20"/>
          <w:lang w:val="en-GB" w:eastAsia="zh-CN"/>
        </w:rPr>
        <w:t>for</w:t>
      </w:r>
      <w:r w:rsidR="00E3370B" w:rsidRPr="00CE0DE7">
        <w:rPr>
          <w:rFonts w:eastAsia="Times New Roman"/>
          <w:bCs/>
          <w:color w:val="000000"/>
          <w:sz w:val="20"/>
          <w:szCs w:val="20"/>
          <w:lang w:val="en-GB" w:eastAsia="zh-CN"/>
        </w:rPr>
        <w:t xml:space="preserve"> </w:t>
      </w:r>
      <w:proofErr w:type="spellStart"/>
      <w:r w:rsidR="008818EA" w:rsidRPr="00CE0DE7">
        <w:rPr>
          <w:rFonts w:eastAsia="Times New Roman"/>
          <w:bCs/>
          <w:i/>
          <w:color w:val="000000"/>
          <w:sz w:val="20"/>
          <w:szCs w:val="20"/>
          <w:lang w:val="en-GB" w:eastAsia="zh-CN"/>
        </w:rPr>
        <w:t>n</w:t>
      </w:r>
      <w:r w:rsidR="00E3370B" w:rsidRPr="00CE0DE7">
        <w:rPr>
          <w:rFonts w:eastAsia="Times New Roman"/>
          <w:bCs/>
          <w:i/>
          <w:color w:val="000000"/>
          <w:sz w:val="20"/>
          <w:szCs w:val="20"/>
          <w:lang w:val="en-GB" w:eastAsia="zh-CN"/>
        </w:rPr>
        <w:t>+k</w:t>
      </w:r>
      <w:proofErr w:type="spellEnd"/>
      <w:r w:rsidR="00EE09D7" w:rsidRPr="00CE0DE7">
        <w:rPr>
          <w:rFonts w:eastAsia="Times New Roman"/>
          <w:bCs/>
          <w:color w:val="000000"/>
          <w:sz w:val="20"/>
          <w:szCs w:val="20"/>
          <w:lang w:val="en-GB" w:eastAsia="zh-CN"/>
        </w:rPr>
        <w:t xml:space="preserve">, </w:t>
      </w:r>
      <m:oMath>
        <m:sSub>
          <m:sSubPr>
            <m:ctrlPr>
              <w:rPr>
                <w:rFonts w:ascii="Cambria Math" w:eastAsia="Times New Roman" w:hAnsi="Cambria Math"/>
                <w:bCs/>
                <w:color w:val="000000"/>
                <w:sz w:val="20"/>
                <w:szCs w:val="20"/>
                <w:lang w:val="en-GB" w:eastAsia="zh-CN"/>
              </w:rPr>
            </m:ctrlPr>
          </m:sSubPr>
          <m:e>
            <m:acc>
              <m:accPr>
                <m:ctrlPr>
                  <w:rPr>
                    <w:rFonts w:ascii="Cambria Math" w:eastAsia="Times New Roman" w:hAnsi="Cambria Math"/>
                    <w:bCs/>
                    <w:i/>
                    <w:color w:val="000000"/>
                    <w:sz w:val="20"/>
                    <w:szCs w:val="20"/>
                    <w:lang w:val="en-GB" w:eastAsia="zh-CN"/>
                  </w:rPr>
                </m:ctrlPr>
              </m:accPr>
              <m:e>
                <m:r>
                  <w:rPr>
                    <w:rFonts w:ascii="Cambria Math" w:eastAsia="Times New Roman" w:hAnsi="Cambria Math"/>
                    <w:color w:val="000000"/>
                    <w:sz w:val="20"/>
                    <w:szCs w:val="20"/>
                    <w:lang w:val="en-GB" w:eastAsia="zh-CN"/>
                  </w:rPr>
                  <m:t>r</m:t>
                </m:r>
              </m:e>
            </m:acc>
          </m:e>
          <m:sub>
            <m:r>
              <w:rPr>
                <w:rFonts w:ascii="Cambria Math" w:eastAsia="Times New Roman" w:hAnsi="Cambria Math"/>
                <w:color w:val="000000"/>
                <w:sz w:val="20"/>
                <w:szCs w:val="20"/>
                <w:lang w:val="en-GB" w:eastAsia="zh-CN"/>
              </w:rPr>
              <m:t>n+k</m:t>
            </m:r>
          </m:sub>
        </m:sSub>
      </m:oMath>
      <w:r w:rsidR="0066683D" w:rsidRPr="00CE0DE7">
        <w:rPr>
          <w:sz w:val="20"/>
          <w:szCs w:val="20"/>
        </w:rPr>
        <w:t xml:space="preserve"> </w:t>
      </w:r>
      <w:r w:rsidR="00EE09D7" w:rsidRPr="00CE0DE7">
        <w:rPr>
          <w:rFonts w:eastAsia="Times New Roman"/>
          <w:bCs/>
          <w:color w:val="000000"/>
          <w:sz w:val="20"/>
          <w:szCs w:val="20"/>
          <w:lang w:val="en-GB" w:eastAsia="zh-CN"/>
        </w:rPr>
        <w:t>denotes the forecast</w:t>
      </w:r>
      <w:r w:rsidR="00D449F9" w:rsidRPr="00CE0DE7">
        <w:rPr>
          <w:rFonts w:eastAsiaTheme="minorEastAsia"/>
          <w:bCs/>
          <w:color w:val="000000"/>
          <w:sz w:val="20"/>
          <w:szCs w:val="20"/>
          <w:lang w:val="en-GB" w:eastAsia="zh-CN"/>
        </w:rPr>
        <w:t xml:space="preserve"> </w:t>
      </w:r>
      <w:r w:rsidR="00EE09D7" w:rsidRPr="00CE0DE7">
        <w:rPr>
          <w:rFonts w:eastAsia="Times New Roman"/>
          <w:bCs/>
          <w:color w:val="000000"/>
          <w:sz w:val="20"/>
          <w:szCs w:val="20"/>
          <w:lang w:val="en-GB" w:eastAsia="zh-CN"/>
        </w:rPr>
        <w:t xml:space="preserve">based on </w:t>
      </w:r>
      <w:r w:rsidR="0098501A" w:rsidRPr="00CE0DE7">
        <w:rPr>
          <w:rFonts w:eastAsia="Times New Roman"/>
          <w:bCs/>
          <w:color w:val="000000"/>
          <w:sz w:val="20"/>
          <w:szCs w:val="20"/>
          <w:lang w:val="en-GB" w:eastAsia="zh-CN"/>
        </w:rPr>
        <w:t>Eq.</w:t>
      </w:r>
      <w:r w:rsidR="00EE09D7" w:rsidRPr="00CE0DE7">
        <w:rPr>
          <w:rFonts w:eastAsia="Times New Roman"/>
          <w:bCs/>
          <w:color w:val="000000"/>
          <w:sz w:val="20"/>
          <w:szCs w:val="20"/>
          <w:lang w:val="en-GB" w:eastAsia="zh-CN"/>
        </w:rPr>
        <w:t xml:space="preserve"> (</w:t>
      </w:r>
      <w:r w:rsidR="00D449F9" w:rsidRPr="00CE0DE7">
        <w:rPr>
          <w:rFonts w:eastAsiaTheme="minorEastAsia"/>
          <w:bCs/>
          <w:color w:val="000000"/>
          <w:sz w:val="20"/>
          <w:szCs w:val="20"/>
          <w:lang w:val="en-GB" w:eastAsia="zh-CN"/>
        </w:rPr>
        <w:t>7</w:t>
      </w:r>
      <w:r w:rsidR="00D449F9" w:rsidRPr="00CE0DE7">
        <w:rPr>
          <w:rFonts w:eastAsia="Times New Roman"/>
          <w:bCs/>
          <w:color w:val="000000"/>
          <w:sz w:val="20"/>
          <w:szCs w:val="20"/>
          <w:lang w:val="en-GB" w:eastAsia="zh-CN"/>
        </w:rPr>
        <w:t xml:space="preserve">) estimated </w:t>
      </w:r>
      <w:r w:rsidR="00D449F9" w:rsidRPr="00CE0DE7">
        <w:rPr>
          <w:rFonts w:eastAsiaTheme="minorEastAsia"/>
          <w:bCs/>
          <w:color w:val="000000"/>
          <w:sz w:val="20"/>
          <w:szCs w:val="20"/>
          <w:lang w:val="en-GB" w:eastAsia="zh-CN"/>
        </w:rPr>
        <w:t>over</w:t>
      </w:r>
      <w:r w:rsidR="00EE09D7" w:rsidRPr="00CE0DE7">
        <w:rPr>
          <w:rFonts w:eastAsia="Times New Roman"/>
          <w:bCs/>
          <w:color w:val="000000"/>
          <w:sz w:val="20"/>
          <w:szCs w:val="20"/>
          <w:lang w:val="en-GB" w:eastAsia="zh-CN"/>
        </w:rPr>
        <w:t xml:space="preserve"> </w:t>
      </w:r>
      <w:r w:rsidR="00D449F9" w:rsidRPr="00CE0DE7">
        <w:rPr>
          <w:rFonts w:eastAsiaTheme="minorEastAsia"/>
          <w:bCs/>
          <w:color w:val="000000"/>
          <w:sz w:val="20"/>
          <w:szCs w:val="20"/>
          <w:lang w:val="en-GB" w:eastAsia="zh-CN"/>
        </w:rPr>
        <w:t xml:space="preserve">the </w:t>
      </w:r>
      <w:r w:rsidR="00EE09D7" w:rsidRPr="00CE0DE7">
        <w:rPr>
          <w:rFonts w:eastAsia="Times New Roman"/>
          <w:bCs/>
          <w:color w:val="000000"/>
          <w:sz w:val="20"/>
          <w:szCs w:val="20"/>
          <w:lang w:val="en-GB" w:eastAsia="zh-CN"/>
        </w:rPr>
        <w:t xml:space="preserve">period </w:t>
      </w:r>
      <w:r w:rsidR="008818EA" w:rsidRPr="00CE0DE7">
        <w:rPr>
          <w:rFonts w:eastAsia="Times New Roman"/>
          <w:bCs/>
          <w:i/>
          <w:color w:val="000000"/>
          <w:sz w:val="20"/>
          <w:szCs w:val="20"/>
          <w:lang w:val="en-GB" w:eastAsia="zh-CN"/>
        </w:rPr>
        <w:t>n</w:t>
      </w:r>
      <w:r w:rsidR="0066683D" w:rsidRPr="00CE0DE7">
        <w:rPr>
          <w:rFonts w:eastAsia="Times New Roman"/>
          <w:bCs/>
          <w:i/>
          <w:color w:val="000000"/>
          <w:sz w:val="20"/>
          <w:szCs w:val="20"/>
          <w:lang w:val="en-GB" w:eastAsia="zh-CN"/>
        </w:rPr>
        <w:t>+k</w:t>
      </w:r>
      <w:r w:rsidR="00EE09D7" w:rsidRPr="00CE0DE7">
        <w:rPr>
          <w:rFonts w:eastAsia="Times New Roman"/>
          <w:bCs/>
          <w:i/>
          <w:color w:val="000000"/>
          <w:sz w:val="20"/>
          <w:szCs w:val="20"/>
          <w:lang w:val="en-GB" w:eastAsia="zh-CN"/>
        </w:rPr>
        <w:t>-1</w:t>
      </w:r>
      <w:r w:rsidR="00EE09D7" w:rsidRPr="00CE0DE7">
        <w:rPr>
          <w:rFonts w:eastAsia="Times New Roman"/>
          <w:bCs/>
          <w:color w:val="000000"/>
          <w:sz w:val="20"/>
          <w:szCs w:val="20"/>
          <w:lang w:val="en-GB" w:eastAsia="zh-CN"/>
        </w:rPr>
        <w:t xml:space="preserve">, and </w:t>
      </w:r>
      <m:oMath>
        <m:sSub>
          <m:sSubPr>
            <m:ctrlPr>
              <w:rPr>
                <w:rFonts w:ascii="Cambria Math" w:eastAsia="Times New Roman" w:hAnsi="Cambria Math"/>
                <w:bCs/>
                <w:color w:val="000000"/>
                <w:sz w:val="20"/>
                <w:szCs w:val="20"/>
                <w:lang w:val="en-GB" w:eastAsia="zh-CN"/>
              </w:rPr>
            </m:ctrlPr>
          </m:sSubPr>
          <m:e>
            <m:acc>
              <m:accPr>
                <m:chr m:val="̅"/>
                <m:ctrlPr>
                  <w:rPr>
                    <w:rFonts w:ascii="Cambria Math" w:eastAsia="Times New Roman" w:hAnsi="Cambria Math"/>
                    <w:bCs/>
                    <w:i/>
                    <w:color w:val="000000"/>
                    <w:sz w:val="20"/>
                    <w:szCs w:val="20"/>
                    <w:lang w:val="en-GB" w:eastAsia="zh-CN"/>
                  </w:rPr>
                </m:ctrlPr>
              </m:accPr>
              <m:e>
                <m:r>
                  <w:rPr>
                    <w:rFonts w:ascii="Cambria Math" w:eastAsia="Times New Roman" w:hAnsi="Cambria Math"/>
                    <w:color w:val="000000"/>
                    <w:sz w:val="20"/>
                    <w:szCs w:val="20"/>
                    <w:lang w:val="en-GB" w:eastAsia="zh-CN"/>
                  </w:rPr>
                  <m:t>r</m:t>
                </m:r>
              </m:e>
            </m:acc>
          </m:e>
          <m:sub>
            <m:r>
              <w:rPr>
                <w:rFonts w:ascii="Cambria Math" w:eastAsia="Times New Roman" w:hAnsi="Cambria Math"/>
                <w:color w:val="000000"/>
                <w:sz w:val="20"/>
                <w:szCs w:val="20"/>
                <w:lang w:val="en-GB" w:eastAsia="zh-CN"/>
              </w:rPr>
              <m:t>n+k</m:t>
            </m:r>
          </m:sub>
        </m:sSub>
      </m:oMath>
      <w:r w:rsidR="00EE09D7" w:rsidRPr="00CE0DE7">
        <w:rPr>
          <w:rFonts w:eastAsia="Times New Roman"/>
          <w:bCs/>
          <w:color w:val="000000"/>
          <w:sz w:val="20"/>
          <w:szCs w:val="20"/>
          <w:lang w:val="en-GB" w:eastAsia="zh-CN"/>
        </w:rPr>
        <w:t xml:space="preserve"> is the historical average benchmark estimated </w:t>
      </w:r>
      <w:r w:rsidR="005A6B59" w:rsidRPr="00CE0DE7">
        <w:rPr>
          <w:rFonts w:eastAsiaTheme="minorEastAsia"/>
          <w:bCs/>
          <w:color w:val="000000"/>
          <w:sz w:val="20"/>
          <w:szCs w:val="20"/>
          <w:lang w:val="en-GB" w:eastAsia="zh-CN"/>
        </w:rPr>
        <w:t>over the</w:t>
      </w:r>
      <w:r w:rsidR="00EE09D7" w:rsidRPr="00CE0DE7">
        <w:rPr>
          <w:rFonts w:eastAsia="Times New Roman"/>
          <w:bCs/>
          <w:color w:val="000000"/>
          <w:sz w:val="20"/>
          <w:szCs w:val="20"/>
          <w:lang w:val="en-GB" w:eastAsia="zh-CN"/>
        </w:rPr>
        <w:t xml:space="preserve"> period </w:t>
      </w:r>
      <w:r w:rsidR="008818EA" w:rsidRPr="00CE0DE7">
        <w:rPr>
          <w:rFonts w:eastAsia="Times New Roman"/>
          <w:bCs/>
          <w:i/>
          <w:color w:val="000000"/>
          <w:sz w:val="20"/>
          <w:szCs w:val="20"/>
          <w:lang w:val="en-GB" w:eastAsia="zh-CN"/>
        </w:rPr>
        <w:t>n</w:t>
      </w:r>
      <w:r w:rsidR="0066683D" w:rsidRPr="00CE0DE7">
        <w:rPr>
          <w:rFonts w:eastAsia="Times New Roman"/>
          <w:bCs/>
          <w:i/>
          <w:color w:val="000000"/>
          <w:sz w:val="20"/>
          <w:szCs w:val="20"/>
          <w:lang w:val="en-GB" w:eastAsia="zh-CN"/>
        </w:rPr>
        <w:t>+k</w:t>
      </w:r>
      <w:r w:rsidR="00EE09D7" w:rsidRPr="00CE0DE7">
        <w:rPr>
          <w:rFonts w:eastAsia="Times New Roman"/>
          <w:bCs/>
          <w:i/>
          <w:color w:val="000000"/>
          <w:sz w:val="20"/>
          <w:szCs w:val="20"/>
          <w:lang w:val="en-GB" w:eastAsia="zh-CN"/>
        </w:rPr>
        <w:t>-1</w:t>
      </w:r>
      <w:r w:rsidR="00EE09D7" w:rsidRPr="00CE0DE7">
        <w:rPr>
          <w:rFonts w:eastAsia="Times New Roman"/>
          <w:bCs/>
          <w:color w:val="000000"/>
          <w:sz w:val="20"/>
          <w:szCs w:val="20"/>
          <w:lang w:val="en-GB" w:eastAsia="zh-CN"/>
        </w:rPr>
        <w:t xml:space="preserve">. </w:t>
      </w:r>
      <w:r w:rsidR="00F11F9F" w:rsidRPr="00CE0DE7">
        <w:rPr>
          <w:color w:val="000000"/>
          <w:sz w:val="20"/>
          <w:szCs w:val="20"/>
          <w:lang w:val="en-GB" w:eastAsia="zh-CN"/>
        </w:rPr>
        <w:t xml:space="preserve">The </w:t>
      </w:r>
      <w:r w:rsidR="00F11F9F" w:rsidRPr="00CE0DE7">
        <w:rPr>
          <w:rFonts w:eastAsia="Times New Roman"/>
          <w:bCs/>
          <w:i/>
          <w:iCs/>
          <w:color w:val="000000"/>
          <w:sz w:val="20"/>
          <w:szCs w:val="20"/>
          <w:lang w:val="en-GB" w:eastAsia="zh-CN"/>
        </w:rPr>
        <w:t>R</w:t>
      </w:r>
      <w:r w:rsidR="00F11F9F" w:rsidRPr="00CE0DE7">
        <w:rPr>
          <w:rFonts w:eastAsia="Times New Roman"/>
          <w:bCs/>
          <w:color w:val="000000"/>
          <w:sz w:val="20"/>
          <w:szCs w:val="20"/>
          <w:vertAlign w:val="superscript"/>
          <w:lang w:val="en-GB" w:eastAsia="zh-CN"/>
        </w:rPr>
        <w:t>2</w:t>
      </w:r>
      <w:r w:rsidR="00F11F9F" w:rsidRPr="00CE0DE7">
        <w:rPr>
          <w:rFonts w:eastAsia="Times New Roman"/>
          <w:bCs/>
          <w:color w:val="000000"/>
          <w:sz w:val="20"/>
          <w:szCs w:val="20"/>
          <w:vertAlign w:val="subscript"/>
          <w:lang w:val="en-GB" w:eastAsia="zh-CN"/>
        </w:rPr>
        <w:t>OS</w:t>
      </w:r>
      <w:r w:rsidR="00F11F9F" w:rsidRPr="00CE0DE7">
        <w:rPr>
          <w:rFonts w:eastAsia="Times New Roman"/>
          <w:bCs/>
          <w:color w:val="000000"/>
          <w:sz w:val="20"/>
          <w:szCs w:val="20"/>
          <w:lang w:val="en-GB" w:eastAsia="zh-CN"/>
        </w:rPr>
        <w:t xml:space="preserve"> measures the proportional reduction in </w:t>
      </w:r>
      <w:r w:rsidR="002E6564" w:rsidRPr="00CE0DE7">
        <w:rPr>
          <w:rFonts w:eastAsia="Times New Roman"/>
          <w:bCs/>
          <w:color w:val="000000"/>
          <w:sz w:val="20"/>
          <w:szCs w:val="20"/>
          <w:lang w:val="en-GB" w:eastAsia="zh-CN"/>
        </w:rPr>
        <w:t>mean squared forecasting errors (</w:t>
      </w:r>
      <w:r w:rsidR="00F11F9F" w:rsidRPr="00CE0DE7">
        <w:rPr>
          <w:rFonts w:eastAsia="Times New Roman"/>
          <w:bCs/>
          <w:color w:val="000000"/>
          <w:sz w:val="20"/>
          <w:szCs w:val="20"/>
          <w:lang w:val="en-GB" w:eastAsia="zh-CN"/>
        </w:rPr>
        <w:t>MSFE</w:t>
      </w:r>
      <w:r w:rsidR="002E6564" w:rsidRPr="00CE0DE7">
        <w:rPr>
          <w:rFonts w:eastAsia="Times New Roman"/>
          <w:bCs/>
          <w:color w:val="000000"/>
          <w:sz w:val="20"/>
          <w:szCs w:val="20"/>
          <w:lang w:val="en-GB" w:eastAsia="zh-CN"/>
        </w:rPr>
        <w:t>)</w:t>
      </w:r>
      <w:r w:rsidR="00F11F9F" w:rsidRPr="00CE0DE7">
        <w:rPr>
          <w:rFonts w:eastAsia="Times New Roman"/>
          <w:bCs/>
          <w:color w:val="000000"/>
          <w:sz w:val="20"/>
          <w:szCs w:val="20"/>
          <w:lang w:val="en-GB" w:eastAsia="zh-CN"/>
        </w:rPr>
        <w:t xml:space="preserve"> </w:t>
      </w:r>
      <w:r w:rsidR="005A6B59" w:rsidRPr="00CE0DE7">
        <w:rPr>
          <w:rFonts w:eastAsiaTheme="minorEastAsia"/>
          <w:bCs/>
          <w:color w:val="000000"/>
          <w:sz w:val="20"/>
          <w:szCs w:val="20"/>
          <w:lang w:val="en-GB" w:eastAsia="zh-CN"/>
        </w:rPr>
        <w:t>between</w:t>
      </w:r>
      <w:r w:rsidR="00F11F9F" w:rsidRPr="00CE0DE7">
        <w:rPr>
          <w:rFonts w:eastAsia="Times New Roman"/>
          <w:bCs/>
          <w:color w:val="000000"/>
          <w:sz w:val="20"/>
          <w:szCs w:val="20"/>
          <w:lang w:val="en-GB" w:eastAsia="zh-CN"/>
        </w:rPr>
        <w:t xml:space="preserve"> the </w:t>
      </w:r>
      <w:r w:rsidR="002E6564" w:rsidRPr="00CE0DE7">
        <w:rPr>
          <w:rFonts w:eastAsia="Times New Roman"/>
          <w:bCs/>
          <w:color w:val="000000"/>
          <w:sz w:val="20"/>
          <w:szCs w:val="20"/>
          <w:lang w:val="en-GB" w:eastAsia="zh-CN"/>
        </w:rPr>
        <w:t xml:space="preserve">predictive regression forecast </w:t>
      </w:r>
      <w:r w:rsidR="005A6B59" w:rsidRPr="00CE0DE7">
        <w:rPr>
          <w:rFonts w:eastAsiaTheme="minorEastAsia"/>
          <w:bCs/>
          <w:color w:val="000000"/>
          <w:sz w:val="20"/>
          <w:szCs w:val="20"/>
          <w:lang w:val="en-GB" w:eastAsia="zh-CN"/>
        </w:rPr>
        <w:t>and</w:t>
      </w:r>
      <w:r w:rsidR="002E6564" w:rsidRPr="00CE0DE7">
        <w:rPr>
          <w:rFonts w:eastAsia="Times New Roman"/>
          <w:bCs/>
          <w:color w:val="000000"/>
          <w:sz w:val="20"/>
          <w:szCs w:val="20"/>
          <w:lang w:val="en-GB" w:eastAsia="zh-CN"/>
        </w:rPr>
        <w:t xml:space="preserve"> the historical average. </w:t>
      </w:r>
      <w:r w:rsidR="005A6B59" w:rsidRPr="00CE0DE7">
        <w:rPr>
          <w:rFonts w:eastAsiaTheme="minorEastAsia"/>
          <w:bCs/>
          <w:color w:val="000000"/>
          <w:sz w:val="20"/>
          <w:szCs w:val="20"/>
          <w:lang w:val="en-GB" w:eastAsia="zh-CN"/>
        </w:rPr>
        <w:t>If</w:t>
      </w:r>
      <w:r w:rsidR="002E6564" w:rsidRPr="00CE0DE7">
        <w:rPr>
          <w:rFonts w:eastAsia="Times New Roman"/>
          <w:bCs/>
          <w:color w:val="000000"/>
          <w:sz w:val="20"/>
          <w:szCs w:val="20"/>
          <w:lang w:val="en-GB" w:eastAsia="zh-CN"/>
        </w:rPr>
        <w:t xml:space="preserve"> </w:t>
      </w:r>
      <w:r w:rsidR="002E6564" w:rsidRPr="00CE0DE7">
        <w:rPr>
          <w:rFonts w:eastAsia="Times New Roman"/>
          <w:bCs/>
          <w:i/>
          <w:iCs/>
          <w:color w:val="000000"/>
          <w:sz w:val="20"/>
          <w:szCs w:val="20"/>
          <w:lang w:val="en-GB" w:eastAsia="zh-CN"/>
        </w:rPr>
        <w:t>R</w:t>
      </w:r>
      <w:r w:rsidR="002E6564" w:rsidRPr="00CE0DE7">
        <w:rPr>
          <w:rFonts w:eastAsia="Times New Roman"/>
          <w:bCs/>
          <w:color w:val="000000"/>
          <w:sz w:val="20"/>
          <w:szCs w:val="20"/>
          <w:vertAlign w:val="superscript"/>
          <w:lang w:val="en-GB" w:eastAsia="zh-CN"/>
        </w:rPr>
        <w:t>2</w:t>
      </w:r>
      <w:r w:rsidR="002E6564" w:rsidRPr="00CE0DE7">
        <w:rPr>
          <w:rFonts w:eastAsia="Times New Roman"/>
          <w:bCs/>
          <w:color w:val="000000"/>
          <w:sz w:val="20"/>
          <w:szCs w:val="20"/>
          <w:vertAlign w:val="subscript"/>
          <w:lang w:val="en-GB" w:eastAsia="zh-CN"/>
        </w:rPr>
        <w:t>OS</w:t>
      </w:r>
      <w:r w:rsidR="005A6B59" w:rsidRPr="00CE0DE7">
        <w:rPr>
          <w:rFonts w:eastAsiaTheme="minorEastAsia"/>
          <w:bCs/>
          <w:color w:val="000000"/>
          <w:sz w:val="20"/>
          <w:szCs w:val="20"/>
          <w:lang w:val="en-GB" w:eastAsia="zh-CN"/>
        </w:rPr>
        <w:t xml:space="preserve"> is greater than zero, it</w:t>
      </w:r>
      <w:r w:rsidR="002E6564" w:rsidRPr="00CE0DE7">
        <w:rPr>
          <w:rFonts w:eastAsia="Times New Roman"/>
          <w:bCs/>
          <w:color w:val="000000"/>
          <w:sz w:val="20"/>
          <w:szCs w:val="20"/>
          <w:lang w:val="en-GB" w:eastAsia="zh-CN"/>
        </w:rPr>
        <w:t xml:space="preserve"> indicates that forecasts </w:t>
      </w:r>
      <w:r w:rsidR="00AA050C" w:rsidRPr="00CE0DE7">
        <w:rPr>
          <w:rFonts w:eastAsiaTheme="minorEastAsia"/>
          <w:bCs/>
          <w:color w:val="000000"/>
          <w:sz w:val="20"/>
          <w:szCs w:val="20"/>
          <w:lang w:val="en-GB" w:eastAsia="zh-CN"/>
        </w:rPr>
        <w:t xml:space="preserve">based on predictive regression </w:t>
      </w:r>
      <w:r w:rsidR="002E6564" w:rsidRPr="00CE0DE7">
        <w:rPr>
          <w:rFonts w:eastAsia="Times New Roman"/>
          <w:bCs/>
          <w:color w:val="000000"/>
          <w:sz w:val="20"/>
          <w:szCs w:val="20"/>
          <w:lang w:val="en-GB" w:eastAsia="zh-CN"/>
        </w:rPr>
        <w:t xml:space="preserve">outperform historical average in MSFE. Campbell and Thompson </w:t>
      </w:r>
      <w:r w:rsidR="00753336" w:rsidRPr="00CE0DE7">
        <w:rPr>
          <w:rFonts w:eastAsia="Times New Roman"/>
          <w:bCs/>
          <w:color w:val="000000"/>
          <w:sz w:val="20"/>
          <w:szCs w:val="20"/>
          <w:lang w:val="en-GB" w:eastAsia="zh-CN"/>
        </w:rPr>
        <w:fldChar w:fldCharType="begin" w:fldLock="1"/>
      </w:r>
      <w:r w:rsidR="00E67DF0" w:rsidRPr="00CE0DE7">
        <w:rPr>
          <w:rFonts w:eastAsia="Times New Roman"/>
          <w:bCs/>
          <w:color w:val="000000"/>
          <w:sz w:val="20"/>
          <w:szCs w:val="20"/>
          <w:lang w:val="en-GB" w:eastAsia="zh-CN"/>
        </w:rPr>
        <w:instrText>ADDIN CSL_CITATION {"citationItems":[{"id":"ITEM-1","itemData":{"ISSN":"0893-9454","abstract":"Goyal and Welch (2007) argue that the historical average excess stock return forecasts future excess stock returns better than regressions of excess returns on predictor variables. In this article, we show that many predictive regressions beat the historical average return, once weak restrictions are imposed on the signs of coefficients and return forecasts. The out-of-sample explanatory power is small, but nonetheless is economically meaningful for mean-variance investors. Even better results can be obtained by imposing the restrictions of steady-state valuation models, thereby removing the need to estimate the average from a short sample of volatile stock returns. © The Author 2007. Published by Oxford University Press on behalf of The Society for Financial Studies. All rights reserved.","author":[{"dropping-particle":"","family":"Campbell","given":"John Y.","non-dropping-particle":"","parse-names":false,"suffix":""},{"dropping-particle":"","family":"Thompson","given":"Samuel B.","non-dropping-particle":"","parse-names":false,"suffix":""}],"container-title":"Review of Financial Studies","id":"ITEM-1","issue":"4","issued":{"date-parts":[["2008","7","1"]]},"page":"1509-1531","publisher":"Oxford Academic","title":"Predicting excess stock returns out of sample: Can anything beat the historical average?","type":"article-journal","volume":"21"},"suppress-author":1,"uris":["http://www.mendeley.com/documents/?uuid=fbe6034b-a92b-32b5-b9fa-22b1068d8b90"]}],"mendeley":{"formattedCitation":"(2008)","plainTextFormattedCitation":"(2008)","previouslyFormattedCitation":"(2008)"},"properties":{"noteIndex":0},"schema":"https://github.com/citation-style-language/schema/raw/master/csl-citation.json"}</w:instrText>
      </w:r>
      <w:r w:rsidR="00753336" w:rsidRPr="00CE0DE7">
        <w:rPr>
          <w:rFonts w:eastAsia="Times New Roman"/>
          <w:bCs/>
          <w:color w:val="000000"/>
          <w:sz w:val="20"/>
          <w:szCs w:val="20"/>
          <w:lang w:val="en-GB" w:eastAsia="zh-CN"/>
        </w:rPr>
        <w:fldChar w:fldCharType="separate"/>
      </w:r>
      <w:r w:rsidR="00753336" w:rsidRPr="00CE0DE7">
        <w:rPr>
          <w:rFonts w:eastAsia="Times New Roman"/>
          <w:bCs/>
          <w:noProof/>
          <w:color w:val="000000"/>
          <w:sz w:val="20"/>
          <w:szCs w:val="20"/>
          <w:lang w:val="en-GB" w:eastAsia="zh-CN"/>
        </w:rPr>
        <w:t>(2008)</w:t>
      </w:r>
      <w:r w:rsidR="00753336" w:rsidRPr="00CE0DE7">
        <w:rPr>
          <w:rFonts w:eastAsia="Times New Roman"/>
          <w:bCs/>
          <w:color w:val="000000"/>
          <w:sz w:val="20"/>
          <w:szCs w:val="20"/>
          <w:lang w:val="en-GB" w:eastAsia="zh-CN"/>
        </w:rPr>
        <w:fldChar w:fldCharType="end"/>
      </w:r>
      <w:r w:rsidR="002E6564" w:rsidRPr="00CE0DE7">
        <w:rPr>
          <w:rFonts w:eastAsia="Times New Roman"/>
          <w:bCs/>
          <w:color w:val="000000"/>
          <w:sz w:val="20"/>
          <w:szCs w:val="20"/>
          <w:lang w:val="en-GB" w:eastAsia="zh-CN"/>
        </w:rPr>
        <w:t xml:space="preserve"> suggest that a monthly </w:t>
      </w:r>
      <w:r w:rsidR="002E6564" w:rsidRPr="00CE0DE7">
        <w:rPr>
          <w:rFonts w:eastAsia="Times New Roman"/>
          <w:bCs/>
          <w:i/>
          <w:iCs/>
          <w:color w:val="000000"/>
          <w:sz w:val="20"/>
          <w:szCs w:val="20"/>
          <w:lang w:val="en-GB" w:eastAsia="zh-CN"/>
        </w:rPr>
        <w:t>R</w:t>
      </w:r>
      <w:r w:rsidR="002E6564" w:rsidRPr="00CE0DE7">
        <w:rPr>
          <w:rFonts w:eastAsia="Times New Roman"/>
          <w:bCs/>
          <w:color w:val="000000"/>
          <w:sz w:val="20"/>
          <w:szCs w:val="20"/>
          <w:vertAlign w:val="superscript"/>
          <w:lang w:val="en-GB" w:eastAsia="zh-CN"/>
        </w:rPr>
        <w:t>2</w:t>
      </w:r>
      <w:r w:rsidR="002E6564" w:rsidRPr="00CE0DE7">
        <w:rPr>
          <w:rFonts w:eastAsia="Times New Roman"/>
          <w:bCs/>
          <w:color w:val="000000"/>
          <w:sz w:val="20"/>
          <w:szCs w:val="20"/>
          <w:vertAlign w:val="subscript"/>
          <w:lang w:val="en-GB" w:eastAsia="zh-CN"/>
        </w:rPr>
        <w:t>OS</w:t>
      </w:r>
      <w:r w:rsidR="002E6564" w:rsidRPr="00CE0DE7">
        <w:rPr>
          <w:rFonts w:eastAsia="Times New Roman"/>
          <w:bCs/>
          <w:color w:val="000000"/>
          <w:sz w:val="20"/>
          <w:szCs w:val="20"/>
          <w:lang w:val="en-GB" w:eastAsia="zh-CN"/>
        </w:rPr>
        <w:t xml:space="preserve"> near 0.5% is economically significant.</w:t>
      </w:r>
      <w:r w:rsidR="00AA050C" w:rsidRPr="00CE0DE7">
        <w:rPr>
          <w:rFonts w:eastAsiaTheme="minorEastAsia"/>
          <w:bCs/>
          <w:color w:val="000000"/>
          <w:sz w:val="20"/>
          <w:szCs w:val="20"/>
          <w:lang w:val="en-GB" w:eastAsia="zh-CN"/>
        </w:rPr>
        <w:t xml:space="preserve"> In addition,</w:t>
      </w:r>
      <w:r w:rsidR="002E6564" w:rsidRPr="00CE0DE7">
        <w:rPr>
          <w:rFonts w:eastAsia="Times New Roman"/>
          <w:bCs/>
          <w:color w:val="000000"/>
          <w:sz w:val="20"/>
          <w:szCs w:val="20"/>
          <w:lang w:val="en-GB" w:eastAsia="zh-CN"/>
        </w:rPr>
        <w:t xml:space="preserve"> </w:t>
      </w:r>
      <w:r w:rsidR="00AA050C" w:rsidRPr="00CE0DE7">
        <w:rPr>
          <w:color w:val="000000"/>
          <w:sz w:val="20"/>
          <w:szCs w:val="20"/>
          <w:lang w:val="en-GB" w:eastAsia="zh-CN"/>
        </w:rPr>
        <w:t>the</w:t>
      </w:r>
      <w:r w:rsidR="005A6B59" w:rsidRPr="00CE0DE7">
        <w:rPr>
          <w:color w:val="000000"/>
          <w:sz w:val="20"/>
          <w:szCs w:val="20"/>
          <w:lang w:val="en-GB" w:eastAsia="zh-CN"/>
        </w:rPr>
        <w:t xml:space="preserve"> </w:t>
      </w:r>
      <w:r w:rsidR="002E6564" w:rsidRPr="00CE0DE7">
        <w:rPr>
          <w:i/>
          <w:color w:val="000000"/>
          <w:sz w:val="20"/>
          <w:szCs w:val="20"/>
          <w:lang w:val="en-GB" w:eastAsia="zh-CN"/>
        </w:rPr>
        <w:t>MSFE-adjusted</w:t>
      </w:r>
      <w:r w:rsidR="002E6564" w:rsidRPr="00CE0DE7">
        <w:rPr>
          <w:color w:val="000000"/>
          <w:sz w:val="20"/>
          <w:szCs w:val="20"/>
          <w:lang w:val="en-GB" w:eastAsia="zh-CN"/>
        </w:rPr>
        <w:t xml:space="preserve"> statistic</w:t>
      </w:r>
      <w:r w:rsidR="005A6B59" w:rsidRPr="00CE0DE7">
        <w:rPr>
          <w:color w:val="000000"/>
          <w:sz w:val="20"/>
          <w:szCs w:val="20"/>
          <w:lang w:val="en-GB" w:eastAsia="zh-CN"/>
        </w:rPr>
        <w:t xml:space="preserve"> in Clark and West </w:t>
      </w:r>
      <w:r w:rsidR="00753336" w:rsidRPr="00CE0DE7">
        <w:rPr>
          <w:color w:val="000000"/>
          <w:sz w:val="20"/>
          <w:szCs w:val="20"/>
          <w:lang w:val="en-GB" w:eastAsia="zh-CN"/>
        </w:rPr>
        <w:fldChar w:fldCharType="begin" w:fldLock="1"/>
      </w:r>
      <w:r w:rsidR="00ED66D4" w:rsidRPr="00CE0DE7">
        <w:rPr>
          <w:color w:val="000000"/>
          <w:sz w:val="20"/>
          <w:szCs w:val="20"/>
          <w:lang w:val="en-GB" w:eastAsia="zh-CN"/>
        </w:rPr>
        <w:instrText>ADDIN CSL_CITATION {"citationItems":[{"id":"ITEM-1","itemData":{"ISSN":"03044076","abstract":"Forecast evaluation often compares a parsimonious null model to a larger model that nests the null model. Under the null that the parsimonious model generates the data, the larger model introduces noise into its forecasts by estimating parameters whose population values are zero. We observe that the mean squared prediction error (MSPE) from the parsimonious model is therefore expected to be smaller than that of the larger model. We describe how to adjust MSPEs to account for this noise. We propose applying standard methods [West, K.D., 1996. Asymptotic inference about predictive ability. Econometrica 64, 1067-1084] to test whether the adjusted mean squared error difference is zero. We refer to nonstandard limiting distributions derived in Clark and McCracken [2001. Tests of equal forecast accuracy and encompassing for nested models. Journal of Econometrics 105, 85-110; 2005a. Evaluating direct multistep forecasts. Econometric Reviews 24, 369-404] to argue that use of standard normal critical values will yield actual sizes close to, but a little less than, nominal size. Simulation evidence supports our recommended procedure. © 2006 Elsevier B.V. All rights reserved.","author":[{"dropping-particle":"","family":"Clark","given":"Todd E.","non-dropping-particle":"","parse-names":false,"suffix":""},{"dropping-particle":"","family":"West","given":"Kenneth D.","non-dropping-particle":"","parse-names":false,"suffix":""}],"container-title":"Journal of Econometrics","id":"ITEM-1","issue":"1","issued":{"date-parts":[["2007","5","1"]]},"page":"291-311","publisher":"North-Holland","title":"Approximately normal tests for equal predictive accuracy in nested models","type":"article-journal","volume":"138"},"suppress-author":1,"uris":["http://www.mendeley.com/documents/?uuid=ea90ff42-3e28-3368-8afb-9ffb7f873c74"]}],"mendeley":{"formattedCitation":"(2007)","plainTextFormattedCitation":"(2007)","previouslyFormattedCitation":"(2007)"},"properties":{"noteIndex":0},"schema":"https://github.com/citation-style-language/schema/raw/master/csl-citation.json"}</w:instrText>
      </w:r>
      <w:r w:rsidR="00753336" w:rsidRPr="00CE0DE7">
        <w:rPr>
          <w:color w:val="000000"/>
          <w:sz w:val="20"/>
          <w:szCs w:val="20"/>
          <w:lang w:val="en-GB" w:eastAsia="zh-CN"/>
        </w:rPr>
        <w:fldChar w:fldCharType="separate"/>
      </w:r>
      <w:r w:rsidR="00753336" w:rsidRPr="00CE0DE7">
        <w:rPr>
          <w:noProof/>
          <w:color w:val="000000"/>
          <w:sz w:val="20"/>
          <w:szCs w:val="20"/>
          <w:lang w:val="en-GB" w:eastAsia="zh-CN"/>
        </w:rPr>
        <w:t>(2007)</w:t>
      </w:r>
      <w:r w:rsidR="00753336" w:rsidRPr="00CE0DE7">
        <w:rPr>
          <w:color w:val="000000"/>
          <w:sz w:val="20"/>
          <w:szCs w:val="20"/>
          <w:lang w:val="en-GB" w:eastAsia="zh-CN"/>
        </w:rPr>
        <w:fldChar w:fldCharType="end"/>
      </w:r>
      <w:r w:rsidR="005A6B59" w:rsidRPr="00CE0DE7">
        <w:rPr>
          <w:color w:val="000000"/>
          <w:sz w:val="20"/>
          <w:szCs w:val="20"/>
          <w:lang w:val="en-GB" w:eastAsia="zh-CN"/>
        </w:rPr>
        <w:t xml:space="preserve"> </w:t>
      </w:r>
      <w:r w:rsidR="002E6564" w:rsidRPr="00CE0DE7">
        <w:rPr>
          <w:color w:val="000000"/>
          <w:sz w:val="20"/>
          <w:szCs w:val="20"/>
          <w:lang w:val="en-GB" w:eastAsia="zh-CN"/>
        </w:rPr>
        <w:t xml:space="preserve">is employed to test the </w:t>
      </w:r>
      <w:r w:rsidR="00CD0319" w:rsidRPr="00CE0DE7">
        <w:rPr>
          <w:color w:val="000000"/>
          <w:sz w:val="20"/>
          <w:szCs w:val="20"/>
          <w:lang w:val="en-GB" w:eastAsia="zh-CN"/>
        </w:rPr>
        <w:t xml:space="preserve">null hypothesis that the historical average MSFE is less </w:t>
      </w:r>
      <w:r w:rsidR="001D6E55" w:rsidRPr="00CE0DE7">
        <w:rPr>
          <w:color w:val="000000"/>
          <w:sz w:val="20"/>
          <w:szCs w:val="20"/>
          <w:lang w:val="en-GB" w:eastAsia="zh-CN"/>
        </w:rPr>
        <w:t xml:space="preserve">than or equal to </w:t>
      </w:r>
      <w:r w:rsidR="008A4626" w:rsidRPr="00CE0DE7">
        <w:rPr>
          <w:color w:val="000000"/>
          <w:sz w:val="20"/>
          <w:szCs w:val="20"/>
          <w:lang w:val="en-GB" w:eastAsia="zh-CN"/>
        </w:rPr>
        <w:t>the MSFE</w:t>
      </w:r>
      <w:r w:rsidR="001D6E55" w:rsidRPr="00CE0DE7">
        <w:rPr>
          <w:color w:val="000000"/>
          <w:sz w:val="20"/>
          <w:szCs w:val="20"/>
          <w:lang w:val="en-GB" w:eastAsia="zh-CN"/>
        </w:rPr>
        <w:t xml:space="preserve"> of the predictive regression forecast against the one-sided (upper-tail) alternative hypothesis that the historical average MSFE is greater than the predictive regression MSFE. </w:t>
      </w:r>
    </w:p>
    <w:p w14:paraId="0E0EDEB2" w14:textId="021D4DBF" w:rsidR="00580AA9" w:rsidRPr="00CE0DE7" w:rsidRDefault="005A6B59"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Columns (4) and </w:t>
      </w:r>
      <w:r w:rsidR="007B5E1E" w:rsidRPr="00CE0DE7">
        <w:rPr>
          <w:color w:val="000000"/>
          <w:sz w:val="20"/>
          <w:szCs w:val="20"/>
          <w:lang w:val="en-GB" w:eastAsia="zh-CN"/>
        </w:rPr>
        <w:t xml:space="preserve">(5) </w:t>
      </w:r>
      <w:r w:rsidRPr="00CE0DE7">
        <w:rPr>
          <w:color w:val="000000"/>
          <w:sz w:val="20"/>
          <w:szCs w:val="20"/>
          <w:lang w:val="en-GB" w:eastAsia="zh-CN"/>
        </w:rPr>
        <w:t>in</w:t>
      </w:r>
      <w:r w:rsidR="007B5E1E" w:rsidRPr="00CE0DE7">
        <w:rPr>
          <w:color w:val="000000"/>
          <w:sz w:val="20"/>
          <w:szCs w:val="20"/>
          <w:lang w:val="en-GB" w:eastAsia="zh-CN"/>
        </w:rPr>
        <w:t xml:space="preserve"> Panel A Table 7 report the out-of-sample forecasting performance of </w:t>
      </w:r>
      <w:r w:rsidR="00AD7582" w:rsidRPr="00CE0DE7">
        <w:rPr>
          <w:color w:val="000000"/>
          <w:sz w:val="20"/>
          <w:szCs w:val="20"/>
          <w:lang w:val="en-GB" w:eastAsia="zh-CN"/>
        </w:rPr>
        <w:t xml:space="preserve">the </w:t>
      </w:r>
      <w:r w:rsidR="0048419C" w:rsidRPr="00CE0DE7">
        <w:rPr>
          <w:color w:val="000000"/>
          <w:sz w:val="20"/>
          <w:szCs w:val="20"/>
          <w:lang w:val="en-GB" w:eastAsia="zh-CN"/>
        </w:rPr>
        <w:t>VRP</w:t>
      </w:r>
      <w:r w:rsidR="007B5E1E" w:rsidRPr="00CE0DE7">
        <w:rPr>
          <w:color w:val="000000"/>
          <w:sz w:val="20"/>
          <w:szCs w:val="20"/>
          <w:lang w:val="en-GB" w:eastAsia="zh-CN"/>
        </w:rPr>
        <w:t xml:space="preserve"> and </w:t>
      </w:r>
      <w:r w:rsidR="00AB0522" w:rsidRPr="00CE0DE7">
        <w:rPr>
          <w:color w:val="000000"/>
          <w:sz w:val="20"/>
          <w:szCs w:val="20"/>
          <w:lang w:val="en-GB" w:eastAsia="zh-CN"/>
        </w:rPr>
        <w:t>illiquidity</w:t>
      </w:r>
      <w:r w:rsidRPr="00CE0DE7">
        <w:rPr>
          <w:color w:val="000000"/>
          <w:sz w:val="20"/>
          <w:szCs w:val="20"/>
          <w:lang w:val="en-GB" w:eastAsia="zh-CN"/>
        </w:rPr>
        <w:t>,</w:t>
      </w:r>
      <w:r w:rsidR="00E31912" w:rsidRPr="00CE0DE7">
        <w:rPr>
          <w:color w:val="000000"/>
          <w:sz w:val="20"/>
          <w:szCs w:val="20"/>
          <w:lang w:val="en-GB" w:eastAsia="zh-CN"/>
        </w:rPr>
        <w:t xml:space="preserve"> respectively</w:t>
      </w:r>
      <w:r w:rsidR="00AB0522" w:rsidRPr="00CE0DE7">
        <w:rPr>
          <w:color w:val="000000"/>
          <w:sz w:val="20"/>
          <w:szCs w:val="20"/>
          <w:lang w:val="en-GB" w:eastAsia="zh-CN"/>
        </w:rPr>
        <w:t xml:space="preserve">. </w:t>
      </w:r>
      <w:r w:rsidR="00A83BC5" w:rsidRPr="00CE0DE7">
        <w:rPr>
          <w:color w:val="000000"/>
          <w:sz w:val="20"/>
          <w:szCs w:val="20"/>
          <w:lang w:val="en-GB" w:eastAsia="zh-CN"/>
        </w:rPr>
        <w:t>In column (4), w</w:t>
      </w:r>
      <w:r w:rsidR="00AB0522" w:rsidRPr="00CE0DE7">
        <w:rPr>
          <w:color w:val="000000"/>
          <w:sz w:val="20"/>
          <w:szCs w:val="20"/>
          <w:lang w:val="en-GB" w:eastAsia="zh-CN"/>
        </w:rPr>
        <w:t xml:space="preserve">e </w:t>
      </w:r>
      <w:r w:rsidR="00E31912" w:rsidRPr="00CE0DE7">
        <w:rPr>
          <w:color w:val="000000"/>
          <w:sz w:val="20"/>
          <w:szCs w:val="20"/>
          <w:lang w:val="en-GB" w:eastAsia="zh-CN"/>
        </w:rPr>
        <w:t>find</w:t>
      </w:r>
      <w:r w:rsidR="00AB0522" w:rsidRPr="00CE0DE7">
        <w:rPr>
          <w:color w:val="000000"/>
          <w:sz w:val="20"/>
          <w:szCs w:val="20"/>
          <w:lang w:val="en-GB" w:eastAsia="zh-CN"/>
        </w:rPr>
        <w:t xml:space="preserve"> that </w:t>
      </w:r>
      <w:r w:rsidR="008A4626" w:rsidRPr="00CE0DE7">
        <w:rPr>
          <w:color w:val="000000"/>
          <w:sz w:val="20"/>
          <w:szCs w:val="20"/>
          <w:lang w:val="en-GB" w:eastAsia="zh-CN"/>
        </w:rPr>
        <w:t xml:space="preserve">the </w:t>
      </w:r>
      <w:r w:rsidR="008A4626" w:rsidRPr="00CE0DE7">
        <w:rPr>
          <w:rFonts w:eastAsia="Times New Roman"/>
          <w:bCs/>
          <w:i/>
          <w:iCs/>
          <w:color w:val="000000"/>
          <w:sz w:val="20"/>
          <w:szCs w:val="20"/>
          <w:lang w:val="en-GB" w:eastAsia="zh-CN"/>
        </w:rPr>
        <w:t>R</w:t>
      </w:r>
      <w:r w:rsidR="008A4626" w:rsidRPr="00CE0DE7">
        <w:rPr>
          <w:rFonts w:eastAsia="Times New Roman"/>
          <w:bCs/>
          <w:color w:val="000000"/>
          <w:sz w:val="20"/>
          <w:szCs w:val="20"/>
          <w:vertAlign w:val="superscript"/>
          <w:lang w:val="en-GB" w:eastAsia="zh-CN"/>
        </w:rPr>
        <w:t>2</w:t>
      </w:r>
      <w:r w:rsidR="008A4626" w:rsidRPr="00CE0DE7">
        <w:rPr>
          <w:rFonts w:eastAsia="Times New Roman"/>
          <w:bCs/>
          <w:color w:val="000000"/>
          <w:sz w:val="20"/>
          <w:szCs w:val="20"/>
          <w:vertAlign w:val="subscript"/>
          <w:lang w:val="en-GB" w:eastAsia="zh-CN"/>
        </w:rPr>
        <w:t>OS</w:t>
      </w:r>
      <w:r w:rsidR="008A4626" w:rsidRPr="00CE0DE7">
        <w:rPr>
          <w:color w:val="000000"/>
          <w:sz w:val="20"/>
          <w:szCs w:val="20"/>
          <w:lang w:val="en-GB" w:eastAsia="zh-CN"/>
        </w:rPr>
        <w:t xml:space="preserve"> for </w:t>
      </w:r>
      <w:r w:rsidR="00CF4769" w:rsidRPr="00CE0DE7">
        <w:rPr>
          <w:i/>
          <w:color w:val="000000"/>
          <w:sz w:val="20"/>
          <w:szCs w:val="20"/>
          <w:lang w:val="en-GB" w:eastAsia="zh-CN"/>
        </w:rPr>
        <w:t>VRP</w:t>
      </w:r>
      <w:r w:rsidR="00CF4769" w:rsidRPr="00CE0DE7">
        <w:rPr>
          <w:i/>
          <w:color w:val="000000"/>
          <w:sz w:val="20"/>
          <w:szCs w:val="20"/>
          <w:vertAlign w:val="superscript"/>
          <w:lang w:val="en-GB" w:eastAsia="zh-CN"/>
        </w:rPr>
        <w:t>BTZ</w:t>
      </w:r>
      <w:r w:rsidR="00CF4769" w:rsidRPr="00CE0DE7">
        <w:rPr>
          <w:i/>
          <w:color w:val="000000"/>
          <w:sz w:val="20"/>
          <w:szCs w:val="20"/>
          <w:lang w:val="en-GB" w:eastAsia="zh-CN"/>
        </w:rPr>
        <w:t xml:space="preserve"> </w:t>
      </w:r>
      <w:r w:rsidR="008A4626" w:rsidRPr="00CE0DE7">
        <w:rPr>
          <w:color w:val="000000"/>
          <w:sz w:val="20"/>
          <w:szCs w:val="20"/>
          <w:lang w:val="en-GB" w:eastAsia="zh-CN"/>
        </w:rPr>
        <w:t>or</w:t>
      </w:r>
      <w:r w:rsidR="00AC1D64" w:rsidRPr="00CE0DE7">
        <w:rPr>
          <w:color w:val="000000"/>
          <w:sz w:val="20"/>
          <w:szCs w:val="20"/>
          <w:lang w:val="en-GB" w:eastAsia="zh-CN"/>
        </w:rPr>
        <w:t xml:space="preserve"> </w:t>
      </w:r>
      <w:r w:rsidR="00CF4769" w:rsidRPr="00CE0DE7">
        <w:rPr>
          <w:i/>
          <w:color w:val="000000"/>
          <w:sz w:val="20"/>
          <w:szCs w:val="20"/>
          <w:lang w:val="en-GB" w:eastAsia="zh-CN"/>
        </w:rPr>
        <w:t>VRP</w:t>
      </w:r>
      <w:r w:rsidR="00CF4769" w:rsidRPr="00CE0DE7">
        <w:rPr>
          <w:i/>
          <w:color w:val="000000"/>
          <w:sz w:val="20"/>
          <w:szCs w:val="20"/>
          <w:vertAlign w:val="superscript"/>
          <w:lang w:val="en-GB" w:eastAsia="zh-CN"/>
        </w:rPr>
        <w:t>CW</w:t>
      </w:r>
      <w:r w:rsidR="00CF4769" w:rsidRPr="00CE0DE7">
        <w:rPr>
          <w:color w:val="000000"/>
          <w:sz w:val="20"/>
          <w:szCs w:val="20"/>
          <w:lang w:val="en-GB" w:eastAsia="zh-CN"/>
        </w:rPr>
        <w:t xml:space="preserve"> </w:t>
      </w:r>
      <w:r w:rsidR="008A4626" w:rsidRPr="00CE0DE7">
        <w:rPr>
          <w:color w:val="000000"/>
          <w:sz w:val="20"/>
          <w:szCs w:val="20"/>
          <w:lang w:val="en-GB" w:eastAsia="zh-CN"/>
        </w:rPr>
        <w:t>i</w:t>
      </w:r>
      <w:r w:rsidR="00A83BC5" w:rsidRPr="00CE0DE7">
        <w:rPr>
          <w:color w:val="000000"/>
          <w:sz w:val="20"/>
          <w:szCs w:val="20"/>
          <w:lang w:val="en-GB" w:eastAsia="zh-CN"/>
        </w:rPr>
        <w:t xml:space="preserve">s </w:t>
      </w:r>
      <w:r w:rsidR="008A4626" w:rsidRPr="00CE0DE7">
        <w:rPr>
          <w:color w:val="000000"/>
          <w:sz w:val="20"/>
          <w:szCs w:val="20"/>
          <w:lang w:val="en-GB" w:eastAsia="zh-CN"/>
        </w:rPr>
        <w:t>higher than</w:t>
      </w:r>
      <w:r w:rsidR="00A83BC5" w:rsidRPr="00CE0DE7">
        <w:rPr>
          <w:color w:val="000000"/>
          <w:sz w:val="20"/>
          <w:szCs w:val="20"/>
          <w:lang w:val="en-GB" w:eastAsia="zh-CN"/>
        </w:rPr>
        <w:t xml:space="preserve"> 0.5%</w:t>
      </w:r>
      <w:r w:rsidR="00A83BC5" w:rsidRPr="00CE0DE7">
        <w:rPr>
          <w:rFonts w:eastAsia="Times New Roman"/>
          <w:bCs/>
          <w:color w:val="000000"/>
          <w:sz w:val="20"/>
          <w:szCs w:val="20"/>
          <w:lang w:val="en-GB" w:eastAsia="zh-CN"/>
        </w:rPr>
        <w:t xml:space="preserve">. </w:t>
      </w:r>
      <w:r w:rsidRPr="00CE0DE7">
        <w:rPr>
          <w:rFonts w:eastAsiaTheme="minorEastAsia"/>
          <w:bCs/>
          <w:color w:val="000000"/>
          <w:sz w:val="20"/>
          <w:szCs w:val="20"/>
          <w:lang w:val="en-GB" w:eastAsia="zh-CN"/>
        </w:rPr>
        <w:t>However,</w:t>
      </w:r>
      <w:r w:rsidR="008A4626" w:rsidRPr="00CE0DE7">
        <w:rPr>
          <w:rFonts w:eastAsia="Times New Roman"/>
          <w:bCs/>
          <w:color w:val="000000"/>
          <w:sz w:val="20"/>
          <w:szCs w:val="20"/>
          <w:lang w:val="en-GB" w:eastAsia="zh-CN"/>
        </w:rPr>
        <w:t xml:space="preserve"> the </w:t>
      </w:r>
      <w:r w:rsidR="008A4626" w:rsidRPr="00CE0DE7">
        <w:rPr>
          <w:rFonts w:eastAsia="Times New Roman"/>
          <w:bCs/>
          <w:i/>
          <w:iCs/>
          <w:color w:val="000000"/>
          <w:sz w:val="20"/>
          <w:szCs w:val="20"/>
          <w:lang w:val="en-GB" w:eastAsia="zh-CN"/>
        </w:rPr>
        <w:t>R</w:t>
      </w:r>
      <w:r w:rsidR="008A4626" w:rsidRPr="00CE0DE7">
        <w:rPr>
          <w:rFonts w:eastAsia="Times New Roman"/>
          <w:bCs/>
          <w:color w:val="000000"/>
          <w:sz w:val="20"/>
          <w:szCs w:val="20"/>
          <w:vertAlign w:val="superscript"/>
          <w:lang w:val="en-GB" w:eastAsia="zh-CN"/>
        </w:rPr>
        <w:t>2</w:t>
      </w:r>
      <w:r w:rsidR="008A4626" w:rsidRPr="00CE0DE7">
        <w:rPr>
          <w:rFonts w:eastAsia="Times New Roman"/>
          <w:bCs/>
          <w:color w:val="000000"/>
          <w:sz w:val="20"/>
          <w:szCs w:val="20"/>
          <w:vertAlign w:val="subscript"/>
          <w:lang w:val="en-GB" w:eastAsia="zh-CN"/>
        </w:rPr>
        <w:t>OS</w:t>
      </w:r>
      <w:r w:rsidR="008A4626" w:rsidRPr="00CE0DE7">
        <w:rPr>
          <w:rFonts w:eastAsia="Times New Roman"/>
          <w:bCs/>
          <w:color w:val="000000"/>
          <w:sz w:val="20"/>
          <w:szCs w:val="20"/>
          <w:lang w:val="en-GB" w:eastAsia="zh-CN"/>
        </w:rPr>
        <w:t xml:space="preserve"> for the two illiquidity measures are all negative. Furthermore</w:t>
      </w:r>
      <w:r w:rsidR="00A83BC5" w:rsidRPr="00CE0DE7">
        <w:rPr>
          <w:rFonts w:eastAsia="Times New Roman"/>
          <w:bCs/>
          <w:color w:val="000000"/>
          <w:sz w:val="20"/>
          <w:szCs w:val="20"/>
          <w:lang w:val="en-GB" w:eastAsia="zh-CN"/>
        </w:rPr>
        <w:t xml:space="preserve">, the </w:t>
      </w:r>
      <w:r w:rsidR="00A83BC5" w:rsidRPr="00CE0DE7">
        <w:rPr>
          <w:i/>
          <w:color w:val="000000"/>
          <w:sz w:val="20"/>
          <w:szCs w:val="20"/>
          <w:lang w:val="en-GB" w:eastAsia="zh-CN"/>
        </w:rPr>
        <w:t>MSFE-adjusted</w:t>
      </w:r>
      <w:r w:rsidR="00A83BC5" w:rsidRPr="00CE0DE7">
        <w:rPr>
          <w:color w:val="000000"/>
          <w:sz w:val="20"/>
          <w:szCs w:val="20"/>
          <w:lang w:val="en-GB" w:eastAsia="zh-CN"/>
        </w:rPr>
        <w:t xml:space="preserve"> statistic in column (5) implies that </w:t>
      </w:r>
      <w:r w:rsidR="008A4626" w:rsidRPr="00CE0DE7">
        <w:rPr>
          <w:color w:val="000000"/>
          <w:sz w:val="20"/>
          <w:szCs w:val="20"/>
          <w:lang w:val="en-GB" w:eastAsia="zh-CN"/>
        </w:rPr>
        <w:t xml:space="preserve">the </w:t>
      </w:r>
      <w:r w:rsidR="00A83BC5" w:rsidRPr="00CE0DE7">
        <w:rPr>
          <w:rFonts w:eastAsia="Times New Roman"/>
          <w:bCs/>
          <w:color w:val="000000"/>
          <w:sz w:val="20"/>
          <w:szCs w:val="20"/>
          <w:lang w:val="en-GB" w:eastAsia="zh-CN"/>
        </w:rPr>
        <w:t xml:space="preserve">MSFE </w:t>
      </w:r>
      <w:r w:rsidR="00AD7582" w:rsidRPr="00CE0DE7">
        <w:rPr>
          <w:rFonts w:eastAsia="Times New Roman"/>
          <w:bCs/>
          <w:color w:val="000000"/>
          <w:sz w:val="20"/>
          <w:szCs w:val="20"/>
          <w:lang w:val="en-GB" w:eastAsia="zh-CN"/>
        </w:rPr>
        <w:t xml:space="preserve">values </w:t>
      </w:r>
      <w:r w:rsidR="00C67BE3" w:rsidRPr="00CE0DE7">
        <w:rPr>
          <w:rFonts w:eastAsia="Times New Roman"/>
          <w:bCs/>
          <w:color w:val="000000"/>
          <w:sz w:val="20"/>
          <w:szCs w:val="20"/>
          <w:lang w:val="en-GB" w:eastAsia="zh-CN"/>
        </w:rPr>
        <w:t>of</w:t>
      </w:r>
      <w:r w:rsidR="00A83BC5" w:rsidRPr="00CE0DE7">
        <w:rPr>
          <w:rFonts w:eastAsia="Times New Roman"/>
          <w:bCs/>
          <w:color w:val="000000"/>
          <w:sz w:val="20"/>
          <w:szCs w:val="20"/>
          <w:lang w:val="en-GB" w:eastAsia="zh-CN"/>
        </w:rPr>
        <w:t xml:space="preserve"> </w:t>
      </w:r>
      <w:r w:rsidR="00CF4769" w:rsidRPr="00CE0DE7">
        <w:rPr>
          <w:i/>
          <w:color w:val="000000"/>
          <w:sz w:val="20"/>
          <w:szCs w:val="20"/>
          <w:lang w:val="en-GB" w:eastAsia="zh-CN"/>
        </w:rPr>
        <w:t>VRP</w:t>
      </w:r>
      <w:r w:rsidR="00CF4769" w:rsidRPr="00CE0DE7">
        <w:rPr>
          <w:i/>
          <w:color w:val="000000"/>
          <w:sz w:val="20"/>
          <w:szCs w:val="20"/>
          <w:vertAlign w:val="superscript"/>
          <w:lang w:val="en-GB" w:eastAsia="zh-CN"/>
        </w:rPr>
        <w:t>BTZ</w:t>
      </w:r>
      <w:r w:rsidR="00CF4769" w:rsidRPr="00CE0DE7">
        <w:rPr>
          <w:i/>
          <w:color w:val="000000"/>
          <w:sz w:val="20"/>
          <w:szCs w:val="20"/>
          <w:lang w:val="en-GB" w:eastAsia="zh-CN"/>
        </w:rPr>
        <w:t xml:space="preserve"> </w:t>
      </w:r>
      <w:r w:rsidRPr="00CE0DE7">
        <w:rPr>
          <w:color w:val="000000"/>
          <w:sz w:val="20"/>
          <w:szCs w:val="20"/>
          <w:lang w:val="en-GB" w:eastAsia="zh-CN"/>
        </w:rPr>
        <w:t xml:space="preserve">or </w:t>
      </w:r>
      <w:r w:rsidR="00CF4769" w:rsidRPr="00CE0DE7">
        <w:rPr>
          <w:i/>
          <w:color w:val="000000"/>
          <w:sz w:val="20"/>
          <w:szCs w:val="20"/>
          <w:lang w:val="en-GB" w:eastAsia="zh-CN"/>
        </w:rPr>
        <w:t>VRP</w:t>
      </w:r>
      <w:r w:rsidR="00CF4769" w:rsidRPr="00CE0DE7">
        <w:rPr>
          <w:i/>
          <w:color w:val="000000"/>
          <w:sz w:val="20"/>
          <w:szCs w:val="20"/>
          <w:vertAlign w:val="superscript"/>
          <w:lang w:val="en-GB" w:eastAsia="zh-CN"/>
        </w:rPr>
        <w:t>CW</w:t>
      </w:r>
      <w:r w:rsidR="00CF4769" w:rsidRPr="00CE0DE7">
        <w:rPr>
          <w:rFonts w:eastAsia="Times New Roman"/>
          <w:bCs/>
          <w:color w:val="000000"/>
          <w:sz w:val="20"/>
          <w:szCs w:val="20"/>
          <w:lang w:val="en-GB" w:eastAsia="zh-CN"/>
        </w:rPr>
        <w:t xml:space="preserve"> </w:t>
      </w:r>
      <w:r w:rsidR="00A83BC5" w:rsidRPr="00CE0DE7">
        <w:rPr>
          <w:rFonts w:eastAsia="Times New Roman"/>
          <w:bCs/>
          <w:color w:val="000000"/>
          <w:sz w:val="20"/>
          <w:szCs w:val="20"/>
          <w:lang w:val="en-GB" w:eastAsia="zh-CN"/>
        </w:rPr>
        <w:t>are significantly less than the historical average MSFE</w:t>
      </w:r>
      <w:r w:rsidR="008A4626" w:rsidRPr="00CE0DE7">
        <w:rPr>
          <w:rFonts w:eastAsia="Times New Roman"/>
          <w:bCs/>
          <w:color w:val="000000"/>
          <w:sz w:val="20"/>
          <w:szCs w:val="20"/>
          <w:lang w:val="en-GB" w:eastAsia="zh-CN"/>
        </w:rPr>
        <w:t>,</w:t>
      </w:r>
      <w:r w:rsidR="008A4626" w:rsidRPr="00CE0DE7">
        <w:rPr>
          <w:color w:val="000000"/>
          <w:sz w:val="20"/>
          <w:szCs w:val="20"/>
          <w:lang w:val="en-GB" w:eastAsia="zh-CN"/>
        </w:rPr>
        <w:t xml:space="preserve"> while</w:t>
      </w:r>
      <w:r w:rsidR="00A83BC5" w:rsidRPr="00CE0DE7">
        <w:rPr>
          <w:color w:val="000000"/>
          <w:sz w:val="20"/>
          <w:szCs w:val="20"/>
          <w:lang w:val="en-GB" w:eastAsia="zh-CN"/>
        </w:rPr>
        <w:t xml:space="preserve"> the two illiquidity measures fail to outperform the benchmark. Similar results </w:t>
      </w:r>
      <w:r w:rsidR="00C67BE3" w:rsidRPr="00CE0DE7">
        <w:rPr>
          <w:color w:val="000000"/>
          <w:sz w:val="20"/>
          <w:szCs w:val="20"/>
          <w:lang w:val="en-GB" w:eastAsia="zh-CN"/>
        </w:rPr>
        <w:t>can</w:t>
      </w:r>
      <w:r w:rsidR="00A83BC5" w:rsidRPr="00CE0DE7">
        <w:rPr>
          <w:color w:val="000000"/>
          <w:sz w:val="20"/>
          <w:szCs w:val="20"/>
          <w:lang w:val="en-GB" w:eastAsia="zh-CN"/>
        </w:rPr>
        <w:t xml:space="preserve"> be found </w:t>
      </w:r>
      <w:r w:rsidR="00C67BE3" w:rsidRPr="00CE0DE7">
        <w:rPr>
          <w:color w:val="000000"/>
          <w:sz w:val="20"/>
          <w:szCs w:val="20"/>
          <w:lang w:val="en-GB" w:eastAsia="zh-CN"/>
        </w:rPr>
        <w:t xml:space="preserve">in Columns (6) </w:t>
      </w:r>
      <w:r w:rsidRPr="00CE0DE7">
        <w:rPr>
          <w:color w:val="000000"/>
          <w:sz w:val="20"/>
          <w:szCs w:val="20"/>
          <w:lang w:val="en-GB" w:eastAsia="zh-CN"/>
        </w:rPr>
        <w:t>-</w:t>
      </w:r>
      <w:r w:rsidR="00C67BE3" w:rsidRPr="00CE0DE7">
        <w:rPr>
          <w:color w:val="000000"/>
          <w:sz w:val="20"/>
          <w:szCs w:val="20"/>
          <w:lang w:val="en-GB" w:eastAsia="zh-CN"/>
        </w:rPr>
        <w:t xml:space="preserve"> (7) </w:t>
      </w:r>
      <w:r w:rsidR="00A83BC5" w:rsidRPr="00CE0DE7">
        <w:rPr>
          <w:color w:val="000000"/>
          <w:sz w:val="20"/>
          <w:szCs w:val="20"/>
          <w:lang w:val="en-GB" w:eastAsia="zh-CN"/>
        </w:rPr>
        <w:t>when us</w:t>
      </w:r>
      <w:r w:rsidR="00C67BE3" w:rsidRPr="00CE0DE7">
        <w:rPr>
          <w:color w:val="000000"/>
          <w:sz w:val="20"/>
          <w:szCs w:val="20"/>
          <w:lang w:val="en-GB" w:eastAsia="zh-CN"/>
        </w:rPr>
        <w:t>ing</w:t>
      </w:r>
      <w:r w:rsidR="00A83BC5" w:rsidRPr="00CE0DE7">
        <w:rPr>
          <w:color w:val="000000"/>
          <w:sz w:val="20"/>
          <w:szCs w:val="20"/>
          <w:lang w:val="en-GB" w:eastAsia="zh-CN"/>
        </w:rPr>
        <w:t xml:space="preserve"> 1990:01–2004:12 as </w:t>
      </w:r>
      <w:r w:rsidRPr="00CE0DE7">
        <w:rPr>
          <w:color w:val="000000"/>
          <w:sz w:val="20"/>
          <w:szCs w:val="20"/>
          <w:lang w:val="en-GB" w:eastAsia="zh-CN"/>
        </w:rPr>
        <w:t xml:space="preserve">the </w:t>
      </w:r>
      <w:r w:rsidR="00A83BC5" w:rsidRPr="00CE0DE7">
        <w:rPr>
          <w:color w:val="000000"/>
          <w:sz w:val="20"/>
          <w:szCs w:val="20"/>
          <w:lang w:val="en-GB" w:eastAsia="zh-CN"/>
        </w:rPr>
        <w:t>initiation period and 2005:01–</w:t>
      </w:r>
      <w:r w:rsidR="008B2DF6" w:rsidRPr="00CE0DE7">
        <w:rPr>
          <w:color w:val="000000"/>
          <w:sz w:val="20"/>
          <w:szCs w:val="20"/>
          <w:lang w:val="en-GB" w:eastAsia="zh-CN"/>
        </w:rPr>
        <w:t>2018</w:t>
      </w:r>
      <w:r w:rsidR="00A83BC5" w:rsidRPr="00CE0DE7">
        <w:rPr>
          <w:color w:val="000000"/>
          <w:sz w:val="20"/>
          <w:szCs w:val="20"/>
          <w:lang w:val="en-GB" w:eastAsia="zh-CN"/>
        </w:rPr>
        <w:t xml:space="preserve">:12 as </w:t>
      </w:r>
      <w:r w:rsidRPr="00CE0DE7">
        <w:rPr>
          <w:color w:val="000000"/>
          <w:sz w:val="20"/>
          <w:szCs w:val="20"/>
          <w:lang w:val="en-GB" w:eastAsia="zh-CN"/>
        </w:rPr>
        <w:t xml:space="preserve">the </w:t>
      </w:r>
      <w:r w:rsidR="00A83BC5" w:rsidRPr="00CE0DE7">
        <w:rPr>
          <w:color w:val="000000"/>
          <w:sz w:val="20"/>
          <w:szCs w:val="20"/>
          <w:lang w:val="en-GB" w:eastAsia="zh-CN"/>
        </w:rPr>
        <w:t xml:space="preserve">forecast evaluation period. </w:t>
      </w:r>
      <w:r w:rsidRPr="00CE0DE7">
        <w:rPr>
          <w:color w:val="000000"/>
          <w:sz w:val="20"/>
          <w:szCs w:val="20"/>
          <w:lang w:val="en-GB" w:eastAsia="zh-CN"/>
        </w:rPr>
        <w:t xml:space="preserve">These results are in line with the </w:t>
      </w:r>
      <w:r w:rsidR="00AB0522" w:rsidRPr="00CE0DE7">
        <w:rPr>
          <w:color w:val="000000"/>
          <w:sz w:val="20"/>
          <w:szCs w:val="20"/>
          <w:lang w:val="en-GB" w:eastAsia="zh-CN"/>
        </w:rPr>
        <w:t xml:space="preserve">in-sample </w:t>
      </w:r>
      <w:r w:rsidR="00C67BE3" w:rsidRPr="00CE0DE7">
        <w:rPr>
          <w:color w:val="000000"/>
          <w:sz w:val="20"/>
          <w:szCs w:val="20"/>
          <w:lang w:val="en-GB" w:eastAsia="zh-CN"/>
        </w:rPr>
        <w:t>findings</w:t>
      </w:r>
      <w:r w:rsidRPr="00CE0DE7">
        <w:rPr>
          <w:color w:val="000000"/>
          <w:sz w:val="20"/>
          <w:szCs w:val="20"/>
          <w:lang w:val="en-GB" w:eastAsia="zh-CN"/>
        </w:rPr>
        <w:t xml:space="preserve"> and </w:t>
      </w:r>
      <w:r w:rsidR="00AB0522" w:rsidRPr="00CE0DE7">
        <w:rPr>
          <w:color w:val="000000"/>
          <w:sz w:val="20"/>
          <w:szCs w:val="20"/>
          <w:lang w:val="en-GB" w:eastAsia="zh-CN"/>
        </w:rPr>
        <w:t xml:space="preserve">indicate that </w:t>
      </w:r>
      <w:r w:rsidR="00AD7582" w:rsidRPr="00CE0DE7">
        <w:rPr>
          <w:color w:val="000000"/>
          <w:sz w:val="20"/>
          <w:szCs w:val="20"/>
          <w:lang w:val="en-GB" w:eastAsia="zh-CN"/>
        </w:rPr>
        <w:t xml:space="preserve">the </w:t>
      </w:r>
      <w:r w:rsidR="0048419C" w:rsidRPr="00CE0DE7">
        <w:rPr>
          <w:color w:val="000000"/>
          <w:sz w:val="20"/>
          <w:szCs w:val="20"/>
          <w:lang w:val="en-GB" w:eastAsia="zh-CN"/>
        </w:rPr>
        <w:t>VRP</w:t>
      </w:r>
      <w:r w:rsidRPr="00CE0DE7">
        <w:rPr>
          <w:color w:val="000000"/>
          <w:sz w:val="20"/>
          <w:szCs w:val="20"/>
          <w:lang w:val="en-GB" w:eastAsia="zh-CN"/>
        </w:rPr>
        <w:t>, but not liquidity,</w:t>
      </w:r>
      <w:r w:rsidR="00AB0522" w:rsidRPr="00CE0DE7">
        <w:rPr>
          <w:color w:val="000000"/>
          <w:sz w:val="20"/>
          <w:szCs w:val="20"/>
          <w:lang w:val="en-GB" w:eastAsia="zh-CN"/>
        </w:rPr>
        <w:t xml:space="preserve"> </w:t>
      </w:r>
      <w:r w:rsidRPr="00CE0DE7">
        <w:rPr>
          <w:color w:val="000000"/>
          <w:sz w:val="20"/>
          <w:szCs w:val="20"/>
          <w:lang w:val="en-GB" w:eastAsia="zh-CN"/>
        </w:rPr>
        <w:t xml:space="preserve">exhibits </w:t>
      </w:r>
      <w:r w:rsidR="00AB0522" w:rsidRPr="00CE0DE7">
        <w:rPr>
          <w:color w:val="000000"/>
          <w:sz w:val="20"/>
          <w:szCs w:val="20"/>
          <w:lang w:val="en-GB" w:eastAsia="zh-CN"/>
        </w:rPr>
        <w:t xml:space="preserve">significant out-of-sample </w:t>
      </w:r>
      <w:r w:rsidR="008B2DF6" w:rsidRPr="00CE0DE7">
        <w:rPr>
          <w:color w:val="000000"/>
          <w:sz w:val="20"/>
          <w:szCs w:val="20"/>
          <w:lang w:val="en-GB" w:eastAsia="zh-CN"/>
        </w:rPr>
        <w:t>forecasting</w:t>
      </w:r>
      <w:r w:rsidR="00A83BC5" w:rsidRPr="00CE0DE7">
        <w:rPr>
          <w:color w:val="000000"/>
          <w:sz w:val="20"/>
          <w:szCs w:val="20"/>
          <w:lang w:val="en-GB" w:eastAsia="zh-CN"/>
        </w:rPr>
        <w:t xml:space="preserve"> for market returns.</w:t>
      </w:r>
    </w:p>
    <w:p w14:paraId="1AEB8211" w14:textId="393C5920" w:rsidR="00FC5B25" w:rsidRPr="00CE0DE7" w:rsidRDefault="00A83BC5"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lastRenderedPageBreak/>
        <w:t xml:space="preserve">Finally, we </w:t>
      </w:r>
      <w:r w:rsidR="008B73A5" w:rsidRPr="00CE0DE7">
        <w:rPr>
          <w:color w:val="000000"/>
          <w:sz w:val="20"/>
          <w:szCs w:val="20"/>
          <w:lang w:val="en-GB" w:eastAsia="zh-CN"/>
        </w:rPr>
        <w:t>use</w:t>
      </w:r>
      <w:r w:rsidR="00CD4CD4" w:rsidRPr="00CE0DE7">
        <w:rPr>
          <w:color w:val="000000"/>
          <w:sz w:val="20"/>
          <w:szCs w:val="20"/>
          <w:lang w:val="en-GB" w:eastAsia="zh-CN"/>
        </w:rPr>
        <w:t xml:space="preserve"> the princip</w:t>
      </w:r>
      <w:r w:rsidR="00AD7582" w:rsidRPr="00CE0DE7">
        <w:rPr>
          <w:color w:val="000000"/>
          <w:sz w:val="20"/>
          <w:szCs w:val="20"/>
          <w:lang w:val="en-GB" w:eastAsia="zh-CN"/>
        </w:rPr>
        <w:t>al</w:t>
      </w:r>
      <w:r w:rsidR="00CD4CD4" w:rsidRPr="00CE0DE7">
        <w:rPr>
          <w:color w:val="000000"/>
          <w:sz w:val="20"/>
          <w:szCs w:val="20"/>
          <w:lang w:val="en-GB" w:eastAsia="zh-CN"/>
        </w:rPr>
        <w:t xml:space="preserve"> component of 14 macro-economic </w:t>
      </w:r>
      <w:r w:rsidR="00C67BE3" w:rsidRPr="00CE0DE7">
        <w:rPr>
          <w:color w:val="000000"/>
          <w:sz w:val="20"/>
          <w:szCs w:val="20"/>
          <w:lang w:val="en-GB" w:eastAsia="zh-CN"/>
        </w:rPr>
        <w:t>factors</w:t>
      </w:r>
      <w:r w:rsidR="00CD4CD4" w:rsidRPr="00CE0DE7">
        <w:rPr>
          <w:color w:val="000000"/>
          <w:sz w:val="20"/>
          <w:szCs w:val="20"/>
          <w:lang w:val="en-GB" w:eastAsia="zh-CN"/>
        </w:rPr>
        <w:t xml:space="preserve"> proposed </w:t>
      </w:r>
      <w:r w:rsidR="00AD7582" w:rsidRPr="00CE0DE7">
        <w:rPr>
          <w:color w:val="000000"/>
          <w:sz w:val="20"/>
          <w:szCs w:val="20"/>
          <w:lang w:val="en-GB" w:eastAsia="zh-CN"/>
        </w:rPr>
        <w:t xml:space="preserve">by </w:t>
      </w:r>
      <w:r w:rsidR="00CD4CD4" w:rsidRPr="00CE0DE7">
        <w:rPr>
          <w:color w:val="000000"/>
          <w:sz w:val="20"/>
          <w:szCs w:val="20"/>
          <w:lang w:val="en-GB" w:eastAsia="zh-CN"/>
        </w:rPr>
        <w:t xml:space="preserve">Welch and Goyal </w:t>
      </w:r>
      <w:r w:rsidR="00753336" w:rsidRPr="00CE0DE7">
        <w:rPr>
          <w:color w:val="000000"/>
          <w:sz w:val="20"/>
          <w:szCs w:val="20"/>
          <w:lang w:val="en-GB" w:eastAsia="zh-CN"/>
        </w:rPr>
        <w:fldChar w:fldCharType="begin" w:fldLock="1"/>
      </w:r>
      <w:r w:rsidR="00753336" w:rsidRPr="00CE0DE7">
        <w:rPr>
          <w:color w:val="000000"/>
          <w:sz w:val="20"/>
          <w:szCs w:val="20"/>
          <w:lang w:val="en-GB" w:eastAsia="zh-CN"/>
        </w:rPr>
        <w:instrText>ADDIN CSL_CITATION {"citationItems":[{"id":"ITEM-1","itemData":{"ISSN":"0893-9454","abstract":"Our article comprehensively reexamines the performance of variables that have been suggested by the academic literature to be good predictors of the equity premium. We find that by and large, these models have predicted poorly both in-sample (IS) and out-of-sample (OOS) for 30 years now; these models seem unstable, as diagnosed by their out-of-sample predictions and other statistics; and these models would not have helped an investor with access only to available information to profitably time the market. © The Author 2007. Published by Oxford University Press on behalf of the Society for Financial Studies. All rights reserved.","author":[{"dropping-particle":"","family":"Welch","given":"Ivo","non-dropping-particle":"","parse-names":false,"suffix":""},{"dropping-particle":"","family":"Goyal","given":"Amit","non-dropping-particle":"","parse-names":false,"suffix":""}],"container-title":"Review of Financial Studies","id":"ITEM-1","issue":"4","issued":{"date-parts":[["2008","7","1"]]},"page":"1455-1508","publisher":"Oxford Academic","title":"A comprehensive look at the empirical performance of equity premium prediction","type":"article-journal","volume":"21"},"suppress-author":1,"uris":["http://www.mendeley.com/documents/?uuid=18e64634-3bbc-3315-8da7-d065c7df7ec4"]}],"mendeley":{"formattedCitation":"(2008)","plainTextFormattedCitation":"(2008)","previouslyFormattedCitation":"(2008)"},"properties":{"noteIndex":0},"schema":"https://github.com/citation-style-language/schema/raw/master/csl-citation.json"}</w:instrText>
      </w:r>
      <w:r w:rsidR="00753336" w:rsidRPr="00CE0DE7">
        <w:rPr>
          <w:color w:val="000000"/>
          <w:sz w:val="20"/>
          <w:szCs w:val="20"/>
          <w:lang w:val="en-GB" w:eastAsia="zh-CN"/>
        </w:rPr>
        <w:fldChar w:fldCharType="separate"/>
      </w:r>
      <w:r w:rsidR="00753336" w:rsidRPr="00CE0DE7">
        <w:rPr>
          <w:noProof/>
          <w:color w:val="000000"/>
          <w:sz w:val="20"/>
          <w:szCs w:val="20"/>
          <w:lang w:val="en-GB" w:eastAsia="zh-CN"/>
        </w:rPr>
        <w:t>(2008)</w:t>
      </w:r>
      <w:r w:rsidR="00753336" w:rsidRPr="00CE0DE7">
        <w:rPr>
          <w:color w:val="000000"/>
          <w:sz w:val="20"/>
          <w:szCs w:val="20"/>
          <w:lang w:val="en-GB" w:eastAsia="zh-CN"/>
        </w:rPr>
        <w:fldChar w:fldCharType="end"/>
      </w:r>
      <w:r w:rsidR="00CD4CD4" w:rsidRPr="00CE0DE7">
        <w:rPr>
          <w:color w:val="000000"/>
          <w:sz w:val="20"/>
          <w:szCs w:val="20"/>
          <w:lang w:val="en-GB" w:eastAsia="zh-CN"/>
        </w:rPr>
        <w:t xml:space="preserve"> as control variables and test the additional predictive power of </w:t>
      </w:r>
      <w:r w:rsidR="00AD7582" w:rsidRPr="00CE0DE7">
        <w:rPr>
          <w:color w:val="000000"/>
          <w:sz w:val="20"/>
          <w:szCs w:val="20"/>
          <w:lang w:val="en-GB" w:eastAsia="zh-CN"/>
        </w:rPr>
        <w:t xml:space="preserve">the </w:t>
      </w:r>
      <w:r w:rsidR="0048419C" w:rsidRPr="00CE0DE7">
        <w:rPr>
          <w:color w:val="000000"/>
          <w:sz w:val="20"/>
          <w:szCs w:val="20"/>
          <w:lang w:val="en-GB" w:eastAsia="zh-CN"/>
        </w:rPr>
        <w:t>VRP</w:t>
      </w:r>
      <w:r w:rsidR="00CD4CD4" w:rsidRPr="00CE0DE7">
        <w:rPr>
          <w:color w:val="000000"/>
          <w:sz w:val="20"/>
          <w:szCs w:val="20"/>
          <w:lang w:val="en-GB" w:eastAsia="zh-CN"/>
        </w:rPr>
        <w:t xml:space="preserve"> and illiquidity. The results are reported in Panel B Table 7. </w:t>
      </w:r>
      <w:r w:rsidR="00FC5B25" w:rsidRPr="00CE0DE7">
        <w:rPr>
          <w:color w:val="000000"/>
          <w:sz w:val="20"/>
          <w:szCs w:val="20"/>
          <w:lang w:val="en-GB" w:eastAsia="zh-CN"/>
        </w:rPr>
        <w:t>They</w:t>
      </w:r>
      <w:r w:rsidR="00CD4CD4" w:rsidRPr="00CE0DE7">
        <w:rPr>
          <w:color w:val="000000"/>
          <w:sz w:val="20"/>
          <w:szCs w:val="20"/>
          <w:lang w:val="en-GB" w:eastAsia="zh-CN"/>
        </w:rPr>
        <w:t xml:space="preserve"> show that the coefficients of </w:t>
      </w:r>
      <w:r w:rsidR="00932850" w:rsidRPr="00CE0DE7">
        <w:rPr>
          <w:i/>
          <w:color w:val="000000"/>
          <w:sz w:val="20"/>
          <w:szCs w:val="20"/>
          <w:lang w:val="en-GB" w:eastAsia="zh-CN"/>
        </w:rPr>
        <w:t>VRP</w:t>
      </w:r>
      <w:r w:rsidR="00932850" w:rsidRPr="00CE0DE7">
        <w:rPr>
          <w:i/>
          <w:color w:val="000000"/>
          <w:sz w:val="20"/>
          <w:szCs w:val="20"/>
          <w:vertAlign w:val="superscript"/>
          <w:lang w:val="en-GB" w:eastAsia="zh-CN"/>
        </w:rPr>
        <w:t>BTZ</w:t>
      </w:r>
      <w:r w:rsidR="00932850" w:rsidRPr="00CE0DE7">
        <w:rPr>
          <w:i/>
          <w:color w:val="000000"/>
          <w:sz w:val="20"/>
          <w:szCs w:val="20"/>
          <w:lang w:val="en-GB" w:eastAsia="zh-CN"/>
        </w:rPr>
        <w:t xml:space="preserve"> </w:t>
      </w:r>
      <w:r w:rsidR="00CD4CD4" w:rsidRPr="00CE0DE7">
        <w:rPr>
          <w:color w:val="000000"/>
          <w:sz w:val="20"/>
          <w:szCs w:val="20"/>
          <w:lang w:val="en-GB" w:eastAsia="zh-CN"/>
        </w:rPr>
        <w:t xml:space="preserve">and </w:t>
      </w:r>
      <w:r w:rsidR="00932850" w:rsidRPr="00CE0DE7">
        <w:rPr>
          <w:i/>
          <w:color w:val="000000"/>
          <w:sz w:val="20"/>
          <w:szCs w:val="20"/>
          <w:lang w:val="en-GB" w:eastAsia="zh-CN"/>
        </w:rPr>
        <w:t>VRP</w:t>
      </w:r>
      <w:r w:rsidR="00932850" w:rsidRPr="00CE0DE7">
        <w:rPr>
          <w:i/>
          <w:color w:val="000000"/>
          <w:sz w:val="20"/>
          <w:szCs w:val="20"/>
          <w:vertAlign w:val="superscript"/>
          <w:lang w:val="en-GB" w:eastAsia="zh-CN"/>
        </w:rPr>
        <w:t>CW</w:t>
      </w:r>
      <w:r w:rsidR="00932850" w:rsidRPr="00CE0DE7">
        <w:rPr>
          <w:color w:val="000000"/>
          <w:sz w:val="20"/>
          <w:szCs w:val="20"/>
          <w:vertAlign w:val="superscript"/>
          <w:lang w:val="en-GB" w:eastAsia="zh-CN"/>
        </w:rPr>
        <w:t xml:space="preserve"> </w:t>
      </w:r>
      <w:r w:rsidR="008B73A5" w:rsidRPr="00CE0DE7">
        <w:rPr>
          <w:color w:val="000000"/>
          <w:sz w:val="20"/>
          <w:szCs w:val="20"/>
          <w:lang w:val="en-GB" w:eastAsia="zh-CN"/>
        </w:rPr>
        <w:t>remain</w:t>
      </w:r>
      <w:r w:rsidR="00200C05" w:rsidRPr="00CE0DE7">
        <w:rPr>
          <w:color w:val="000000"/>
          <w:sz w:val="20"/>
          <w:szCs w:val="20"/>
          <w:lang w:val="en-GB" w:eastAsia="zh-CN"/>
        </w:rPr>
        <w:t xml:space="preserve"> statistically significant at</w:t>
      </w:r>
      <w:r w:rsidR="008B73A5" w:rsidRPr="00CE0DE7">
        <w:rPr>
          <w:color w:val="000000"/>
          <w:sz w:val="20"/>
          <w:szCs w:val="20"/>
          <w:lang w:val="en-GB" w:eastAsia="zh-CN"/>
        </w:rPr>
        <w:t xml:space="preserve"> the</w:t>
      </w:r>
      <w:r w:rsidR="00200C05" w:rsidRPr="00CE0DE7">
        <w:rPr>
          <w:color w:val="000000"/>
          <w:sz w:val="20"/>
          <w:szCs w:val="20"/>
          <w:lang w:val="en-GB" w:eastAsia="zh-CN"/>
        </w:rPr>
        <w:t xml:space="preserve"> 1% level after controlling for the </w:t>
      </w:r>
      <w:r w:rsidR="008B73A5" w:rsidRPr="00CE0DE7">
        <w:rPr>
          <w:color w:val="000000"/>
          <w:sz w:val="20"/>
          <w:szCs w:val="20"/>
          <w:lang w:val="en-GB" w:eastAsia="zh-CN"/>
        </w:rPr>
        <w:t>principal component of 14 m</w:t>
      </w:r>
      <w:r w:rsidR="00200C05" w:rsidRPr="00CE0DE7">
        <w:rPr>
          <w:color w:val="000000"/>
          <w:sz w:val="20"/>
          <w:szCs w:val="20"/>
          <w:lang w:val="en-GB" w:eastAsia="zh-CN"/>
        </w:rPr>
        <w:t xml:space="preserve">acroeconomic variables. </w:t>
      </w:r>
      <w:r w:rsidR="008B73A5" w:rsidRPr="00CE0DE7">
        <w:rPr>
          <w:color w:val="000000"/>
          <w:sz w:val="20"/>
          <w:szCs w:val="20"/>
          <w:lang w:val="en-GB" w:eastAsia="zh-CN"/>
        </w:rPr>
        <w:t>I</w:t>
      </w:r>
      <w:r w:rsidR="00995954" w:rsidRPr="00CE0DE7">
        <w:rPr>
          <w:color w:val="000000"/>
          <w:sz w:val="20"/>
          <w:szCs w:val="20"/>
          <w:lang w:val="en-GB" w:eastAsia="zh-CN"/>
        </w:rPr>
        <w:t>t is worth noting that when</w:t>
      </w:r>
      <w:r w:rsidR="00AD7582" w:rsidRPr="00CE0DE7">
        <w:rPr>
          <w:color w:val="000000"/>
          <w:sz w:val="20"/>
          <w:szCs w:val="20"/>
          <w:lang w:val="en-GB" w:eastAsia="zh-CN"/>
        </w:rPr>
        <w:t xml:space="preserve"> either</w:t>
      </w:r>
      <w:r w:rsidR="00995954" w:rsidRPr="00CE0DE7">
        <w:rPr>
          <w:color w:val="000000"/>
          <w:sz w:val="20"/>
          <w:szCs w:val="20"/>
          <w:lang w:val="en-GB" w:eastAsia="zh-CN"/>
        </w:rPr>
        <w:t xml:space="preserve"> </w:t>
      </w:r>
      <w:r w:rsidR="00932850" w:rsidRPr="00CE0DE7">
        <w:rPr>
          <w:i/>
          <w:color w:val="000000"/>
          <w:sz w:val="20"/>
          <w:szCs w:val="20"/>
          <w:lang w:val="en-GB" w:eastAsia="zh-CN"/>
        </w:rPr>
        <w:t>VRP</w:t>
      </w:r>
      <w:r w:rsidR="00932850" w:rsidRPr="00CE0DE7">
        <w:rPr>
          <w:i/>
          <w:color w:val="000000"/>
          <w:sz w:val="20"/>
          <w:szCs w:val="20"/>
          <w:vertAlign w:val="superscript"/>
          <w:lang w:val="en-GB" w:eastAsia="zh-CN"/>
        </w:rPr>
        <w:t>BTZ</w:t>
      </w:r>
      <w:r w:rsidR="00932850" w:rsidRPr="00CE0DE7">
        <w:rPr>
          <w:i/>
          <w:color w:val="000000"/>
          <w:sz w:val="20"/>
          <w:szCs w:val="20"/>
          <w:lang w:val="en-GB" w:eastAsia="zh-CN"/>
        </w:rPr>
        <w:t xml:space="preserve"> </w:t>
      </w:r>
      <w:r w:rsidR="00C67BE3" w:rsidRPr="00CE0DE7">
        <w:rPr>
          <w:color w:val="000000"/>
          <w:sz w:val="20"/>
          <w:szCs w:val="20"/>
          <w:lang w:val="en-GB" w:eastAsia="zh-CN"/>
        </w:rPr>
        <w:t>or</w:t>
      </w:r>
      <w:r w:rsidR="00995954" w:rsidRPr="00CE0DE7">
        <w:rPr>
          <w:color w:val="000000"/>
          <w:sz w:val="20"/>
          <w:szCs w:val="20"/>
          <w:lang w:val="en-GB" w:eastAsia="zh-CN"/>
        </w:rPr>
        <w:t xml:space="preserve"> </w:t>
      </w:r>
      <w:r w:rsidR="00932850" w:rsidRPr="00CE0DE7">
        <w:rPr>
          <w:i/>
          <w:color w:val="000000"/>
          <w:sz w:val="20"/>
          <w:szCs w:val="20"/>
          <w:lang w:val="en-GB" w:eastAsia="zh-CN"/>
        </w:rPr>
        <w:t>VRP</w:t>
      </w:r>
      <w:r w:rsidR="00932850" w:rsidRPr="00CE0DE7">
        <w:rPr>
          <w:i/>
          <w:color w:val="000000"/>
          <w:sz w:val="20"/>
          <w:szCs w:val="20"/>
          <w:vertAlign w:val="superscript"/>
          <w:lang w:val="en-GB" w:eastAsia="zh-CN"/>
        </w:rPr>
        <w:t>CW</w:t>
      </w:r>
      <w:r w:rsidR="00932850" w:rsidRPr="00CE0DE7">
        <w:rPr>
          <w:color w:val="000000"/>
          <w:sz w:val="20"/>
          <w:szCs w:val="20"/>
          <w:lang w:val="en-GB" w:eastAsia="zh-CN"/>
        </w:rPr>
        <w:t xml:space="preserve"> </w:t>
      </w:r>
      <w:r w:rsidR="00995954" w:rsidRPr="00CE0DE7">
        <w:rPr>
          <w:color w:val="000000"/>
          <w:sz w:val="20"/>
          <w:szCs w:val="20"/>
          <w:lang w:val="en-GB" w:eastAsia="zh-CN"/>
        </w:rPr>
        <w:t xml:space="preserve">is </w:t>
      </w:r>
      <w:r w:rsidR="008B73A5" w:rsidRPr="00CE0DE7">
        <w:rPr>
          <w:color w:val="000000"/>
          <w:sz w:val="20"/>
          <w:szCs w:val="20"/>
          <w:lang w:val="en-GB" w:eastAsia="zh-CN"/>
        </w:rPr>
        <w:t>added to the regression</w:t>
      </w:r>
      <w:r w:rsidR="00995954" w:rsidRPr="00CE0DE7">
        <w:rPr>
          <w:color w:val="000000"/>
          <w:sz w:val="20"/>
          <w:szCs w:val="20"/>
          <w:lang w:val="en-GB" w:eastAsia="zh-CN"/>
        </w:rPr>
        <w:t xml:space="preserve">, the </w:t>
      </w:r>
      <w:r w:rsidR="00200C05" w:rsidRPr="00CE0DE7">
        <w:rPr>
          <w:rFonts w:eastAsia="Times New Roman"/>
          <w:bCs/>
          <w:i/>
          <w:iCs/>
          <w:color w:val="000000"/>
          <w:sz w:val="20"/>
          <w:szCs w:val="20"/>
          <w:lang w:val="en-GB" w:eastAsia="zh-CN"/>
        </w:rPr>
        <w:t>R</w:t>
      </w:r>
      <w:r w:rsidR="00200C05" w:rsidRPr="00CE0DE7">
        <w:rPr>
          <w:rFonts w:eastAsia="Times New Roman"/>
          <w:bCs/>
          <w:color w:val="000000"/>
          <w:sz w:val="20"/>
          <w:szCs w:val="20"/>
          <w:vertAlign w:val="superscript"/>
          <w:lang w:val="en-GB" w:eastAsia="zh-CN"/>
        </w:rPr>
        <w:t>2</w:t>
      </w:r>
      <w:r w:rsidR="008B73A5" w:rsidRPr="00CE0DE7">
        <w:rPr>
          <w:color w:val="000000"/>
          <w:sz w:val="20"/>
          <w:szCs w:val="20"/>
          <w:lang w:val="en-GB" w:eastAsia="zh-CN"/>
        </w:rPr>
        <w:t xml:space="preserve"> increases massive</w:t>
      </w:r>
      <w:r w:rsidR="00995954" w:rsidRPr="00CE0DE7">
        <w:rPr>
          <w:color w:val="000000"/>
          <w:sz w:val="20"/>
          <w:szCs w:val="20"/>
          <w:lang w:val="en-GB" w:eastAsia="zh-CN"/>
        </w:rPr>
        <w:t>ly</w:t>
      </w:r>
      <w:r w:rsidR="003F2534" w:rsidRPr="00CE0DE7">
        <w:rPr>
          <w:color w:val="000000"/>
          <w:sz w:val="20"/>
          <w:szCs w:val="20"/>
          <w:lang w:val="en-GB" w:eastAsia="zh-CN"/>
        </w:rPr>
        <w:t xml:space="preserve"> </w:t>
      </w:r>
      <w:r w:rsidR="008B73A5" w:rsidRPr="00CE0DE7">
        <w:rPr>
          <w:color w:val="000000"/>
          <w:sz w:val="20"/>
          <w:szCs w:val="20"/>
          <w:lang w:val="en-GB" w:eastAsia="zh-CN"/>
        </w:rPr>
        <w:t xml:space="preserve">compared with the </w:t>
      </w:r>
      <w:r w:rsidR="003F2534" w:rsidRPr="00CE0DE7">
        <w:rPr>
          <w:color w:val="000000"/>
          <w:sz w:val="20"/>
          <w:szCs w:val="20"/>
          <w:lang w:val="en-GB" w:eastAsia="zh-CN"/>
        </w:rPr>
        <w:t xml:space="preserve">baseline model </w:t>
      </w:r>
      <w:r w:rsidR="00AA050C" w:rsidRPr="00CE0DE7">
        <w:rPr>
          <w:color w:val="000000"/>
          <w:sz w:val="20"/>
          <w:szCs w:val="20"/>
          <w:lang w:val="en-GB" w:eastAsia="zh-CN"/>
        </w:rPr>
        <w:t>with the principle component of macroeconomic variables</w:t>
      </w:r>
      <w:r w:rsidR="00995954" w:rsidRPr="00CE0DE7">
        <w:rPr>
          <w:color w:val="000000"/>
          <w:sz w:val="20"/>
          <w:szCs w:val="20"/>
          <w:lang w:val="en-GB" w:eastAsia="zh-CN"/>
        </w:rPr>
        <w:t xml:space="preserve">. </w:t>
      </w:r>
      <w:r w:rsidR="008B73A5" w:rsidRPr="00CE0DE7">
        <w:rPr>
          <w:color w:val="000000"/>
          <w:sz w:val="20"/>
          <w:szCs w:val="20"/>
          <w:lang w:val="en-GB" w:eastAsia="zh-CN"/>
        </w:rPr>
        <w:t>In</w:t>
      </w:r>
      <w:r w:rsidR="00C67BE3" w:rsidRPr="00CE0DE7">
        <w:rPr>
          <w:color w:val="000000"/>
          <w:sz w:val="20"/>
          <w:szCs w:val="20"/>
          <w:lang w:val="en-GB" w:eastAsia="zh-CN"/>
        </w:rPr>
        <w:t xml:space="preserve"> contrast</w:t>
      </w:r>
      <w:r w:rsidR="00200C05" w:rsidRPr="00CE0DE7">
        <w:rPr>
          <w:color w:val="000000"/>
          <w:sz w:val="20"/>
          <w:szCs w:val="20"/>
          <w:lang w:val="en-GB" w:eastAsia="zh-CN"/>
        </w:rPr>
        <w:t xml:space="preserve">, the two liquidity measures do not </w:t>
      </w:r>
      <w:r w:rsidR="008B73A5" w:rsidRPr="00CE0DE7">
        <w:rPr>
          <w:color w:val="000000"/>
          <w:sz w:val="20"/>
          <w:szCs w:val="20"/>
          <w:lang w:val="en-GB" w:eastAsia="zh-CN"/>
        </w:rPr>
        <w:t xml:space="preserve">exhibit </w:t>
      </w:r>
      <w:r w:rsidR="008B2DF6" w:rsidRPr="00CE0DE7">
        <w:rPr>
          <w:color w:val="000000"/>
          <w:sz w:val="20"/>
          <w:szCs w:val="20"/>
          <w:lang w:val="en-GB" w:eastAsia="zh-CN"/>
        </w:rPr>
        <w:t xml:space="preserve">forecasting </w:t>
      </w:r>
      <w:r w:rsidR="00200C05" w:rsidRPr="00CE0DE7">
        <w:rPr>
          <w:color w:val="000000"/>
          <w:sz w:val="20"/>
          <w:szCs w:val="20"/>
          <w:lang w:val="en-GB" w:eastAsia="zh-CN"/>
        </w:rPr>
        <w:t xml:space="preserve">power for excess market returns. </w:t>
      </w:r>
    </w:p>
    <w:p w14:paraId="4CD1FC17" w14:textId="77777777" w:rsidR="003F2534" w:rsidRPr="00CE0DE7" w:rsidRDefault="003F2534" w:rsidP="00012ACE">
      <w:pPr>
        <w:autoSpaceDE w:val="0"/>
        <w:autoSpaceDN w:val="0"/>
        <w:adjustRightInd w:val="0"/>
        <w:snapToGrid w:val="0"/>
        <w:spacing w:line="480" w:lineRule="auto"/>
        <w:rPr>
          <w:color w:val="000000"/>
          <w:sz w:val="20"/>
          <w:szCs w:val="20"/>
          <w:lang w:val="en-GB" w:eastAsia="zh-CN"/>
        </w:rPr>
      </w:pPr>
    </w:p>
    <w:p w14:paraId="45AC4008" w14:textId="766E785D" w:rsidR="00A40D54" w:rsidRPr="00CE0DE7" w:rsidRDefault="00A40D54" w:rsidP="00D51ACE">
      <w:pPr>
        <w:pStyle w:val="2"/>
        <w:spacing w:before="0" w:after="240"/>
        <w:rPr>
          <w:rFonts w:cs="Times New Roman"/>
          <w:b/>
          <w:sz w:val="20"/>
          <w:szCs w:val="20"/>
          <w:lang w:val="en-GB"/>
        </w:rPr>
      </w:pPr>
      <w:r w:rsidRPr="00CE0DE7">
        <w:rPr>
          <w:rFonts w:cs="Times New Roman"/>
          <w:sz w:val="20"/>
          <w:szCs w:val="20"/>
          <w:lang w:val="en-GB"/>
        </w:rPr>
        <w:t>4.4 Alternative liquidity measure</w:t>
      </w:r>
    </w:p>
    <w:p w14:paraId="23F773A8" w14:textId="5252ED4A" w:rsidR="00A40D54" w:rsidRPr="00CE0DE7" w:rsidRDefault="00A40D54"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To further strength</w:t>
      </w:r>
      <w:r w:rsidR="00D01187" w:rsidRPr="00CE0DE7">
        <w:rPr>
          <w:color w:val="000000"/>
          <w:sz w:val="20"/>
          <w:szCs w:val="20"/>
          <w:lang w:val="en-GB" w:eastAsia="zh-CN"/>
        </w:rPr>
        <w:t>en</w:t>
      </w:r>
      <w:r w:rsidRPr="00CE0DE7">
        <w:rPr>
          <w:color w:val="000000"/>
          <w:sz w:val="20"/>
          <w:szCs w:val="20"/>
          <w:lang w:val="en-GB" w:eastAsia="zh-CN"/>
        </w:rPr>
        <w:t xml:space="preserve"> the validity of our results and capture other </w:t>
      </w:r>
      <w:r w:rsidR="00013A8F" w:rsidRPr="00CE0DE7">
        <w:rPr>
          <w:color w:val="000000"/>
          <w:sz w:val="20"/>
          <w:szCs w:val="20"/>
          <w:lang w:val="en-GB" w:eastAsia="zh-CN"/>
        </w:rPr>
        <w:t>dimensions</w:t>
      </w:r>
      <w:r w:rsidRPr="00CE0DE7">
        <w:rPr>
          <w:color w:val="000000"/>
          <w:sz w:val="20"/>
          <w:szCs w:val="20"/>
          <w:lang w:val="en-GB" w:eastAsia="zh-CN"/>
        </w:rPr>
        <w:t xml:space="preserve"> of liquidity, we consider an alternative measure of liquidity</w:t>
      </w:r>
      <w:r w:rsidR="00AA050C" w:rsidRPr="00CE0DE7">
        <w:rPr>
          <w:color w:val="000000"/>
          <w:sz w:val="20"/>
          <w:szCs w:val="20"/>
          <w:lang w:val="en-GB" w:eastAsia="zh-CN"/>
        </w:rPr>
        <w:t xml:space="preserve"> </w:t>
      </w:r>
      <w:r w:rsidRPr="00CE0DE7">
        <w:rPr>
          <w:color w:val="000000"/>
          <w:sz w:val="20"/>
          <w:szCs w:val="20"/>
          <w:lang w:val="en-GB" w:eastAsia="zh-CN"/>
        </w:rPr>
        <w:t xml:space="preserve">proposed by Liu </w:t>
      </w:r>
      <w:r w:rsidR="00753336" w:rsidRPr="00CE0DE7">
        <w:rPr>
          <w:color w:val="000000"/>
          <w:sz w:val="20"/>
          <w:szCs w:val="20"/>
          <w:lang w:val="en-GB" w:eastAsia="zh-CN"/>
        </w:rPr>
        <w:fldChar w:fldCharType="begin" w:fldLock="1"/>
      </w:r>
      <w:r w:rsidR="004714D1" w:rsidRPr="00CE0DE7">
        <w:rPr>
          <w:color w:val="000000"/>
          <w:sz w:val="20"/>
          <w:szCs w:val="20"/>
          <w:lang w:val="en-GB" w:eastAsia="zh-CN"/>
        </w:rPr>
        <w:instrText>ADDIN CSL_CITATION {"citationItems":[{"id":"ITEM-1","itemData":{"ISSN":"0304405X","abstract":"Using a new measure of liquidity, this paper documents a significant liquidity premium robust to the CAPM and the Fama-French three-factor model and shows that liquidity is an important source of priced risk. A two-factor (market and liquidity) model well explains the cross-section of stock returns, describing the liquidity premium, subsuming documented anomalies associated with size, long-term contrarian investment, and fundamental (cashflow, earnings, and dividend) to price ratios. In particular, the two-factor model accounts for the book-to-market effect, which the Fama-French three-factor model fails to explain. © 2006 Elsevier B.V. All rights reserved.","author":[{"dropping-particle":"","family":"Liu","given":"Weimin","non-dropping-particle":"","parse-names":false,"suffix":""}],"container-title":"Journal of Financial Economics","id":"ITEM-1","issue":"3","issued":{"date-parts":[["2006","12","1"]]},"page":"631-671","publisher":"North-Holland","title":"A liquidity-augmented capital asset pricing model","type":"article-journal","volume":"82"},"suppress-author":1,"uris":["http://www.mendeley.com/documents/?uuid=028a3733-50dc-3861-a56b-ca0205aac321"]}],"mendeley":{"formattedCitation":"(2006)","plainTextFormattedCitation":"(2006)","previouslyFormattedCitation":"(2006)"},"properties":{"noteIndex":0},"schema":"https://github.com/citation-style-language/schema/raw/master/csl-citation.json"}</w:instrText>
      </w:r>
      <w:r w:rsidR="00753336" w:rsidRPr="00CE0DE7">
        <w:rPr>
          <w:color w:val="000000"/>
          <w:sz w:val="20"/>
          <w:szCs w:val="20"/>
          <w:lang w:val="en-GB" w:eastAsia="zh-CN"/>
        </w:rPr>
        <w:fldChar w:fldCharType="separate"/>
      </w:r>
      <w:r w:rsidR="00753336" w:rsidRPr="00CE0DE7">
        <w:rPr>
          <w:noProof/>
          <w:color w:val="000000"/>
          <w:sz w:val="20"/>
          <w:szCs w:val="20"/>
          <w:lang w:val="en-GB" w:eastAsia="zh-CN"/>
        </w:rPr>
        <w:t>(2006)</w:t>
      </w:r>
      <w:r w:rsidR="00753336" w:rsidRPr="00CE0DE7">
        <w:rPr>
          <w:color w:val="000000"/>
          <w:sz w:val="20"/>
          <w:szCs w:val="20"/>
          <w:lang w:val="en-GB" w:eastAsia="zh-CN"/>
        </w:rPr>
        <w:fldChar w:fldCharType="end"/>
      </w:r>
      <w:r w:rsidR="00AA050C" w:rsidRPr="00CE0DE7">
        <w:rPr>
          <w:color w:val="000000"/>
          <w:sz w:val="20"/>
          <w:szCs w:val="20"/>
          <w:lang w:val="en-GB" w:eastAsia="zh-CN"/>
        </w:rPr>
        <w:t>, which</w:t>
      </w:r>
      <w:r w:rsidRPr="00CE0DE7">
        <w:rPr>
          <w:color w:val="000000"/>
          <w:sz w:val="20"/>
          <w:szCs w:val="20"/>
          <w:lang w:val="en-GB" w:eastAsia="zh-CN"/>
        </w:rPr>
        <w:t xml:space="preserve"> captures multidimensional </w:t>
      </w:r>
      <w:r w:rsidR="00013A8F" w:rsidRPr="00CE0DE7">
        <w:rPr>
          <w:color w:val="000000"/>
          <w:sz w:val="20"/>
          <w:szCs w:val="20"/>
          <w:lang w:val="en-GB" w:eastAsia="zh-CN"/>
        </w:rPr>
        <w:t>dimension</w:t>
      </w:r>
      <w:r w:rsidRPr="00CE0DE7">
        <w:rPr>
          <w:color w:val="000000"/>
          <w:sz w:val="20"/>
          <w:szCs w:val="20"/>
          <w:lang w:val="en-GB" w:eastAsia="zh-CN"/>
        </w:rPr>
        <w:t>s of liquidity</w:t>
      </w:r>
      <w:r w:rsidR="009404E8" w:rsidRPr="00CE0DE7">
        <w:rPr>
          <w:color w:val="000000"/>
          <w:sz w:val="20"/>
          <w:szCs w:val="20"/>
          <w:lang w:val="en-GB" w:eastAsia="zh-CN"/>
        </w:rPr>
        <w:t>,</w:t>
      </w:r>
      <w:r w:rsidRPr="00CE0DE7">
        <w:rPr>
          <w:color w:val="000000"/>
          <w:sz w:val="20"/>
          <w:szCs w:val="20"/>
          <w:lang w:val="en-GB" w:eastAsia="zh-CN"/>
        </w:rPr>
        <w:t xml:space="preserve"> including trading quantity, trading speed</w:t>
      </w:r>
      <w:r w:rsidR="009404E8" w:rsidRPr="00CE0DE7">
        <w:rPr>
          <w:color w:val="000000"/>
          <w:sz w:val="20"/>
          <w:szCs w:val="20"/>
          <w:lang w:val="en-GB" w:eastAsia="zh-CN"/>
        </w:rPr>
        <w:t>,</w:t>
      </w:r>
      <w:r w:rsidRPr="00CE0DE7">
        <w:rPr>
          <w:color w:val="000000"/>
          <w:sz w:val="20"/>
          <w:szCs w:val="20"/>
          <w:lang w:val="en-GB" w:eastAsia="zh-CN"/>
        </w:rPr>
        <w:t xml:space="preserve"> and trading cost</w:t>
      </w:r>
      <w:r w:rsidR="00E84D21" w:rsidRPr="00CE0DE7">
        <w:rPr>
          <w:color w:val="000000"/>
          <w:sz w:val="20"/>
          <w:szCs w:val="20"/>
          <w:lang w:val="en-GB" w:eastAsia="zh-CN"/>
        </w:rPr>
        <w:t xml:space="preserve"> (spread)</w:t>
      </w:r>
      <w:r w:rsidRPr="00CE0DE7">
        <w:rPr>
          <w:color w:val="000000"/>
          <w:sz w:val="20"/>
          <w:szCs w:val="20"/>
          <w:lang w:val="en-GB" w:eastAsia="zh-CN"/>
        </w:rPr>
        <w:t xml:space="preserve">. It is defined as the standardized turnover-adjusted number of zero daily trading volumes over the previous </w:t>
      </w:r>
      <w:r w:rsidR="009404E8" w:rsidRPr="00CE0DE7">
        <w:rPr>
          <w:color w:val="000000"/>
          <w:sz w:val="20"/>
          <w:szCs w:val="20"/>
          <w:lang w:val="en-GB" w:eastAsia="zh-CN"/>
        </w:rPr>
        <w:t xml:space="preserve">twelve </w:t>
      </w:r>
      <w:r w:rsidRPr="00CE0DE7">
        <w:rPr>
          <w:color w:val="000000"/>
          <w:sz w:val="20"/>
          <w:szCs w:val="20"/>
          <w:lang w:val="en-GB" w:eastAsia="zh-CN"/>
        </w:rPr>
        <w:t xml:space="preserve">months. </w:t>
      </w:r>
      <w:r w:rsidR="009404E8" w:rsidRPr="00CE0DE7">
        <w:rPr>
          <w:color w:val="000000"/>
          <w:sz w:val="20"/>
          <w:szCs w:val="20"/>
          <w:lang w:val="en-GB" w:eastAsia="zh-CN"/>
        </w:rPr>
        <w:t>This</w:t>
      </w:r>
      <w:r w:rsidRPr="00CE0DE7">
        <w:rPr>
          <w:color w:val="000000"/>
          <w:sz w:val="20"/>
          <w:szCs w:val="20"/>
          <w:lang w:val="en-GB" w:eastAsia="zh-CN"/>
        </w:rPr>
        <w:t xml:space="preserve"> liquidity measure </w:t>
      </w:r>
      <w:r w:rsidR="003E10FD" w:rsidRPr="00CE0DE7">
        <w:rPr>
          <w:color w:val="000000"/>
          <w:sz w:val="20"/>
          <w:szCs w:val="20"/>
          <w:lang w:val="en-GB" w:eastAsia="zh-CN"/>
        </w:rPr>
        <w:t xml:space="preserve">for each stock in each year </w:t>
      </w:r>
      <w:r w:rsidRPr="00CE0DE7">
        <w:rPr>
          <w:color w:val="000000"/>
          <w:sz w:val="20"/>
          <w:szCs w:val="20"/>
          <w:lang w:val="en-GB" w:eastAsia="zh-CN"/>
        </w:rPr>
        <w:t>is computed using the following equation:</w:t>
      </w:r>
    </w:p>
    <w:p w14:paraId="590051B4" w14:textId="7CA4F882" w:rsidR="00A40D54" w:rsidRPr="00CE0DE7" w:rsidRDefault="00A40D54" w:rsidP="00B01B7C">
      <w:pPr>
        <w:autoSpaceDE w:val="0"/>
        <w:autoSpaceDN w:val="0"/>
        <w:adjustRightInd w:val="0"/>
        <w:snapToGrid w:val="0"/>
        <w:spacing w:before="120" w:after="120" w:line="480" w:lineRule="auto"/>
        <w:jc w:val="right"/>
        <w:rPr>
          <w:color w:val="000000"/>
          <w:sz w:val="20"/>
          <w:szCs w:val="20"/>
          <w:lang w:val="en-GB" w:eastAsia="zh-CN"/>
        </w:rPr>
      </w:pPr>
      <w:r w:rsidRPr="00CE0DE7">
        <w:rPr>
          <w:color w:val="000000"/>
          <w:sz w:val="20"/>
          <w:szCs w:val="20"/>
          <w:lang w:val="en-GB" w:eastAsia="zh-CN"/>
        </w:rPr>
        <w:t xml:space="preserve">                           </w:t>
      </w:r>
      <w:r w:rsidR="004971D2" w:rsidRPr="004971D2">
        <w:rPr>
          <w:color w:val="000000"/>
          <w:position w:val="-26"/>
          <w:sz w:val="20"/>
          <w:szCs w:val="20"/>
          <w:lang w:val="en-GB" w:eastAsia="zh-CN"/>
        </w:rPr>
        <w:object w:dxaOrig="4000" w:dyaOrig="600" w14:anchorId="648D071C">
          <v:shape id="_x0000_i1043" type="#_x0000_t75" style="width:199.7pt;height:30.05pt" o:ole="">
            <v:imagedata r:id="rId45" o:title=""/>
          </v:shape>
          <o:OLEObject Type="Embed" ProgID="Equation.DSMT4" ShapeID="_x0000_i1043" DrawAspect="Content" ObjectID="_1674838658" r:id="rId46"/>
        </w:object>
      </w:r>
      <w:r w:rsidRPr="00CE0DE7">
        <w:rPr>
          <w:color w:val="000000"/>
          <w:sz w:val="20"/>
          <w:szCs w:val="20"/>
          <w:lang w:val="en-GB" w:eastAsia="zh-CN"/>
        </w:rPr>
        <w:t xml:space="preserve">          </w:t>
      </w:r>
      <w:r w:rsidR="00640363" w:rsidRPr="00CE0DE7">
        <w:rPr>
          <w:color w:val="000000"/>
          <w:sz w:val="20"/>
          <w:szCs w:val="20"/>
          <w:lang w:val="en-GB" w:eastAsia="zh-CN"/>
        </w:rPr>
        <w:t xml:space="preserve"> </w:t>
      </w:r>
      <w:r w:rsidR="00656358" w:rsidRPr="00CE0DE7">
        <w:rPr>
          <w:color w:val="000000"/>
          <w:sz w:val="20"/>
          <w:szCs w:val="20"/>
          <w:lang w:val="en-GB" w:eastAsia="zh-CN"/>
        </w:rPr>
        <w:t xml:space="preserve">     </w:t>
      </w:r>
      <w:r w:rsidR="004971D2">
        <w:rPr>
          <w:color w:val="000000"/>
          <w:sz w:val="20"/>
          <w:szCs w:val="20"/>
          <w:lang w:val="en-GB" w:eastAsia="zh-CN"/>
        </w:rPr>
        <w:t xml:space="preserve">    </w:t>
      </w:r>
      <w:r w:rsidR="00656358" w:rsidRPr="00CE0DE7">
        <w:rPr>
          <w:color w:val="000000"/>
          <w:sz w:val="20"/>
          <w:szCs w:val="20"/>
          <w:lang w:val="en-GB" w:eastAsia="zh-CN"/>
        </w:rPr>
        <w:t xml:space="preserve">       </w:t>
      </w:r>
      <w:r w:rsidR="00640363" w:rsidRPr="00CE0DE7">
        <w:rPr>
          <w:color w:val="000000"/>
          <w:sz w:val="20"/>
          <w:szCs w:val="20"/>
          <w:lang w:val="en-GB" w:eastAsia="zh-CN"/>
        </w:rPr>
        <w:t xml:space="preserve">  </w:t>
      </w:r>
      <w:r w:rsidRPr="00CE0DE7">
        <w:rPr>
          <w:color w:val="000000"/>
          <w:sz w:val="20"/>
          <w:szCs w:val="20"/>
          <w:lang w:val="en-GB" w:eastAsia="zh-CN"/>
        </w:rPr>
        <w:t xml:space="preserve">                (9)</w:t>
      </w:r>
    </w:p>
    <w:p w14:paraId="6E284663" w14:textId="5E50E50A" w:rsidR="00A40D54" w:rsidRPr="00CE0DE7" w:rsidRDefault="00A40D54" w:rsidP="001D07E4">
      <w:pPr>
        <w:autoSpaceDE w:val="0"/>
        <w:autoSpaceDN w:val="0"/>
        <w:adjustRightInd w:val="0"/>
        <w:snapToGrid w:val="0"/>
        <w:spacing w:line="480" w:lineRule="auto"/>
        <w:jc w:val="both"/>
        <w:rPr>
          <w:color w:val="000000"/>
          <w:sz w:val="20"/>
          <w:szCs w:val="20"/>
          <w:lang w:val="en-GB" w:eastAsia="zh-CN"/>
        </w:rPr>
      </w:pPr>
      <w:r w:rsidRPr="00CE0DE7">
        <w:rPr>
          <w:color w:val="000000"/>
          <w:sz w:val="20"/>
          <w:szCs w:val="20"/>
          <w:lang w:val="en-GB" w:eastAsia="zh-CN"/>
        </w:rPr>
        <w:t xml:space="preserve">where </w:t>
      </w:r>
      <w:proofErr w:type="spellStart"/>
      <w:r w:rsidRPr="00CE0DE7">
        <w:rPr>
          <w:i/>
          <w:color w:val="000000"/>
          <w:sz w:val="20"/>
          <w:szCs w:val="20"/>
          <w:lang w:val="en-GB" w:eastAsia="zh-CN"/>
        </w:rPr>
        <w:t>NoVol</w:t>
      </w:r>
      <w:proofErr w:type="spellEnd"/>
      <w:r w:rsidRPr="00CE0DE7">
        <w:rPr>
          <w:color w:val="000000"/>
          <w:sz w:val="20"/>
          <w:szCs w:val="20"/>
          <w:lang w:val="en-GB" w:eastAsia="zh-CN"/>
        </w:rPr>
        <w:t xml:space="preserve"> is the number of zero daily volumes over </w:t>
      </w:r>
      <w:r w:rsidR="009404E8" w:rsidRPr="00CE0DE7">
        <w:rPr>
          <w:color w:val="000000"/>
          <w:sz w:val="20"/>
          <w:szCs w:val="20"/>
          <w:lang w:val="en-GB" w:eastAsia="zh-CN"/>
        </w:rPr>
        <w:t xml:space="preserve">the </w:t>
      </w:r>
      <w:r w:rsidRPr="00CE0DE7">
        <w:rPr>
          <w:color w:val="000000"/>
          <w:sz w:val="20"/>
          <w:szCs w:val="20"/>
          <w:lang w:val="en-GB" w:eastAsia="zh-CN"/>
        </w:rPr>
        <w:t xml:space="preserve">previous </w:t>
      </w:r>
      <w:r w:rsidR="009404E8" w:rsidRPr="00CE0DE7">
        <w:rPr>
          <w:color w:val="000000"/>
          <w:sz w:val="20"/>
          <w:szCs w:val="20"/>
          <w:lang w:val="en-GB" w:eastAsia="zh-CN"/>
        </w:rPr>
        <w:t xml:space="preserve">twelve </w:t>
      </w:r>
      <w:r w:rsidRPr="00CE0DE7">
        <w:rPr>
          <w:color w:val="000000"/>
          <w:sz w:val="20"/>
          <w:szCs w:val="20"/>
          <w:lang w:val="en-GB" w:eastAsia="zh-CN"/>
        </w:rPr>
        <w:t xml:space="preserve">months, </w:t>
      </w:r>
      <w:r w:rsidRPr="00CE0DE7">
        <w:rPr>
          <w:i/>
          <w:iCs/>
          <w:color w:val="000000"/>
          <w:sz w:val="20"/>
          <w:szCs w:val="20"/>
          <w:lang w:val="en-GB" w:eastAsia="zh-CN"/>
        </w:rPr>
        <w:t>12_month turnover</w:t>
      </w:r>
      <w:r w:rsidRPr="00CE0DE7">
        <w:rPr>
          <w:color w:val="000000"/>
          <w:sz w:val="20"/>
          <w:szCs w:val="20"/>
          <w:lang w:val="en-GB" w:eastAsia="zh-CN"/>
        </w:rPr>
        <w:t xml:space="preserve"> is the sum of daily turnover over the previous </w:t>
      </w:r>
      <w:r w:rsidR="009404E8" w:rsidRPr="00CE0DE7">
        <w:rPr>
          <w:color w:val="000000"/>
          <w:sz w:val="20"/>
          <w:szCs w:val="20"/>
          <w:lang w:val="en-GB" w:eastAsia="zh-CN"/>
        </w:rPr>
        <w:t xml:space="preserve">twelve </w:t>
      </w:r>
      <w:r w:rsidRPr="00CE0DE7">
        <w:rPr>
          <w:color w:val="000000"/>
          <w:sz w:val="20"/>
          <w:szCs w:val="20"/>
          <w:lang w:val="en-GB" w:eastAsia="zh-CN"/>
        </w:rPr>
        <w:t xml:space="preserve">months, daily turnover </w:t>
      </w:r>
      <w:r w:rsidR="009404E8" w:rsidRPr="00CE0DE7">
        <w:rPr>
          <w:color w:val="000000"/>
          <w:sz w:val="20"/>
          <w:szCs w:val="20"/>
          <w:lang w:val="en-GB" w:eastAsia="zh-CN"/>
        </w:rPr>
        <w:t xml:space="preserve">being </w:t>
      </w:r>
      <w:r w:rsidRPr="00CE0DE7">
        <w:rPr>
          <w:color w:val="000000"/>
          <w:sz w:val="20"/>
          <w:szCs w:val="20"/>
          <w:lang w:val="en-GB" w:eastAsia="zh-CN"/>
        </w:rPr>
        <w:t xml:space="preserve">the ratio of the number of shares traded to the number of shares outstanding. </w:t>
      </w:r>
      <w:proofErr w:type="spellStart"/>
      <w:r w:rsidRPr="00CE0DE7">
        <w:rPr>
          <w:i/>
          <w:color w:val="000000"/>
          <w:sz w:val="20"/>
          <w:szCs w:val="20"/>
          <w:lang w:val="en-GB" w:eastAsia="zh-CN"/>
        </w:rPr>
        <w:t>NoTD</w:t>
      </w:r>
      <w:proofErr w:type="spellEnd"/>
      <w:r w:rsidRPr="00CE0DE7">
        <w:rPr>
          <w:color w:val="000000"/>
          <w:sz w:val="20"/>
          <w:szCs w:val="20"/>
          <w:lang w:val="en-GB" w:eastAsia="zh-CN"/>
        </w:rPr>
        <w:t xml:space="preserve"> denotes the total number of trading days in the market over the previous </w:t>
      </w:r>
      <w:r w:rsidR="009404E8" w:rsidRPr="00CE0DE7">
        <w:rPr>
          <w:color w:val="000000"/>
          <w:sz w:val="20"/>
          <w:szCs w:val="20"/>
          <w:lang w:val="en-GB" w:eastAsia="zh-CN"/>
        </w:rPr>
        <w:t xml:space="preserve">twelve </w:t>
      </w:r>
      <w:r w:rsidRPr="00CE0DE7">
        <w:rPr>
          <w:color w:val="000000"/>
          <w:sz w:val="20"/>
          <w:szCs w:val="20"/>
          <w:lang w:val="en-GB" w:eastAsia="zh-CN"/>
        </w:rPr>
        <w:t xml:space="preserve">months. </w:t>
      </w:r>
      <w:proofErr w:type="spellStart"/>
      <w:r w:rsidRPr="00CE0DE7">
        <w:rPr>
          <w:i/>
          <w:color w:val="000000"/>
          <w:sz w:val="20"/>
          <w:szCs w:val="20"/>
          <w:lang w:val="en-GB" w:eastAsia="zh-CN"/>
        </w:rPr>
        <w:t>Deflactor</w:t>
      </w:r>
      <w:proofErr w:type="spellEnd"/>
      <w:r w:rsidRPr="00CE0DE7">
        <w:rPr>
          <w:color w:val="000000"/>
          <w:sz w:val="20"/>
          <w:szCs w:val="20"/>
          <w:lang w:val="en-GB" w:eastAsia="zh-CN"/>
        </w:rPr>
        <w:t xml:space="preserve"> is chosen such that Eq. (10) holds for all sample stocks</w:t>
      </w:r>
      <w:r w:rsidR="001D07E4" w:rsidRPr="00CE0DE7">
        <w:rPr>
          <w:color w:val="000000"/>
          <w:sz w:val="20"/>
          <w:szCs w:val="20"/>
          <w:lang w:val="en-GB" w:eastAsia="zh-CN"/>
        </w:rPr>
        <w:t>:</w:t>
      </w:r>
    </w:p>
    <w:p w14:paraId="1A2139FB" w14:textId="0C0BACDD" w:rsidR="00A40D54" w:rsidRPr="00CE0DE7" w:rsidRDefault="00A40D54" w:rsidP="00B01B7C">
      <w:pPr>
        <w:autoSpaceDE w:val="0"/>
        <w:autoSpaceDN w:val="0"/>
        <w:adjustRightInd w:val="0"/>
        <w:snapToGrid w:val="0"/>
        <w:spacing w:before="120" w:after="120" w:line="480" w:lineRule="auto"/>
        <w:jc w:val="right"/>
        <w:rPr>
          <w:color w:val="000000"/>
          <w:sz w:val="20"/>
          <w:szCs w:val="20"/>
          <w:lang w:val="en-GB" w:eastAsia="zh-CN"/>
        </w:rPr>
      </w:pPr>
      <w:r w:rsidRPr="00CE0DE7">
        <w:rPr>
          <w:color w:val="000000"/>
          <w:sz w:val="20"/>
          <w:szCs w:val="20"/>
          <w:lang w:val="en-GB" w:eastAsia="zh-CN"/>
        </w:rPr>
        <w:t xml:space="preserve">                                                </w:t>
      </w:r>
      <w:r w:rsidR="004971D2" w:rsidRPr="004971D2">
        <w:rPr>
          <w:color w:val="000000"/>
          <w:position w:val="-26"/>
          <w:sz w:val="20"/>
          <w:szCs w:val="20"/>
          <w:lang w:val="en-GB" w:eastAsia="zh-CN"/>
        </w:rPr>
        <w:object w:dxaOrig="2500" w:dyaOrig="600" w14:anchorId="1156B00B">
          <v:shape id="_x0000_i1044" type="#_x0000_t75" style="width:123.95pt;height:30.05pt" o:ole="">
            <v:imagedata r:id="rId47" o:title=""/>
          </v:shape>
          <o:OLEObject Type="Embed" ProgID="Equation.DSMT4" ShapeID="_x0000_i1044" DrawAspect="Content" ObjectID="_1674838659" r:id="rId48"/>
        </w:object>
      </w:r>
      <w:r w:rsidRPr="00CE0DE7">
        <w:rPr>
          <w:color w:val="000000"/>
          <w:sz w:val="20"/>
          <w:szCs w:val="20"/>
          <w:lang w:val="en-GB" w:eastAsia="zh-CN"/>
        </w:rPr>
        <w:t xml:space="preserve">         </w:t>
      </w:r>
      <w:r w:rsidR="004971D2">
        <w:rPr>
          <w:color w:val="000000"/>
          <w:sz w:val="20"/>
          <w:szCs w:val="20"/>
          <w:lang w:val="en-GB" w:eastAsia="zh-CN"/>
        </w:rPr>
        <w:t xml:space="preserve">     </w:t>
      </w:r>
      <w:r w:rsidRPr="00CE0DE7">
        <w:rPr>
          <w:color w:val="000000"/>
          <w:sz w:val="20"/>
          <w:szCs w:val="20"/>
          <w:lang w:val="en-GB" w:eastAsia="zh-CN"/>
        </w:rPr>
        <w:t xml:space="preserve">      </w:t>
      </w:r>
      <w:r w:rsidR="00640363" w:rsidRPr="00CE0DE7">
        <w:rPr>
          <w:color w:val="000000"/>
          <w:sz w:val="20"/>
          <w:szCs w:val="20"/>
          <w:lang w:val="en-GB" w:eastAsia="zh-CN"/>
        </w:rPr>
        <w:t xml:space="preserve">   </w:t>
      </w:r>
      <w:r w:rsidR="00656358" w:rsidRPr="00CE0DE7">
        <w:rPr>
          <w:color w:val="000000"/>
          <w:sz w:val="20"/>
          <w:szCs w:val="20"/>
          <w:lang w:val="en-GB" w:eastAsia="zh-CN"/>
        </w:rPr>
        <w:t xml:space="preserve">       </w:t>
      </w:r>
      <w:r w:rsidR="008276B8" w:rsidRPr="00CE0DE7">
        <w:rPr>
          <w:color w:val="000000"/>
          <w:sz w:val="20"/>
          <w:szCs w:val="20"/>
          <w:lang w:val="en-GB" w:eastAsia="zh-CN"/>
        </w:rPr>
        <w:t xml:space="preserve">      </w:t>
      </w:r>
      <w:r w:rsidR="00656358" w:rsidRPr="00CE0DE7">
        <w:rPr>
          <w:color w:val="000000"/>
          <w:sz w:val="20"/>
          <w:szCs w:val="20"/>
          <w:lang w:val="en-GB" w:eastAsia="zh-CN"/>
        </w:rPr>
        <w:t xml:space="preserve">   </w:t>
      </w:r>
      <w:r w:rsidR="00640363" w:rsidRPr="00CE0DE7">
        <w:rPr>
          <w:color w:val="000000"/>
          <w:sz w:val="20"/>
          <w:szCs w:val="20"/>
          <w:lang w:val="en-GB" w:eastAsia="zh-CN"/>
        </w:rPr>
        <w:t xml:space="preserve">      </w:t>
      </w:r>
      <w:r w:rsidRPr="00CE0DE7">
        <w:rPr>
          <w:color w:val="000000"/>
          <w:sz w:val="20"/>
          <w:szCs w:val="20"/>
          <w:lang w:val="en-GB" w:eastAsia="zh-CN"/>
        </w:rPr>
        <w:t xml:space="preserve">                (10)</w:t>
      </w:r>
    </w:p>
    <w:p w14:paraId="00D5318D" w14:textId="22C0BDF5" w:rsidR="0048419C" w:rsidRPr="00CE0DE7" w:rsidRDefault="00A40D54" w:rsidP="00BD081C">
      <w:pPr>
        <w:autoSpaceDE w:val="0"/>
        <w:autoSpaceDN w:val="0"/>
        <w:adjustRightInd w:val="0"/>
        <w:snapToGrid w:val="0"/>
        <w:spacing w:line="480" w:lineRule="auto"/>
        <w:ind w:firstLine="425"/>
        <w:jc w:val="both"/>
        <w:rPr>
          <w:color w:val="000000"/>
          <w:sz w:val="20"/>
          <w:szCs w:val="20"/>
          <w:lang w:eastAsia="zh-CN"/>
        </w:rPr>
      </w:pPr>
      <w:r w:rsidRPr="00CE0DE7">
        <w:rPr>
          <w:color w:val="000000"/>
          <w:sz w:val="20"/>
          <w:szCs w:val="20"/>
          <w:lang w:val="en-GB" w:eastAsia="zh-CN"/>
        </w:rPr>
        <w:t xml:space="preserve">The turnover adjustment (the second term in the brackets) distinguishes two stocks with the same integer number of zero daily trading volumes. Following Liu </w:t>
      </w:r>
      <w:r w:rsidR="004714D1" w:rsidRPr="00CE0DE7">
        <w:rPr>
          <w:color w:val="000000"/>
          <w:sz w:val="20"/>
          <w:szCs w:val="20"/>
          <w:lang w:val="en-GB" w:eastAsia="zh-CN"/>
        </w:rPr>
        <w:fldChar w:fldCharType="begin" w:fldLock="1"/>
      </w:r>
      <w:r w:rsidR="004714D1" w:rsidRPr="00CE0DE7">
        <w:rPr>
          <w:color w:val="000000"/>
          <w:sz w:val="20"/>
          <w:szCs w:val="20"/>
          <w:lang w:val="en-GB" w:eastAsia="zh-CN"/>
        </w:rPr>
        <w:instrText>ADDIN CSL_CITATION {"citationItems":[{"id":"ITEM-1","itemData":{"ISSN":"0304405X","abstract":"Using a new measure of liquidity, this paper documents a significant liquidity premium robust to the CAPM and the Fama-French three-factor model and shows that liquidity is an important source of priced risk. A two-factor (market and liquidity) model well explains the cross-section of stock returns, describing the liquidity premium, subsuming documented anomalies associated with size, long-term contrarian investment, and fundamental (cashflow, earnings, and dividend) to price ratios. In particular, the two-factor model accounts for the book-to-market effect, which the Fama-French three-factor model fails to explain. © 2006 Elsevier B.V. All rights reserved.","author":[{"dropping-particle":"","family":"Liu","given":"Weimin","non-dropping-particle":"","parse-names":false,"suffix":""}],"container-title":"Journal of Financial Economics","id":"ITEM-1","issue":"3","issued":{"date-parts":[["2006","12","1"]]},"page":"631-671","publisher":"North-Holland","title":"A liquidity-augmented capital asset pricing model","type":"article-journal","volume":"82"},"suppress-author":1,"uris":["http://www.mendeley.com/documents/?uuid=028a3733-50dc-3861-a56b-ca0205aac321"]}],"mendeley":{"formattedCitation":"(2006)","plainTextFormattedCitation":"(2006)","previouslyFormattedCitation":"(2006)"},"properties":{"noteIndex":0},"schema":"https://github.com/citation-style-language/schema/raw/master/csl-citation.json"}</w:instrText>
      </w:r>
      <w:r w:rsidR="004714D1" w:rsidRPr="00CE0DE7">
        <w:rPr>
          <w:color w:val="000000"/>
          <w:sz w:val="20"/>
          <w:szCs w:val="20"/>
          <w:lang w:val="en-GB" w:eastAsia="zh-CN"/>
        </w:rPr>
        <w:fldChar w:fldCharType="separate"/>
      </w:r>
      <w:r w:rsidR="004714D1" w:rsidRPr="00CE0DE7">
        <w:rPr>
          <w:noProof/>
          <w:color w:val="000000"/>
          <w:sz w:val="20"/>
          <w:szCs w:val="20"/>
          <w:lang w:val="en-GB" w:eastAsia="zh-CN"/>
        </w:rPr>
        <w:t>(2006)</w:t>
      </w:r>
      <w:r w:rsidR="004714D1" w:rsidRPr="00CE0DE7">
        <w:rPr>
          <w:color w:val="000000"/>
          <w:sz w:val="20"/>
          <w:szCs w:val="20"/>
          <w:lang w:val="en-GB" w:eastAsia="zh-CN"/>
        </w:rPr>
        <w:fldChar w:fldCharType="end"/>
      </w:r>
      <w:r w:rsidRPr="00CE0DE7">
        <w:rPr>
          <w:color w:val="000000"/>
          <w:sz w:val="20"/>
          <w:szCs w:val="20"/>
          <w:lang w:val="en-GB" w:eastAsia="zh-CN"/>
        </w:rPr>
        <w:t>, we multiply 21x12/</w:t>
      </w:r>
      <w:proofErr w:type="spellStart"/>
      <w:r w:rsidRPr="00CE0DE7">
        <w:rPr>
          <w:i/>
          <w:iCs/>
          <w:color w:val="000000"/>
          <w:sz w:val="20"/>
          <w:szCs w:val="20"/>
          <w:lang w:val="en-GB" w:eastAsia="zh-CN"/>
        </w:rPr>
        <w:t>NoTD</w:t>
      </w:r>
      <w:proofErr w:type="spellEnd"/>
      <w:r w:rsidRPr="00CE0DE7">
        <w:rPr>
          <w:color w:val="000000"/>
          <w:sz w:val="20"/>
          <w:szCs w:val="20"/>
          <w:lang w:val="en-GB" w:eastAsia="zh-CN"/>
        </w:rPr>
        <w:t xml:space="preserve"> in order to standardize the number of trading days in a month to 21 </w:t>
      </w:r>
      <w:r w:rsidR="009404E8" w:rsidRPr="00CE0DE7">
        <w:rPr>
          <w:color w:val="000000"/>
          <w:sz w:val="20"/>
          <w:szCs w:val="20"/>
          <w:lang w:val="en-GB" w:eastAsia="zh-CN"/>
        </w:rPr>
        <w:t>and</w:t>
      </w:r>
      <w:r w:rsidRPr="00CE0DE7">
        <w:rPr>
          <w:color w:val="000000"/>
          <w:sz w:val="20"/>
          <w:szCs w:val="20"/>
          <w:lang w:val="en-GB" w:eastAsia="zh-CN"/>
        </w:rPr>
        <w:t xml:space="preserve"> make the liquidity measure comparable over time. </w:t>
      </w:r>
      <w:r w:rsidR="00CB1D9A" w:rsidRPr="00CE0DE7">
        <w:rPr>
          <w:color w:val="000000"/>
          <w:sz w:val="20"/>
          <w:szCs w:val="20"/>
          <w:lang w:val="en-GB" w:eastAsia="zh-CN"/>
        </w:rPr>
        <w:t>W</w:t>
      </w:r>
      <w:proofErr w:type="spellStart"/>
      <w:r w:rsidR="00591E61" w:rsidRPr="00CE0DE7">
        <w:rPr>
          <w:color w:val="000000"/>
          <w:sz w:val="20"/>
          <w:szCs w:val="20"/>
          <w:lang w:eastAsia="zh-CN"/>
        </w:rPr>
        <w:t>e</w:t>
      </w:r>
      <w:proofErr w:type="spellEnd"/>
      <w:r w:rsidR="00591E61" w:rsidRPr="00CE0DE7">
        <w:rPr>
          <w:color w:val="000000"/>
          <w:sz w:val="20"/>
          <w:szCs w:val="20"/>
          <w:lang w:eastAsia="zh-CN"/>
        </w:rPr>
        <w:t xml:space="preserve"> then calculate the LM of the market by taking the </w:t>
      </w:r>
      <w:r w:rsidR="00296773" w:rsidRPr="00CE0DE7">
        <w:rPr>
          <w:color w:val="000000"/>
          <w:sz w:val="20"/>
          <w:szCs w:val="20"/>
          <w:lang w:val="en-GB"/>
        </w:rPr>
        <w:t>equally-weighted</w:t>
      </w:r>
      <w:r w:rsidR="00296773" w:rsidRPr="00CE0DE7">
        <w:rPr>
          <w:color w:val="000000"/>
          <w:sz w:val="20"/>
          <w:szCs w:val="20"/>
          <w:lang w:eastAsia="zh-CN"/>
        </w:rPr>
        <w:t xml:space="preserve"> </w:t>
      </w:r>
      <w:r w:rsidR="00591E61" w:rsidRPr="00CE0DE7">
        <w:rPr>
          <w:color w:val="000000"/>
          <w:sz w:val="20"/>
          <w:szCs w:val="20"/>
          <w:lang w:eastAsia="zh-CN"/>
        </w:rPr>
        <w:t xml:space="preserve">average LM of all the </w:t>
      </w:r>
      <w:r w:rsidR="00932850" w:rsidRPr="00CE0DE7">
        <w:rPr>
          <w:color w:val="000000"/>
          <w:sz w:val="20"/>
          <w:szCs w:val="20"/>
          <w:lang w:eastAsia="zh-CN"/>
        </w:rPr>
        <w:t xml:space="preserve">sample </w:t>
      </w:r>
      <w:r w:rsidR="00591E61" w:rsidRPr="00CE0DE7">
        <w:rPr>
          <w:color w:val="000000"/>
          <w:sz w:val="20"/>
          <w:szCs w:val="20"/>
          <w:lang w:eastAsia="zh-CN"/>
        </w:rPr>
        <w:t>stocks</w:t>
      </w:r>
      <w:r w:rsidR="00A54CE8" w:rsidRPr="00CE0DE7">
        <w:rPr>
          <w:color w:val="000000"/>
          <w:sz w:val="20"/>
          <w:szCs w:val="20"/>
          <w:lang w:eastAsia="zh-CN"/>
        </w:rPr>
        <w:t xml:space="preserve"> in the market</w:t>
      </w:r>
      <w:r w:rsidR="00591E61" w:rsidRPr="00CE0DE7">
        <w:rPr>
          <w:color w:val="000000"/>
          <w:sz w:val="20"/>
          <w:szCs w:val="20"/>
          <w:lang w:eastAsia="zh-CN"/>
        </w:rPr>
        <w:t>.</w:t>
      </w:r>
    </w:p>
    <w:p w14:paraId="3741F6C1" w14:textId="6A814D80" w:rsidR="00A40D54" w:rsidRPr="00CE0DE7" w:rsidRDefault="00A40D54"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We conduct the Toda-Yamamoto Granger non-causality tests </w:t>
      </w:r>
      <w:r w:rsidR="00C50EEB" w:rsidRPr="00CE0DE7">
        <w:rPr>
          <w:color w:val="000000"/>
          <w:sz w:val="20"/>
          <w:szCs w:val="20"/>
          <w:lang w:val="en-GB" w:eastAsia="zh-CN"/>
        </w:rPr>
        <w:t xml:space="preserve">with the application of tri-variate vector autoregression (VAR) models </w:t>
      </w:r>
      <w:r w:rsidRPr="00CE0DE7">
        <w:rPr>
          <w:color w:val="000000"/>
          <w:sz w:val="20"/>
          <w:szCs w:val="20"/>
          <w:lang w:val="en-GB" w:eastAsia="zh-CN"/>
        </w:rPr>
        <w:t xml:space="preserve">for the relationship between </w:t>
      </w:r>
      <w:r w:rsidR="00C50EEB" w:rsidRPr="00CE0DE7">
        <w:rPr>
          <w:color w:val="000000"/>
          <w:sz w:val="20"/>
          <w:szCs w:val="20"/>
          <w:lang w:val="en-GB" w:eastAsia="zh-CN"/>
        </w:rPr>
        <w:t xml:space="preserve">the VRP, </w:t>
      </w:r>
      <w:r w:rsidRPr="00CE0DE7">
        <w:rPr>
          <w:color w:val="000000"/>
          <w:sz w:val="20"/>
          <w:szCs w:val="20"/>
          <w:lang w:val="en-GB" w:eastAsia="zh-CN"/>
        </w:rPr>
        <w:t xml:space="preserve">stock market returns, and liquidity with conventional economic controls using Liu </w:t>
      </w:r>
      <w:r w:rsidR="004714D1" w:rsidRPr="00CE0DE7">
        <w:rPr>
          <w:color w:val="000000"/>
          <w:sz w:val="20"/>
          <w:szCs w:val="20"/>
          <w:lang w:val="en-GB" w:eastAsia="zh-CN"/>
        </w:rPr>
        <w:fldChar w:fldCharType="begin" w:fldLock="1"/>
      </w:r>
      <w:r w:rsidR="004714D1" w:rsidRPr="00CE0DE7">
        <w:rPr>
          <w:color w:val="000000"/>
          <w:sz w:val="20"/>
          <w:szCs w:val="20"/>
          <w:lang w:val="en-GB" w:eastAsia="zh-CN"/>
        </w:rPr>
        <w:instrText>ADDIN CSL_CITATION {"citationItems":[{"id":"ITEM-1","itemData":{"ISSN":"0304405X","abstract":"Using a new measure of liquidity, this paper documents a significant liquidity premium robust to the CAPM and the Fama-French three-factor model and shows that liquidity is an important source of priced risk. A two-factor (market and liquidity) model well explains the cross-section of stock returns, describing the liquidity premium, subsuming documented anomalies associated with size, long-term contrarian investment, and fundamental (cashflow, earnings, and dividend) to price ratios. In particular, the two-factor model accounts for the book-to-market effect, which the Fama-French three-factor model fails to explain. © 2006 Elsevier B.V. All rights reserved.","author":[{"dropping-particle":"","family":"Liu","given":"Weimin","non-dropping-particle":"","parse-names":false,"suffix":""}],"container-title":"Journal of Financial Economics","id":"ITEM-1","issue":"3","issued":{"date-parts":[["2006","12","1"]]},"page":"631-671","publisher":"North-Holland","title":"A liquidity-augmented capital asset pricing model","type":"article-journal","volume":"82"},"suppress-author":1,"uris":["http://www.mendeley.com/documents/?uuid=028a3733-50dc-3861-a56b-ca0205aac321"]}],"mendeley":{"formattedCitation":"(2006)","plainTextFormattedCitation":"(2006)","previouslyFormattedCitation":"(2006)"},"properties":{"noteIndex":0},"schema":"https://github.com/citation-style-language/schema/raw/master/csl-citation.json"}</w:instrText>
      </w:r>
      <w:r w:rsidR="004714D1" w:rsidRPr="00CE0DE7">
        <w:rPr>
          <w:color w:val="000000"/>
          <w:sz w:val="20"/>
          <w:szCs w:val="20"/>
          <w:lang w:val="en-GB" w:eastAsia="zh-CN"/>
        </w:rPr>
        <w:fldChar w:fldCharType="separate"/>
      </w:r>
      <w:r w:rsidR="004714D1" w:rsidRPr="00CE0DE7">
        <w:rPr>
          <w:noProof/>
          <w:color w:val="000000"/>
          <w:sz w:val="20"/>
          <w:szCs w:val="20"/>
          <w:lang w:val="en-GB" w:eastAsia="zh-CN"/>
        </w:rPr>
        <w:t>(2006)</w:t>
      </w:r>
      <w:r w:rsidR="004714D1" w:rsidRPr="00CE0DE7">
        <w:rPr>
          <w:color w:val="000000"/>
          <w:sz w:val="20"/>
          <w:szCs w:val="20"/>
          <w:lang w:val="en-GB" w:eastAsia="zh-CN"/>
        </w:rPr>
        <w:fldChar w:fldCharType="end"/>
      </w:r>
      <w:r w:rsidR="00B263D9" w:rsidRPr="00CE0DE7">
        <w:rPr>
          <w:color w:val="000000"/>
          <w:sz w:val="20"/>
          <w:szCs w:val="20"/>
          <w:lang w:val="en-GB" w:eastAsia="zh-CN"/>
        </w:rPr>
        <w:t xml:space="preserve"> </w:t>
      </w:r>
      <w:r w:rsidRPr="00CE0DE7">
        <w:rPr>
          <w:color w:val="000000"/>
          <w:sz w:val="20"/>
          <w:szCs w:val="20"/>
          <w:lang w:val="en-GB" w:eastAsia="zh-CN"/>
        </w:rPr>
        <w:t xml:space="preserve">liquidity measure. The results, reported in Table </w:t>
      </w:r>
      <w:r w:rsidR="0048419C" w:rsidRPr="00CE0DE7">
        <w:rPr>
          <w:color w:val="000000"/>
          <w:sz w:val="20"/>
          <w:szCs w:val="20"/>
          <w:lang w:val="en-GB" w:eastAsia="zh-CN"/>
        </w:rPr>
        <w:t>8</w:t>
      </w:r>
      <w:r w:rsidRPr="00CE0DE7">
        <w:rPr>
          <w:color w:val="000000"/>
          <w:sz w:val="20"/>
          <w:szCs w:val="20"/>
          <w:lang w:val="en-GB" w:eastAsia="zh-CN"/>
        </w:rPr>
        <w:t>, are consistent with those in Table 4</w:t>
      </w:r>
      <w:r w:rsidR="00D01187" w:rsidRPr="00CE0DE7">
        <w:rPr>
          <w:color w:val="000000"/>
          <w:sz w:val="20"/>
          <w:szCs w:val="20"/>
          <w:lang w:val="en-GB" w:eastAsia="zh-CN"/>
        </w:rPr>
        <w:t>,</w:t>
      </w:r>
      <w:r w:rsidRPr="00CE0DE7">
        <w:rPr>
          <w:color w:val="000000"/>
          <w:sz w:val="20"/>
          <w:szCs w:val="20"/>
          <w:lang w:val="en-GB" w:eastAsia="zh-CN"/>
        </w:rPr>
        <w:t xml:space="preserve"> in which we use </w:t>
      </w:r>
      <w:proofErr w:type="spellStart"/>
      <w:r w:rsidR="00013A8F" w:rsidRPr="00CE0DE7">
        <w:rPr>
          <w:color w:val="000000"/>
          <w:sz w:val="20"/>
          <w:szCs w:val="20"/>
          <w:lang w:val="en-GB" w:eastAsia="zh-CN"/>
        </w:rPr>
        <w:t>Amihud</w:t>
      </w:r>
      <w:proofErr w:type="spellEnd"/>
      <w:r w:rsidR="00013A8F" w:rsidRPr="00CE0DE7">
        <w:rPr>
          <w:color w:val="000000"/>
          <w:sz w:val="20"/>
          <w:szCs w:val="20"/>
          <w:lang w:val="en-GB" w:eastAsia="zh-CN"/>
        </w:rPr>
        <w:t xml:space="preserve"> </w:t>
      </w:r>
      <w:r w:rsidR="004714D1" w:rsidRPr="00CE0DE7">
        <w:rPr>
          <w:color w:val="000000"/>
          <w:sz w:val="20"/>
          <w:szCs w:val="20"/>
          <w:lang w:val="en-GB" w:eastAsia="zh-CN"/>
        </w:rPr>
        <w:fldChar w:fldCharType="begin" w:fldLock="1"/>
      </w:r>
      <w:r w:rsidR="004714D1" w:rsidRPr="00CE0DE7">
        <w:rPr>
          <w:color w:val="000000"/>
          <w:sz w:val="20"/>
          <w:szCs w:val="20"/>
          <w:lang w:val="en-GB" w:eastAsia="zh-CN"/>
        </w:rPr>
        <w:instrText>ADDIN CSL_CITATION {"citationItems":[{"id":"ITEM-1","itemData":{"ISSN":"13864181","abstract":"This paper shows that over time, expected market illiquidity positively affects ex ante stock excess return, suggesting that expected stock excess return partly represents an illiquidity premium. This complements the cross-sectional positive return-illiquidity relationship. Also, stock returns are negatively related over time to contemporaneous unexpected illiquidity. The illiquidity measure here is the average across stocks of the daily ratio of absolute stock return to dollar volume, which is easily obtained from daily stock data for long time series in most stock markets. Illiquidity affects more strongly small firm stocks, thus explaining time series variations in their premiums over time. © 2002 Elsevier Science B.V. All rights reserved.","author":[{"dropping-particle":"","family":"Amihud","given":"Yakov","non-dropping-particle":"","parse-names":false,"suffix":""}],"container-title":"Journal of Financial Markets","id":"ITEM-1","issue":"1","issued":{"date-parts":[["2002","1","1"]]},"page":"31-56","publisher":"North-Holland","title":"Illiquidity and stock returns: Cross-section and time-series effects","type":"article-journal","volume":"5"},"suppress-author":1,"uris":["http://www.mendeley.com/documents/?uuid=1fd709fb-5eb7-3ddf-a3a4-8f8d7a2b0397"]}],"mendeley":{"formattedCitation":"(2002)","plainTextFormattedCitation":"(2002)","previouslyFormattedCitation":"(2002)"},"properties":{"noteIndex":0},"schema":"https://github.com/citation-style-language/schema/raw/master/csl-citation.json"}</w:instrText>
      </w:r>
      <w:r w:rsidR="004714D1" w:rsidRPr="00CE0DE7">
        <w:rPr>
          <w:color w:val="000000"/>
          <w:sz w:val="20"/>
          <w:szCs w:val="20"/>
          <w:lang w:val="en-GB" w:eastAsia="zh-CN"/>
        </w:rPr>
        <w:fldChar w:fldCharType="separate"/>
      </w:r>
      <w:r w:rsidR="004714D1" w:rsidRPr="00CE0DE7">
        <w:rPr>
          <w:noProof/>
          <w:color w:val="000000"/>
          <w:sz w:val="20"/>
          <w:szCs w:val="20"/>
          <w:lang w:val="en-GB" w:eastAsia="zh-CN"/>
        </w:rPr>
        <w:t>(2002)</w:t>
      </w:r>
      <w:r w:rsidR="004714D1" w:rsidRPr="00CE0DE7">
        <w:rPr>
          <w:color w:val="000000"/>
          <w:sz w:val="20"/>
          <w:szCs w:val="20"/>
          <w:lang w:val="en-GB" w:eastAsia="zh-CN"/>
        </w:rPr>
        <w:fldChar w:fldCharType="end"/>
      </w:r>
      <w:r w:rsidR="00B263D9" w:rsidRPr="00CE0DE7">
        <w:rPr>
          <w:color w:val="000000"/>
          <w:sz w:val="20"/>
          <w:szCs w:val="20"/>
          <w:lang w:val="en-GB" w:eastAsia="zh-CN"/>
        </w:rPr>
        <w:t xml:space="preserve"> </w:t>
      </w:r>
      <w:r w:rsidRPr="00CE0DE7">
        <w:rPr>
          <w:color w:val="000000"/>
          <w:sz w:val="20"/>
          <w:szCs w:val="20"/>
          <w:lang w:val="en-GB" w:eastAsia="zh-CN"/>
        </w:rPr>
        <w:t xml:space="preserve">illiquidity ratio. More specifically, we still find one-way </w:t>
      </w:r>
      <w:r w:rsidRPr="00CE0DE7">
        <w:rPr>
          <w:color w:val="000000"/>
          <w:sz w:val="20"/>
          <w:szCs w:val="20"/>
          <w:lang w:val="en-GB" w:eastAsia="zh-CN"/>
        </w:rPr>
        <w:lastRenderedPageBreak/>
        <w:t xml:space="preserve">causal relationship running from stock returns to liquidity and from the </w:t>
      </w:r>
      <w:r w:rsidR="0048419C" w:rsidRPr="00CE0DE7">
        <w:rPr>
          <w:color w:val="000000"/>
          <w:sz w:val="20"/>
          <w:szCs w:val="20"/>
          <w:lang w:val="en-GB" w:eastAsia="zh-CN"/>
        </w:rPr>
        <w:t>VRP</w:t>
      </w:r>
      <w:r w:rsidRPr="00CE0DE7">
        <w:rPr>
          <w:color w:val="000000"/>
          <w:sz w:val="20"/>
          <w:szCs w:val="20"/>
          <w:lang w:val="en-GB" w:eastAsia="zh-CN"/>
        </w:rPr>
        <w:t xml:space="preserve"> to liquidity when we use </w:t>
      </w:r>
      <w:r w:rsidR="00D01187" w:rsidRPr="00CE0DE7">
        <w:rPr>
          <w:color w:val="000000"/>
          <w:sz w:val="20"/>
          <w:szCs w:val="20"/>
          <w:lang w:val="en-GB" w:eastAsia="zh-CN"/>
        </w:rPr>
        <w:t xml:space="preserve">the alternative </w:t>
      </w:r>
      <w:r w:rsidRPr="00CE0DE7">
        <w:rPr>
          <w:color w:val="000000"/>
          <w:sz w:val="20"/>
          <w:szCs w:val="20"/>
          <w:lang w:val="en-GB" w:eastAsia="zh-CN"/>
        </w:rPr>
        <w:t>liquidity</w:t>
      </w:r>
      <w:r w:rsidR="00D01187" w:rsidRPr="00CE0DE7">
        <w:rPr>
          <w:color w:val="000000"/>
          <w:sz w:val="20"/>
          <w:szCs w:val="20"/>
          <w:lang w:val="en-GB" w:eastAsia="zh-CN"/>
        </w:rPr>
        <w:t xml:space="preserve"> measure</w:t>
      </w:r>
      <w:r w:rsidRPr="00CE0DE7">
        <w:rPr>
          <w:color w:val="000000"/>
          <w:sz w:val="20"/>
          <w:szCs w:val="20"/>
          <w:lang w:val="en-GB" w:eastAsia="zh-CN"/>
        </w:rPr>
        <w:t xml:space="preserve">. These results further support our conjecture that variation in the </w:t>
      </w:r>
      <w:r w:rsidR="0048419C" w:rsidRPr="00CE0DE7">
        <w:rPr>
          <w:color w:val="000000"/>
          <w:sz w:val="20"/>
          <w:szCs w:val="20"/>
          <w:lang w:val="en-GB" w:eastAsia="zh-CN"/>
        </w:rPr>
        <w:t>VRP</w:t>
      </w:r>
      <w:r w:rsidRPr="00CE0DE7">
        <w:rPr>
          <w:color w:val="000000"/>
          <w:sz w:val="20"/>
          <w:szCs w:val="20"/>
          <w:lang w:val="en-GB" w:eastAsia="zh-CN"/>
        </w:rPr>
        <w:t xml:space="preserve"> can lead to changes in stock returns and, in turn, to movements in liquidity.</w:t>
      </w:r>
    </w:p>
    <w:p w14:paraId="765A6710" w14:textId="77777777" w:rsidR="0081445C" w:rsidRPr="00CE0DE7" w:rsidRDefault="0081445C" w:rsidP="008276B8">
      <w:pPr>
        <w:autoSpaceDE w:val="0"/>
        <w:autoSpaceDN w:val="0"/>
        <w:adjustRightInd w:val="0"/>
        <w:snapToGrid w:val="0"/>
        <w:spacing w:before="240" w:after="240" w:line="480" w:lineRule="auto"/>
        <w:jc w:val="center"/>
        <w:rPr>
          <w:color w:val="000000"/>
          <w:sz w:val="20"/>
          <w:szCs w:val="20"/>
          <w:lang w:val="en-GB" w:eastAsia="zh-CN"/>
        </w:rPr>
      </w:pPr>
      <w:r w:rsidRPr="00CE0DE7">
        <w:rPr>
          <w:color w:val="000000"/>
          <w:sz w:val="20"/>
          <w:szCs w:val="20"/>
          <w:lang w:val="en-GB" w:eastAsia="zh-CN"/>
        </w:rPr>
        <w:t>[Insert Table 8 around here]</w:t>
      </w:r>
    </w:p>
    <w:p w14:paraId="4C3F5447" w14:textId="77777777" w:rsidR="001E38D8" w:rsidRPr="00CE0DE7" w:rsidRDefault="001E38D8" w:rsidP="0081445C">
      <w:pPr>
        <w:autoSpaceDE w:val="0"/>
        <w:autoSpaceDN w:val="0"/>
        <w:adjustRightInd w:val="0"/>
        <w:snapToGrid w:val="0"/>
        <w:spacing w:line="480" w:lineRule="auto"/>
        <w:ind w:firstLine="720"/>
        <w:jc w:val="center"/>
        <w:rPr>
          <w:color w:val="000000"/>
          <w:sz w:val="20"/>
          <w:szCs w:val="20"/>
          <w:lang w:val="en-GB" w:eastAsia="zh-CN"/>
        </w:rPr>
      </w:pPr>
    </w:p>
    <w:p w14:paraId="017DF1D3" w14:textId="055DB865" w:rsidR="005A7DC1" w:rsidRPr="00CE0DE7" w:rsidRDefault="00BB008D" w:rsidP="00D51ACE">
      <w:pPr>
        <w:pStyle w:val="1"/>
        <w:spacing w:after="240"/>
        <w:rPr>
          <w:rStyle w:val="a7"/>
          <w:b w:val="0"/>
          <w:bCs w:val="0"/>
          <w:i w:val="0"/>
          <w:iCs w:val="0"/>
          <w:sz w:val="20"/>
          <w:szCs w:val="20"/>
        </w:rPr>
      </w:pPr>
      <w:r w:rsidRPr="00CE0DE7">
        <w:rPr>
          <w:rStyle w:val="a7"/>
          <w:i w:val="0"/>
          <w:iCs w:val="0"/>
          <w:sz w:val="20"/>
          <w:szCs w:val="20"/>
          <w:lang w:eastAsia="zh-CN"/>
        </w:rPr>
        <w:t>5</w:t>
      </w:r>
      <w:r w:rsidR="00953215" w:rsidRPr="00CE0DE7">
        <w:rPr>
          <w:rStyle w:val="a7"/>
          <w:i w:val="0"/>
          <w:iCs w:val="0"/>
          <w:sz w:val="20"/>
          <w:szCs w:val="20"/>
          <w:lang w:eastAsia="zh-CN"/>
        </w:rPr>
        <w:t>.</w:t>
      </w:r>
      <w:r w:rsidRPr="00CE0DE7">
        <w:rPr>
          <w:rStyle w:val="a7"/>
          <w:i w:val="0"/>
          <w:iCs w:val="0"/>
          <w:sz w:val="20"/>
          <w:szCs w:val="20"/>
        </w:rPr>
        <w:t xml:space="preserve"> </w:t>
      </w:r>
      <w:r w:rsidR="007B2F61" w:rsidRPr="00CE0DE7">
        <w:rPr>
          <w:rStyle w:val="a7"/>
          <w:i w:val="0"/>
          <w:iCs w:val="0"/>
          <w:sz w:val="20"/>
          <w:szCs w:val="20"/>
        </w:rPr>
        <w:t xml:space="preserve">The </w:t>
      </w:r>
      <w:r w:rsidR="00F2295D" w:rsidRPr="00CE0DE7">
        <w:rPr>
          <w:rStyle w:val="a7"/>
          <w:i w:val="0"/>
          <w:iCs w:val="0"/>
          <w:sz w:val="20"/>
          <w:szCs w:val="20"/>
          <w:lang w:eastAsia="zh-CN"/>
        </w:rPr>
        <w:t>c</w:t>
      </w:r>
      <w:r w:rsidR="007B2F61" w:rsidRPr="00CE0DE7">
        <w:rPr>
          <w:rStyle w:val="a7"/>
          <w:i w:val="0"/>
          <w:iCs w:val="0"/>
          <w:sz w:val="20"/>
          <w:szCs w:val="20"/>
        </w:rPr>
        <w:t>hannel</w:t>
      </w:r>
      <w:r w:rsidR="003E791C" w:rsidRPr="00CE0DE7">
        <w:rPr>
          <w:rStyle w:val="a7"/>
          <w:i w:val="0"/>
          <w:iCs w:val="0"/>
          <w:sz w:val="20"/>
          <w:szCs w:val="20"/>
        </w:rPr>
        <w:t>s</w:t>
      </w:r>
      <w:r w:rsidR="007B2F61" w:rsidRPr="00CE0DE7">
        <w:rPr>
          <w:rStyle w:val="a7"/>
          <w:i w:val="0"/>
          <w:iCs w:val="0"/>
          <w:sz w:val="20"/>
          <w:szCs w:val="20"/>
        </w:rPr>
        <w:t xml:space="preserve"> of </w:t>
      </w:r>
      <w:r w:rsidR="00430FF9" w:rsidRPr="00CE0DE7">
        <w:rPr>
          <w:rStyle w:val="a7"/>
          <w:i w:val="0"/>
          <w:iCs w:val="0"/>
          <w:sz w:val="20"/>
          <w:szCs w:val="20"/>
        </w:rPr>
        <w:t xml:space="preserve">the </w:t>
      </w:r>
      <w:r w:rsidR="007B2F61" w:rsidRPr="00CE0DE7">
        <w:rPr>
          <w:rStyle w:val="a7"/>
          <w:i w:val="0"/>
          <w:iCs w:val="0"/>
          <w:sz w:val="20"/>
          <w:szCs w:val="20"/>
        </w:rPr>
        <w:t xml:space="preserve">VRP </w:t>
      </w:r>
      <w:r w:rsidR="00F2295D" w:rsidRPr="00CE0DE7">
        <w:rPr>
          <w:rStyle w:val="a7"/>
          <w:i w:val="0"/>
          <w:iCs w:val="0"/>
          <w:sz w:val="20"/>
          <w:szCs w:val="20"/>
          <w:lang w:eastAsia="zh-CN"/>
        </w:rPr>
        <w:t>e</w:t>
      </w:r>
      <w:r w:rsidR="007B2F61" w:rsidRPr="00CE0DE7">
        <w:rPr>
          <w:rStyle w:val="a7"/>
          <w:i w:val="0"/>
          <w:iCs w:val="0"/>
          <w:sz w:val="20"/>
          <w:szCs w:val="20"/>
        </w:rPr>
        <w:t>ffect</w:t>
      </w:r>
    </w:p>
    <w:p w14:paraId="6540929D" w14:textId="0E05EACA" w:rsidR="00081AF5" w:rsidRPr="00CE0DE7" w:rsidRDefault="00A94289"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Having established the relation between </w:t>
      </w:r>
      <w:r w:rsidR="008A433B" w:rsidRPr="00CE0DE7">
        <w:rPr>
          <w:color w:val="000000"/>
          <w:sz w:val="20"/>
          <w:szCs w:val="20"/>
          <w:lang w:val="en-GB" w:eastAsia="zh-CN"/>
        </w:rPr>
        <w:t xml:space="preserve">the </w:t>
      </w:r>
      <w:r w:rsidR="0048419C" w:rsidRPr="00CE0DE7">
        <w:rPr>
          <w:color w:val="000000"/>
          <w:sz w:val="20"/>
          <w:szCs w:val="20"/>
          <w:lang w:val="en-GB" w:eastAsia="zh-CN"/>
        </w:rPr>
        <w:t>VRP</w:t>
      </w:r>
      <w:r w:rsidR="005A7DC1" w:rsidRPr="00CE0DE7">
        <w:rPr>
          <w:color w:val="000000"/>
          <w:sz w:val="20"/>
          <w:szCs w:val="20"/>
          <w:lang w:val="en-GB" w:eastAsia="zh-CN"/>
        </w:rPr>
        <w:t xml:space="preserve">, </w:t>
      </w:r>
      <w:r w:rsidRPr="00CE0DE7">
        <w:rPr>
          <w:color w:val="000000"/>
          <w:sz w:val="20"/>
          <w:szCs w:val="20"/>
          <w:lang w:val="en-GB" w:eastAsia="zh-CN"/>
        </w:rPr>
        <w:t xml:space="preserve">stock </w:t>
      </w:r>
      <w:r w:rsidR="005A7DC1" w:rsidRPr="00CE0DE7">
        <w:rPr>
          <w:color w:val="000000"/>
          <w:sz w:val="20"/>
          <w:szCs w:val="20"/>
          <w:lang w:val="en-GB" w:eastAsia="zh-CN"/>
        </w:rPr>
        <w:t>returns</w:t>
      </w:r>
      <w:r w:rsidR="000610F6" w:rsidRPr="00CE0DE7">
        <w:rPr>
          <w:color w:val="000000"/>
          <w:sz w:val="20"/>
          <w:szCs w:val="20"/>
          <w:lang w:val="en-GB" w:eastAsia="zh-CN"/>
        </w:rPr>
        <w:t>,</w:t>
      </w:r>
      <w:r w:rsidR="005A7DC1" w:rsidRPr="00CE0DE7">
        <w:rPr>
          <w:color w:val="000000"/>
          <w:sz w:val="20"/>
          <w:szCs w:val="20"/>
          <w:lang w:val="en-GB" w:eastAsia="zh-CN"/>
        </w:rPr>
        <w:t xml:space="preserve"> and illiquidity</w:t>
      </w:r>
      <w:r w:rsidR="002376D2" w:rsidRPr="00CE0DE7">
        <w:rPr>
          <w:color w:val="000000"/>
          <w:sz w:val="20"/>
          <w:szCs w:val="20"/>
          <w:lang w:val="en-GB" w:eastAsia="zh-CN"/>
        </w:rPr>
        <w:t xml:space="preserve">, </w:t>
      </w:r>
      <w:r w:rsidRPr="00CE0DE7">
        <w:rPr>
          <w:color w:val="000000"/>
          <w:sz w:val="20"/>
          <w:szCs w:val="20"/>
          <w:lang w:val="en-GB" w:eastAsia="zh-CN"/>
        </w:rPr>
        <w:t xml:space="preserve">we are interested in </w:t>
      </w:r>
      <w:r w:rsidR="00E638C8" w:rsidRPr="00CE0DE7">
        <w:rPr>
          <w:color w:val="000000"/>
          <w:sz w:val="20"/>
          <w:szCs w:val="20"/>
          <w:lang w:val="en-GB" w:eastAsia="zh-CN"/>
        </w:rPr>
        <w:t xml:space="preserve">further </w:t>
      </w:r>
      <w:r w:rsidRPr="00CE0DE7">
        <w:rPr>
          <w:color w:val="000000"/>
          <w:sz w:val="20"/>
          <w:szCs w:val="20"/>
          <w:lang w:val="en-GB" w:eastAsia="zh-CN"/>
        </w:rPr>
        <w:t>determining the channel</w:t>
      </w:r>
      <w:r w:rsidR="00C26255" w:rsidRPr="00CE0DE7">
        <w:rPr>
          <w:color w:val="000000"/>
          <w:sz w:val="20"/>
          <w:szCs w:val="20"/>
          <w:lang w:val="en-GB" w:eastAsia="zh-CN"/>
        </w:rPr>
        <w:t>s</w:t>
      </w:r>
      <w:r w:rsidRPr="00CE0DE7">
        <w:rPr>
          <w:color w:val="000000"/>
          <w:sz w:val="20"/>
          <w:szCs w:val="20"/>
          <w:lang w:val="en-GB" w:eastAsia="zh-CN"/>
        </w:rPr>
        <w:t xml:space="preserve"> through which the relation takes effect. </w:t>
      </w:r>
      <w:r w:rsidR="005A7DC1" w:rsidRPr="00CE0DE7">
        <w:rPr>
          <w:color w:val="000000"/>
          <w:sz w:val="20"/>
          <w:szCs w:val="20"/>
          <w:lang w:val="en-GB" w:eastAsia="zh-CN"/>
        </w:rPr>
        <w:t>Following the findings in Tables 3</w:t>
      </w:r>
      <w:r w:rsidR="00EF0832" w:rsidRPr="00CE0DE7">
        <w:rPr>
          <w:color w:val="000000"/>
          <w:sz w:val="20"/>
          <w:szCs w:val="20"/>
          <w:lang w:val="en-GB" w:eastAsia="zh-CN"/>
        </w:rPr>
        <w:t>-</w:t>
      </w:r>
      <w:r w:rsidR="00245AEA" w:rsidRPr="00CE0DE7">
        <w:rPr>
          <w:color w:val="000000"/>
          <w:sz w:val="20"/>
          <w:szCs w:val="20"/>
          <w:lang w:val="en-GB" w:eastAsia="zh-CN"/>
        </w:rPr>
        <w:t>6</w:t>
      </w:r>
      <w:r w:rsidR="005A7DC1" w:rsidRPr="00CE0DE7">
        <w:rPr>
          <w:color w:val="000000"/>
          <w:sz w:val="20"/>
          <w:szCs w:val="20"/>
          <w:lang w:val="en-GB" w:eastAsia="zh-CN"/>
        </w:rPr>
        <w:t>, we</w:t>
      </w:r>
      <w:r w:rsidR="00D01187" w:rsidRPr="00CE0DE7">
        <w:rPr>
          <w:color w:val="000000"/>
          <w:sz w:val="20"/>
          <w:szCs w:val="20"/>
          <w:lang w:val="en-GB" w:eastAsia="zh-CN"/>
        </w:rPr>
        <w:t xml:space="preserve"> infer </w:t>
      </w:r>
      <w:r w:rsidR="005A7DC1" w:rsidRPr="00CE0DE7">
        <w:rPr>
          <w:color w:val="000000"/>
          <w:sz w:val="20"/>
          <w:szCs w:val="20"/>
          <w:lang w:val="en-GB" w:eastAsia="zh-CN"/>
        </w:rPr>
        <w:t>that</w:t>
      </w:r>
      <w:r w:rsidR="008A433B" w:rsidRPr="00CE0DE7">
        <w:rPr>
          <w:color w:val="000000"/>
          <w:sz w:val="20"/>
          <w:szCs w:val="20"/>
          <w:lang w:val="en-GB" w:eastAsia="zh-CN"/>
        </w:rPr>
        <w:t xml:space="preserve"> the</w:t>
      </w:r>
      <w:r w:rsidR="005A7DC1" w:rsidRPr="00CE0DE7">
        <w:rPr>
          <w:color w:val="000000"/>
          <w:sz w:val="20"/>
          <w:szCs w:val="20"/>
          <w:lang w:val="en-GB" w:eastAsia="zh-CN"/>
        </w:rPr>
        <w:t xml:space="preserve"> </w:t>
      </w:r>
      <w:r w:rsidR="0048419C" w:rsidRPr="00CE0DE7">
        <w:rPr>
          <w:color w:val="000000"/>
          <w:sz w:val="20"/>
          <w:szCs w:val="20"/>
          <w:lang w:val="en-GB" w:eastAsia="zh-CN"/>
        </w:rPr>
        <w:t xml:space="preserve">VRP </w:t>
      </w:r>
      <w:r w:rsidR="005A7DC1" w:rsidRPr="00CE0DE7">
        <w:rPr>
          <w:color w:val="000000"/>
          <w:sz w:val="20"/>
          <w:szCs w:val="20"/>
          <w:lang w:val="en-GB" w:eastAsia="zh-CN"/>
        </w:rPr>
        <w:t>Gran</w:t>
      </w:r>
      <w:r w:rsidRPr="00CE0DE7">
        <w:rPr>
          <w:color w:val="000000"/>
          <w:sz w:val="20"/>
          <w:szCs w:val="20"/>
          <w:lang w:val="en-GB" w:eastAsia="zh-CN"/>
        </w:rPr>
        <w:t>ger-causes stock returns via</w:t>
      </w:r>
      <w:r w:rsidR="005A7DC1" w:rsidRPr="00CE0DE7">
        <w:rPr>
          <w:color w:val="000000"/>
          <w:sz w:val="20"/>
          <w:szCs w:val="20"/>
          <w:lang w:val="en-GB" w:eastAsia="zh-CN"/>
        </w:rPr>
        <w:t xml:space="preserve"> </w:t>
      </w:r>
      <w:r w:rsidRPr="00CE0DE7">
        <w:rPr>
          <w:color w:val="000000"/>
          <w:sz w:val="20"/>
          <w:szCs w:val="20"/>
          <w:lang w:val="en-GB" w:eastAsia="zh-CN"/>
        </w:rPr>
        <w:t>certain</w:t>
      </w:r>
      <w:r w:rsidR="005A7DC1" w:rsidRPr="00CE0DE7">
        <w:rPr>
          <w:color w:val="000000"/>
          <w:sz w:val="20"/>
          <w:szCs w:val="20"/>
          <w:lang w:val="en-GB" w:eastAsia="zh-CN"/>
        </w:rPr>
        <w:t xml:space="preserve"> factors and, in turn, illiquidity</w:t>
      </w:r>
      <w:r w:rsidR="000610F6" w:rsidRPr="00CE0DE7">
        <w:rPr>
          <w:color w:val="000000"/>
          <w:sz w:val="20"/>
          <w:szCs w:val="20"/>
          <w:lang w:val="en-GB" w:eastAsia="zh-CN"/>
        </w:rPr>
        <w:t>,</w:t>
      </w:r>
      <w:r w:rsidR="005A7DC1" w:rsidRPr="00CE0DE7">
        <w:rPr>
          <w:color w:val="000000"/>
          <w:sz w:val="20"/>
          <w:szCs w:val="20"/>
          <w:lang w:val="en-GB" w:eastAsia="zh-CN"/>
        </w:rPr>
        <w:t xml:space="preserve"> and the factors also </w:t>
      </w:r>
      <w:r w:rsidR="005B5A5D" w:rsidRPr="00CE0DE7">
        <w:rPr>
          <w:color w:val="000000"/>
          <w:sz w:val="20"/>
          <w:szCs w:val="20"/>
          <w:lang w:val="en-GB" w:eastAsia="zh-CN"/>
        </w:rPr>
        <w:t xml:space="preserve">affect </w:t>
      </w:r>
      <w:r w:rsidR="005A7DC1" w:rsidRPr="00CE0DE7">
        <w:rPr>
          <w:color w:val="000000"/>
          <w:sz w:val="20"/>
          <w:szCs w:val="20"/>
          <w:lang w:val="en-GB" w:eastAsia="zh-CN"/>
        </w:rPr>
        <w:t xml:space="preserve">stock illiquidity. </w:t>
      </w:r>
      <w:r w:rsidRPr="00CE0DE7">
        <w:rPr>
          <w:color w:val="000000"/>
          <w:sz w:val="20"/>
          <w:szCs w:val="20"/>
          <w:lang w:val="en-GB" w:eastAsia="zh-CN"/>
        </w:rPr>
        <w:t xml:space="preserve">Given the evidence in the asset pricing literature </w:t>
      </w:r>
      <w:r w:rsidR="004714D1" w:rsidRPr="00CE0DE7">
        <w:rPr>
          <w:color w:val="000000"/>
          <w:sz w:val="20"/>
          <w:szCs w:val="20"/>
          <w:lang w:val="en-GB" w:eastAsia="zh-CN"/>
        </w:rPr>
        <w:fldChar w:fldCharType="begin" w:fldLock="1"/>
      </w:r>
      <w:r w:rsidR="00ED66D4" w:rsidRPr="00CE0DE7">
        <w:rPr>
          <w:color w:val="000000"/>
          <w:sz w:val="20"/>
          <w:szCs w:val="20"/>
          <w:lang w:val="en-GB" w:eastAsia="zh-CN"/>
        </w:rPr>
        <w:instrText>ADDIN CSL_CITATION {"citationItems":[{"id":"ITEM-1","itemData":{"ISSN":"00221082","abstract":"Two easily measured variables, size and book‐to‐market equity, combine to capture the cross‐sectional variation in average stock returns associated with market β, size, leverage, book‐to‐market equity, and earnings‐price ratios. Moreover, when the tests allow for variation in β that is unrelated to size, the relation between market β and average return is flat, even when β is the only explanatory variable. 1992 The American Finance Association","author":[{"dropping-particle":"","family":"Fama","given":"Eugene F.","non-dropping-particle":"","parse-names":false,"suffix":""},{"dropping-particle":"","family":"French","given":"Kenneth R.","non-dropping-particle":"","parse-names":false,"suffix":""}],"container-title":"The Journal of Finance","id":"ITEM-1","issue":"2","issued":{"date-parts":[["1992","6","1"]]},"page":"427-465","publisher":"John Wiley &amp; Sons, Ltd","title":"The cross-section of expected stock returns","type":"article-journal","volume":"47"},"uris":["http://www.mendeley.com/documents/?uuid=683e7ad1-547b-3a7c-ad70-35af09a227ba"]},{"id":"ITEM-2","itemData":{"ISSN":"0304405X","abstract":"This paper identifies five common risk factors in the returns on stocks and bonds. There are three stock-market factors: an overall market factor and factors related to firm size and book-to-market equity. There are two bond-market factors, related to maturity and default risks. Stock returns have shared variation due to the stock-market factors, and they are linked to bond returns through shared variation in the bond-market factors. Except for low-grade corporates, the bond-market factors capture the common variation in bond returns. Most important, the five factors seem to explain average returns on stocks and bonds. © 1993.","author":[{"dropping-particle":"","family":"Fama","given":"Eugene F.","non-dropping-particle":"","parse-names":false,"suffix":""},{"dropping-particle":"","family":"French","given":"Kenneth R.","non-dropping-particle":"","parse-names":false,"suffix":""}],"container-title":"Journal of Financial Economics","id":"ITEM-2","issue":"1","issued":{"date-parts":[["1993","2","1"]]},"page":"3-56","publisher":"North-Holland","title":"Common risk factors in the returns on stocks and bonds","type":"article-journal","volume":"33"},"uris":["http://www.mendeley.com/documents/?uuid=ee8b7ec3-0485-36db-9caa-dda26dc4930f"]},{"id":"ITEM-3","itemData":{"ISSN":"00221082","abstract":"We study whether the behavior of stock prices, in relation to size and book‐to‐market‐equity (BE/ME), reflects the behavior of earnings. Consistent with rational pricing, high BE/ME signals persistent poor earnings and low BE/ME signals strong earnings. Moreover, stock prices forecast the reversion of earnings growth observed after firms are ranked on size and BE/ME. Finally, there are market, size, and BE/ME factors in earnings like those in returns. The market and size factors in earnings help explain those in returns, but we find no link between BE/ME factors in earnings and returns. 1995 The American Finance Association","author":[{"dropping-particle":"","family":"Fama","given":"Eugene F.","non-dropping-particle":"","parse-names":false,"suffix":""},{"dropping-particle":"","family":"French","given":"Kenneth R.","non-dropping-particle":"","parse-names":false,"suffix":""}],"container-title":"The Journal of Finance","id":"ITEM-3","issue":"1","issued":{"date-parts":[["1995","3","1"]]},"page":"131-155","publisher":"John Wiley &amp; Sons, Ltd","title":"Size and Book-to-Market Factors in Earnings and Returns","type":"article-journal","volume":"50"},"uris":["http://www.mendeley.com/documents/?uuid=08538652-8e54-3017-9316-0b7f34a7da03"]}],"mendeley":{"formattedCitation":"(Fama and French 1992, 1993, 1995)","plainTextFormattedCitation":"(Fama and French 1992, 1993, 1995)","previouslyFormattedCitation":"(Fama and French 1992, 1993, 1995)"},"properties":{"noteIndex":0},"schema":"https://github.com/citation-style-language/schema/raw/master/csl-citation.json"}</w:instrText>
      </w:r>
      <w:r w:rsidR="004714D1" w:rsidRPr="00CE0DE7">
        <w:rPr>
          <w:color w:val="000000"/>
          <w:sz w:val="20"/>
          <w:szCs w:val="20"/>
          <w:lang w:val="en-GB" w:eastAsia="zh-CN"/>
        </w:rPr>
        <w:fldChar w:fldCharType="separate"/>
      </w:r>
      <w:r w:rsidR="004714D1" w:rsidRPr="00CE0DE7">
        <w:rPr>
          <w:noProof/>
          <w:color w:val="000000"/>
          <w:sz w:val="20"/>
          <w:szCs w:val="20"/>
          <w:lang w:val="en-GB" w:eastAsia="zh-CN"/>
        </w:rPr>
        <w:t>(Fama and French 1992, 1993, 1995)</w:t>
      </w:r>
      <w:r w:rsidR="004714D1" w:rsidRPr="00CE0DE7">
        <w:rPr>
          <w:color w:val="000000"/>
          <w:sz w:val="20"/>
          <w:szCs w:val="20"/>
          <w:lang w:val="en-GB" w:eastAsia="zh-CN"/>
        </w:rPr>
        <w:fldChar w:fldCharType="end"/>
      </w:r>
      <w:r w:rsidRPr="00CE0DE7">
        <w:rPr>
          <w:color w:val="000000"/>
          <w:sz w:val="20"/>
          <w:szCs w:val="20"/>
          <w:lang w:val="en-GB" w:eastAsia="zh-CN"/>
        </w:rPr>
        <w:t xml:space="preserve">, we take the </w:t>
      </w:r>
      <w:proofErr w:type="spellStart"/>
      <w:r w:rsidR="005A7DC1" w:rsidRPr="00CE0DE7">
        <w:rPr>
          <w:color w:val="000000"/>
          <w:sz w:val="20"/>
          <w:szCs w:val="20"/>
          <w:lang w:val="en-GB" w:eastAsia="zh-CN"/>
        </w:rPr>
        <w:t>Fama</w:t>
      </w:r>
      <w:proofErr w:type="spellEnd"/>
      <w:r w:rsidR="005A7DC1" w:rsidRPr="00CE0DE7">
        <w:rPr>
          <w:color w:val="000000"/>
          <w:sz w:val="20"/>
          <w:szCs w:val="20"/>
          <w:lang w:val="en-GB" w:eastAsia="zh-CN"/>
        </w:rPr>
        <w:t>-French three factors</w:t>
      </w:r>
      <w:r w:rsidRPr="00CE0DE7">
        <w:rPr>
          <w:color w:val="000000"/>
          <w:sz w:val="20"/>
          <w:szCs w:val="20"/>
          <w:lang w:val="en-GB" w:eastAsia="zh-CN"/>
        </w:rPr>
        <w:t xml:space="preserve">, </w:t>
      </w:r>
      <w:r w:rsidR="005A7DC1" w:rsidRPr="00CE0DE7">
        <w:rPr>
          <w:color w:val="000000"/>
          <w:sz w:val="20"/>
          <w:szCs w:val="20"/>
          <w:lang w:val="en-GB" w:eastAsia="zh-CN"/>
        </w:rPr>
        <w:t xml:space="preserve">i.e. market </w:t>
      </w:r>
      <w:r w:rsidR="007A1DDE" w:rsidRPr="00CE0DE7">
        <w:rPr>
          <w:color w:val="000000"/>
          <w:sz w:val="20"/>
          <w:szCs w:val="20"/>
          <w:lang w:val="en-GB" w:eastAsia="zh-CN"/>
        </w:rPr>
        <w:t>factor</w:t>
      </w:r>
      <w:r w:rsidR="005A7DC1" w:rsidRPr="00CE0DE7">
        <w:rPr>
          <w:color w:val="000000"/>
          <w:sz w:val="20"/>
          <w:szCs w:val="20"/>
          <w:lang w:val="en-GB" w:eastAsia="zh-CN"/>
        </w:rPr>
        <w:t xml:space="preserve"> (</w:t>
      </w:r>
      <w:r w:rsidR="005A7DC1" w:rsidRPr="00CE0DE7">
        <w:rPr>
          <w:i/>
          <w:color w:val="000000"/>
          <w:sz w:val="20"/>
          <w:szCs w:val="20"/>
          <w:lang w:val="en-GB" w:eastAsia="zh-CN"/>
        </w:rPr>
        <w:t>R</w:t>
      </w:r>
      <w:r w:rsidR="005A7DC1" w:rsidRPr="00CE0DE7">
        <w:rPr>
          <w:i/>
          <w:color w:val="000000"/>
          <w:sz w:val="20"/>
          <w:szCs w:val="20"/>
          <w:vertAlign w:val="subscript"/>
          <w:lang w:val="en-GB" w:eastAsia="zh-CN"/>
        </w:rPr>
        <w:t>m</w:t>
      </w:r>
      <w:r w:rsidR="005A7DC1" w:rsidRPr="00CE0DE7">
        <w:rPr>
          <w:i/>
          <w:color w:val="000000"/>
          <w:sz w:val="20"/>
          <w:szCs w:val="20"/>
          <w:lang w:val="en-GB" w:eastAsia="zh-CN"/>
        </w:rPr>
        <w:t>-R</w:t>
      </w:r>
      <w:r w:rsidR="005A7DC1" w:rsidRPr="00CE0DE7">
        <w:rPr>
          <w:i/>
          <w:color w:val="000000"/>
          <w:sz w:val="20"/>
          <w:szCs w:val="20"/>
          <w:vertAlign w:val="subscript"/>
          <w:lang w:val="en-GB" w:eastAsia="zh-CN"/>
        </w:rPr>
        <w:t>f</w:t>
      </w:r>
      <w:r w:rsidR="005A7DC1" w:rsidRPr="00CE0DE7">
        <w:rPr>
          <w:color w:val="000000"/>
          <w:sz w:val="20"/>
          <w:szCs w:val="20"/>
          <w:lang w:val="en-GB" w:eastAsia="zh-CN"/>
        </w:rPr>
        <w:t>), size factor (</w:t>
      </w:r>
      <w:r w:rsidR="005A7DC1" w:rsidRPr="00CE0DE7">
        <w:rPr>
          <w:i/>
          <w:color w:val="000000"/>
          <w:sz w:val="20"/>
          <w:szCs w:val="20"/>
          <w:lang w:val="en-GB" w:eastAsia="zh-CN"/>
        </w:rPr>
        <w:t>SMB</w:t>
      </w:r>
      <w:r w:rsidR="005A7DC1" w:rsidRPr="00CE0DE7">
        <w:rPr>
          <w:color w:val="000000"/>
          <w:sz w:val="20"/>
          <w:szCs w:val="20"/>
          <w:lang w:val="en-GB" w:eastAsia="zh-CN"/>
        </w:rPr>
        <w:t xml:space="preserve">), </w:t>
      </w:r>
      <w:r w:rsidRPr="00CE0DE7">
        <w:rPr>
          <w:color w:val="000000"/>
          <w:sz w:val="20"/>
          <w:szCs w:val="20"/>
          <w:lang w:val="en-GB" w:eastAsia="zh-CN"/>
        </w:rPr>
        <w:t xml:space="preserve">and </w:t>
      </w:r>
      <w:r w:rsidR="005A7DC1" w:rsidRPr="00CE0DE7">
        <w:rPr>
          <w:color w:val="000000"/>
          <w:sz w:val="20"/>
          <w:szCs w:val="20"/>
          <w:lang w:val="en-GB" w:eastAsia="zh-CN"/>
        </w:rPr>
        <w:t>value factor (</w:t>
      </w:r>
      <w:r w:rsidR="005A7DC1" w:rsidRPr="00CE0DE7">
        <w:rPr>
          <w:i/>
          <w:color w:val="000000"/>
          <w:sz w:val="20"/>
          <w:szCs w:val="20"/>
          <w:lang w:val="en-GB" w:eastAsia="zh-CN"/>
        </w:rPr>
        <w:t>HML</w:t>
      </w:r>
      <w:r w:rsidR="005A7DC1" w:rsidRPr="00CE0DE7">
        <w:rPr>
          <w:color w:val="000000"/>
          <w:sz w:val="20"/>
          <w:szCs w:val="20"/>
          <w:lang w:val="en-GB" w:eastAsia="zh-CN"/>
        </w:rPr>
        <w:t xml:space="preserve">), </w:t>
      </w:r>
      <w:r w:rsidR="000610F6" w:rsidRPr="00CE0DE7">
        <w:rPr>
          <w:color w:val="000000"/>
          <w:sz w:val="20"/>
          <w:szCs w:val="20"/>
          <w:lang w:val="en-GB" w:eastAsia="zh-CN"/>
        </w:rPr>
        <w:t xml:space="preserve">along with </w:t>
      </w:r>
      <w:r w:rsidR="005A7DC1" w:rsidRPr="00CE0DE7">
        <w:rPr>
          <w:color w:val="000000"/>
          <w:sz w:val="20"/>
          <w:szCs w:val="20"/>
          <w:lang w:val="en-GB" w:eastAsia="zh-CN"/>
        </w:rPr>
        <w:t>the momentum factor (</w:t>
      </w:r>
      <w:r w:rsidR="005A7DC1" w:rsidRPr="00CE0DE7">
        <w:rPr>
          <w:i/>
          <w:color w:val="000000"/>
          <w:sz w:val="20"/>
          <w:szCs w:val="20"/>
          <w:lang w:val="en-GB" w:eastAsia="zh-CN"/>
        </w:rPr>
        <w:t>MOM</w:t>
      </w:r>
      <w:r w:rsidR="005A7DC1" w:rsidRPr="00CE0DE7">
        <w:rPr>
          <w:color w:val="000000"/>
          <w:sz w:val="20"/>
          <w:szCs w:val="20"/>
          <w:lang w:val="en-GB" w:eastAsia="zh-CN"/>
        </w:rPr>
        <w:t>)</w:t>
      </w:r>
      <w:r w:rsidR="000610F6" w:rsidRPr="00CE0DE7">
        <w:rPr>
          <w:color w:val="000000"/>
          <w:sz w:val="20"/>
          <w:szCs w:val="20"/>
          <w:lang w:val="en-GB" w:eastAsia="zh-CN"/>
        </w:rPr>
        <w:t>,</w:t>
      </w:r>
      <w:r w:rsidRPr="00CE0DE7">
        <w:rPr>
          <w:color w:val="000000"/>
          <w:sz w:val="20"/>
          <w:szCs w:val="20"/>
          <w:lang w:val="en-GB" w:eastAsia="zh-CN"/>
        </w:rPr>
        <w:t xml:space="preserve"> as candidates</w:t>
      </w:r>
      <w:r w:rsidR="005A7DC1" w:rsidRPr="00CE0DE7">
        <w:rPr>
          <w:color w:val="000000"/>
          <w:sz w:val="20"/>
          <w:szCs w:val="20"/>
          <w:lang w:val="en-GB" w:eastAsia="zh-CN"/>
        </w:rPr>
        <w:t xml:space="preserve">. </w:t>
      </w:r>
    </w:p>
    <w:p w14:paraId="0731971C" w14:textId="140CEEF3" w:rsidR="002162CA" w:rsidRPr="00CE0DE7" w:rsidRDefault="005A7DC1"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To implement the investigation, we </w:t>
      </w:r>
      <w:r w:rsidR="00EF0832" w:rsidRPr="00CE0DE7">
        <w:rPr>
          <w:color w:val="000000"/>
          <w:sz w:val="20"/>
          <w:szCs w:val="20"/>
          <w:lang w:val="en-GB" w:eastAsia="zh-CN"/>
        </w:rPr>
        <w:t xml:space="preserve">again </w:t>
      </w:r>
      <w:r w:rsidRPr="00CE0DE7">
        <w:rPr>
          <w:color w:val="000000"/>
          <w:sz w:val="20"/>
          <w:szCs w:val="20"/>
          <w:lang w:val="en-GB" w:eastAsia="zh-CN"/>
        </w:rPr>
        <w:t xml:space="preserve">apply the </w:t>
      </w:r>
      <w:r w:rsidR="000610F6" w:rsidRPr="00CE0DE7">
        <w:rPr>
          <w:color w:val="000000"/>
          <w:sz w:val="20"/>
          <w:szCs w:val="20"/>
          <w:lang w:val="en-GB" w:eastAsia="zh-CN"/>
        </w:rPr>
        <w:t xml:space="preserve">Toda-Yamamoto </w:t>
      </w:r>
      <w:r w:rsidRPr="00CE0DE7">
        <w:rPr>
          <w:color w:val="000000"/>
          <w:sz w:val="20"/>
          <w:szCs w:val="20"/>
          <w:lang w:val="en-GB" w:eastAsia="zh-CN"/>
        </w:rPr>
        <w:t xml:space="preserve">Granger non-causality test between </w:t>
      </w:r>
      <w:r w:rsidR="008A433B" w:rsidRPr="00CE0DE7">
        <w:rPr>
          <w:color w:val="000000"/>
          <w:sz w:val="20"/>
          <w:szCs w:val="20"/>
          <w:lang w:val="en-GB" w:eastAsia="zh-CN"/>
        </w:rPr>
        <w:t xml:space="preserve">the </w:t>
      </w:r>
      <w:r w:rsidR="00081AF5" w:rsidRPr="00CE0DE7">
        <w:rPr>
          <w:color w:val="000000"/>
          <w:sz w:val="20"/>
          <w:szCs w:val="20"/>
          <w:lang w:val="en-GB" w:eastAsia="zh-CN"/>
        </w:rPr>
        <w:t>VRP</w:t>
      </w:r>
      <w:r w:rsidRPr="00CE0DE7">
        <w:rPr>
          <w:color w:val="000000"/>
          <w:sz w:val="20"/>
          <w:szCs w:val="20"/>
          <w:lang w:val="en-GB" w:eastAsia="zh-CN"/>
        </w:rPr>
        <w:t xml:space="preserve"> (illiquidity) and the four factors (</w:t>
      </w:r>
      <w:r w:rsidRPr="00CE0DE7">
        <w:rPr>
          <w:i/>
          <w:color w:val="000000"/>
          <w:sz w:val="20"/>
          <w:szCs w:val="20"/>
          <w:lang w:val="en-GB" w:eastAsia="zh-CN"/>
        </w:rPr>
        <w:t>R</w:t>
      </w:r>
      <w:r w:rsidRPr="00CE0DE7">
        <w:rPr>
          <w:i/>
          <w:color w:val="000000"/>
          <w:sz w:val="20"/>
          <w:szCs w:val="20"/>
          <w:vertAlign w:val="subscript"/>
          <w:lang w:val="en-GB" w:eastAsia="zh-CN"/>
        </w:rPr>
        <w:t>m</w:t>
      </w:r>
      <w:r w:rsidRPr="00CE0DE7">
        <w:rPr>
          <w:i/>
          <w:color w:val="000000"/>
          <w:sz w:val="20"/>
          <w:szCs w:val="20"/>
          <w:lang w:val="en-GB" w:eastAsia="zh-CN"/>
        </w:rPr>
        <w:t>-R</w:t>
      </w:r>
      <w:r w:rsidRPr="00CE0DE7">
        <w:rPr>
          <w:i/>
          <w:color w:val="000000"/>
          <w:sz w:val="20"/>
          <w:szCs w:val="20"/>
          <w:vertAlign w:val="subscript"/>
          <w:lang w:val="en-GB" w:eastAsia="zh-CN"/>
        </w:rPr>
        <w:t>f</w:t>
      </w:r>
      <w:r w:rsidRPr="00CE0DE7">
        <w:rPr>
          <w:color w:val="000000"/>
          <w:sz w:val="20"/>
          <w:szCs w:val="20"/>
          <w:lang w:val="en-GB"/>
        </w:rPr>
        <w:t xml:space="preserve">, </w:t>
      </w:r>
      <w:r w:rsidRPr="00CE0DE7">
        <w:rPr>
          <w:i/>
          <w:color w:val="000000"/>
          <w:sz w:val="20"/>
          <w:szCs w:val="20"/>
          <w:lang w:val="en-GB"/>
        </w:rPr>
        <w:t>SMB, HML</w:t>
      </w:r>
      <w:r w:rsidR="000610F6" w:rsidRPr="00CE0DE7">
        <w:rPr>
          <w:i/>
          <w:color w:val="000000"/>
          <w:sz w:val="20"/>
          <w:szCs w:val="20"/>
          <w:lang w:val="en-GB"/>
        </w:rPr>
        <w:t>,</w:t>
      </w:r>
      <w:r w:rsidRPr="00CE0DE7">
        <w:rPr>
          <w:color w:val="000000"/>
          <w:sz w:val="20"/>
          <w:szCs w:val="20"/>
          <w:lang w:val="en-GB"/>
        </w:rPr>
        <w:t xml:space="preserve"> and </w:t>
      </w:r>
      <w:r w:rsidRPr="00CE0DE7">
        <w:rPr>
          <w:i/>
          <w:color w:val="000000"/>
          <w:sz w:val="20"/>
          <w:szCs w:val="20"/>
          <w:lang w:val="en-GB"/>
        </w:rPr>
        <w:t>MOM</w:t>
      </w:r>
      <w:r w:rsidRPr="00CE0DE7">
        <w:rPr>
          <w:color w:val="000000"/>
          <w:sz w:val="20"/>
          <w:szCs w:val="20"/>
          <w:lang w:val="en-GB" w:eastAsia="zh-CN"/>
        </w:rPr>
        <w:t xml:space="preserve">). We </w:t>
      </w:r>
      <w:r w:rsidR="00B05B13" w:rsidRPr="00CE0DE7">
        <w:rPr>
          <w:color w:val="000000"/>
          <w:sz w:val="20"/>
          <w:szCs w:val="20"/>
          <w:lang w:val="en-GB" w:eastAsia="zh-CN"/>
        </w:rPr>
        <w:t xml:space="preserve">summarize </w:t>
      </w:r>
      <w:r w:rsidRPr="00CE0DE7">
        <w:rPr>
          <w:color w:val="000000"/>
          <w:sz w:val="20"/>
          <w:szCs w:val="20"/>
          <w:lang w:val="en-GB" w:eastAsia="zh-CN"/>
        </w:rPr>
        <w:t xml:space="preserve">the results in Table </w:t>
      </w:r>
      <w:r w:rsidR="00081AF5" w:rsidRPr="00CE0DE7">
        <w:rPr>
          <w:color w:val="000000"/>
          <w:sz w:val="20"/>
          <w:szCs w:val="20"/>
          <w:lang w:val="en-GB" w:eastAsia="zh-CN"/>
        </w:rPr>
        <w:t>9</w:t>
      </w:r>
      <w:r w:rsidR="00E638C8" w:rsidRPr="00CE0DE7">
        <w:rPr>
          <w:color w:val="000000"/>
          <w:sz w:val="20"/>
          <w:szCs w:val="20"/>
          <w:lang w:val="en-GB" w:eastAsia="zh-CN"/>
        </w:rPr>
        <w:t xml:space="preserve">. Panel A shows that </w:t>
      </w:r>
      <w:r w:rsidRPr="00CE0DE7">
        <w:rPr>
          <w:color w:val="000000"/>
          <w:sz w:val="20"/>
          <w:szCs w:val="20"/>
          <w:lang w:val="en-GB" w:eastAsia="zh-CN"/>
        </w:rPr>
        <w:t xml:space="preserve">changes in </w:t>
      </w:r>
      <w:r w:rsidR="008A433B" w:rsidRPr="00CE0DE7">
        <w:rPr>
          <w:color w:val="000000"/>
          <w:sz w:val="20"/>
          <w:szCs w:val="20"/>
          <w:lang w:val="en-GB" w:eastAsia="zh-CN"/>
        </w:rPr>
        <w:t xml:space="preserve">the </w:t>
      </w:r>
      <w:r w:rsidR="00081AF5" w:rsidRPr="00CE0DE7">
        <w:rPr>
          <w:color w:val="000000"/>
          <w:sz w:val="20"/>
          <w:szCs w:val="20"/>
          <w:lang w:val="en-GB" w:eastAsia="zh-CN"/>
        </w:rPr>
        <w:t>VRP</w:t>
      </w:r>
      <w:r w:rsidRPr="00CE0DE7">
        <w:rPr>
          <w:color w:val="000000"/>
          <w:sz w:val="20"/>
          <w:szCs w:val="20"/>
          <w:lang w:val="en-GB" w:eastAsia="zh-CN"/>
        </w:rPr>
        <w:t xml:space="preserve"> </w:t>
      </w:r>
      <w:r w:rsidR="00B05B13" w:rsidRPr="00CE0DE7">
        <w:rPr>
          <w:color w:val="000000"/>
          <w:sz w:val="20"/>
          <w:szCs w:val="20"/>
          <w:lang w:val="en-GB" w:eastAsia="zh-CN"/>
        </w:rPr>
        <w:t>Granger-cause</w:t>
      </w:r>
      <w:r w:rsidRPr="00CE0DE7">
        <w:rPr>
          <w:color w:val="000000"/>
          <w:sz w:val="20"/>
          <w:szCs w:val="20"/>
          <w:lang w:val="en-GB" w:eastAsia="zh-CN"/>
        </w:rPr>
        <w:t xml:space="preserve"> the variation in market </w:t>
      </w:r>
      <w:r w:rsidR="007A1DDE" w:rsidRPr="00CE0DE7">
        <w:rPr>
          <w:color w:val="000000"/>
          <w:sz w:val="20"/>
          <w:szCs w:val="20"/>
          <w:lang w:val="en-GB" w:eastAsia="zh-CN"/>
        </w:rPr>
        <w:t>factor</w:t>
      </w:r>
      <w:r w:rsidRPr="00CE0DE7">
        <w:rPr>
          <w:color w:val="000000"/>
          <w:sz w:val="20"/>
          <w:szCs w:val="20"/>
          <w:lang w:val="en-GB" w:eastAsia="zh-CN"/>
        </w:rPr>
        <w:t>, value factor</w:t>
      </w:r>
      <w:r w:rsidR="000610F6" w:rsidRPr="00CE0DE7">
        <w:rPr>
          <w:color w:val="000000"/>
          <w:sz w:val="20"/>
          <w:szCs w:val="20"/>
          <w:lang w:val="en-GB" w:eastAsia="zh-CN"/>
        </w:rPr>
        <w:t>,</w:t>
      </w:r>
      <w:r w:rsidRPr="00CE0DE7">
        <w:rPr>
          <w:color w:val="000000"/>
          <w:sz w:val="20"/>
          <w:szCs w:val="20"/>
          <w:lang w:val="en-GB" w:eastAsia="zh-CN"/>
        </w:rPr>
        <w:t xml:space="preserve"> and momentum factor</w:t>
      </w:r>
      <w:r w:rsidR="00EF0832" w:rsidRPr="00CE0DE7">
        <w:rPr>
          <w:color w:val="000000"/>
          <w:sz w:val="20"/>
          <w:szCs w:val="20"/>
          <w:lang w:val="en-GB" w:eastAsia="zh-CN"/>
        </w:rPr>
        <w:t>, but not size factor,</w:t>
      </w:r>
      <w:r w:rsidRPr="00CE0DE7">
        <w:rPr>
          <w:color w:val="000000"/>
          <w:sz w:val="20"/>
          <w:szCs w:val="20"/>
          <w:lang w:val="en-GB" w:eastAsia="zh-CN"/>
        </w:rPr>
        <w:t xml:space="preserve"> for the full sample period and </w:t>
      </w:r>
      <w:r w:rsidR="00545240" w:rsidRPr="00CE0DE7">
        <w:rPr>
          <w:color w:val="000000"/>
          <w:sz w:val="20"/>
          <w:szCs w:val="20"/>
          <w:lang w:val="en-GB" w:eastAsia="zh-CN"/>
        </w:rPr>
        <w:t xml:space="preserve">all </w:t>
      </w:r>
      <w:r w:rsidRPr="00CE0DE7">
        <w:rPr>
          <w:color w:val="000000"/>
          <w:sz w:val="20"/>
          <w:szCs w:val="20"/>
          <w:lang w:val="en-GB" w:eastAsia="zh-CN"/>
        </w:rPr>
        <w:t xml:space="preserve">sub-sample periods. More specifically, </w:t>
      </w:r>
      <w:r w:rsidR="002162CA" w:rsidRPr="00CE0DE7">
        <w:rPr>
          <w:color w:val="000000"/>
          <w:sz w:val="20"/>
          <w:szCs w:val="20"/>
          <w:lang w:val="en-GB" w:eastAsia="zh-CN"/>
        </w:rPr>
        <w:t xml:space="preserve">the </w:t>
      </w:r>
      <w:r w:rsidRPr="00CE0DE7">
        <w:rPr>
          <w:color w:val="000000"/>
          <w:sz w:val="20"/>
          <w:szCs w:val="20"/>
          <w:lang w:val="en-GB" w:eastAsia="zh-CN"/>
        </w:rPr>
        <w:t xml:space="preserve">likelihood ratio </w:t>
      </w:r>
      <w:r w:rsidR="002162CA" w:rsidRPr="00CE0DE7">
        <w:rPr>
          <w:color w:val="000000"/>
          <w:sz w:val="20"/>
          <w:szCs w:val="20"/>
          <w:lang w:val="en-GB" w:eastAsia="zh-CN"/>
        </w:rPr>
        <w:t xml:space="preserve">test </w:t>
      </w:r>
      <w:r w:rsidRPr="00CE0DE7">
        <w:rPr>
          <w:color w:val="000000"/>
          <w:sz w:val="20"/>
          <w:szCs w:val="20"/>
          <w:lang w:val="en-GB" w:eastAsia="zh-CN"/>
        </w:rPr>
        <w:t xml:space="preserve">statistics for the </w:t>
      </w:r>
      <w:r w:rsidR="00545240" w:rsidRPr="00CE0DE7">
        <w:rPr>
          <w:color w:val="000000"/>
          <w:sz w:val="20"/>
          <w:szCs w:val="20"/>
          <w:lang w:val="en-GB" w:eastAsia="zh-CN"/>
        </w:rPr>
        <w:t xml:space="preserve">null </w:t>
      </w:r>
      <w:r w:rsidRPr="00CE0DE7">
        <w:rPr>
          <w:color w:val="000000"/>
          <w:sz w:val="20"/>
          <w:szCs w:val="20"/>
          <w:lang w:val="en-GB" w:eastAsia="zh-CN"/>
        </w:rPr>
        <w:t xml:space="preserve">hypothesis that </w:t>
      </w:r>
      <w:r w:rsidR="008A433B" w:rsidRPr="00CE0DE7">
        <w:rPr>
          <w:color w:val="000000"/>
          <w:sz w:val="20"/>
          <w:szCs w:val="20"/>
          <w:lang w:val="en-GB" w:eastAsia="zh-CN"/>
        </w:rPr>
        <w:t xml:space="preserve">the </w:t>
      </w:r>
      <w:r w:rsidR="00081AF5" w:rsidRPr="00CE0DE7">
        <w:rPr>
          <w:color w:val="000000"/>
          <w:sz w:val="20"/>
          <w:szCs w:val="20"/>
          <w:lang w:val="en-GB" w:eastAsia="zh-CN"/>
        </w:rPr>
        <w:t>VRP</w:t>
      </w:r>
      <w:r w:rsidRPr="00CE0DE7">
        <w:rPr>
          <w:color w:val="000000"/>
          <w:sz w:val="20"/>
          <w:szCs w:val="20"/>
          <w:lang w:val="en-GB" w:eastAsia="zh-CN"/>
        </w:rPr>
        <w:t xml:space="preserve"> does not </w:t>
      </w:r>
      <w:r w:rsidR="002162CA" w:rsidRPr="00CE0DE7">
        <w:rPr>
          <w:color w:val="000000"/>
          <w:sz w:val="20"/>
          <w:szCs w:val="20"/>
          <w:lang w:val="en-GB" w:eastAsia="zh-CN"/>
        </w:rPr>
        <w:t>Granger-</w:t>
      </w:r>
      <w:r w:rsidRPr="00CE0DE7">
        <w:rPr>
          <w:color w:val="000000"/>
          <w:sz w:val="20"/>
          <w:szCs w:val="20"/>
          <w:lang w:val="en-GB" w:eastAsia="zh-CN"/>
        </w:rPr>
        <w:t xml:space="preserve">cause </w:t>
      </w:r>
      <w:r w:rsidR="002162CA" w:rsidRPr="00CE0DE7">
        <w:rPr>
          <w:color w:val="000000"/>
          <w:sz w:val="20"/>
          <w:szCs w:val="20"/>
          <w:lang w:val="en-GB" w:eastAsia="zh-CN"/>
        </w:rPr>
        <w:t xml:space="preserve">the </w:t>
      </w:r>
      <w:r w:rsidRPr="00CE0DE7">
        <w:rPr>
          <w:color w:val="000000"/>
          <w:sz w:val="20"/>
          <w:szCs w:val="20"/>
          <w:lang w:val="en-GB" w:eastAsia="zh-CN"/>
        </w:rPr>
        <w:t xml:space="preserve">market </w:t>
      </w:r>
      <w:r w:rsidR="007A1DDE" w:rsidRPr="00CE0DE7">
        <w:rPr>
          <w:color w:val="000000"/>
          <w:sz w:val="20"/>
          <w:szCs w:val="20"/>
          <w:lang w:val="en-GB" w:eastAsia="zh-CN"/>
        </w:rPr>
        <w:t>factor</w:t>
      </w:r>
      <w:r w:rsidRPr="00CE0DE7">
        <w:rPr>
          <w:color w:val="000000"/>
          <w:sz w:val="20"/>
          <w:szCs w:val="20"/>
          <w:lang w:val="en-GB" w:eastAsia="zh-CN"/>
        </w:rPr>
        <w:t xml:space="preserve"> </w:t>
      </w:r>
      <w:r w:rsidR="002162CA" w:rsidRPr="00CE0DE7">
        <w:rPr>
          <w:color w:val="000000"/>
          <w:sz w:val="20"/>
          <w:szCs w:val="20"/>
          <w:lang w:val="en-GB" w:eastAsia="zh-CN"/>
        </w:rPr>
        <w:t>is</w:t>
      </w:r>
      <w:r w:rsidRPr="00CE0DE7">
        <w:rPr>
          <w:color w:val="000000"/>
          <w:sz w:val="20"/>
          <w:szCs w:val="20"/>
          <w:lang w:val="en-GB" w:eastAsia="zh-CN"/>
        </w:rPr>
        <w:t xml:space="preserve"> statistically significant</w:t>
      </w:r>
      <w:r w:rsidR="002162CA" w:rsidRPr="00CE0DE7">
        <w:rPr>
          <w:color w:val="000000"/>
          <w:sz w:val="20"/>
          <w:szCs w:val="20"/>
          <w:lang w:val="en-GB" w:eastAsia="zh-CN"/>
        </w:rPr>
        <w:t xml:space="preserve"> for all cases</w:t>
      </w:r>
      <w:r w:rsidRPr="00CE0DE7">
        <w:rPr>
          <w:color w:val="000000"/>
          <w:sz w:val="20"/>
          <w:szCs w:val="20"/>
          <w:lang w:val="en-GB" w:eastAsia="zh-CN"/>
        </w:rPr>
        <w:t xml:space="preserve">. Similarly, </w:t>
      </w:r>
      <w:r w:rsidR="002162CA" w:rsidRPr="00CE0DE7">
        <w:rPr>
          <w:color w:val="000000"/>
          <w:sz w:val="20"/>
          <w:szCs w:val="20"/>
          <w:lang w:val="en-GB" w:eastAsia="zh-CN"/>
        </w:rPr>
        <w:t>the null hypothesis of Granger non-causality is rejected for</w:t>
      </w:r>
      <w:r w:rsidRPr="00CE0DE7">
        <w:rPr>
          <w:color w:val="000000"/>
          <w:sz w:val="20"/>
          <w:szCs w:val="20"/>
          <w:lang w:val="en-GB" w:eastAsia="zh-CN"/>
        </w:rPr>
        <w:t xml:space="preserve"> </w:t>
      </w:r>
      <w:r w:rsidR="002162CA" w:rsidRPr="00CE0DE7">
        <w:rPr>
          <w:color w:val="000000"/>
          <w:sz w:val="20"/>
          <w:szCs w:val="20"/>
          <w:lang w:val="en-GB" w:eastAsia="zh-CN"/>
        </w:rPr>
        <w:t xml:space="preserve">the </w:t>
      </w:r>
      <w:r w:rsidRPr="00CE0DE7">
        <w:rPr>
          <w:color w:val="000000"/>
          <w:sz w:val="20"/>
          <w:szCs w:val="20"/>
          <w:lang w:val="en-GB" w:eastAsia="zh-CN"/>
        </w:rPr>
        <w:t>value factor and momentum factor</w:t>
      </w:r>
      <w:r w:rsidR="002162CA" w:rsidRPr="00CE0DE7">
        <w:rPr>
          <w:color w:val="000000"/>
          <w:sz w:val="20"/>
          <w:szCs w:val="20"/>
          <w:lang w:val="en-GB" w:eastAsia="zh-CN"/>
        </w:rPr>
        <w:t xml:space="preserve"> in all samples</w:t>
      </w:r>
      <w:r w:rsidRPr="00CE0DE7">
        <w:rPr>
          <w:color w:val="000000"/>
          <w:sz w:val="20"/>
          <w:szCs w:val="20"/>
          <w:lang w:val="en-GB" w:eastAsia="zh-CN"/>
        </w:rPr>
        <w:t>, wh</w:t>
      </w:r>
      <w:r w:rsidR="002162CA" w:rsidRPr="00CE0DE7">
        <w:rPr>
          <w:color w:val="000000"/>
          <w:sz w:val="20"/>
          <w:szCs w:val="20"/>
          <w:lang w:val="en-GB" w:eastAsia="zh-CN"/>
        </w:rPr>
        <w:t>ereas</w:t>
      </w:r>
      <w:r w:rsidRPr="00CE0DE7">
        <w:rPr>
          <w:color w:val="000000"/>
          <w:sz w:val="20"/>
          <w:szCs w:val="20"/>
          <w:lang w:val="en-GB" w:eastAsia="zh-CN"/>
        </w:rPr>
        <w:t xml:space="preserve"> </w:t>
      </w:r>
      <w:r w:rsidR="002162CA" w:rsidRPr="00CE0DE7">
        <w:rPr>
          <w:color w:val="000000"/>
          <w:sz w:val="20"/>
          <w:szCs w:val="20"/>
          <w:lang w:val="en-GB" w:eastAsia="zh-CN"/>
        </w:rPr>
        <w:t xml:space="preserve">the null is rejected in </w:t>
      </w:r>
      <w:r w:rsidR="00545240" w:rsidRPr="00CE0DE7">
        <w:rPr>
          <w:color w:val="000000"/>
          <w:sz w:val="20"/>
          <w:szCs w:val="20"/>
          <w:lang w:val="en-GB" w:eastAsia="zh-CN"/>
        </w:rPr>
        <w:t xml:space="preserve">seven </w:t>
      </w:r>
      <w:r w:rsidRPr="00CE0DE7">
        <w:rPr>
          <w:color w:val="000000"/>
          <w:sz w:val="20"/>
          <w:szCs w:val="20"/>
          <w:lang w:val="en-GB" w:eastAsia="zh-CN"/>
        </w:rPr>
        <w:t xml:space="preserve">out of </w:t>
      </w:r>
      <w:r w:rsidR="007C5F08" w:rsidRPr="00CE0DE7">
        <w:rPr>
          <w:color w:val="000000"/>
          <w:sz w:val="20"/>
          <w:szCs w:val="20"/>
          <w:lang w:val="en-GB" w:eastAsia="zh-CN"/>
        </w:rPr>
        <w:t>twelve</w:t>
      </w:r>
      <w:r w:rsidRPr="00CE0DE7">
        <w:rPr>
          <w:color w:val="000000"/>
          <w:sz w:val="20"/>
          <w:szCs w:val="20"/>
          <w:lang w:val="en-GB" w:eastAsia="zh-CN"/>
        </w:rPr>
        <w:t xml:space="preserve"> </w:t>
      </w:r>
      <w:r w:rsidR="002162CA" w:rsidRPr="00CE0DE7">
        <w:rPr>
          <w:color w:val="000000"/>
          <w:sz w:val="20"/>
          <w:szCs w:val="20"/>
          <w:lang w:val="en-GB" w:eastAsia="zh-CN"/>
        </w:rPr>
        <w:t xml:space="preserve">cases </w:t>
      </w:r>
      <w:r w:rsidRPr="00CE0DE7">
        <w:rPr>
          <w:color w:val="000000"/>
          <w:sz w:val="20"/>
          <w:szCs w:val="20"/>
          <w:lang w:val="en-GB" w:eastAsia="zh-CN"/>
        </w:rPr>
        <w:t xml:space="preserve">for the size factor. </w:t>
      </w:r>
      <w:r w:rsidR="002162CA" w:rsidRPr="00CE0DE7">
        <w:rPr>
          <w:color w:val="000000"/>
          <w:sz w:val="20"/>
          <w:szCs w:val="20"/>
          <w:lang w:val="en-GB" w:eastAsia="zh-CN"/>
        </w:rPr>
        <w:t>Meanwhile</w:t>
      </w:r>
      <w:r w:rsidRPr="00CE0DE7">
        <w:rPr>
          <w:color w:val="000000"/>
          <w:sz w:val="20"/>
          <w:szCs w:val="20"/>
          <w:lang w:val="en-GB" w:eastAsia="zh-CN"/>
        </w:rPr>
        <w:t xml:space="preserve">, there is limited evidence to reject the null hypothesis that the four factors do not cause </w:t>
      </w:r>
      <w:r w:rsidR="008A433B" w:rsidRPr="00CE0DE7">
        <w:rPr>
          <w:color w:val="000000"/>
          <w:sz w:val="20"/>
          <w:szCs w:val="20"/>
          <w:lang w:val="en-GB" w:eastAsia="zh-CN"/>
        </w:rPr>
        <w:t xml:space="preserve">the </w:t>
      </w:r>
      <w:r w:rsidR="00081AF5" w:rsidRPr="00CE0DE7">
        <w:rPr>
          <w:color w:val="000000"/>
          <w:sz w:val="20"/>
          <w:szCs w:val="20"/>
          <w:lang w:val="en-GB" w:eastAsia="zh-CN"/>
        </w:rPr>
        <w:t>VRP</w:t>
      </w:r>
      <w:r w:rsidRPr="00CE0DE7">
        <w:rPr>
          <w:color w:val="000000"/>
          <w:sz w:val="20"/>
          <w:szCs w:val="20"/>
          <w:lang w:val="en-GB" w:eastAsia="zh-CN"/>
        </w:rPr>
        <w:t xml:space="preserve"> as most of the likelihood ratio </w:t>
      </w:r>
      <w:r w:rsidR="002162CA" w:rsidRPr="00CE0DE7">
        <w:rPr>
          <w:color w:val="000000"/>
          <w:sz w:val="20"/>
          <w:szCs w:val="20"/>
          <w:lang w:val="en-GB" w:eastAsia="zh-CN"/>
        </w:rPr>
        <w:t xml:space="preserve">test </w:t>
      </w:r>
      <w:r w:rsidRPr="00CE0DE7">
        <w:rPr>
          <w:color w:val="000000"/>
          <w:sz w:val="20"/>
          <w:szCs w:val="20"/>
          <w:lang w:val="en-GB" w:eastAsia="zh-CN"/>
        </w:rPr>
        <w:t xml:space="preserve">statistics </w:t>
      </w:r>
      <w:r w:rsidR="007171E0" w:rsidRPr="00CE0DE7">
        <w:rPr>
          <w:color w:val="000000"/>
          <w:sz w:val="20"/>
          <w:szCs w:val="20"/>
          <w:lang w:val="en-GB" w:eastAsia="zh-CN"/>
        </w:rPr>
        <w:t xml:space="preserve">are </w:t>
      </w:r>
      <w:r w:rsidRPr="00CE0DE7">
        <w:rPr>
          <w:color w:val="000000"/>
          <w:sz w:val="20"/>
          <w:szCs w:val="20"/>
          <w:lang w:val="en-GB" w:eastAsia="zh-CN"/>
        </w:rPr>
        <w:t xml:space="preserve">insignificant. </w:t>
      </w:r>
    </w:p>
    <w:p w14:paraId="5450067A" w14:textId="77777777" w:rsidR="0081445C" w:rsidRPr="00CE0DE7" w:rsidRDefault="0081445C" w:rsidP="00B01B7C">
      <w:pPr>
        <w:autoSpaceDE w:val="0"/>
        <w:autoSpaceDN w:val="0"/>
        <w:adjustRightInd w:val="0"/>
        <w:snapToGrid w:val="0"/>
        <w:spacing w:before="240" w:after="240" w:line="480" w:lineRule="auto"/>
        <w:jc w:val="center"/>
        <w:rPr>
          <w:color w:val="000000"/>
          <w:sz w:val="20"/>
          <w:szCs w:val="20"/>
          <w:lang w:val="en-GB" w:eastAsia="zh-CN"/>
        </w:rPr>
      </w:pPr>
      <w:r w:rsidRPr="00CE0DE7">
        <w:rPr>
          <w:color w:val="000000"/>
          <w:sz w:val="20"/>
          <w:szCs w:val="20"/>
          <w:lang w:val="en-GB" w:eastAsia="zh-CN"/>
        </w:rPr>
        <w:t>[Insert Table 9 around here]</w:t>
      </w:r>
    </w:p>
    <w:p w14:paraId="28645426" w14:textId="5B9E348D" w:rsidR="00081AF5" w:rsidRPr="00CE0DE7" w:rsidRDefault="005A7DC1"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Panel B demonstrates </w:t>
      </w:r>
      <w:r w:rsidR="00024D28" w:rsidRPr="00CE0DE7">
        <w:rPr>
          <w:color w:val="000000"/>
          <w:sz w:val="20"/>
          <w:szCs w:val="20"/>
          <w:lang w:val="en-GB" w:eastAsia="zh-CN"/>
        </w:rPr>
        <w:t>a</w:t>
      </w:r>
      <w:r w:rsidR="004C1B6A" w:rsidRPr="00CE0DE7">
        <w:rPr>
          <w:color w:val="000000"/>
          <w:sz w:val="20"/>
          <w:szCs w:val="20"/>
          <w:lang w:val="en-GB" w:eastAsia="zh-CN"/>
        </w:rPr>
        <w:t xml:space="preserve"> </w:t>
      </w:r>
      <w:proofErr w:type="spellStart"/>
      <w:r w:rsidR="004C1B6A" w:rsidRPr="00CE0DE7">
        <w:rPr>
          <w:color w:val="000000"/>
          <w:sz w:val="20"/>
          <w:szCs w:val="20"/>
          <w:lang w:val="en-GB" w:eastAsia="zh-CN"/>
        </w:rPr>
        <w:t>uni</w:t>
      </w:r>
      <w:proofErr w:type="spellEnd"/>
      <w:r w:rsidR="004C1B6A" w:rsidRPr="00CE0DE7">
        <w:rPr>
          <w:color w:val="000000"/>
          <w:sz w:val="20"/>
          <w:szCs w:val="20"/>
          <w:lang w:val="en-GB" w:eastAsia="zh-CN"/>
        </w:rPr>
        <w:t xml:space="preserve">-directional </w:t>
      </w:r>
      <w:r w:rsidRPr="00CE0DE7">
        <w:rPr>
          <w:color w:val="000000"/>
          <w:sz w:val="20"/>
          <w:szCs w:val="20"/>
          <w:lang w:val="en-GB" w:eastAsia="zh-CN"/>
        </w:rPr>
        <w:t>causal</w:t>
      </w:r>
      <w:r w:rsidR="001D7007" w:rsidRPr="00CE0DE7">
        <w:rPr>
          <w:color w:val="000000"/>
          <w:sz w:val="20"/>
          <w:szCs w:val="20"/>
          <w:lang w:val="en-GB" w:eastAsia="zh-CN"/>
        </w:rPr>
        <w:t xml:space="preserve"> relationship</w:t>
      </w:r>
      <w:r w:rsidRPr="00CE0DE7">
        <w:rPr>
          <w:color w:val="000000"/>
          <w:sz w:val="20"/>
          <w:szCs w:val="20"/>
          <w:lang w:val="en-GB" w:eastAsia="zh-CN"/>
        </w:rPr>
        <w:t xml:space="preserve"> from</w:t>
      </w:r>
      <w:r w:rsidR="007A1DDE" w:rsidRPr="00CE0DE7">
        <w:rPr>
          <w:color w:val="000000"/>
          <w:sz w:val="20"/>
          <w:szCs w:val="20"/>
          <w:lang w:val="en-GB" w:eastAsia="zh-CN"/>
        </w:rPr>
        <w:t xml:space="preserve"> </w:t>
      </w:r>
      <w:r w:rsidR="00E638C8" w:rsidRPr="00CE0DE7">
        <w:rPr>
          <w:color w:val="000000"/>
          <w:sz w:val="20"/>
          <w:szCs w:val="20"/>
          <w:lang w:val="en-GB" w:eastAsia="zh-CN"/>
        </w:rPr>
        <w:t xml:space="preserve">the </w:t>
      </w:r>
      <w:r w:rsidRPr="00CE0DE7">
        <w:rPr>
          <w:color w:val="000000"/>
          <w:sz w:val="20"/>
          <w:szCs w:val="20"/>
          <w:lang w:val="en-GB" w:eastAsia="zh-CN"/>
        </w:rPr>
        <w:t xml:space="preserve">market and momentum </w:t>
      </w:r>
      <w:r w:rsidR="007A1DDE" w:rsidRPr="00CE0DE7">
        <w:rPr>
          <w:color w:val="000000"/>
          <w:sz w:val="20"/>
          <w:szCs w:val="20"/>
          <w:lang w:val="en-GB" w:eastAsia="zh-CN"/>
        </w:rPr>
        <w:t xml:space="preserve">factors </w:t>
      </w:r>
      <w:r w:rsidRPr="00CE0DE7">
        <w:rPr>
          <w:color w:val="000000"/>
          <w:sz w:val="20"/>
          <w:szCs w:val="20"/>
          <w:lang w:val="en-GB" w:eastAsia="zh-CN"/>
        </w:rPr>
        <w:t>to illiquidity</w:t>
      </w:r>
      <w:r w:rsidR="00024D28" w:rsidRPr="00CE0DE7">
        <w:rPr>
          <w:color w:val="000000"/>
          <w:sz w:val="20"/>
          <w:szCs w:val="20"/>
          <w:lang w:val="en-GB" w:eastAsia="zh-CN"/>
        </w:rPr>
        <w:t>,</w:t>
      </w:r>
      <w:r w:rsidR="004C1B6A" w:rsidRPr="00CE0DE7">
        <w:rPr>
          <w:color w:val="000000"/>
          <w:sz w:val="20"/>
          <w:szCs w:val="20"/>
          <w:lang w:val="en-GB" w:eastAsia="zh-CN"/>
        </w:rPr>
        <w:t xml:space="preserve"> but the evidence is </w:t>
      </w:r>
      <w:r w:rsidR="00024D28" w:rsidRPr="00CE0DE7">
        <w:rPr>
          <w:color w:val="000000"/>
          <w:sz w:val="20"/>
          <w:szCs w:val="20"/>
          <w:lang w:val="en-GB" w:eastAsia="zh-CN"/>
        </w:rPr>
        <w:t xml:space="preserve">unclear </w:t>
      </w:r>
      <w:r w:rsidR="004C1B6A" w:rsidRPr="00CE0DE7">
        <w:rPr>
          <w:color w:val="000000"/>
          <w:sz w:val="20"/>
          <w:szCs w:val="20"/>
          <w:lang w:val="en-GB" w:eastAsia="zh-CN"/>
        </w:rPr>
        <w:t>for the relation between illiquidity and size and value factors</w:t>
      </w:r>
      <w:r w:rsidRPr="00CE0DE7">
        <w:rPr>
          <w:color w:val="000000"/>
          <w:sz w:val="20"/>
          <w:szCs w:val="20"/>
          <w:lang w:val="en-GB" w:eastAsia="zh-CN"/>
        </w:rPr>
        <w:t xml:space="preserve">. </w:t>
      </w:r>
      <w:r w:rsidR="00336702" w:rsidRPr="00CE0DE7">
        <w:rPr>
          <w:color w:val="000000"/>
          <w:sz w:val="20"/>
          <w:szCs w:val="20"/>
          <w:lang w:val="en-GB" w:eastAsia="zh-CN"/>
        </w:rPr>
        <w:t>O</w:t>
      </w:r>
      <w:r w:rsidR="00A37DE5" w:rsidRPr="00CE0DE7">
        <w:rPr>
          <w:color w:val="000000"/>
          <w:sz w:val="20"/>
          <w:szCs w:val="20"/>
          <w:lang w:val="en-GB" w:eastAsia="zh-CN"/>
        </w:rPr>
        <w:t xml:space="preserve">nly </w:t>
      </w:r>
      <w:r w:rsidR="00DA6B51" w:rsidRPr="00CE0DE7">
        <w:rPr>
          <w:color w:val="000000"/>
          <w:sz w:val="20"/>
          <w:szCs w:val="20"/>
          <w:lang w:val="en-GB" w:eastAsia="zh-CN"/>
        </w:rPr>
        <w:t>about</w:t>
      </w:r>
      <w:r w:rsidR="00A37DE5" w:rsidRPr="00CE0DE7">
        <w:rPr>
          <w:color w:val="000000"/>
          <w:sz w:val="20"/>
          <w:szCs w:val="20"/>
          <w:lang w:val="en-GB" w:eastAsia="zh-CN"/>
        </w:rPr>
        <w:t xml:space="preserve"> half of the results are significant at the 5% level for the causal relationship running from illiquidity to the size factor and from illi</w:t>
      </w:r>
      <w:r w:rsidR="00336702" w:rsidRPr="00CE0DE7">
        <w:rPr>
          <w:color w:val="000000"/>
          <w:sz w:val="20"/>
          <w:szCs w:val="20"/>
          <w:lang w:val="en-GB" w:eastAsia="zh-CN"/>
        </w:rPr>
        <w:t>quidity to the value factor</w:t>
      </w:r>
      <w:r w:rsidR="00A37DE5" w:rsidRPr="00CE0DE7">
        <w:rPr>
          <w:color w:val="000000"/>
          <w:sz w:val="20"/>
          <w:szCs w:val="20"/>
          <w:lang w:val="en-GB" w:eastAsia="zh-CN"/>
        </w:rPr>
        <w:t xml:space="preserve">. </w:t>
      </w:r>
      <w:r w:rsidR="004C1B6A" w:rsidRPr="00CE0DE7">
        <w:rPr>
          <w:color w:val="000000"/>
          <w:sz w:val="20"/>
          <w:szCs w:val="20"/>
          <w:lang w:val="en-GB" w:eastAsia="zh-CN"/>
        </w:rPr>
        <w:t xml:space="preserve">Taken together, the evidence in Table </w:t>
      </w:r>
      <w:r w:rsidR="00081AF5" w:rsidRPr="00CE0DE7">
        <w:rPr>
          <w:color w:val="000000"/>
          <w:sz w:val="20"/>
          <w:szCs w:val="20"/>
          <w:lang w:val="en-GB" w:eastAsia="zh-CN"/>
        </w:rPr>
        <w:t xml:space="preserve">9 </w:t>
      </w:r>
      <w:r w:rsidR="004C1B6A" w:rsidRPr="00CE0DE7">
        <w:rPr>
          <w:color w:val="000000"/>
          <w:sz w:val="20"/>
          <w:szCs w:val="20"/>
          <w:lang w:val="en-GB" w:eastAsia="zh-CN"/>
        </w:rPr>
        <w:t xml:space="preserve">shows that </w:t>
      </w:r>
      <w:r w:rsidR="0060252E" w:rsidRPr="00CE0DE7">
        <w:rPr>
          <w:color w:val="000000"/>
          <w:sz w:val="20"/>
          <w:szCs w:val="20"/>
          <w:lang w:val="en-GB" w:eastAsia="zh-CN"/>
        </w:rPr>
        <w:t xml:space="preserve">variations </w:t>
      </w:r>
      <w:r w:rsidRPr="00CE0DE7">
        <w:rPr>
          <w:color w:val="000000"/>
          <w:sz w:val="20"/>
          <w:szCs w:val="20"/>
          <w:lang w:val="en-GB" w:eastAsia="zh-CN"/>
        </w:rPr>
        <w:t>in</w:t>
      </w:r>
      <w:r w:rsidR="001D7007" w:rsidRPr="00CE0DE7">
        <w:rPr>
          <w:color w:val="000000"/>
          <w:sz w:val="20"/>
          <w:szCs w:val="20"/>
          <w:lang w:val="en-GB" w:eastAsia="zh-CN"/>
        </w:rPr>
        <w:t xml:space="preserve"> the</w:t>
      </w:r>
      <w:r w:rsidRPr="00CE0DE7">
        <w:rPr>
          <w:color w:val="000000"/>
          <w:sz w:val="20"/>
          <w:szCs w:val="20"/>
          <w:lang w:val="en-GB" w:eastAsia="zh-CN"/>
        </w:rPr>
        <w:t xml:space="preserve"> </w:t>
      </w:r>
      <w:r w:rsidR="00081AF5" w:rsidRPr="00CE0DE7">
        <w:rPr>
          <w:color w:val="000000"/>
          <w:sz w:val="20"/>
          <w:szCs w:val="20"/>
          <w:lang w:val="en-GB" w:eastAsia="zh-CN"/>
        </w:rPr>
        <w:t>VRP</w:t>
      </w:r>
      <w:r w:rsidR="001D7007" w:rsidRPr="00CE0DE7">
        <w:rPr>
          <w:color w:val="000000"/>
          <w:sz w:val="20"/>
          <w:szCs w:val="20"/>
          <w:lang w:val="en-GB" w:eastAsia="zh-CN"/>
        </w:rPr>
        <w:t xml:space="preserve"> </w:t>
      </w:r>
      <w:r w:rsidRPr="00CE0DE7">
        <w:rPr>
          <w:color w:val="000000"/>
          <w:sz w:val="20"/>
          <w:szCs w:val="20"/>
          <w:lang w:val="en-GB" w:eastAsia="zh-CN"/>
        </w:rPr>
        <w:t xml:space="preserve">drive changes in liquidity via </w:t>
      </w:r>
      <w:r w:rsidR="004C1B6A" w:rsidRPr="00CE0DE7">
        <w:rPr>
          <w:color w:val="000000"/>
          <w:sz w:val="20"/>
          <w:szCs w:val="20"/>
          <w:lang w:val="en-GB" w:eastAsia="zh-CN"/>
        </w:rPr>
        <w:t>market and momentum</w:t>
      </w:r>
      <w:r w:rsidR="007A1DDE" w:rsidRPr="00CE0DE7">
        <w:rPr>
          <w:color w:val="000000"/>
          <w:sz w:val="20"/>
          <w:szCs w:val="20"/>
          <w:lang w:val="en-GB" w:eastAsia="zh-CN"/>
        </w:rPr>
        <w:t xml:space="preserve"> factors</w:t>
      </w:r>
      <w:r w:rsidRPr="00CE0DE7">
        <w:rPr>
          <w:color w:val="000000"/>
          <w:sz w:val="20"/>
          <w:szCs w:val="20"/>
          <w:lang w:val="en-GB" w:eastAsia="zh-CN"/>
        </w:rPr>
        <w:t xml:space="preserve">. </w:t>
      </w:r>
      <w:r w:rsidR="004C1B6A" w:rsidRPr="00CE0DE7">
        <w:rPr>
          <w:color w:val="000000"/>
          <w:sz w:val="20"/>
          <w:szCs w:val="20"/>
          <w:lang w:val="en-GB" w:eastAsia="zh-CN"/>
        </w:rPr>
        <w:t>I</w:t>
      </w:r>
      <w:r w:rsidRPr="00CE0DE7">
        <w:rPr>
          <w:color w:val="000000"/>
          <w:sz w:val="20"/>
          <w:szCs w:val="20"/>
          <w:lang w:val="en-GB" w:eastAsia="zh-CN"/>
        </w:rPr>
        <w:t>mportantly</w:t>
      </w:r>
      <w:r w:rsidR="007171E0" w:rsidRPr="00CE0DE7">
        <w:rPr>
          <w:color w:val="000000"/>
          <w:sz w:val="20"/>
          <w:szCs w:val="20"/>
          <w:lang w:val="en-GB" w:eastAsia="zh-CN"/>
        </w:rPr>
        <w:t xml:space="preserve"> and</w:t>
      </w:r>
      <w:r w:rsidRPr="00CE0DE7">
        <w:rPr>
          <w:color w:val="000000"/>
          <w:sz w:val="20"/>
          <w:szCs w:val="20"/>
          <w:lang w:val="en-GB" w:eastAsia="zh-CN"/>
        </w:rPr>
        <w:t xml:space="preserve"> consistent with </w:t>
      </w:r>
      <w:r w:rsidR="004C1B6A" w:rsidRPr="00CE0DE7">
        <w:rPr>
          <w:color w:val="000000"/>
          <w:sz w:val="20"/>
          <w:szCs w:val="20"/>
          <w:lang w:val="en-GB" w:eastAsia="zh-CN"/>
        </w:rPr>
        <w:t>baseline results</w:t>
      </w:r>
      <w:r w:rsidRPr="00CE0DE7">
        <w:rPr>
          <w:color w:val="000000"/>
          <w:sz w:val="20"/>
          <w:szCs w:val="20"/>
          <w:lang w:val="en-GB" w:eastAsia="zh-CN"/>
        </w:rPr>
        <w:t xml:space="preserve">, there is no </w:t>
      </w:r>
      <w:r w:rsidR="00024D28" w:rsidRPr="00CE0DE7">
        <w:rPr>
          <w:color w:val="000000"/>
          <w:sz w:val="20"/>
          <w:szCs w:val="20"/>
          <w:lang w:val="en-GB" w:eastAsia="zh-CN"/>
        </w:rPr>
        <w:t xml:space="preserve">clear </w:t>
      </w:r>
      <w:r w:rsidRPr="00CE0DE7">
        <w:rPr>
          <w:color w:val="000000"/>
          <w:sz w:val="20"/>
          <w:szCs w:val="20"/>
          <w:lang w:val="en-GB" w:eastAsia="zh-CN"/>
        </w:rPr>
        <w:t xml:space="preserve">evidence </w:t>
      </w:r>
      <w:r w:rsidR="004C1B6A" w:rsidRPr="00CE0DE7">
        <w:rPr>
          <w:color w:val="000000"/>
          <w:sz w:val="20"/>
          <w:szCs w:val="20"/>
          <w:lang w:val="en-GB" w:eastAsia="zh-CN"/>
        </w:rPr>
        <w:t>suggesting</w:t>
      </w:r>
      <w:r w:rsidRPr="00CE0DE7">
        <w:rPr>
          <w:color w:val="000000"/>
          <w:sz w:val="20"/>
          <w:szCs w:val="20"/>
          <w:lang w:val="en-GB" w:eastAsia="zh-CN"/>
        </w:rPr>
        <w:t xml:space="preserve"> </w:t>
      </w:r>
      <w:proofErr w:type="spellStart"/>
      <w:r w:rsidR="00024D28" w:rsidRPr="00CE0DE7">
        <w:rPr>
          <w:color w:val="000000"/>
          <w:sz w:val="20"/>
          <w:szCs w:val="20"/>
          <w:lang w:val="en-GB" w:eastAsia="zh-CN"/>
        </w:rPr>
        <w:t>uni</w:t>
      </w:r>
      <w:proofErr w:type="spellEnd"/>
      <w:r w:rsidR="00024D28" w:rsidRPr="00CE0DE7">
        <w:rPr>
          <w:color w:val="000000"/>
          <w:sz w:val="20"/>
          <w:szCs w:val="20"/>
          <w:lang w:val="en-GB" w:eastAsia="zh-CN"/>
        </w:rPr>
        <w:t xml:space="preserve">-directional </w:t>
      </w:r>
      <w:r w:rsidR="007171E0" w:rsidRPr="00CE0DE7">
        <w:rPr>
          <w:color w:val="000000"/>
          <w:sz w:val="20"/>
          <w:szCs w:val="20"/>
          <w:lang w:val="en-GB" w:eastAsia="zh-CN"/>
        </w:rPr>
        <w:t xml:space="preserve">causality </w:t>
      </w:r>
      <w:r w:rsidRPr="00CE0DE7">
        <w:rPr>
          <w:color w:val="000000"/>
          <w:sz w:val="20"/>
          <w:szCs w:val="20"/>
          <w:lang w:val="en-GB" w:eastAsia="zh-CN"/>
        </w:rPr>
        <w:t>from illiquidity to any of the factors.</w:t>
      </w:r>
    </w:p>
    <w:p w14:paraId="02927E1D" w14:textId="5F52EF2B" w:rsidR="005A7DC1" w:rsidRPr="00CE0DE7" w:rsidRDefault="00357056" w:rsidP="00BD081C">
      <w:pPr>
        <w:autoSpaceDE w:val="0"/>
        <w:autoSpaceDN w:val="0"/>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lastRenderedPageBreak/>
        <w:t xml:space="preserve">For robustness, </w:t>
      </w:r>
      <w:r w:rsidR="005A7DC1" w:rsidRPr="00CE0DE7">
        <w:rPr>
          <w:color w:val="000000"/>
          <w:sz w:val="20"/>
          <w:szCs w:val="20"/>
          <w:lang w:val="en-GB" w:eastAsia="zh-CN"/>
        </w:rPr>
        <w:t xml:space="preserve">Table </w:t>
      </w:r>
      <w:r w:rsidR="00081AF5" w:rsidRPr="00CE0DE7">
        <w:rPr>
          <w:color w:val="000000"/>
          <w:sz w:val="20"/>
          <w:szCs w:val="20"/>
          <w:lang w:val="en-GB" w:eastAsia="zh-CN"/>
        </w:rPr>
        <w:t xml:space="preserve">10 </w:t>
      </w:r>
      <w:r w:rsidR="005A7DC1" w:rsidRPr="00CE0DE7">
        <w:rPr>
          <w:color w:val="000000"/>
          <w:sz w:val="20"/>
          <w:szCs w:val="20"/>
          <w:lang w:val="en-GB" w:eastAsia="zh-CN"/>
        </w:rPr>
        <w:t xml:space="preserve">reports the results for the </w:t>
      </w:r>
      <w:r w:rsidRPr="00CE0DE7">
        <w:rPr>
          <w:color w:val="000000"/>
          <w:sz w:val="20"/>
          <w:szCs w:val="20"/>
          <w:lang w:val="en-GB" w:eastAsia="zh-CN"/>
        </w:rPr>
        <w:t xml:space="preserve">same </w:t>
      </w:r>
      <w:r w:rsidR="005A7DC1" w:rsidRPr="00CE0DE7">
        <w:rPr>
          <w:color w:val="000000"/>
          <w:sz w:val="20"/>
          <w:szCs w:val="20"/>
          <w:lang w:val="en-GB" w:eastAsia="zh-CN"/>
        </w:rPr>
        <w:t xml:space="preserve">Granger non-causality test </w:t>
      </w:r>
      <w:r w:rsidRPr="00CE0DE7">
        <w:rPr>
          <w:color w:val="000000"/>
          <w:sz w:val="20"/>
          <w:szCs w:val="20"/>
          <w:lang w:val="en-GB" w:eastAsia="zh-CN"/>
        </w:rPr>
        <w:t>when additional economic variables</w:t>
      </w:r>
      <w:r w:rsidR="007171E0" w:rsidRPr="00CE0DE7">
        <w:rPr>
          <w:color w:val="000000"/>
          <w:sz w:val="20"/>
          <w:szCs w:val="20"/>
          <w:lang w:val="en-GB" w:eastAsia="zh-CN"/>
        </w:rPr>
        <w:t xml:space="preserve"> – </w:t>
      </w:r>
      <w:r w:rsidRPr="00CE0DE7">
        <w:rPr>
          <w:color w:val="000000"/>
          <w:sz w:val="20"/>
          <w:szCs w:val="20"/>
          <w:lang w:val="en-GB" w:eastAsia="zh-CN"/>
        </w:rPr>
        <w:t>PE ratio</w:t>
      </w:r>
      <w:r w:rsidR="005A7DC1" w:rsidRPr="00CE0DE7">
        <w:rPr>
          <w:color w:val="000000"/>
          <w:sz w:val="20"/>
          <w:szCs w:val="20"/>
          <w:lang w:val="en-GB" w:eastAsia="zh-CN"/>
        </w:rPr>
        <w:t xml:space="preserve">, </w:t>
      </w:r>
      <w:r w:rsidRPr="00CE0DE7">
        <w:rPr>
          <w:color w:val="000000"/>
          <w:sz w:val="20"/>
          <w:szCs w:val="20"/>
          <w:lang w:val="en-GB" w:eastAsia="zh-CN"/>
        </w:rPr>
        <w:t xml:space="preserve">PD </w:t>
      </w:r>
      <w:r w:rsidR="005A7DC1" w:rsidRPr="00CE0DE7">
        <w:rPr>
          <w:color w:val="000000"/>
          <w:sz w:val="20"/>
          <w:szCs w:val="20"/>
          <w:lang w:val="en-GB" w:eastAsia="zh-CN"/>
        </w:rPr>
        <w:t xml:space="preserve">ratio, default spread, term spread, stochastically de-trended risk-free rate, and </w:t>
      </w:r>
      <w:r w:rsidRPr="00CE0DE7">
        <w:rPr>
          <w:color w:val="000000"/>
          <w:sz w:val="20"/>
          <w:szCs w:val="20"/>
          <w:lang w:val="en-GB" w:eastAsia="zh-CN"/>
        </w:rPr>
        <w:t>CAY</w:t>
      </w:r>
      <w:r w:rsidR="007171E0" w:rsidRPr="00CE0DE7">
        <w:rPr>
          <w:color w:val="000000"/>
          <w:sz w:val="20"/>
          <w:szCs w:val="20"/>
          <w:lang w:val="en-GB" w:eastAsia="zh-CN"/>
        </w:rPr>
        <w:t xml:space="preserve"> –</w:t>
      </w:r>
      <w:r w:rsidRPr="00CE0DE7">
        <w:rPr>
          <w:color w:val="000000"/>
          <w:sz w:val="20"/>
          <w:szCs w:val="20"/>
          <w:lang w:val="en-GB" w:eastAsia="zh-CN"/>
        </w:rPr>
        <w:t xml:space="preserve"> are included</w:t>
      </w:r>
      <w:r w:rsidR="005A7DC1" w:rsidRPr="00CE0DE7">
        <w:rPr>
          <w:color w:val="000000"/>
          <w:sz w:val="20"/>
          <w:szCs w:val="20"/>
          <w:lang w:val="en-GB" w:eastAsia="zh-CN"/>
        </w:rPr>
        <w:t xml:space="preserve">. The results are similar to those reported in Table </w:t>
      </w:r>
      <w:r w:rsidR="00081AF5" w:rsidRPr="00CE0DE7">
        <w:rPr>
          <w:color w:val="000000"/>
          <w:sz w:val="20"/>
          <w:szCs w:val="20"/>
          <w:lang w:val="en-GB" w:eastAsia="zh-CN"/>
        </w:rPr>
        <w:t>9</w:t>
      </w:r>
      <w:r w:rsidR="007171E0" w:rsidRPr="00CE0DE7">
        <w:rPr>
          <w:color w:val="000000"/>
          <w:sz w:val="20"/>
          <w:szCs w:val="20"/>
          <w:lang w:val="en-GB" w:eastAsia="zh-CN"/>
        </w:rPr>
        <w:t xml:space="preserve">, wherein </w:t>
      </w:r>
      <w:r w:rsidR="00EC1BC2" w:rsidRPr="00CE0DE7">
        <w:rPr>
          <w:color w:val="000000"/>
          <w:sz w:val="20"/>
          <w:szCs w:val="20"/>
          <w:lang w:val="en-GB" w:eastAsia="zh-CN"/>
        </w:rPr>
        <w:t xml:space="preserve">the </w:t>
      </w:r>
      <w:r w:rsidR="00081AF5" w:rsidRPr="00CE0DE7">
        <w:rPr>
          <w:color w:val="000000"/>
          <w:sz w:val="20"/>
          <w:szCs w:val="20"/>
          <w:lang w:val="en-GB" w:eastAsia="zh-CN"/>
        </w:rPr>
        <w:t>VRP</w:t>
      </w:r>
      <w:r w:rsidR="005A7DC1" w:rsidRPr="00CE0DE7">
        <w:rPr>
          <w:color w:val="000000"/>
          <w:sz w:val="20"/>
          <w:szCs w:val="20"/>
          <w:lang w:val="en-GB" w:eastAsia="zh-CN"/>
        </w:rPr>
        <w:t xml:space="preserve"> Granger-causes market and momentum factor</w:t>
      </w:r>
      <w:r w:rsidR="007A1DDE" w:rsidRPr="00CE0DE7">
        <w:rPr>
          <w:color w:val="000000"/>
          <w:sz w:val="20"/>
          <w:szCs w:val="20"/>
          <w:lang w:val="en-GB" w:eastAsia="zh-CN"/>
        </w:rPr>
        <w:t>s</w:t>
      </w:r>
      <w:r w:rsidR="005A7DC1" w:rsidRPr="00CE0DE7">
        <w:rPr>
          <w:color w:val="000000"/>
          <w:sz w:val="20"/>
          <w:szCs w:val="20"/>
          <w:lang w:val="en-GB" w:eastAsia="zh-CN"/>
        </w:rPr>
        <w:t xml:space="preserve">, and </w:t>
      </w:r>
      <w:r w:rsidRPr="00CE0DE7">
        <w:rPr>
          <w:color w:val="000000"/>
          <w:sz w:val="20"/>
          <w:szCs w:val="20"/>
          <w:lang w:val="en-GB" w:eastAsia="zh-CN"/>
        </w:rPr>
        <w:t>in turn affects</w:t>
      </w:r>
      <w:r w:rsidR="005A7DC1" w:rsidRPr="00CE0DE7">
        <w:rPr>
          <w:color w:val="000000"/>
          <w:sz w:val="20"/>
          <w:szCs w:val="20"/>
          <w:lang w:val="en-GB" w:eastAsia="zh-CN"/>
        </w:rPr>
        <w:t xml:space="preserve"> stock returns and illiquidity. This indicates that the </w:t>
      </w:r>
      <w:r w:rsidR="00081AF5" w:rsidRPr="00CE0DE7">
        <w:rPr>
          <w:color w:val="000000"/>
          <w:sz w:val="20"/>
          <w:szCs w:val="20"/>
          <w:lang w:val="en-GB" w:eastAsia="zh-CN"/>
        </w:rPr>
        <w:t>VRP</w:t>
      </w:r>
      <w:r w:rsidR="005A7DC1" w:rsidRPr="00CE0DE7">
        <w:rPr>
          <w:color w:val="000000"/>
          <w:sz w:val="20"/>
          <w:szCs w:val="20"/>
          <w:lang w:val="en-GB" w:eastAsia="zh-CN"/>
        </w:rPr>
        <w:t xml:space="preserve"> </w:t>
      </w:r>
      <w:r w:rsidRPr="00CE0DE7">
        <w:rPr>
          <w:color w:val="000000"/>
          <w:sz w:val="20"/>
          <w:szCs w:val="20"/>
          <w:lang w:val="en-GB" w:eastAsia="zh-CN"/>
        </w:rPr>
        <w:t>influences stock</w:t>
      </w:r>
      <w:r w:rsidR="005A7DC1" w:rsidRPr="00CE0DE7">
        <w:rPr>
          <w:color w:val="000000"/>
          <w:sz w:val="20"/>
          <w:szCs w:val="20"/>
          <w:lang w:val="en-GB" w:eastAsia="zh-CN"/>
        </w:rPr>
        <w:t xml:space="preserve"> returns </w:t>
      </w:r>
      <w:r w:rsidR="00135B0B" w:rsidRPr="00CE0DE7">
        <w:rPr>
          <w:color w:val="000000"/>
          <w:sz w:val="20"/>
          <w:szCs w:val="20"/>
          <w:lang w:val="en-GB" w:eastAsia="zh-CN"/>
        </w:rPr>
        <w:t xml:space="preserve">and liquidity </w:t>
      </w:r>
      <w:r w:rsidR="00166C42" w:rsidRPr="00CE0DE7">
        <w:rPr>
          <w:color w:val="000000"/>
          <w:sz w:val="20"/>
          <w:szCs w:val="20"/>
          <w:lang w:val="en-GB" w:eastAsia="zh-CN"/>
        </w:rPr>
        <w:t>via</w:t>
      </w:r>
      <w:r w:rsidR="00C506E5" w:rsidRPr="00CE0DE7">
        <w:rPr>
          <w:color w:val="000000"/>
          <w:sz w:val="20"/>
          <w:szCs w:val="20"/>
          <w:lang w:val="en-GB" w:eastAsia="zh-CN"/>
        </w:rPr>
        <w:t xml:space="preserve"> </w:t>
      </w:r>
      <w:r w:rsidR="005A7DC1" w:rsidRPr="00CE0DE7">
        <w:rPr>
          <w:color w:val="000000"/>
          <w:sz w:val="20"/>
          <w:szCs w:val="20"/>
          <w:lang w:val="en-GB" w:eastAsia="zh-CN"/>
        </w:rPr>
        <w:t>time-varying market and momentum factor</w:t>
      </w:r>
      <w:r w:rsidR="007A1DDE" w:rsidRPr="00CE0DE7">
        <w:rPr>
          <w:color w:val="000000"/>
          <w:sz w:val="20"/>
          <w:szCs w:val="20"/>
          <w:lang w:val="en-GB" w:eastAsia="zh-CN"/>
        </w:rPr>
        <w:t>s</w:t>
      </w:r>
      <w:r w:rsidR="005A7DC1" w:rsidRPr="00CE0DE7">
        <w:rPr>
          <w:color w:val="000000"/>
          <w:sz w:val="20"/>
          <w:szCs w:val="20"/>
          <w:lang w:val="en-GB" w:eastAsia="zh-CN"/>
        </w:rPr>
        <w:t>. The results show that illiquidity does not Granger</w:t>
      </w:r>
      <w:r w:rsidRPr="00CE0DE7">
        <w:rPr>
          <w:color w:val="000000"/>
          <w:sz w:val="20"/>
          <w:szCs w:val="20"/>
          <w:lang w:val="en-GB" w:eastAsia="zh-CN"/>
        </w:rPr>
        <w:t>-cause any of the factors, and does not affect stock returns.</w:t>
      </w:r>
    </w:p>
    <w:p w14:paraId="1156A0D3" w14:textId="77777777" w:rsidR="0081445C" w:rsidRPr="00CE0DE7" w:rsidRDefault="0081445C" w:rsidP="008276B8">
      <w:pPr>
        <w:autoSpaceDE w:val="0"/>
        <w:autoSpaceDN w:val="0"/>
        <w:adjustRightInd w:val="0"/>
        <w:snapToGrid w:val="0"/>
        <w:spacing w:before="240" w:after="240" w:line="480" w:lineRule="auto"/>
        <w:jc w:val="center"/>
        <w:rPr>
          <w:color w:val="000000"/>
          <w:sz w:val="20"/>
          <w:szCs w:val="20"/>
          <w:lang w:val="en-GB" w:eastAsia="zh-CN"/>
        </w:rPr>
      </w:pPr>
      <w:r w:rsidRPr="00CE0DE7">
        <w:rPr>
          <w:color w:val="000000"/>
          <w:sz w:val="20"/>
          <w:szCs w:val="20"/>
          <w:lang w:val="en-GB" w:eastAsia="zh-CN"/>
        </w:rPr>
        <w:t>[Insert Table 10 around here]</w:t>
      </w:r>
    </w:p>
    <w:p w14:paraId="13EFE5D7" w14:textId="77777777" w:rsidR="00431FF8" w:rsidRPr="00CE0DE7" w:rsidRDefault="00431FF8" w:rsidP="00081AF5">
      <w:pPr>
        <w:autoSpaceDE w:val="0"/>
        <w:autoSpaceDN w:val="0"/>
        <w:adjustRightInd w:val="0"/>
        <w:snapToGrid w:val="0"/>
        <w:spacing w:line="480" w:lineRule="auto"/>
        <w:jc w:val="both"/>
        <w:rPr>
          <w:color w:val="000000"/>
          <w:sz w:val="20"/>
          <w:szCs w:val="20"/>
          <w:lang w:val="en-GB" w:eastAsia="zh-CN"/>
        </w:rPr>
      </w:pPr>
    </w:p>
    <w:p w14:paraId="2E5025AB" w14:textId="424E84AA" w:rsidR="005A7DC1" w:rsidRPr="00CE0DE7" w:rsidRDefault="00A40D54" w:rsidP="00D51ACE">
      <w:pPr>
        <w:pStyle w:val="1"/>
        <w:spacing w:after="240" w:line="480" w:lineRule="auto"/>
        <w:rPr>
          <w:sz w:val="20"/>
          <w:szCs w:val="20"/>
          <w:lang w:val="en-GB"/>
        </w:rPr>
      </w:pPr>
      <w:r w:rsidRPr="00CE0DE7">
        <w:rPr>
          <w:sz w:val="20"/>
          <w:szCs w:val="20"/>
          <w:lang w:val="en-GB"/>
        </w:rPr>
        <w:t>6</w:t>
      </w:r>
      <w:r w:rsidR="002312EB" w:rsidRPr="00CE0DE7">
        <w:rPr>
          <w:sz w:val="20"/>
          <w:szCs w:val="20"/>
          <w:lang w:val="en-GB"/>
        </w:rPr>
        <w:t xml:space="preserve">. </w:t>
      </w:r>
      <w:r w:rsidR="005A7DC1" w:rsidRPr="00CE0DE7">
        <w:rPr>
          <w:sz w:val="20"/>
          <w:szCs w:val="20"/>
          <w:lang w:val="en-GB"/>
        </w:rPr>
        <w:t>Conclusion</w:t>
      </w:r>
    </w:p>
    <w:p w14:paraId="3FE9D8A5" w14:textId="73A667B3" w:rsidR="00081C85" w:rsidRPr="00CE0DE7" w:rsidRDefault="005A7DC1" w:rsidP="00BD081C">
      <w:pPr>
        <w:adjustRightInd w:val="0"/>
        <w:snapToGrid w:val="0"/>
        <w:spacing w:line="480" w:lineRule="auto"/>
        <w:ind w:firstLine="425"/>
        <w:jc w:val="both"/>
        <w:rPr>
          <w:sz w:val="20"/>
          <w:szCs w:val="20"/>
          <w:lang w:val="en-GB" w:eastAsia="zh-CN"/>
        </w:rPr>
      </w:pPr>
      <w:r w:rsidRPr="00CE0DE7">
        <w:rPr>
          <w:color w:val="000000"/>
          <w:sz w:val="20"/>
          <w:szCs w:val="20"/>
          <w:lang w:val="en-GB"/>
        </w:rPr>
        <w:t xml:space="preserve">In the literature, </w:t>
      </w:r>
      <w:r w:rsidR="008A433B" w:rsidRPr="00CE0DE7">
        <w:rPr>
          <w:color w:val="000000"/>
          <w:sz w:val="20"/>
          <w:szCs w:val="20"/>
          <w:lang w:val="en-GB"/>
        </w:rPr>
        <w:t xml:space="preserve">the </w:t>
      </w:r>
      <w:r w:rsidR="00081AF5" w:rsidRPr="00CE0DE7">
        <w:rPr>
          <w:color w:val="000000"/>
          <w:sz w:val="20"/>
          <w:szCs w:val="20"/>
          <w:lang w:val="en-GB"/>
        </w:rPr>
        <w:t>VRP</w:t>
      </w:r>
      <w:r w:rsidR="00081C85" w:rsidRPr="00CE0DE7">
        <w:rPr>
          <w:color w:val="000000"/>
          <w:sz w:val="20"/>
          <w:szCs w:val="20"/>
          <w:lang w:val="en-GB" w:eastAsia="zh-CN"/>
        </w:rPr>
        <w:t xml:space="preserve"> – </w:t>
      </w:r>
      <w:r w:rsidR="0061478D" w:rsidRPr="00CE0DE7">
        <w:rPr>
          <w:color w:val="000000"/>
          <w:sz w:val="20"/>
          <w:szCs w:val="20"/>
          <w:lang w:val="en-GB" w:eastAsia="zh-CN"/>
        </w:rPr>
        <w:t xml:space="preserve">considered </w:t>
      </w:r>
      <w:r w:rsidRPr="00CE0DE7">
        <w:rPr>
          <w:color w:val="000000"/>
          <w:sz w:val="20"/>
          <w:szCs w:val="20"/>
          <w:lang w:val="en-GB"/>
        </w:rPr>
        <w:t xml:space="preserve">an indicator </w:t>
      </w:r>
      <w:r w:rsidR="00E638C8" w:rsidRPr="00CE0DE7">
        <w:rPr>
          <w:color w:val="000000"/>
          <w:sz w:val="20"/>
          <w:szCs w:val="20"/>
          <w:lang w:val="en-GB" w:eastAsia="zh-CN"/>
        </w:rPr>
        <w:t>capturing</w:t>
      </w:r>
      <w:r w:rsidRPr="00CE0DE7">
        <w:rPr>
          <w:color w:val="000000"/>
          <w:sz w:val="20"/>
          <w:szCs w:val="20"/>
          <w:lang w:val="en-GB"/>
        </w:rPr>
        <w:t xml:space="preserve"> </w:t>
      </w:r>
      <w:r w:rsidRPr="00CE0DE7">
        <w:rPr>
          <w:sz w:val="20"/>
          <w:szCs w:val="20"/>
          <w:lang w:val="en-GB" w:eastAsia="zh-CN"/>
        </w:rPr>
        <w:t>investor</w:t>
      </w:r>
      <w:r w:rsidR="0061478D" w:rsidRPr="00CE0DE7">
        <w:rPr>
          <w:sz w:val="20"/>
          <w:szCs w:val="20"/>
          <w:lang w:val="en-GB" w:eastAsia="zh-CN"/>
        </w:rPr>
        <w:t xml:space="preserve"> r</w:t>
      </w:r>
      <w:r w:rsidRPr="00CE0DE7">
        <w:rPr>
          <w:sz w:val="20"/>
          <w:szCs w:val="20"/>
          <w:lang w:val="en-GB" w:eastAsia="zh-CN"/>
        </w:rPr>
        <w:t>isk aversion</w:t>
      </w:r>
      <w:r w:rsidR="00690731" w:rsidRPr="00CE0DE7">
        <w:rPr>
          <w:sz w:val="20"/>
          <w:szCs w:val="20"/>
          <w:lang w:val="en-GB" w:eastAsia="zh-CN"/>
        </w:rPr>
        <w:t xml:space="preserve"> and aggregate economic uncertainty</w:t>
      </w:r>
      <w:r w:rsidR="00081C85" w:rsidRPr="00CE0DE7">
        <w:rPr>
          <w:sz w:val="20"/>
          <w:szCs w:val="20"/>
          <w:lang w:val="en-GB" w:eastAsia="zh-CN"/>
        </w:rPr>
        <w:t xml:space="preserve"> – </w:t>
      </w:r>
      <w:r w:rsidRPr="00CE0DE7">
        <w:rPr>
          <w:sz w:val="20"/>
          <w:szCs w:val="20"/>
          <w:lang w:val="en-GB" w:eastAsia="zh-CN"/>
        </w:rPr>
        <w:t xml:space="preserve">and liquidity </w:t>
      </w:r>
      <w:r w:rsidR="0061478D" w:rsidRPr="00CE0DE7">
        <w:rPr>
          <w:sz w:val="20"/>
          <w:szCs w:val="20"/>
          <w:lang w:val="en-GB" w:eastAsia="zh-CN"/>
        </w:rPr>
        <w:t>are</w:t>
      </w:r>
      <w:r w:rsidRPr="00CE0DE7">
        <w:rPr>
          <w:sz w:val="20"/>
          <w:szCs w:val="20"/>
          <w:lang w:val="en-GB" w:eastAsia="zh-CN"/>
        </w:rPr>
        <w:t xml:space="preserve"> </w:t>
      </w:r>
      <w:r w:rsidR="00081C85" w:rsidRPr="00CE0DE7">
        <w:rPr>
          <w:sz w:val="20"/>
          <w:szCs w:val="20"/>
          <w:lang w:val="en-GB" w:eastAsia="zh-CN"/>
        </w:rPr>
        <w:t xml:space="preserve">both </w:t>
      </w:r>
      <w:r w:rsidRPr="00CE0DE7">
        <w:rPr>
          <w:sz w:val="20"/>
          <w:szCs w:val="20"/>
          <w:lang w:val="en-GB" w:eastAsia="zh-CN"/>
        </w:rPr>
        <w:t xml:space="preserve">useful variables </w:t>
      </w:r>
      <w:r w:rsidR="0061478D" w:rsidRPr="00CE0DE7">
        <w:rPr>
          <w:sz w:val="20"/>
          <w:szCs w:val="20"/>
          <w:lang w:val="en-GB" w:eastAsia="zh-CN"/>
        </w:rPr>
        <w:t xml:space="preserve">for </w:t>
      </w:r>
      <w:r w:rsidRPr="00CE0DE7">
        <w:rPr>
          <w:sz w:val="20"/>
          <w:szCs w:val="20"/>
          <w:lang w:val="en-GB" w:eastAsia="zh-CN"/>
        </w:rPr>
        <w:t>explain</w:t>
      </w:r>
      <w:r w:rsidR="0061478D" w:rsidRPr="00CE0DE7">
        <w:rPr>
          <w:sz w:val="20"/>
          <w:szCs w:val="20"/>
          <w:lang w:val="en-GB" w:eastAsia="zh-CN"/>
        </w:rPr>
        <w:t xml:space="preserve">ing </w:t>
      </w:r>
      <w:r w:rsidRPr="00CE0DE7">
        <w:rPr>
          <w:sz w:val="20"/>
          <w:szCs w:val="20"/>
          <w:lang w:val="en-GB" w:eastAsia="zh-CN"/>
        </w:rPr>
        <w:t>innovation</w:t>
      </w:r>
      <w:r w:rsidR="0061478D" w:rsidRPr="00CE0DE7">
        <w:rPr>
          <w:sz w:val="20"/>
          <w:szCs w:val="20"/>
          <w:lang w:val="en-GB" w:eastAsia="zh-CN"/>
        </w:rPr>
        <w:t>s</w:t>
      </w:r>
      <w:r w:rsidRPr="00CE0DE7">
        <w:rPr>
          <w:sz w:val="20"/>
          <w:szCs w:val="20"/>
          <w:lang w:val="en-GB" w:eastAsia="zh-CN"/>
        </w:rPr>
        <w:t xml:space="preserve"> in stock returns. However, the </w:t>
      </w:r>
      <w:r w:rsidR="00BB19E4" w:rsidRPr="00CE0DE7">
        <w:rPr>
          <w:sz w:val="20"/>
          <w:szCs w:val="20"/>
          <w:lang w:val="en-GB" w:eastAsia="zh-CN"/>
        </w:rPr>
        <w:t xml:space="preserve">causal </w:t>
      </w:r>
      <w:r w:rsidRPr="00CE0DE7">
        <w:rPr>
          <w:sz w:val="20"/>
          <w:szCs w:val="20"/>
          <w:lang w:val="en-GB" w:eastAsia="zh-CN"/>
        </w:rPr>
        <w:t>relation</w:t>
      </w:r>
      <w:r w:rsidR="005738F1" w:rsidRPr="00CE0DE7">
        <w:rPr>
          <w:sz w:val="20"/>
          <w:szCs w:val="20"/>
          <w:lang w:val="en-GB" w:eastAsia="zh-CN"/>
        </w:rPr>
        <w:t xml:space="preserve"> between</w:t>
      </w:r>
      <w:r w:rsidRPr="00CE0DE7">
        <w:rPr>
          <w:sz w:val="20"/>
          <w:szCs w:val="20"/>
          <w:lang w:val="en-GB" w:eastAsia="zh-CN"/>
        </w:rPr>
        <w:t xml:space="preserve"> </w:t>
      </w:r>
      <w:r w:rsidR="00BB19E4" w:rsidRPr="00CE0DE7">
        <w:rPr>
          <w:sz w:val="20"/>
          <w:szCs w:val="20"/>
          <w:lang w:val="en-GB" w:eastAsia="zh-CN"/>
        </w:rPr>
        <w:t xml:space="preserve">liquidity and stock returns </w:t>
      </w:r>
      <w:r w:rsidR="00CD47E5" w:rsidRPr="00CE0DE7">
        <w:rPr>
          <w:sz w:val="20"/>
          <w:szCs w:val="20"/>
          <w:lang w:val="en-GB" w:eastAsia="zh-CN"/>
        </w:rPr>
        <w:t>is</w:t>
      </w:r>
      <w:r w:rsidRPr="00CE0DE7">
        <w:rPr>
          <w:sz w:val="20"/>
          <w:szCs w:val="20"/>
          <w:lang w:val="en-GB" w:eastAsia="zh-CN"/>
        </w:rPr>
        <w:t xml:space="preserve"> still</w:t>
      </w:r>
      <w:r w:rsidR="00A945CD" w:rsidRPr="00CE0DE7">
        <w:rPr>
          <w:sz w:val="20"/>
          <w:szCs w:val="20"/>
          <w:lang w:val="en-GB" w:eastAsia="zh-CN"/>
        </w:rPr>
        <w:t xml:space="preserve"> being debated</w:t>
      </w:r>
      <w:r w:rsidR="00CD47E5" w:rsidRPr="00CE0DE7">
        <w:rPr>
          <w:sz w:val="20"/>
          <w:szCs w:val="20"/>
          <w:lang w:val="en-GB" w:eastAsia="zh-CN"/>
        </w:rPr>
        <w:t xml:space="preserve">, and </w:t>
      </w:r>
      <w:r w:rsidR="00BB19E4" w:rsidRPr="00CE0DE7">
        <w:rPr>
          <w:sz w:val="20"/>
          <w:szCs w:val="20"/>
          <w:lang w:val="en-GB" w:eastAsia="zh-CN"/>
        </w:rPr>
        <w:t>investigation</w:t>
      </w:r>
      <w:r w:rsidR="00081C85" w:rsidRPr="00CE0DE7">
        <w:rPr>
          <w:sz w:val="20"/>
          <w:szCs w:val="20"/>
          <w:lang w:val="en-GB" w:eastAsia="zh-CN"/>
        </w:rPr>
        <w:t>s</w:t>
      </w:r>
      <w:r w:rsidR="00BB19E4" w:rsidRPr="00CE0DE7">
        <w:rPr>
          <w:sz w:val="20"/>
          <w:szCs w:val="20"/>
          <w:lang w:val="en-GB" w:eastAsia="zh-CN"/>
        </w:rPr>
        <w:t xml:space="preserve"> </w:t>
      </w:r>
      <w:r w:rsidR="00081C85" w:rsidRPr="00CE0DE7">
        <w:rPr>
          <w:sz w:val="20"/>
          <w:szCs w:val="20"/>
          <w:lang w:val="en-GB" w:eastAsia="zh-CN"/>
        </w:rPr>
        <w:t xml:space="preserve">into </w:t>
      </w:r>
      <w:r w:rsidR="00BB19E4" w:rsidRPr="00CE0DE7">
        <w:rPr>
          <w:sz w:val="20"/>
          <w:szCs w:val="20"/>
          <w:lang w:val="en-GB" w:eastAsia="zh-CN"/>
        </w:rPr>
        <w:t xml:space="preserve">the causal relationship between VRP and liquidity </w:t>
      </w:r>
      <w:r w:rsidR="00CD47E5" w:rsidRPr="00CE0DE7">
        <w:rPr>
          <w:sz w:val="20"/>
          <w:szCs w:val="20"/>
          <w:lang w:val="en-GB" w:eastAsia="zh-CN"/>
        </w:rPr>
        <w:t>remain l</w:t>
      </w:r>
      <w:r w:rsidR="00336702" w:rsidRPr="00CE0DE7">
        <w:rPr>
          <w:sz w:val="20"/>
          <w:szCs w:val="20"/>
          <w:lang w:val="en-GB" w:eastAsia="zh-CN"/>
        </w:rPr>
        <w:t>imited</w:t>
      </w:r>
      <w:r w:rsidR="00BB19E4" w:rsidRPr="00CE0DE7">
        <w:rPr>
          <w:sz w:val="20"/>
          <w:szCs w:val="20"/>
          <w:lang w:val="en-GB" w:eastAsia="zh-CN"/>
        </w:rPr>
        <w:t xml:space="preserve">. </w:t>
      </w:r>
    </w:p>
    <w:p w14:paraId="76C5782F" w14:textId="51E53204" w:rsidR="00427FFA" w:rsidRPr="00CE0DE7" w:rsidRDefault="005A7DC1" w:rsidP="00BD081C">
      <w:pPr>
        <w:adjustRightInd w:val="0"/>
        <w:snapToGrid w:val="0"/>
        <w:spacing w:line="480" w:lineRule="auto"/>
        <w:ind w:firstLine="425"/>
        <w:jc w:val="both"/>
        <w:rPr>
          <w:color w:val="000000"/>
          <w:sz w:val="20"/>
          <w:szCs w:val="20"/>
          <w:lang w:val="en-GB" w:eastAsia="zh-CN"/>
        </w:rPr>
      </w:pPr>
      <w:r w:rsidRPr="00CE0DE7">
        <w:rPr>
          <w:color w:val="000000"/>
          <w:sz w:val="20"/>
          <w:szCs w:val="20"/>
          <w:lang w:val="en-GB"/>
        </w:rPr>
        <w:t xml:space="preserve">This study </w:t>
      </w:r>
      <w:r w:rsidR="00E14CEE" w:rsidRPr="00CE0DE7">
        <w:rPr>
          <w:color w:val="000000"/>
          <w:sz w:val="20"/>
          <w:szCs w:val="20"/>
          <w:lang w:val="en-GB" w:eastAsia="zh-CN"/>
        </w:rPr>
        <w:t xml:space="preserve">contributes to </w:t>
      </w:r>
      <w:r w:rsidR="00A945CD" w:rsidRPr="00CE0DE7">
        <w:rPr>
          <w:color w:val="000000"/>
          <w:sz w:val="20"/>
          <w:szCs w:val="20"/>
          <w:lang w:val="en-GB" w:eastAsia="zh-CN"/>
        </w:rPr>
        <w:t>the literature by providing comprehensive evidence that fills th</w:t>
      </w:r>
      <w:r w:rsidR="00BB19E4" w:rsidRPr="00CE0DE7">
        <w:rPr>
          <w:color w:val="000000"/>
          <w:sz w:val="20"/>
          <w:szCs w:val="20"/>
          <w:lang w:val="en-GB" w:eastAsia="zh-CN"/>
        </w:rPr>
        <w:t>ese</w:t>
      </w:r>
      <w:r w:rsidR="00A945CD" w:rsidRPr="00CE0DE7">
        <w:rPr>
          <w:color w:val="000000"/>
          <w:sz w:val="20"/>
          <w:szCs w:val="20"/>
          <w:lang w:val="en-GB" w:eastAsia="zh-CN"/>
        </w:rPr>
        <w:t xml:space="preserve"> gap</w:t>
      </w:r>
      <w:r w:rsidR="00BB19E4" w:rsidRPr="00CE0DE7">
        <w:rPr>
          <w:color w:val="000000"/>
          <w:sz w:val="20"/>
          <w:szCs w:val="20"/>
          <w:lang w:val="en-GB" w:eastAsia="zh-CN"/>
        </w:rPr>
        <w:t>s</w:t>
      </w:r>
      <w:r w:rsidR="00A945CD" w:rsidRPr="00CE0DE7">
        <w:rPr>
          <w:color w:val="000000"/>
          <w:sz w:val="20"/>
          <w:szCs w:val="20"/>
          <w:lang w:val="en-GB" w:eastAsia="zh-CN"/>
        </w:rPr>
        <w:t xml:space="preserve">. </w:t>
      </w:r>
      <w:r w:rsidR="00081C85" w:rsidRPr="00CE0DE7">
        <w:rPr>
          <w:color w:val="000000"/>
          <w:sz w:val="20"/>
          <w:szCs w:val="20"/>
          <w:lang w:val="en-GB" w:eastAsia="zh-CN"/>
        </w:rPr>
        <w:t xml:space="preserve">We </w:t>
      </w:r>
      <w:r w:rsidR="00CD47E5" w:rsidRPr="00CE0DE7">
        <w:rPr>
          <w:color w:val="000000"/>
          <w:sz w:val="20"/>
          <w:szCs w:val="20"/>
          <w:lang w:val="en-GB" w:eastAsia="zh-CN"/>
        </w:rPr>
        <w:t>examine</w:t>
      </w:r>
      <w:r w:rsidR="00A945CD" w:rsidRPr="00CE0DE7">
        <w:rPr>
          <w:color w:val="000000"/>
          <w:sz w:val="20"/>
          <w:szCs w:val="20"/>
          <w:lang w:val="en-GB" w:eastAsia="zh-CN"/>
        </w:rPr>
        <w:t xml:space="preserve"> </w:t>
      </w:r>
      <w:r w:rsidR="00081C85" w:rsidRPr="00CE0DE7">
        <w:rPr>
          <w:color w:val="000000"/>
          <w:sz w:val="20"/>
          <w:szCs w:val="20"/>
          <w:lang w:val="en-GB" w:eastAsia="zh-CN"/>
        </w:rPr>
        <w:t>r</w:t>
      </w:r>
      <w:r w:rsidRPr="00CE0DE7">
        <w:rPr>
          <w:color w:val="000000"/>
          <w:sz w:val="20"/>
          <w:szCs w:val="20"/>
          <w:lang w:val="en-GB" w:eastAsia="zh-CN"/>
        </w:rPr>
        <w:t>elation</w:t>
      </w:r>
      <w:r w:rsidR="00BB19E4" w:rsidRPr="00CE0DE7">
        <w:rPr>
          <w:color w:val="000000"/>
          <w:sz w:val="20"/>
          <w:szCs w:val="20"/>
          <w:lang w:val="en-GB" w:eastAsia="zh-CN"/>
        </w:rPr>
        <w:t>ship</w:t>
      </w:r>
      <w:r w:rsidR="00081C85" w:rsidRPr="00CE0DE7">
        <w:rPr>
          <w:color w:val="000000"/>
          <w:sz w:val="20"/>
          <w:szCs w:val="20"/>
          <w:lang w:val="en-GB" w:eastAsia="zh-CN"/>
        </w:rPr>
        <w:t>s among</w:t>
      </w:r>
      <w:r w:rsidR="00A945CD" w:rsidRPr="00CE0DE7">
        <w:rPr>
          <w:color w:val="000000"/>
          <w:sz w:val="20"/>
          <w:szCs w:val="20"/>
          <w:lang w:val="en-GB" w:eastAsia="zh-CN"/>
        </w:rPr>
        <w:t xml:space="preserve"> </w:t>
      </w:r>
      <w:r w:rsidR="008A433B" w:rsidRPr="00CE0DE7">
        <w:rPr>
          <w:color w:val="000000"/>
          <w:sz w:val="20"/>
          <w:szCs w:val="20"/>
          <w:lang w:val="en-GB"/>
        </w:rPr>
        <w:t xml:space="preserve">the </w:t>
      </w:r>
      <w:r w:rsidR="00081AF5" w:rsidRPr="00CE0DE7">
        <w:rPr>
          <w:color w:val="000000"/>
          <w:sz w:val="20"/>
          <w:szCs w:val="20"/>
          <w:lang w:val="en-GB"/>
        </w:rPr>
        <w:t>VRP</w:t>
      </w:r>
      <w:r w:rsidRPr="00CE0DE7">
        <w:rPr>
          <w:color w:val="000000"/>
          <w:sz w:val="20"/>
          <w:szCs w:val="20"/>
          <w:lang w:val="en-GB"/>
        </w:rPr>
        <w:t xml:space="preserve">, </w:t>
      </w:r>
      <w:r w:rsidR="00690731" w:rsidRPr="00CE0DE7">
        <w:rPr>
          <w:color w:val="000000"/>
          <w:sz w:val="20"/>
          <w:szCs w:val="20"/>
          <w:lang w:val="en-GB"/>
        </w:rPr>
        <w:t xml:space="preserve">stock returns and </w:t>
      </w:r>
      <w:r w:rsidRPr="00CE0DE7">
        <w:rPr>
          <w:color w:val="000000"/>
          <w:sz w:val="20"/>
          <w:szCs w:val="20"/>
          <w:lang w:val="en-GB"/>
        </w:rPr>
        <w:t>liquidity</w:t>
      </w:r>
      <w:r w:rsidR="00690731" w:rsidRPr="00CE0DE7">
        <w:rPr>
          <w:color w:val="000000"/>
          <w:sz w:val="20"/>
          <w:szCs w:val="20"/>
          <w:lang w:val="en-GB"/>
        </w:rPr>
        <w:t xml:space="preserve"> </w:t>
      </w:r>
      <w:r w:rsidR="00081C85" w:rsidRPr="00CE0DE7">
        <w:rPr>
          <w:color w:val="000000"/>
          <w:sz w:val="20"/>
          <w:szCs w:val="20"/>
          <w:lang w:val="en-GB" w:eastAsia="zh-CN"/>
        </w:rPr>
        <w:t xml:space="preserve">using </w:t>
      </w:r>
      <w:r w:rsidRPr="00CE0DE7">
        <w:rPr>
          <w:color w:val="000000"/>
          <w:sz w:val="20"/>
          <w:szCs w:val="20"/>
          <w:lang w:val="en-GB"/>
        </w:rPr>
        <w:t>US monthly data from January 1992 to December 201</w:t>
      </w:r>
      <w:r w:rsidR="0000788B" w:rsidRPr="00CE0DE7">
        <w:rPr>
          <w:color w:val="000000"/>
          <w:sz w:val="20"/>
          <w:szCs w:val="20"/>
          <w:lang w:val="en-GB" w:eastAsia="zh-CN"/>
        </w:rPr>
        <w:t>8</w:t>
      </w:r>
      <w:r w:rsidRPr="00CE0DE7">
        <w:rPr>
          <w:color w:val="000000"/>
          <w:sz w:val="20"/>
          <w:szCs w:val="20"/>
          <w:lang w:val="en-GB"/>
        </w:rPr>
        <w:t xml:space="preserve">. </w:t>
      </w:r>
      <w:r w:rsidRPr="00CE0DE7">
        <w:rPr>
          <w:color w:val="000000"/>
          <w:sz w:val="20"/>
          <w:szCs w:val="20"/>
          <w:lang w:val="en-GB" w:eastAsia="zh-CN"/>
        </w:rPr>
        <w:t xml:space="preserve">We find </w:t>
      </w:r>
      <w:r w:rsidRPr="00CE0DE7">
        <w:rPr>
          <w:color w:val="000000"/>
          <w:sz w:val="20"/>
          <w:szCs w:val="20"/>
          <w:lang w:val="en-GB"/>
        </w:rPr>
        <w:t xml:space="preserve">that the </w:t>
      </w:r>
      <w:r w:rsidR="00081AF5" w:rsidRPr="00CE0DE7">
        <w:rPr>
          <w:color w:val="000000"/>
          <w:sz w:val="20"/>
          <w:szCs w:val="20"/>
          <w:lang w:val="en-GB"/>
        </w:rPr>
        <w:t>VRP</w:t>
      </w:r>
      <w:r w:rsidRPr="00CE0DE7">
        <w:rPr>
          <w:color w:val="000000"/>
          <w:sz w:val="20"/>
          <w:szCs w:val="20"/>
          <w:lang w:val="en-GB"/>
        </w:rPr>
        <w:t xml:space="preserve"> Granger-cause</w:t>
      </w:r>
      <w:r w:rsidR="001B6A40" w:rsidRPr="00CE0DE7">
        <w:rPr>
          <w:color w:val="000000"/>
          <w:sz w:val="20"/>
          <w:szCs w:val="20"/>
          <w:lang w:val="en-GB" w:eastAsia="zh-CN"/>
        </w:rPr>
        <w:t>s</w:t>
      </w:r>
      <w:r w:rsidRPr="00CE0DE7">
        <w:rPr>
          <w:color w:val="000000"/>
          <w:sz w:val="20"/>
          <w:szCs w:val="20"/>
          <w:lang w:val="en-GB"/>
        </w:rPr>
        <w:t xml:space="preserve"> </w:t>
      </w:r>
      <w:r w:rsidR="001B6A40" w:rsidRPr="00CE0DE7">
        <w:rPr>
          <w:color w:val="000000"/>
          <w:sz w:val="20"/>
          <w:szCs w:val="20"/>
          <w:lang w:val="en-GB" w:eastAsia="zh-CN"/>
        </w:rPr>
        <w:t xml:space="preserve">stock </w:t>
      </w:r>
      <w:r w:rsidR="001B6A40" w:rsidRPr="00CE0DE7">
        <w:rPr>
          <w:color w:val="000000"/>
          <w:sz w:val="20"/>
          <w:szCs w:val="20"/>
          <w:lang w:val="en-GB"/>
        </w:rPr>
        <w:t>returns and</w:t>
      </w:r>
      <w:r w:rsidR="001B6A40" w:rsidRPr="00CE0DE7">
        <w:rPr>
          <w:color w:val="000000"/>
          <w:sz w:val="20"/>
          <w:szCs w:val="20"/>
          <w:lang w:val="en-GB" w:eastAsia="zh-CN"/>
        </w:rPr>
        <w:t xml:space="preserve"> stock returns Granger-cause </w:t>
      </w:r>
      <w:r w:rsidR="00E26E56" w:rsidRPr="00CE0DE7">
        <w:rPr>
          <w:color w:val="000000"/>
          <w:sz w:val="20"/>
          <w:szCs w:val="20"/>
          <w:lang w:val="en-GB" w:eastAsia="zh-CN"/>
        </w:rPr>
        <w:t>(</w:t>
      </w:r>
      <w:r w:rsidRPr="00CE0DE7">
        <w:rPr>
          <w:color w:val="000000"/>
          <w:sz w:val="20"/>
          <w:szCs w:val="20"/>
          <w:lang w:val="en-GB"/>
        </w:rPr>
        <w:t>il</w:t>
      </w:r>
      <w:r w:rsidR="00E26E56" w:rsidRPr="00CE0DE7">
        <w:rPr>
          <w:color w:val="000000"/>
          <w:sz w:val="20"/>
          <w:szCs w:val="20"/>
          <w:lang w:val="en-GB"/>
        </w:rPr>
        <w:t>)</w:t>
      </w:r>
      <w:r w:rsidRPr="00CE0DE7">
        <w:rPr>
          <w:color w:val="000000"/>
          <w:sz w:val="20"/>
          <w:szCs w:val="20"/>
          <w:lang w:val="en-GB"/>
        </w:rPr>
        <w:t>liquidity</w:t>
      </w:r>
      <w:r w:rsidR="001B6A40" w:rsidRPr="00CE0DE7">
        <w:rPr>
          <w:color w:val="000000"/>
          <w:sz w:val="20"/>
          <w:szCs w:val="20"/>
          <w:lang w:val="en-GB" w:eastAsia="zh-CN"/>
        </w:rPr>
        <w:t>.</w:t>
      </w:r>
      <w:r w:rsidRPr="00CE0DE7">
        <w:rPr>
          <w:color w:val="000000"/>
          <w:sz w:val="20"/>
          <w:szCs w:val="20"/>
          <w:lang w:val="en-GB"/>
        </w:rPr>
        <w:t xml:space="preserve"> </w:t>
      </w:r>
      <w:r w:rsidR="001B6A40" w:rsidRPr="00CE0DE7">
        <w:rPr>
          <w:color w:val="000000"/>
          <w:sz w:val="20"/>
          <w:szCs w:val="20"/>
          <w:lang w:val="en-GB" w:eastAsia="zh-CN"/>
        </w:rPr>
        <w:t>T</w:t>
      </w:r>
      <w:r w:rsidRPr="00CE0DE7">
        <w:rPr>
          <w:color w:val="000000"/>
          <w:sz w:val="20"/>
          <w:szCs w:val="20"/>
          <w:lang w:val="en-GB"/>
        </w:rPr>
        <w:t xml:space="preserve">his </w:t>
      </w:r>
      <w:r w:rsidR="00BB19E4" w:rsidRPr="00CE0DE7">
        <w:rPr>
          <w:color w:val="000000"/>
          <w:sz w:val="20"/>
          <w:szCs w:val="20"/>
          <w:lang w:val="en-GB"/>
        </w:rPr>
        <w:t xml:space="preserve">causal </w:t>
      </w:r>
      <w:r w:rsidR="001B6A40" w:rsidRPr="00CE0DE7">
        <w:rPr>
          <w:color w:val="000000"/>
          <w:sz w:val="20"/>
          <w:szCs w:val="20"/>
          <w:lang w:val="en-GB" w:eastAsia="zh-CN"/>
        </w:rPr>
        <w:t xml:space="preserve">relation does </w:t>
      </w:r>
      <w:r w:rsidRPr="00CE0DE7">
        <w:rPr>
          <w:color w:val="000000"/>
          <w:sz w:val="20"/>
          <w:szCs w:val="20"/>
          <w:lang w:val="en-GB"/>
        </w:rPr>
        <w:t xml:space="preserve">not hold </w:t>
      </w:r>
      <w:r w:rsidR="001B6A40" w:rsidRPr="00CE0DE7">
        <w:rPr>
          <w:color w:val="000000"/>
          <w:sz w:val="20"/>
          <w:szCs w:val="20"/>
          <w:lang w:val="en-GB" w:eastAsia="zh-CN"/>
        </w:rPr>
        <w:t xml:space="preserve">the other way </w:t>
      </w:r>
      <w:r w:rsidR="00081C85" w:rsidRPr="00CE0DE7">
        <w:rPr>
          <w:color w:val="000000"/>
          <w:sz w:val="20"/>
          <w:szCs w:val="20"/>
          <w:lang w:val="en-GB" w:eastAsia="zh-CN"/>
        </w:rPr>
        <w:t>around</w:t>
      </w:r>
      <w:r w:rsidRPr="00CE0DE7">
        <w:rPr>
          <w:color w:val="000000"/>
          <w:sz w:val="20"/>
          <w:szCs w:val="20"/>
          <w:lang w:val="en-GB"/>
        </w:rPr>
        <w:t>. Our results are robust for the whole sample and different sub-sample</w:t>
      </w:r>
      <w:r w:rsidR="00BB19E4" w:rsidRPr="00CE0DE7">
        <w:rPr>
          <w:color w:val="000000"/>
          <w:sz w:val="20"/>
          <w:szCs w:val="20"/>
          <w:lang w:val="en-GB"/>
        </w:rPr>
        <w:t xml:space="preserve"> periods</w:t>
      </w:r>
      <w:r w:rsidR="00427FFA" w:rsidRPr="00CE0DE7">
        <w:rPr>
          <w:color w:val="000000"/>
          <w:sz w:val="20"/>
          <w:szCs w:val="20"/>
          <w:lang w:val="en-GB" w:eastAsia="zh-CN"/>
        </w:rPr>
        <w:t xml:space="preserve">, </w:t>
      </w:r>
      <w:r w:rsidR="00E26E56" w:rsidRPr="00CE0DE7">
        <w:rPr>
          <w:color w:val="000000"/>
          <w:sz w:val="20"/>
          <w:szCs w:val="20"/>
          <w:lang w:val="en-GB" w:eastAsia="zh-CN"/>
        </w:rPr>
        <w:t xml:space="preserve">with different </w:t>
      </w:r>
      <w:r w:rsidR="00081AF5" w:rsidRPr="00CE0DE7">
        <w:rPr>
          <w:color w:val="000000"/>
          <w:sz w:val="20"/>
          <w:szCs w:val="20"/>
          <w:lang w:val="en-GB"/>
        </w:rPr>
        <w:t>VRP</w:t>
      </w:r>
      <w:r w:rsidR="00E26E56" w:rsidRPr="00CE0DE7">
        <w:rPr>
          <w:color w:val="000000"/>
          <w:sz w:val="20"/>
          <w:szCs w:val="20"/>
          <w:lang w:val="en-GB" w:eastAsia="zh-CN"/>
        </w:rPr>
        <w:t>, return</w:t>
      </w:r>
      <w:r w:rsidR="006453E4" w:rsidRPr="00CE0DE7">
        <w:rPr>
          <w:color w:val="000000"/>
          <w:sz w:val="20"/>
          <w:szCs w:val="20"/>
          <w:lang w:val="en-GB" w:eastAsia="zh-CN"/>
        </w:rPr>
        <w:t>s</w:t>
      </w:r>
      <w:r w:rsidR="00E26E56" w:rsidRPr="00CE0DE7">
        <w:rPr>
          <w:color w:val="000000"/>
          <w:sz w:val="20"/>
          <w:szCs w:val="20"/>
          <w:lang w:val="en-GB" w:eastAsia="zh-CN"/>
        </w:rPr>
        <w:t xml:space="preserve"> and (il)liquidity measures</w:t>
      </w:r>
      <w:r w:rsidR="00081C85" w:rsidRPr="00CE0DE7">
        <w:rPr>
          <w:color w:val="000000"/>
          <w:sz w:val="20"/>
          <w:szCs w:val="20"/>
          <w:lang w:val="en-GB" w:eastAsia="zh-CN"/>
        </w:rPr>
        <w:t>,</w:t>
      </w:r>
      <w:r w:rsidR="00E26E56" w:rsidRPr="00CE0DE7">
        <w:rPr>
          <w:color w:val="000000"/>
          <w:sz w:val="20"/>
          <w:szCs w:val="20"/>
          <w:lang w:val="en-GB" w:eastAsia="zh-CN"/>
        </w:rPr>
        <w:t xml:space="preserve"> </w:t>
      </w:r>
      <w:r w:rsidR="00427FFA" w:rsidRPr="00CE0DE7">
        <w:rPr>
          <w:color w:val="000000"/>
          <w:sz w:val="20"/>
          <w:szCs w:val="20"/>
          <w:lang w:val="en-GB" w:eastAsia="zh-CN"/>
        </w:rPr>
        <w:t>and in the presence of control variables.</w:t>
      </w:r>
      <w:r w:rsidR="00483CA7" w:rsidRPr="00CE0DE7">
        <w:rPr>
          <w:color w:val="000000"/>
          <w:sz w:val="20"/>
          <w:szCs w:val="20"/>
          <w:lang w:val="en-GB" w:eastAsia="zh-CN"/>
        </w:rPr>
        <w:t xml:space="preserve"> </w:t>
      </w:r>
      <w:r w:rsidR="00483CA7" w:rsidRPr="00CE0DE7">
        <w:rPr>
          <w:sz w:val="20"/>
          <w:szCs w:val="20"/>
          <w:lang w:val="en-GB" w:eastAsia="zh-CN"/>
        </w:rPr>
        <w:t xml:space="preserve">They are also robust when we divide the sample into pre- and post-financial crisis periods, as well as when we employ the alternative liquidity measure of Liu </w:t>
      </w:r>
      <w:r w:rsidR="00ED66D4" w:rsidRPr="00CE0DE7">
        <w:rPr>
          <w:sz w:val="20"/>
          <w:szCs w:val="20"/>
          <w:lang w:val="en-GB" w:eastAsia="zh-CN"/>
        </w:rPr>
        <w:fldChar w:fldCharType="begin" w:fldLock="1"/>
      </w:r>
      <w:r w:rsidR="00ED66D4" w:rsidRPr="00CE0DE7">
        <w:rPr>
          <w:sz w:val="20"/>
          <w:szCs w:val="20"/>
          <w:lang w:val="en-GB" w:eastAsia="zh-CN"/>
        </w:rPr>
        <w:instrText>ADDIN CSL_CITATION {"citationItems":[{"id":"ITEM-1","itemData":{"ISSN":"0304405X","abstract":"Using a new measure of liquidity, this paper documents a significant liquidity premium robust to the CAPM and the Fama-French three-factor model and shows that liquidity is an important source of priced risk. A two-factor (market and liquidity) model well explains the cross-section of stock returns, describing the liquidity premium, subsuming documented anomalies associated with size, long-term contrarian investment, and fundamental (cashflow, earnings, and dividend) to price ratios. In particular, the two-factor model accounts for the book-to-market effect, which the Fama-French three-factor model fails to explain. © 2006 Elsevier B.V. All rights reserved.","author":[{"dropping-particle":"","family":"Liu","given":"Weimin","non-dropping-particle":"","parse-names":false,"suffix":""}],"container-title":"Journal of Financial Economics","id":"ITEM-1","issue":"3","issued":{"date-parts":[["2006","12","1"]]},"page":"631-671","publisher":"North-Holland","title":"A liquidity-augmented capital asset pricing model","type":"article-journal","volume":"82"},"suppress-author":1,"uris":["http://www.mendeley.com/documents/?uuid=028a3733-50dc-3861-a56b-ca0205aac321"]}],"mendeley":{"formattedCitation":"(2006)","plainTextFormattedCitation":"(2006)","previouslyFormattedCitation":"(2006)"},"properties":{"noteIndex":0},"schema":"https://github.com/citation-style-language/schema/raw/master/csl-citation.json"}</w:instrText>
      </w:r>
      <w:r w:rsidR="00ED66D4" w:rsidRPr="00CE0DE7">
        <w:rPr>
          <w:sz w:val="20"/>
          <w:szCs w:val="20"/>
          <w:lang w:val="en-GB" w:eastAsia="zh-CN"/>
        </w:rPr>
        <w:fldChar w:fldCharType="separate"/>
      </w:r>
      <w:r w:rsidR="00ED66D4" w:rsidRPr="00CE0DE7">
        <w:rPr>
          <w:noProof/>
          <w:sz w:val="20"/>
          <w:szCs w:val="20"/>
          <w:lang w:val="en-GB" w:eastAsia="zh-CN"/>
        </w:rPr>
        <w:t>(2006)</w:t>
      </w:r>
      <w:r w:rsidR="00ED66D4" w:rsidRPr="00CE0DE7">
        <w:rPr>
          <w:sz w:val="20"/>
          <w:szCs w:val="20"/>
          <w:lang w:val="en-GB" w:eastAsia="zh-CN"/>
        </w:rPr>
        <w:fldChar w:fldCharType="end"/>
      </w:r>
      <w:r w:rsidR="00483CA7" w:rsidRPr="00CE0DE7">
        <w:rPr>
          <w:color w:val="000000"/>
          <w:sz w:val="20"/>
          <w:szCs w:val="20"/>
          <w:lang w:val="en-GB" w:eastAsia="zh-CN"/>
        </w:rPr>
        <w:t>.</w:t>
      </w:r>
      <w:r w:rsidR="00E638C8" w:rsidRPr="00CE0DE7">
        <w:rPr>
          <w:color w:val="000000"/>
          <w:sz w:val="20"/>
          <w:szCs w:val="20"/>
          <w:lang w:val="en-GB" w:eastAsia="zh-CN"/>
        </w:rPr>
        <w:t xml:space="preserve"> </w:t>
      </w:r>
      <w:r w:rsidR="001B6A40" w:rsidRPr="00CE0DE7">
        <w:rPr>
          <w:color w:val="000000"/>
          <w:sz w:val="20"/>
          <w:szCs w:val="20"/>
          <w:lang w:val="en-GB" w:eastAsia="zh-CN"/>
        </w:rPr>
        <w:t xml:space="preserve">Our </w:t>
      </w:r>
      <w:r w:rsidRPr="00CE0DE7">
        <w:rPr>
          <w:color w:val="000000"/>
          <w:sz w:val="20"/>
          <w:szCs w:val="20"/>
          <w:lang w:val="en-GB"/>
        </w:rPr>
        <w:t xml:space="preserve">impulse response graphs </w:t>
      </w:r>
      <w:r w:rsidR="001B6A40" w:rsidRPr="00CE0DE7">
        <w:rPr>
          <w:color w:val="000000"/>
          <w:sz w:val="20"/>
          <w:szCs w:val="20"/>
          <w:lang w:val="en-GB" w:eastAsia="zh-CN"/>
        </w:rPr>
        <w:t xml:space="preserve">provide corroborating evidence. They </w:t>
      </w:r>
      <w:r w:rsidR="00081C85" w:rsidRPr="00CE0DE7">
        <w:rPr>
          <w:color w:val="000000"/>
          <w:sz w:val="20"/>
          <w:szCs w:val="20"/>
          <w:lang w:val="en-GB"/>
        </w:rPr>
        <w:t xml:space="preserve">demonstrate </w:t>
      </w:r>
      <w:r w:rsidR="001B6A40" w:rsidRPr="00CE0DE7">
        <w:rPr>
          <w:color w:val="000000"/>
          <w:sz w:val="20"/>
          <w:szCs w:val="20"/>
          <w:lang w:val="en-GB" w:eastAsia="zh-CN"/>
        </w:rPr>
        <w:t xml:space="preserve">that </w:t>
      </w:r>
      <w:r w:rsidRPr="00CE0DE7">
        <w:rPr>
          <w:color w:val="000000"/>
          <w:sz w:val="20"/>
          <w:szCs w:val="20"/>
          <w:lang w:val="en-GB" w:eastAsia="zh-CN"/>
        </w:rPr>
        <w:t xml:space="preserve">stock returns significantly and positively respond to </w:t>
      </w:r>
      <w:r w:rsidR="00F4131E" w:rsidRPr="00CE0DE7">
        <w:rPr>
          <w:color w:val="000000"/>
          <w:sz w:val="20"/>
          <w:szCs w:val="20"/>
          <w:lang w:val="en-GB" w:eastAsia="zh-CN"/>
        </w:rPr>
        <w:t xml:space="preserve">shocks </w:t>
      </w:r>
      <w:r w:rsidRPr="00CE0DE7">
        <w:rPr>
          <w:color w:val="000000"/>
          <w:sz w:val="20"/>
          <w:szCs w:val="20"/>
          <w:lang w:val="en-GB" w:eastAsia="zh-CN"/>
        </w:rPr>
        <w:t xml:space="preserve">in </w:t>
      </w:r>
      <w:r w:rsidR="008A433B" w:rsidRPr="00CE0DE7">
        <w:rPr>
          <w:sz w:val="20"/>
          <w:szCs w:val="20"/>
          <w:lang w:val="en-GB" w:eastAsia="zh-CN"/>
        </w:rPr>
        <w:t xml:space="preserve">the </w:t>
      </w:r>
      <w:r w:rsidR="00081AF5" w:rsidRPr="00CE0DE7">
        <w:rPr>
          <w:color w:val="000000"/>
          <w:sz w:val="20"/>
          <w:szCs w:val="20"/>
          <w:lang w:val="en-GB" w:eastAsia="zh-CN"/>
        </w:rPr>
        <w:t>VRP</w:t>
      </w:r>
      <w:r w:rsidRPr="00CE0DE7">
        <w:rPr>
          <w:color w:val="000000"/>
          <w:sz w:val="20"/>
          <w:szCs w:val="20"/>
          <w:lang w:val="en-GB" w:eastAsia="zh-CN"/>
        </w:rPr>
        <w:t xml:space="preserve">; </w:t>
      </w:r>
      <w:r w:rsidR="001B6A40" w:rsidRPr="00CE0DE7">
        <w:rPr>
          <w:color w:val="000000"/>
          <w:sz w:val="20"/>
          <w:szCs w:val="20"/>
          <w:lang w:val="en-GB" w:eastAsia="zh-CN"/>
        </w:rPr>
        <w:t xml:space="preserve">that </w:t>
      </w:r>
      <w:r w:rsidR="00E26E56" w:rsidRPr="00CE0DE7">
        <w:rPr>
          <w:color w:val="000000"/>
          <w:sz w:val="20"/>
          <w:szCs w:val="20"/>
          <w:lang w:val="en-GB" w:eastAsia="zh-CN"/>
        </w:rPr>
        <w:t>stock (</w:t>
      </w:r>
      <w:r w:rsidRPr="00CE0DE7">
        <w:rPr>
          <w:color w:val="000000"/>
          <w:sz w:val="20"/>
          <w:szCs w:val="20"/>
          <w:lang w:val="en-GB" w:eastAsia="zh-CN"/>
        </w:rPr>
        <w:t>il</w:t>
      </w:r>
      <w:r w:rsidR="00E26E56" w:rsidRPr="00CE0DE7">
        <w:rPr>
          <w:color w:val="000000"/>
          <w:sz w:val="20"/>
          <w:szCs w:val="20"/>
          <w:lang w:val="en-GB" w:eastAsia="zh-CN"/>
        </w:rPr>
        <w:t>)</w:t>
      </w:r>
      <w:r w:rsidRPr="00CE0DE7">
        <w:rPr>
          <w:color w:val="000000"/>
          <w:sz w:val="20"/>
          <w:szCs w:val="20"/>
          <w:lang w:val="en-GB" w:eastAsia="zh-CN"/>
        </w:rPr>
        <w:t xml:space="preserve">liquidity significantly </w:t>
      </w:r>
      <w:r w:rsidR="00F4131E" w:rsidRPr="00CE0DE7">
        <w:rPr>
          <w:color w:val="000000"/>
          <w:sz w:val="20"/>
          <w:szCs w:val="20"/>
          <w:lang w:val="en-GB" w:eastAsia="zh-CN"/>
        </w:rPr>
        <w:t xml:space="preserve">and negatively </w:t>
      </w:r>
      <w:r w:rsidRPr="00CE0DE7">
        <w:rPr>
          <w:color w:val="000000"/>
          <w:sz w:val="20"/>
          <w:szCs w:val="20"/>
          <w:lang w:val="en-GB" w:eastAsia="zh-CN"/>
        </w:rPr>
        <w:t>responds to s</w:t>
      </w:r>
      <w:r w:rsidR="00F4131E" w:rsidRPr="00CE0DE7">
        <w:rPr>
          <w:color w:val="000000"/>
          <w:sz w:val="20"/>
          <w:szCs w:val="20"/>
          <w:lang w:val="en-GB" w:eastAsia="zh-CN"/>
        </w:rPr>
        <w:t>hocks</w:t>
      </w:r>
      <w:r w:rsidRPr="00CE0DE7">
        <w:rPr>
          <w:color w:val="000000"/>
          <w:sz w:val="20"/>
          <w:szCs w:val="20"/>
          <w:lang w:val="en-GB" w:eastAsia="zh-CN"/>
        </w:rPr>
        <w:t xml:space="preserve"> in both stock returns and </w:t>
      </w:r>
      <w:r w:rsidR="008A433B" w:rsidRPr="00CE0DE7">
        <w:rPr>
          <w:color w:val="000000"/>
          <w:sz w:val="20"/>
          <w:szCs w:val="20"/>
          <w:lang w:val="en-GB" w:eastAsia="zh-CN"/>
        </w:rPr>
        <w:t xml:space="preserve">the </w:t>
      </w:r>
      <w:r w:rsidR="00081AF5" w:rsidRPr="00CE0DE7">
        <w:rPr>
          <w:color w:val="000000"/>
          <w:sz w:val="20"/>
          <w:szCs w:val="20"/>
          <w:lang w:val="en-GB" w:eastAsia="zh-CN"/>
        </w:rPr>
        <w:t>VRP</w:t>
      </w:r>
      <w:r w:rsidRPr="00CE0DE7">
        <w:rPr>
          <w:color w:val="000000"/>
          <w:sz w:val="20"/>
          <w:szCs w:val="20"/>
          <w:lang w:val="en-GB" w:eastAsia="zh-CN"/>
        </w:rPr>
        <w:t xml:space="preserve">; </w:t>
      </w:r>
      <w:r w:rsidR="001B6A40" w:rsidRPr="00CE0DE7">
        <w:rPr>
          <w:color w:val="000000"/>
          <w:sz w:val="20"/>
          <w:szCs w:val="20"/>
          <w:lang w:val="en-GB" w:eastAsia="zh-CN"/>
        </w:rPr>
        <w:t xml:space="preserve">and that </w:t>
      </w:r>
      <w:r w:rsidRPr="00CE0DE7">
        <w:rPr>
          <w:color w:val="000000"/>
          <w:sz w:val="20"/>
          <w:szCs w:val="20"/>
          <w:lang w:val="en-GB" w:eastAsia="zh-CN"/>
        </w:rPr>
        <w:t xml:space="preserve">stock returns and illiquidity do not affect </w:t>
      </w:r>
      <w:r w:rsidR="008A433B" w:rsidRPr="00CE0DE7">
        <w:rPr>
          <w:color w:val="000000"/>
          <w:sz w:val="20"/>
          <w:szCs w:val="20"/>
          <w:lang w:val="en-GB" w:eastAsia="zh-CN"/>
        </w:rPr>
        <w:t xml:space="preserve">the </w:t>
      </w:r>
      <w:r w:rsidRPr="00CE0DE7">
        <w:rPr>
          <w:color w:val="000000"/>
          <w:sz w:val="20"/>
          <w:szCs w:val="20"/>
          <w:lang w:val="en-GB" w:eastAsia="zh-CN"/>
        </w:rPr>
        <w:t xml:space="preserve">variance risk premium. </w:t>
      </w:r>
    </w:p>
    <w:p w14:paraId="1C6B3A5B" w14:textId="60BCA42F" w:rsidR="00580AA9" w:rsidRPr="00CE0DE7" w:rsidRDefault="00450F85" w:rsidP="00BD081C">
      <w:pPr>
        <w:adjustRightInd w:val="0"/>
        <w:snapToGrid w:val="0"/>
        <w:spacing w:line="480" w:lineRule="auto"/>
        <w:ind w:firstLine="425"/>
        <w:jc w:val="both"/>
        <w:rPr>
          <w:sz w:val="20"/>
          <w:szCs w:val="20"/>
          <w:lang w:val="en-GB" w:eastAsia="zh-CN"/>
        </w:rPr>
      </w:pPr>
      <w:r w:rsidRPr="00CE0DE7">
        <w:rPr>
          <w:color w:val="000000"/>
          <w:sz w:val="20"/>
          <w:szCs w:val="20"/>
          <w:lang w:val="en-GB" w:eastAsia="zh-CN"/>
        </w:rPr>
        <w:t>W</w:t>
      </w:r>
      <w:r w:rsidR="005A7DC1" w:rsidRPr="00CE0DE7">
        <w:rPr>
          <w:color w:val="000000"/>
          <w:sz w:val="20"/>
          <w:szCs w:val="20"/>
          <w:lang w:val="en-GB" w:eastAsia="zh-CN"/>
        </w:rPr>
        <w:t xml:space="preserve">e further examine the forecasting power of </w:t>
      </w:r>
      <w:r w:rsidR="008A433B" w:rsidRPr="00CE0DE7">
        <w:rPr>
          <w:color w:val="000000"/>
          <w:sz w:val="20"/>
          <w:szCs w:val="20"/>
          <w:lang w:val="en-GB" w:eastAsia="zh-CN"/>
        </w:rPr>
        <w:t xml:space="preserve">the </w:t>
      </w:r>
      <w:r w:rsidR="00081AF5" w:rsidRPr="00CE0DE7">
        <w:rPr>
          <w:color w:val="000000"/>
          <w:sz w:val="20"/>
          <w:szCs w:val="20"/>
          <w:lang w:val="en-GB" w:eastAsia="zh-CN"/>
        </w:rPr>
        <w:t>VRP</w:t>
      </w:r>
      <w:r w:rsidR="005A7DC1" w:rsidRPr="00CE0DE7">
        <w:rPr>
          <w:color w:val="000000"/>
          <w:sz w:val="20"/>
          <w:szCs w:val="20"/>
          <w:lang w:val="en-GB" w:eastAsia="zh-CN"/>
        </w:rPr>
        <w:t xml:space="preserve"> and </w:t>
      </w:r>
      <w:r w:rsidR="00E26E56" w:rsidRPr="00CE0DE7">
        <w:rPr>
          <w:color w:val="000000"/>
          <w:sz w:val="20"/>
          <w:szCs w:val="20"/>
          <w:lang w:val="en-GB" w:eastAsia="zh-CN"/>
        </w:rPr>
        <w:t>(</w:t>
      </w:r>
      <w:r w:rsidR="005A7DC1" w:rsidRPr="00CE0DE7">
        <w:rPr>
          <w:color w:val="000000"/>
          <w:sz w:val="20"/>
          <w:szCs w:val="20"/>
          <w:lang w:val="en-GB" w:eastAsia="zh-CN"/>
        </w:rPr>
        <w:t>il</w:t>
      </w:r>
      <w:r w:rsidR="00E26E56" w:rsidRPr="00CE0DE7">
        <w:rPr>
          <w:color w:val="000000"/>
          <w:sz w:val="20"/>
          <w:szCs w:val="20"/>
          <w:lang w:val="en-GB" w:eastAsia="zh-CN"/>
        </w:rPr>
        <w:t>)</w:t>
      </w:r>
      <w:r w:rsidR="005A7DC1" w:rsidRPr="00CE0DE7">
        <w:rPr>
          <w:color w:val="000000"/>
          <w:sz w:val="20"/>
          <w:szCs w:val="20"/>
          <w:lang w:val="en-GB" w:eastAsia="zh-CN"/>
        </w:rPr>
        <w:t>liquidity on returns</w:t>
      </w:r>
      <w:r w:rsidR="00427FFA" w:rsidRPr="00CE0DE7">
        <w:rPr>
          <w:color w:val="000000"/>
          <w:sz w:val="20"/>
          <w:szCs w:val="20"/>
          <w:lang w:val="en-GB" w:eastAsia="zh-CN"/>
        </w:rPr>
        <w:t xml:space="preserve">. </w:t>
      </w:r>
      <w:r w:rsidR="00E638C8" w:rsidRPr="00CE0DE7">
        <w:rPr>
          <w:color w:val="000000"/>
          <w:sz w:val="20"/>
          <w:szCs w:val="20"/>
          <w:lang w:val="en-GB" w:eastAsia="zh-CN"/>
        </w:rPr>
        <w:t>I</w:t>
      </w:r>
      <w:r w:rsidR="005A7DC1" w:rsidRPr="00CE0DE7">
        <w:rPr>
          <w:color w:val="000000"/>
          <w:sz w:val="20"/>
          <w:szCs w:val="20"/>
          <w:lang w:val="en-GB"/>
        </w:rPr>
        <w:t xml:space="preserve">t is apparent that </w:t>
      </w:r>
      <w:r w:rsidRPr="00CE0DE7">
        <w:rPr>
          <w:sz w:val="20"/>
          <w:szCs w:val="20"/>
          <w:lang w:val="en-GB" w:eastAsia="zh-CN"/>
        </w:rPr>
        <w:t>investor</w:t>
      </w:r>
      <w:r w:rsidR="005A7DC1" w:rsidRPr="00CE0DE7">
        <w:rPr>
          <w:sz w:val="20"/>
          <w:szCs w:val="20"/>
          <w:lang w:val="en-GB" w:eastAsia="zh-CN"/>
        </w:rPr>
        <w:t xml:space="preserve"> risk aversion</w:t>
      </w:r>
      <w:r w:rsidR="00690731" w:rsidRPr="00CE0DE7">
        <w:rPr>
          <w:sz w:val="20"/>
          <w:szCs w:val="20"/>
          <w:lang w:val="en-GB" w:eastAsia="zh-CN"/>
        </w:rPr>
        <w:t xml:space="preserve"> and economic uncertainty</w:t>
      </w:r>
      <w:r w:rsidR="005A7DC1" w:rsidRPr="00CE0DE7">
        <w:rPr>
          <w:sz w:val="20"/>
          <w:szCs w:val="20"/>
          <w:lang w:val="en-GB" w:eastAsia="zh-CN"/>
        </w:rPr>
        <w:t xml:space="preserve">, proxied by </w:t>
      </w:r>
      <w:r w:rsidR="008A433B" w:rsidRPr="00CE0DE7">
        <w:rPr>
          <w:sz w:val="20"/>
          <w:szCs w:val="20"/>
          <w:lang w:val="en-GB" w:eastAsia="zh-CN"/>
        </w:rPr>
        <w:t xml:space="preserve">the </w:t>
      </w:r>
      <w:r w:rsidR="00081AF5" w:rsidRPr="00CE0DE7">
        <w:rPr>
          <w:color w:val="000000"/>
          <w:sz w:val="20"/>
          <w:szCs w:val="20"/>
          <w:lang w:val="en-GB"/>
        </w:rPr>
        <w:t>VRP</w:t>
      </w:r>
      <w:r w:rsidRPr="00CE0DE7">
        <w:rPr>
          <w:color w:val="000000"/>
          <w:sz w:val="20"/>
          <w:szCs w:val="20"/>
          <w:lang w:val="en-GB"/>
        </w:rPr>
        <w:t xml:space="preserve">, </w:t>
      </w:r>
      <w:r w:rsidRPr="00CE0DE7">
        <w:rPr>
          <w:color w:val="000000"/>
          <w:sz w:val="20"/>
          <w:szCs w:val="20"/>
          <w:lang w:val="en-GB" w:eastAsia="zh-CN"/>
        </w:rPr>
        <w:t>exhibit</w:t>
      </w:r>
      <w:r w:rsidR="005A7DC1" w:rsidRPr="00CE0DE7">
        <w:rPr>
          <w:color w:val="000000"/>
          <w:sz w:val="20"/>
          <w:szCs w:val="20"/>
          <w:lang w:val="en-GB"/>
        </w:rPr>
        <w:t xml:space="preserve"> strong </w:t>
      </w:r>
      <w:r w:rsidR="00887BB0" w:rsidRPr="00CE0DE7">
        <w:rPr>
          <w:color w:val="000000"/>
          <w:sz w:val="20"/>
          <w:szCs w:val="20"/>
          <w:lang w:val="en-GB"/>
        </w:rPr>
        <w:t xml:space="preserve">forecasting </w:t>
      </w:r>
      <w:r w:rsidR="005A7DC1" w:rsidRPr="00CE0DE7">
        <w:rPr>
          <w:color w:val="000000"/>
          <w:sz w:val="20"/>
          <w:szCs w:val="20"/>
          <w:lang w:val="en-GB"/>
        </w:rPr>
        <w:t>power for future excess returns</w:t>
      </w:r>
      <w:r w:rsidR="00BB19E4" w:rsidRPr="00CE0DE7">
        <w:rPr>
          <w:color w:val="000000"/>
          <w:sz w:val="20"/>
          <w:szCs w:val="20"/>
          <w:lang w:val="en-GB"/>
        </w:rPr>
        <w:t xml:space="preserve"> both in-sample and out-of-sample</w:t>
      </w:r>
      <w:r w:rsidR="005A7DC1" w:rsidRPr="00CE0DE7">
        <w:rPr>
          <w:color w:val="000000"/>
          <w:sz w:val="20"/>
          <w:szCs w:val="20"/>
          <w:lang w:val="en-GB"/>
        </w:rPr>
        <w:t xml:space="preserve">. </w:t>
      </w:r>
    </w:p>
    <w:p w14:paraId="45A4614C" w14:textId="3FF38C05" w:rsidR="0090653E" w:rsidRPr="00CE0DE7" w:rsidRDefault="005A7DC1" w:rsidP="00BD081C">
      <w:pPr>
        <w:adjustRightInd w:val="0"/>
        <w:snapToGrid w:val="0"/>
        <w:spacing w:line="480" w:lineRule="auto"/>
        <w:ind w:firstLine="425"/>
        <w:jc w:val="both"/>
        <w:rPr>
          <w:color w:val="000000"/>
          <w:sz w:val="20"/>
          <w:szCs w:val="20"/>
          <w:lang w:val="en-GB" w:eastAsia="zh-CN"/>
        </w:rPr>
      </w:pPr>
      <w:r w:rsidRPr="00CE0DE7">
        <w:rPr>
          <w:color w:val="000000"/>
          <w:sz w:val="20"/>
          <w:szCs w:val="20"/>
          <w:lang w:val="en-GB" w:eastAsia="zh-CN"/>
        </w:rPr>
        <w:t xml:space="preserve">Finally, </w:t>
      </w:r>
      <w:r w:rsidR="00E638C8" w:rsidRPr="00CE0DE7">
        <w:rPr>
          <w:color w:val="000000"/>
          <w:sz w:val="20"/>
          <w:szCs w:val="20"/>
          <w:lang w:val="en-GB" w:eastAsia="zh-CN"/>
        </w:rPr>
        <w:t xml:space="preserve">we show that </w:t>
      </w:r>
      <w:r w:rsidRPr="00CE0DE7">
        <w:rPr>
          <w:color w:val="000000"/>
          <w:sz w:val="20"/>
          <w:szCs w:val="20"/>
          <w:lang w:val="en-GB" w:eastAsia="zh-CN"/>
        </w:rPr>
        <w:t xml:space="preserve">changes in </w:t>
      </w:r>
      <w:r w:rsidR="008A433B" w:rsidRPr="00CE0DE7">
        <w:rPr>
          <w:color w:val="000000"/>
          <w:sz w:val="20"/>
          <w:szCs w:val="20"/>
          <w:lang w:val="en-GB" w:eastAsia="zh-CN"/>
        </w:rPr>
        <w:t xml:space="preserve">the </w:t>
      </w:r>
      <w:r w:rsidR="00081AF5" w:rsidRPr="00CE0DE7">
        <w:rPr>
          <w:color w:val="000000"/>
          <w:sz w:val="20"/>
          <w:szCs w:val="20"/>
          <w:lang w:val="en-GB" w:eastAsia="zh-CN"/>
        </w:rPr>
        <w:t>VRP</w:t>
      </w:r>
      <w:r w:rsidRPr="00CE0DE7">
        <w:rPr>
          <w:color w:val="000000"/>
          <w:sz w:val="20"/>
          <w:szCs w:val="20"/>
          <w:lang w:val="en-GB" w:eastAsia="zh-CN"/>
        </w:rPr>
        <w:t xml:space="preserve"> </w:t>
      </w:r>
      <w:r w:rsidR="00DA78FF" w:rsidRPr="00CE0DE7">
        <w:rPr>
          <w:color w:val="000000"/>
          <w:sz w:val="20"/>
          <w:szCs w:val="20"/>
          <w:lang w:val="en-GB" w:eastAsia="zh-CN"/>
        </w:rPr>
        <w:t xml:space="preserve">drive </w:t>
      </w:r>
      <w:r w:rsidRPr="00CE0DE7">
        <w:rPr>
          <w:color w:val="000000"/>
          <w:sz w:val="20"/>
          <w:szCs w:val="20"/>
          <w:lang w:val="en-GB" w:eastAsia="zh-CN"/>
        </w:rPr>
        <w:t>variations in</w:t>
      </w:r>
      <w:r w:rsidR="0000788B" w:rsidRPr="00CE0DE7">
        <w:rPr>
          <w:color w:val="000000"/>
          <w:sz w:val="20"/>
          <w:szCs w:val="20"/>
          <w:lang w:val="en-GB" w:eastAsia="zh-CN"/>
        </w:rPr>
        <w:t xml:space="preserve"> the</w:t>
      </w:r>
      <w:r w:rsidRPr="00CE0DE7">
        <w:rPr>
          <w:color w:val="000000"/>
          <w:sz w:val="20"/>
          <w:szCs w:val="20"/>
          <w:lang w:val="en-GB" w:eastAsia="zh-CN"/>
        </w:rPr>
        <w:t xml:space="preserve"> market, value</w:t>
      </w:r>
      <w:r w:rsidR="00C25A32" w:rsidRPr="00CE0DE7">
        <w:rPr>
          <w:color w:val="000000"/>
          <w:sz w:val="20"/>
          <w:szCs w:val="20"/>
          <w:lang w:val="en-GB" w:eastAsia="zh-CN"/>
        </w:rPr>
        <w:t>,</w:t>
      </w:r>
      <w:r w:rsidRPr="00CE0DE7">
        <w:rPr>
          <w:color w:val="000000"/>
          <w:sz w:val="20"/>
          <w:szCs w:val="20"/>
          <w:lang w:val="en-GB" w:eastAsia="zh-CN"/>
        </w:rPr>
        <w:t xml:space="preserve"> and momentum factor</w:t>
      </w:r>
      <w:r w:rsidR="00C25A32" w:rsidRPr="00CE0DE7">
        <w:rPr>
          <w:color w:val="000000"/>
          <w:sz w:val="20"/>
          <w:szCs w:val="20"/>
          <w:lang w:val="en-GB" w:eastAsia="zh-CN"/>
        </w:rPr>
        <w:t>s. T</w:t>
      </w:r>
      <w:r w:rsidRPr="00CE0DE7">
        <w:rPr>
          <w:color w:val="000000"/>
          <w:sz w:val="20"/>
          <w:szCs w:val="20"/>
          <w:lang w:val="en-GB" w:eastAsia="zh-CN"/>
        </w:rPr>
        <w:t xml:space="preserve">here </w:t>
      </w:r>
      <w:r w:rsidR="00DA78FF" w:rsidRPr="00CE0DE7">
        <w:rPr>
          <w:color w:val="000000"/>
          <w:sz w:val="20"/>
          <w:szCs w:val="20"/>
          <w:lang w:val="en-GB" w:eastAsia="zh-CN"/>
        </w:rPr>
        <w:t>also exists a</w:t>
      </w:r>
      <w:r w:rsidRPr="00CE0DE7">
        <w:rPr>
          <w:color w:val="000000"/>
          <w:sz w:val="20"/>
          <w:szCs w:val="20"/>
          <w:lang w:val="en-GB" w:eastAsia="zh-CN"/>
        </w:rPr>
        <w:t xml:space="preserve"> causal relation from </w:t>
      </w:r>
      <w:r w:rsidR="009848F1" w:rsidRPr="00CE0DE7">
        <w:rPr>
          <w:color w:val="000000"/>
          <w:sz w:val="20"/>
          <w:szCs w:val="20"/>
          <w:lang w:val="en-GB" w:eastAsia="zh-CN"/>
        </w:rPr>
        <w:t>market and momentum factor</w:t>
      </w:r>
      <w:r w:rsidR="007A1DDE" w:rsidRPr="00CE0DE7">
        <w:rPr>
          <w:color w:val="000000"/>
          <w:sz w:val="20"/>
          <w:szCs w:val="20"/>
          <w:lang w:val="en-GB" w:eastAsia="zh-CN"/>
        </w:rPr>
        <w:t>s</w:t>
      </w:r>
      <w:r w:rsidRPr="00CE0DE7">
        <w:rPr>
          <w:color w:val="000000"/>
          <w:sz w:val="20"/>
          <w:szCs w:val="20"/>
          <w:lang w:val="en-GB" w:eastAsia="zh-CN"/>
        </w:rPr>
        <w:t xml:space="preserve"> to stock </w:t>
      </w:r>
      <w:r w:rsidR="00BB19E4" w:rsidRPr="00CE0DE7">
        <w:rPr>
          <w:color w:val="000000"/>
          <w:sz w:val="20"/>
          <w:szCs w:val="20"/>
          <w:lang w:val="en-GB" w:eastAsia="zh-CN"/>
        </w:rPr>
        <w:t>(</w:t>
      </w:r>
      <w:r w:rsidRPr="00CE0DE7">
        <w:rPr>
          <w:color w:val="000000"/>
          <w:sz w:val="20"/>
          <w:szCs w:val="20"/>
          <w:lang w:val="en-GB" w:eastAsia="zh-CN"/>
        </w:rPr>
        <w:t>il</w:t>
      </w:r>
      <w:r w:rsidR="00BB19E4" w:rsidRPr="00CE0DE7">
        <w:rPr>
          <w:color w:val="000000"/>
          <w:sz w:val="20"/>
          <w:szCs w:val="20"/>
          <w:lang w:val="en-GB" w:eastAsia="zh-CN"/>
        </w:rPr>
        <w:t>)</w:t>
      </w:r>
      <w:r w:rsidRPr="00CE0DE7">
        <w:rPr>
          <w:color w:val="000000"/>
          <w:sz w:val="20"/>
          <w:szCs w:val="20"/>
          <w:lang w:val="en-GB" w:eastAsia="zh-CN"/>
        </w:rPr>
        <w:t xml:space="preserve">liquidity. </w:t>
      </w:r>
      <w:r w:rsidR="00DA78FF" w:rsidRPr="00CE0DE7">
        <w:rPr>
          <w:color w:val="000000"/>
          <w:sz w:val="20"/>
          <w:szCs w:val="20"/>
          <w:lang w:val="en-GB" w:eastAsia="zh-CN"/>
        </w:rPr>
        <w:t xml:space="preserve">However, </w:t>
      </w:r>
      <w:r w:rsidRPr="00CE0DE7">
        <w:rPr>
          <w:color w:val="000000"/>
          <w:sz w:val="20"/>
          <w:szCs w:val="20"/>
          <w:lang w:val="en-GB" w:eastAsia="zh-CN"/>
        </w:rPr>
        <w:t>no support</w:t>
      </w:r>
      <w:r w:rsidR="00E26E56" w:rsidRPr="00CE0DE7">
        <w:rPr>
          <w:color w:val="000000"/>
          <w:sz w:val="20"/>
          <w:szCs w:val="20"/>
          <w:lang w:val="en-GB" w:eastAsia="zh-CN"/>
        </w:rPr>
        <w:t>i</w:t>
      </w:r>
      <w:r w:rsidR="00C25A32" w:rsidRPr="00CE0DE7">
        <w:rPr>
          <w:color w:val="000000"/>
          <w:sz w:val="20"/>
          <w:szCs w:val="20"/>
          <w:lang w:val="en-GB" w:eastAsia="zh-CN"/>
        </w:rPr>
        <w:t>ng</w:t>
      </w:r>
      <w:r w:rsidR="00E26E56" w:rsidRPr="00CE0DE7">
        <w:rPr>
          <w:color w:val="000000"/>
          <w:sz w:val="20"/>
          <w:szCs w:val="20"/>
          <w:lang w:val="en-GB" w:eastAsia="zh-CN"/>
        </w:rPr>
        <w:t xml:space="preserve"> evidence</w:t>
      </w:r>
      <w:r w:rsidR="00DA78FF" w:rsidRPr="00CE0DE7">
        <w:rPr>
          <w:color w:val="000000"/>
          <w:sz w:val="20"/>
          <w:szCs w:val="20"/>
          <w:lang w:val="en-GB" w:eastAsia="zh-CN"/>
        </w:rPr>
        <w:t xml:space="preserve"> is available </w:t>
      </w:r>
      <w:r w:rsidRPr="00CE0DE7">
        <w:rPr>
          <w:color w:val="000000"/>
          <w:sz w:val="20"/>
          <w:szCs w:val="20"/>
          <w:lang w:val="en-GB" w:eastAsia="zh-CN"/>
        </w:rPr>
        <w:t xml:space="preserve">for </w:t>
      </w:r>
      <w:r w:rsidR="00C25A32" w:rsidRPr="00CE0DE7">
        <w:rPr>
          <w:color w:val="000000"/>
          <w:sz w:val="20"/>
          <w:szCs w:val="20"/>
          <w:lang w:val="en-GB" w:eastAsia="zh-CN"/>
        </w:rPr>
        <w:t xml:space="preserve">a </w:t>
      </w:r>
      <w:r w:rsidRPr="00CE0DE7">
        <w:rPr>
          <w:color w:val="000000"/>
          <w:sz w:val="20"/>
          <w:szCs w:val="20"/>
          <w:lang w:val="en-GB" w:eastAsia="zh-CN"/>
        </w:rPr>
        <w:t xml:space="preserve">causal relation from the four factors to </w:t>
      </w:r>
      <w:r w:rsidR="008A433B" w:rsidRPr="00CE0DE7">
        <w:rPr>
          <w:color w:val="000000"/>
          <w:sz w:val="20"/>
          <w:szCs w:val="20"/>
          <w:lang w:val="en-GB" w:eastAsia="zh-CN"/>
        </w:rPr>
        <w:t xml:space="preserve">the </w:t>
      </w:r>
      <w:r w:rsidR="00081AF5" w:rsidRPr="00CE0DE7">
        <w:rPr>
          <w:color w:val="000000"/>
          <w:sz w:val="20"/>
          <w:szCs w:val="20"/>
          <w:lang w:val="en-GB" w:eastAsia="zh-CN"/>
        </w:rPr>
        <w:t>VRP</w:t>
      </w:r>
      <w:r w:rsidRPr="00CE0DE7">
        <w:rPr>
          <w:color w:val="000000"/>
          <w:sz w:val="20"/>
          <w:szCs w:val="20"/>
          <w:lang w:val="en-GB" w:eastAsia="zh-CN"/>
        </w:rPr>
        <w:t xml:space="preserve"> </w:t>
      </w:r>
      <w:r w:rsidR="00DA78FF" w:rsidRPr="00CE0DE7">
        <w:rPr>
          <w:color w:val="000000"/>
          <w:sz w:val="20"/>
          <w:szCs w:val="20"/>
          <w:lang w:val="en-GB" w:eastAsia="zh-CN"/>
        </w:rPr>
        <w:t>or</w:t>
      </w:r>
      <w:r w:rsidRPr="00CE0DE7">
        <w:rPr>
          <w:color w:val="000000"/>
          <w:sz w:val="20"/>
          <w:szCs w:val="20"/>
          <w:lang w:val="en-GB" w:eastAsia="zh-CN"/>
        </w:rPr>
        <w:t xml:space="preserve"> from </w:t>
      </w:r>
      <w:r w:rsidR="00BB19E4" w:rsidRPr="00CE0DE7">
        <w:rPr>
          <w:color w:val="000000"/>
          <w:sz w:val="20"/>
          <w:szCs w:val="20"/>
          <w:lang w:val="en-GB" w:eastAsia="zh-CN"/>
        </w:rPr>
        <w:t>(</w:t>
      </w:r>
      <w:r w:rsidRPr="00CE0DE7">
        <w:rPr>
          <w:color w:val="000000"/>
          <w:sz w:val="20"/>
          <w:szCs w:val="20"/>
          <w:lang w:val="en-GB" w:eastAsia="zh-CN"/>
        </w:rPr>
        <w:t>il</w:t>
      </w:r>
      <w:r w:rsidR="00BB19E4" w:rsidRPr="00CE0DE7">
        <w:rPr>
          <w:color w:val="000000"/>
          <w:sz w:val="20"/>
          <w:szCs w:val="20"/>
          <w:lang w:val="en-GB" w:eastAsia="zh-CN"/>
        </w:rPr>
        <w:t>)</w:t>
      </w:r>
      <w:r w:rsidRPr="00CE0DE7">
        <w:rPr>
          <w:color w:val="000000"/>
          <w:sz w:val="20"/>
          <w:szCs w:val="20"/>
          <w:lang w:val="en-GB" w:eastAsia="zh-CN"/>
        </w:rPr>
        <w:t>liquidity to the</w:t>
      </w:r>
      <w:r w:rsidR="00166C42" w:rsidRPr="00CE0DE7">
        <w:rPr>
          <w:color w:val="000000"/>
          <w:sz w:val="20"/>
          <w:szCs w:val="20"/>
          <w:lang w:val="en-GB" w:eastAsia="zh-CN"/>
        </w:rPr>
        <w:t>se</w:t>
      </w:r>
      <w:r w:rsidRPr="00CE0DE7">
        <w:rPr>
          <w:color w:val="000000"/>
          <w:sz w:val="20"/>
          <w:szCs w:val="20"/>
          <w:lang w:val="en-GB" w:eastAsia="zh-CN"/>
        </w:rPr>
        <w:t xml:space="preserve"> </w:t>
      </w:r>
      <w:r w:rsidRPr="00CE0DE7">
        <w:rPr>
          <w:color w:val="000000"/>
          <w:sz w:val="20"/>
          <w:szCs w:val="20"/>
          <w:lang w:val="en-GB" w:eastAsia="zh-CN"/>
        </w:rPr>
        <w:lastRenderedPageBreak/>
        <w:t>factors. The impl</w:t>
      </w:r>
      <w:r w:rsidR="00DA78FF" w:rsidRPr="00CE0DE7">
        <w:rPr>
          <w:color w:val="000000"/>
          <w:sz w:val="20"/>
          <w:szCs w:val="20"/>
          <w:lang w:val="en-GB" w:eastAsia="zh-CN"/>
        </w:rPr>
        <w:t>ication is</w:t>
      </w:r>
      <w:r w:rsidRPr="00CE0DE7">
        <w:rPr>
          <w:color w:val="000000"/>
          <w:sz w:val="20"/>
          <w:szCs w:val="20"/>
          <w:lang w:val="en-GB" w:eastAsia="zh-CN"/>
        </w:rPr>
        <w:t xml:space="preserve"> that </w:t>
      </w:r>
      <w:r w:rsidR="008A433B" w:rsidRPr="00CE0DE7">
        <w:rPr>
          <w:color w:val="000000"/>
          <w:sz w:val="20"/>
          <w:szCs w:val="20"/>
          <w:lang w:val="en-GB" w:eastAsia="zh-CN"/>
        </w:rPr>
        <w:t xml:space="preserve">the </w:t>
      </w:r>
      <w:r w:rsidR="00081AF5" w:rsidRPr="00CE0DE7">
        <w:rPr>
          <w:color w:val="000000"/>
          <w:sz w:val="20"/>
          <w:szCs w:val="20"/>
          <w:lang w:val="en-GB" w:eastAsia="zh-CN"/>
        </w:rPr>
        <w:t>VRP</w:t>
      </w:r>
      <w:r w:rsidRPr="00CE0DE7">
        <w:rPr>
          <w:color w:val="000000"/>
          <w:sz w:val="20"/>
          <w:szCs w:val="20"/>
          <w:lang w:val="en-GB" w:eastAsia="zh-CN"/>
        </w:rPr>
        <w:t xml:space="preserve"> mainly drives stock returns </w:t>
      </w:r>
      <w:r w:rsidR="00DA78FF" w:rsidRPr="00CE0DE7">
        <w:rPr>
          <w:color w:val="000000"/>
          <w:sz w:val="20"/>
          <w:szCs w:val="20"/>
          <w:lang w:val="en-GB" w:eastAsia="zh-CN"/>
        </w:rPr>
        <w:t xml:space="preserve">and </w:t>
      </w:r>
      <w:r w:rsidR="00E26E56" w:rsidRPr="00CE0DE7">
        <w:rPr>
          <w:color w:val="000000"/>
          <w:sz w:val="20"/>
          <w:szCs w:val="20"/>
          <w:lang w:val="en-GB" w:eastAsia="zh-CN"/>
        </w:rPr>
        <w:t>(il)</w:t>
      </w:r>
      <w:r w:rsidR="00DA78FF" w:rsidRPr="00CE0DE7">
        <w:rPr>
          <w:color w:val="000000"/>
          <w:sz w:val="20"/>
          <w:szCs w:val="20"/>
          <w:lang w:val="en-GB" w:eastAsia="zh-CN"/>
        </w:rPr>
        <w:t xml:space="preserve">liquidity </w:t>
      </w:r>
      <w:r w:rsidRPr="00CE0DE7">
        <w:rPr>
          <w:color w:val="000000"/>
          <w:sz w:val="20"/>
          <w:szCs w:val="20"/>
          <w:lang w:val="en-GB" w:eastAsia="zh-CN"/>
        </w:rPr>
        <w:t>via time-varying market and</w:t>
      </w:r>
      <w:r w:rsidR="00DA78FF" w:rsidRPr="00CE0DE7">
        <w:rPr>
          <w:color w:val="000000"/>
          <w:sz w:val="20"/>
          <w:szCs w:val="20"/>
          <w:lang w:val="en-GB" w:eastAsia="zh-CN"/>
        </w:rPr>
        <w:t xml:space="preserve"> </w:t>
      </w:r>
      <w:r w:rsidRPr="00CE0DE7">
        <w:rPr>
          <w:color w:val="000000"/>
          <w:sz w:val="20"/>
          <w:szCs w:val="20"/>
          <w:lang w:val="en-GB" w:eastAsia="zh-CN"/>
        </w:rPr>
        <w:t>momentum factor</w:t>
      </w:r>
      <w:r w:rsidR="007A1DDE" w:rsidRPr="00CE0DE7">
        <w:rPr>
          <w:color w:val="000000"/>
          <w:sz w:val="20"/>
          <w:szCs w:val="20"/>
          <w:lang w:val="en-GB" w:eastAsia="zh-CN"/>
        </w:rPr>
        <w:t>s</w:t>
      </w:r>
      <w:r w:rsidRPr="00CE0DE7">
        <w:rPr>
          <w:color w:val="000000"/>
          <w:sz w:val="20"/>
          <w:szCs w:val="20"/>
          <w:lang w:val="en-GB" w:eastAsia="zh-CN"/>
        </w:rPr>
        <w:t xml:space="preserve">. </w:t>
      </w:r>
    </w:p>
    <w:p w14:paraId="03FE7BC3" w14:textId="77777777" w:rsidR="003B3ED2" w:rsidRPr="00CE0DE7" w:rsidRDefault="003B3ED2" w:rsidP="001E38D8">
      <w:pPr>
        <w:adjustRightInd w:val="0"/>
        <w:snapToGrid w:val="0"/>
        <w:spacing w:line="480" w:lineRule="auto"/>
        <w:ind w:firstLine="720"/>
        <w:jc w:val="both"/>
        <w:rPr>
          <w:color w:val="000000"/>
          <w:sz w:val="20"/>
          <w:szCs w:val="20"/>
          <w:lang w:val="en-GB" w:eastAsia="zh-CN"/>
        </w:rPr>
      </w:pPr>
    </w:p>
    <w:p w14:paraId="3CE634FB" w14:textId="77777777" w:rsidR="00656358" w:rsidRPr="00CE0DE7" w:rsidRDefault="00656358" w:rsidP="001E38D8">
      <w:pPr>
        <w:adjustRightInd w:val="0"/>
        <w:snapToGrid w:val="0"/>
        <w:spacing w:line="480" w:lineRule="auto"/>
        <w:ind w:firstLine="720"/>
        <w:jc w:val="both"/>
        <w:rPr>
          <w:color w:val="000000"/>
          <w:sz w:val="20"/>
          <w:szCs w:val="20"/>
          <w:lang w:val="en-GB" w:eastAsia="zh-CN"/>
        </w:rPr>
      </w:pPr>
    </w:p>
    <w:p w14:paraId="668B679C" w14:textId="77777777" w:rsidR="00656358" w:rsidRPr="00CE0DE7" w:rsidRDefault="00656358" w:rsidP="001E38D8">
      <w:pPr>
        <w:adjustRightInd w:val="0"/>
        <w:snapToGrid w:val="0"/>
        <w:spacing w:line="480" w:lineRule="auto"/>
        <w:ind w:firstLine="720"/>
        <w:jc w:val="both"/>
        <w:rPr>
          <w:color w:val="000000"/>
          <w:sz w:val="20"/>
          <w:szCs w:val="20"/>
          <w:lang w:val="en-GB" w:eastAsia="zh-CN"/>
        </w:rPr>
      </w:pPr>
    </w:p>
    <w:p w14:paraId="0D12B121" w14:textId="77777777" w:rsidR="00656358" w:rsidRPr="00CE0DE7" w:rsidRDefault="00656358" w:rsidP="001E38D8">
      <w:pPr>
        <w:adjustRightInd w:val="0"/>
        <w:snapToGrid w:val="0"/>
        <w:spacing w:line="480" w:lineRule="auto"/>
        <w:ind w:firstLine="720"/>
        <w:jc w:val="both"/>
        <w:rPr>
          <w:color w:val="000000"/>
          <w:sz w:val="20"/>
          <w:szCs w:val="20"/>
          <w:lang w:val="en-GB" w:eastAsia="zh-CN"/>
        </w:rPr>
      </w:pPr>
    </w:p>
    <w:p w14:paraId="2121F038" w14:textId="77777777" w:rsidR="00656358" w:rsidRPr="00CE0DE7" w:rsidRDefault="00656358" w:rsidP="001E38D8">
      <w:pPr>
        <w:adjustRightInd w:val="0"/>
        <w:snapToGrid w:val="0"/>
        <w:spacing w:line="480" w:lineRule="auto"/>
        <w:ind w:firstLine="720"/>
        <w:jc w:val="both"/>
        <w:rPr>
          <w:color w:val="000000"/>
          <w:sz w:val="20"/>
          <w:szCs w:val="20"/>
          <w:lang w:val="en-GB" w:eastAsia="zh-CN"/>
        </w:rPr>
      </w:pPr>
    </w:p>
    <w:p w14:paraId="2E0954C9" w14:textId="77777777" w:rsidR="00656358" w:rsidRPr="00CE0DE7" w:rsidRDefault="00656358" w:rsidP="001E38D8">
      <w:pPr>
        <w:adjustRightInd w:val="0"/>
        <w:snapToGrid w:val="0"/>
        <w:spacing w:line="480" w:lineRule="auto"/>
        <w:ind w:firstLine="720"/>
        <w:jc w:val="both"/>
        <w:rPr>
          <w:color w:val="000000"/>
          <w:sz w:val="20"/>
          <w:szCs w:val="20"/>
          <w:lang w:val="en-GB" w:eastAsia="zh-CN"/>
        </w:rPr>
      </w:pPr>
    </w:p>
    <w:p w14:paraId="37065E97" w14:textId="77777777" w:rsidR="00656358" w:rsidRPr="00CE0DE7" w:rsidRDefault="00656358" w:rsidP="001E38D8">
      <w:pPr>
        <w:adjustRightInd w:val="0"/>
        <w:snapToGrid w:val="0"/>
        <w:spacing w:line="480" w:lineRule="auto"/>
        <w:ind w:firstLine="720"/>
        <w:jc w:val="both"/>
        <w:rPr>
          <w:color w:val="000000"/>
          <w:sz w:val="20"/>
          <w:szCs w:val="20"/>
          <w:lang w:val="en-GB" w:eastAsia="zh-CN"/>
        </w:rPr>
      </w:pPr>
    </w:p>
    <w:p w14:paraId="0A6789D8" w14:textId="77777777" w:rsidR="00656358" w:rsidRPr="00CE0DE7" w:rsidRDefault="00656358" w:rsidP="001E38D8">
      <w:pPr>
        <w:adjustRightInd w:val="0"/>
        <w:snapToGrid w:val="0"/>
        <w:spacing w:line="480" w:lineRule="auto"/>
        <w:ind w:firstLine="720"/>
        <w:jc w:val="both"/>
        <w:rPr>
          <w:color w:val="000000"/>
          <w:sz w:val="20"/>
          <w:szCs w:val="20"/>
          <w:lang w:val="en-GB" w:eastAsia="zh-CN"/>
        </w:rPr>
      </w:pPr>
    </w:p>
    <w:p w14:paraId="411FE5C8" w14:textId="77777777" w:rsidR="00656358" w:rsidRPr="00CE0DE7" w:rsidRDefault="00656358" w:rsidP="001E38D8">
      <w:pPr>
        <w:adjustRightInd w:val="0"/>
        <w:snapToGrid w:val="0"/>
        <w:spacing w:line="480" w:lineRule="auto"/>
        <w:ind w:firstLine="720"/>
        <w:jc w:val="both"/>
        <w:rPr>
          <w:color w:val="000000"/>
          <w:sz w:val="20"/>
          <w:szCs w:val="20"/>
          <w:lang w:val="en-GB" w:eastAsia="zh-CN"/>
        </w:rPr>
      </w:pPr>
    </w:p>
    <w:p w14:paraId="7FBEF9FA" w14:textId="77777777" w:rsidR="00656358" w:rsidRPr="00CE0DE7" w:rsidRDefault="00656358" w:rsidP="001E38D8">
      <w:pPr>
        <w:adjustRightInd w:val="0"/>
        <w:snapToGrid w:val="0"/>
        <w:spacing w:line="480" w:lineRule="auto"/>
        <w:ind w:firstLine="720"/>
        <w:jc w:val="both"/>
        <w:rPr>
          <w:color w:val="000000"/>
          <w:sz w:val="20"/>
          <w:szCs w:val="20"/>
          <w:lang w:val="en-GB" w:eastAsia="zh-CN"/>
        </w:rPr>
      </w:pPr>
    </w:p>
    <w:p w14:paraId="5C88E13B" w14:textId="77777777" w:rsidR="00656358" w:rsidRPr="00CE0DE7" w:rsidRDefault="00656358" w:rsidP="001E38D8">
      <w:pPr>
        <w:adjustRightInd w:val="0"/>
        <w:snapToGrid w:val="0"/>
        <w:spacing w:line="480" w:lineRule="auto"/>
        <w:ind w:firstLine="720"/>
        <w:jc w:val="both"/>
        <w:rPr>
          <w:color w:val="000000"/>
          <w:sz w:val="20"/>
          <w:szCs w:val="20"/>
          <w:lang w:val="en-GB" w:eastAsia="zh-CN"/>
        </w:rPr>
      </w:pPr>
    </w:p>
    <w:p w14:paraId="0A35868E" w14:textId="77777777" w:rsidR="00656358" w:rsidRPr="00CE0DE7" w:rsidRDefault="00656358" w:rsidP="001E38D8">
      <w:pPr>
        <w:adjustRightInd w:val="0"/>
        <w:snapToGrid w:val="0"/>
        <w:spacing w:line="480" w:lineRule="auto"/>
        <w:ind w:firstLine="720"/>
        <w:jc w:val="both"/>
        <w:rPr>
          <w:color w:val="000000"/>
          <w:sz w:val="20"/>
          <w:szCs w:val="20"/>
          <w:lang w:val="en-GB" w:eastAsia="zh-CN"/>
        </w:rPr>
      </w:pPr>
    </w:p>
    <w:p w14:paraId="42779B33" w14:textId="77777777" w:rsidR="00656358" w:rsidRPr="00CE0DE7" w:rsidRDefault="00656358" w:rsidP="001E38D8">
      <w:pPr>
        <w:adjustRightInd w:val="0"/>
        <w:snapToGrid w:val="0"/>
        <w:spacing w:line="480" w:lineRule="auto"/>
        <w:ind w:firstLine="720"/>
        <w:jc w:val="both"/>
        <w:rPr>
          <w:color w:val="000000"/>
          <w:sz w:val="20"/>
          <w:szCs w:val="20"/>
          <w:lang w:val="en-GB" w:eastAsia="zh-CN"/>
        </w:rPr>
      </w:pPr>
    </w:p>
    <w:p w14:paraId="0189D46A" w14:textId="77777777" w:rsidR="00656358" w:rsidRPr="00CE0DE7" w:rsidRDefault="00656358" w:rsidP="001E38D8">
      <w:pPr>
        <w:adjustRightInd w:val="0"/>
        <w:snapToGrid w:val="0"/>
        <w:spacing w:line="480" w:lineRule="auto"/>
        <w:ind w:firstLine="720"/>
        <w:jc w:val="both"/>
        <w:rPr>
          <w:color w:val="000000"/>
          <w:sz w:val="20"/>
          <w:szCs w:val="20"/>
          <w:lang w:val="en-GB" w:eastAsia="zh-CN"/>
        </w:rPr>
      </w:pPr>
    </w:p>
    <w:p w14:paraId="1FA694AA" w14:textId="77777777" w:rsidR="00656358" w:rsidRPr="00CE0DE7" w:rsidRDefault="00656358" w:rsidP="001E38D8">
      <w:pPr>
        <w:adjustRightInd w:val="0"/>
        <w:snapToGrid w:val="0"/>
        <w:spacing w:line="480" w:lineRule="auto"/>
        <w:ind w:firstLine="720"/>
        <w:jc w:val="both"/>
        <w:rPr>
          <w:color w:val="000000"/>
          <w:sz w:val="20"/>
          <w:szCs w:val="20"/>
          <w:lang w:val="en-GB" w:eastAsia="zh-CN"/>
        </w:rPr>
      </w:pPr>
    </w:p>
    <w:p w14:paraId="54A21367" w14:textId="7A2633C5" w:rsidR="00656358" w:rsidRDefault="00656358" w:rsidP="001E38D8">
      <w:pPr>
        <w:adjustRightInd w:val="0"/>
        <w:snapToGrid w:val="0"/>
        <w:spacing w:line="480" w:lineRule="auto"/>
        <w:ind w:firstLine="720"/>
        <w:jc w:val="both"/>
        <w:rPr>
          <w:color w:val="000000"/>
          <w:sz w:val="20"/>
          <w:szCs w:val="20"/>
          <w:lang w:val="en-GB" w:eastAsia="zh-CN"/>
        </w:rPr>
      </w:pPr>
    </w:p>
    <w:p w14:paraId="269CFD2F" w14:textId="1F721F60" w:rsidR="004C1F68" w:rsidRDefault="004C1F68" w:rsidP="001E38D8">
      <w:pPr>
        <w:adjustRightInd w:val="0"/>
        <w:snapToGrid w:val="0"/>
        <w:spacing w:line="480" w:lineRule="auto"/>
        <w:ind w:firstLine="720"/>
        <w:jc w:val="both"/>
        <w:rPr>
          <w:color w:val="000000"/>
          <w:sz w:val="20"/>
          <w:szCs w:val="20"/>
          <w:lang w:val="en-GB" w:eastAsia="zh-CN"/>
        </w:rPr>
      </w:pPr>
    </w:p>
    <w:p w14:paraId="782A6809" w14:textId="0DE60A06" w:rsidR="00F81945" w:rsidRDefault="00F81945" w:rsidP="001E38D8">
      <w:pPr>
        <w:adjustRightInd w:val="0"/>
        <w:snapToGrid w:val="0"/>
        <w:spacing w:line="480" w:lineRule="auto"/>
        <w:ind w:firstLine="720"/>
        <w:jc w:val="both"/>
        <w:rPr>
          <w:color w:val="000000"/>
          <w:sz w:val="20"/>
          <w:szCs w:val="20"/>
          <w:lang w:val="en-GB" w:eastAsia="zh-CN"/>
        </w:rPr>
      </w:pPr>
    </w:p>
    <w:p w14:paraId="4D1B3942" w14:textId="0D37C123" w:rsidR="00F81945" w:rsidRDefault="00F81945" w:rsidP="001E38D8">
      <w:pPr>
        <w:adjustRightInd w:val="0"/>
        <w:snapToGrid w:val="0"/>
        <w:spacing w:line="480" w:lineRule="auto"/>
        <w:ind w:firstLine="720"/>
        <w:jc w:val="both"/>
        <w:rPr>
          <w:color w:val="000000"/>
          <w:sz w:val="20"/>
          <w:szCs w:val="20"/>
          <w:lang w:val="en-GB" w:eastAsia="zh-CN"/>
        </w:rPr>
      </w:pPr>
    </w:p>
    <w:p w14:paraId="2EF900A8" w14:textId="219AF590" w:rsidR="004971D2" w:rsidRDefault="004971D2" w:rsidP="001E38D8">
      <w:pPr>
        <w:adjustRightInd w:val="0"/>
        <w:snapToGrid w:val="0"/>
        <w:spacing w:line="480" w:lineRule="auto"/>
        <w:ind w:firstLine="720"/>
        <w:jc w:val="both"/>
        <w:rPr>
          <w:color w:val="000000"/>
          <w:sz w:val="20"/>
          <w:szCs w:val="20"/>
          <w:lang w:val="en-GB" w:eastAsia="zh-CN"/>
        </w:rPr>
      </w:pPr>
    </w:p>
    <w:p w14:paraId="50CB688F" w14:textId="26770839" w:rsidR="004971D2" w:rsidRDefault="004971D2" w:rsidP="001E38D8">
      <w:pPr>
        <w:adjustRightInd w:val="0"/>
        <w:snapToGrid w:val="0"/>
        <w:spacing w:line="480" w:lineRule="auto"/>
        <w:ind w:firstLine="720"/>
        <w:jc w:val="both"/>
        <w:rPr>
          <w:color w:val="000000"/>
          <w:sz w:val="20"/>
          <w:szCs w:val="20"/>
          <w:lang w:val="en-GB" w:eastAsia="zh-CN"/>
        </w:rPr>
      </w:pPr>
    </w:p>
    <w:p w14:paraId="3F83371E" w14:textId="27E64D85" w:rsidR="004971D2" w:rsidRDefault="004971D2" w:rsidP="001E38D8">
      <w:pPr>
        <w:adjustRightInd w:val="0"/>
        <w:snapToGrid w:val="0"/>
        <w:spacing w:line="480" w:lineRule="auto"/>
        <w:ind w:firstLine="720"/>
        <w:jc w:val="both"/>
        <w:rPr>
          <w:color w:val="000000"/>
          <w:sz w:val="20"/>
          <w:szCs w:val="20"/>
          <w:lang w:val="en-GB" w:eastAsia="zh-CN"/>
        </w:rPr>
      </w:pPr>
    </w:p>
    <w:p w14:paraId="4938B611" w14:textId="1FAD8058" w:rsidR="004971D2" w:rsidRDefault="004971D2" w:rsidP="001E38D8">
      <w:pPr>
        <w:adjustRightInd w:val="0"/>
        <w:snapToGrid w:val="0"/>
        <w:spacing w:line="480" w:lineRule="auto"/>
        <w:ind w:firstLine="720"/>
        <w:jc w:val="both"/>
        <w:rPr>
          <w:color w:val="000000"/>
          <w:sz w:val="20"/>
          <w:szCs w:val="20"/>
          <w:lang w:val="en-GB" w:eastAsia="zh-CN"/>
        </w:rPr>
      </w:pPr>
    </w:p>
    <w:p w14:paraId="5E218576" w14:textId="4709E35F" w:rsidR="004971D2" w:rsidRDefault="004971D2" w:rsidP="001E38D8">
      <w:pPr>
        <w:adjustRightInd w:val="0"/>
        <w:snapToGrid w:val="0"/>
        <w:spacing w:line="480" w:lineRule="auto"/>
        <w:ind w:firstLine="720"/>
        <w:jc w:val="both"/>
        <w:rPr>
          <w:color w:val="000000"/>
          <w:sz w:val="20"/>
          <w:szCs w:val="20"/>
          <w:lang w:val="en-GB" w:eastAsia="zh-CN"/>
        </w:rPr>
      </w:pPr>
    </w:p>
    <w:p w14:paraId="616495BE" w14:textId="77777777" w:rsidR="004971D2" w:rsidRDefault="004971D2" w:rsidP="001E38D8">
      <w:pPr>
        <w:adjustRightInd w:val="0"/>
        <w:snapToGrid w:val="0"/>
        <w:spacing w:line="480" w:lineRule="auto"/>
        <w:ind w:firstLine="720"/>
        <w:jc w:val="both"/>
        <w:rPr>
          <w:color w:val="000000"/>
          <w:sz w:val="20"/>
          <w:szCs w:val="20"/>
          <w:lang w:val="en-GB" w:eastAsia="zh-CN"/>
        </w:rPr>
      </w:pPr>
    </w:p>
    <w:p w14:paraId="7CCC2F47" w14:textId="403E9F65" w:rsidR="00F81945" w:rsidRDefault="00F81945" w:rsidP="001E38D8">
      <w:pPr>
        <w:adjustRightInd w:val="0"/>
        <w:snapToGrid w:val="0"/>
        <w:spacing w:line="480" w:lineRule="auto"/>
        <w:ind w:firstLine="720"/>
        <w:jc w:val="both"/>
        <w:rPr>
          <w:color w:val="000000"/>
          <w:sz w:val="20"/>
          <w:szCs w:val="20"/>
          <w:lang w:val="en-GB" w:eastAsia="zh-CN"/>
        </w:rPr>
      </w:pPr>
    </w:p>
    <w:p w14:paraId="3D75AF0C" w14:textId="77777777" w:rsidR="00F81945" w:rsidRDefault="00F81945" w:rsidP="001E38D8">
      <w:pPr>
        <w:adjustRightInd w:val="0"/>
        <w:snapToGrid w:val="0"/>
        <w:spacing w:line="480" w:lineRule="auto"/>
        <w:ind w:firstLine="720"/>
        <w:jc w:val="both"/>
        <w:rPr>
          <w:color w:val="000000"/>
          <w:sz w:val="20"/>
          <w:szCs w:val="20"/>
          <w:lang w:val="en-GB" w:eastAsia="zh-CN"/>
        </w:rPr>
      </w:pPr>
    </w:p>
    <w:p w14:paraId="6058DB29" w14:textId="4BDCA350" w:rsidR="004C1F68" w:rsidRDefault="004C1F68" w:rsidP="001E38D8">
      <w:pPr>
        <w:adjustRightInd w:val="0"/>
        <w:snapToGrid w:val="0"/>
        <w:spacing w:line="480" w:lineRule="auto"/>
        <w:ind w:firstLine="720"/>
        <w:jc w:val="both"/>
        <w:rPr>
          <w:color w:val="000000"/>
          <w:sz w:val="20"/>
          <w:szCs w:val="20"/>
          <w:lang w:val="en-GB" w:eastAsia="zh-CN"/>
        </w:rPr>
      </w:pPr>
    </w:p>
    <w:p w14:paraId="16C960DD" w14:textId="77777777" w:rsidR="008F6046" w:rsidRPr="00CE0DE7" w:rsidRDefault="008F6046" w:rsidP="008F6046">
      <w:pPr>
        <w:pStyle w:val="1"/>
        <w:rPr>
          <w:sz w:val="20"/>
          <w:szCs w:val="20"/>
          <w:lang w:val="en-GB"/>
        </w:rPr>
      </w:pPr>
      <w:r w:rsidRPr="00CE0DE7">
        <w:rPr>
          <w:sz w:val="20"/>
          <w:szCs w:val="20"/>
          <w:lang w:val="en-GB"/>
        </w:rPr>
        <w:lastRenderedPageBreak/>
        <w:t>References</w:t>
      </w:r>
    </w:p>
    <w:p w14:paraId="2FB5ED46" w14:textId="77777777" w:rsidR="00B11D53" w:rsidRPr="00CE0DE7" w:rsidRDefault="00B11D53" w:rsidP="00B11D53">
      <w:pPr>
        <w:rPr>
          <w:lang w:val="en-GB"/>
        </w:rPr>
      </w:pPr>
    </w:p>
    <w:p w14:paraId="21F18892" w14:textId="33041FB3" w:rsidR="0086345E" w:rsidRPr="0086345E" w:rsidRDefault="00121271" w:rsidP="0086345E">
      <w:pPr>
        <w:widowControl w:val="0"/>
        <w:autoSpaceDE w:val="0"/>
        <w:autoSpaceDN w:val="0"/>
        <w:adjustRightInd w:val="0"/>
        <w:ind w:left="480" w:hanging="480"/>
        <w:jc w:val="both"/>
        <w:rPr>
          <w:noProof/>
          <w:sz w:val="20"/>
        </w:rPr>
      </w:pPr>
      <w:r w:rsidRPr="00CE0DE7">
        <w:rPr>
          <w:b/>
          <w:sz w:val="20"/>
          <w:szCs w:val="20"/>
          <w:lang w:val="en-GB"/>
        </w:rPr>
        <w:fldChar w:fldCharType="begin" w:fldLock="1"/>
      </w:r>
      <w:r w:rsidRPr="00CE0DE7">
        <w:rPr>
          <w:b/>
          <w:sz w:val="20"/>
          <w:szCs w:val="20"/>
          <w:lang w:val="en-GB"/>
        </w:rPr>
        <w:instrText xml:space="preserve">ADDIN Mendeley Bibliography CSL_BIBLIOGRAPHY </w:instrText>
      </w:r>
      <w:r w:rsidRPr="00CE0DE7">
        <w:rPr>
          <w:b/>
          <w:sz w:val="20"/>
          <w:szCs w:val="20"/>
          <w:lang w:val="en-GB"/>
        </w:rPr>
        <w:fldChar w:fldCharType="separate"/>
      </w:r>
      <w:r w:rsidR="0086345E" w:rsidRPr="0086345E">
        <w:rPr>
          <w:noProof/>
          <w:sz w:val="20"/>
        </w:rPr>
        <w:t>Alexander C (2001) Market Models: A Guide to Financial Data Analysis, 1st edn. John Wiley &amp; Sons, Chichester</w:t>
      </w:r>
    </w:p>
    <w:p w14:paraId="4A1101D6"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Amihud Y (2002) Illiquidity and stock returns: Cross-section and time-series effects. J Financ Mark 5:31–56</w:t>
      </w:r>
    </w:p>
    <w:p w14:paraId="09803C72" w14:textId="545775B6"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 xml:space="preserve">Amihud Y, Mendelson H (1986) Asset pricing and the bid-ask spread. </w:t>
      </w:r>
      <w:r>
        <w:rPr>
          <w:noProof/>
          <w:sz w:val="20"/>
        </w:rPr>
        <w:t>J Financ Econ</w:t>
      </w:r>
      <w:r w:rsidRPr="0086345E">
        <w:rPr>
          <w:noProof/>
          <w:sz w:val="20"/>
        </w:rPr>
        <w:t xml:space="preserve"> 17:223–249</w:t>
      </w:r>
    </w:p>
    <w:p w14:paraId="179BA2C1"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Ang A, Bekaert G (2007) Stock return predictability: Is it there? Rev Financ Stud 20:651–707</w:t>
      </w:r>
    </w:p>
    <w:p w14:paraId="48BF8893"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Ascioglu A, Hegde SP, Krishnan G V., McDermott JB (2012) Earnings management and market liquidity. Rev Quant Financ Account 38:257–274</w:t>
      </w:r>
    </w:p>
    <w:p w14:paraId="76E74DA9"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Baker M, Stein JC (2004) Market liquidity as a sentiment indicator. J Financ Mark 7:271–299</w:t>
      </w:r>
    </w:p>
    <w:p w14:paraId="229B3991"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Bakshi G, Madan D (2006) A theory of volatility spreads. Manage Sci 52:1945–1956</w:t>
      </w:r>
    </w:p>
    <w:p w14:paraId="37FC3C2E"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Baradarannia MR, Peat M (2013) Liquidity and expected returns-Evidence from 1926-2008. Int Rev Financ Anal 29:10–23</w:t>
      </w:r>
    </w:p>
    <w:p w14:paraId="629D75A5"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Bekaert G, Harvey CR, Lundblad C (2007) Liquidity and expected returns: Lessons from emerging markets. Rev Financ Stud 20:1783–1831</w:t>
      </w:r>
    </w:p>
    <w:p w14:paraId="4DB718FA"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Bernardo AE, Welch I (2004) Liquidity and financial market runs. Q J Econ 119:135–158</w:t>
      </w:r>
    </w:p>
    <w:p w14:paraId="04460717"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Bollerslev T, Gibson M, Zhou H (2011) Dynamic estimation of volatility risk premia and investor risk aversion from option-implied and realized volatilities. J Econom 160:235–245</w:t>
      </w:r>
    </w:p>
    <w:p w14:paraId="0D8AAFC9"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Bollerslev T, Marrone J, Xu L, Zhou H (2014) Stock return predictability and variance risk premia: Statistical inference and international evidence. J Financ Quant Anal 49:633–661</w:t>
      </w:r>
    </w:p>
    <w:p w14:paraId="1C866EDD"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Bollerslev T, Tauchen G, Zhou H (2009) Expected stock returns and variance risk premia. Rev Financ Stud 22:4463–4492</w:t>
      </w:r>
      <w:bookmarkStart w:id="2" w:name="_GoBack"/>
      <w:bookmarkEnd w:id="2"/>
    </w:p>
    <w:p w14:paraId="6C57DAA4" w14:textId="014855BE"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 xml:space="preserve">Brennan MJ, Subrahmanyam A (1996) Market microstructure and asset pricing: On the compensation for illiquidity in stock returns. </w:t>
      </w:r>
      <w:r>
        <w:rPr>
          <w:noProof/>
          <w:sz w:val="20"/>
        </w:rPr>
        <w:t>J Financ Econ</w:t>
      </w:r>
      <w:r w:rsidRPr="0086345E">
        <w:rPr>
          <w:noProof/>
          <w:sz w:val="20"/>
        </w:rPr>
        <w:t xml:space="preserve"> 41:441–464</w:t>
      </w:r>
    </w:p>
    <w:p w14:paraId="016BB4ED"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Brunnermeier MK, Pedersen LH (2009) Market liquidity and funding liquidity. Rev Financ Stud 22:2201–2238</w:t>
      </w:r>
    </w:p>
    <w:p w14:paraId="1C089894"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Campbell JY, Thompson SB (2008) Predicting excess stock returns out of sample: Can anything beat the historical average? Rev Financ Stud 21:1509–1531</w:t>
      </w:r>
    </w:p>
    <w:p w14:paraId="10D22D40"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Carr P, Wu L (2009) Variance risk premiums. Rev Financ Stud 22:1311–1341</w:t>
      </w:r>
    </w:p>
    <w:p w14:paraId="6A1EBA2A"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Chen AS, Cheng LY, Cheng KF (2009) Intrinsic bubbles and granger causality in the S&amp;P 500: Evidence from long-term data. J Bank Financ 33:2275–2281</w:t>
      </w:r>
    </w:p>
    <w:p w14:paraId="37D8D183" w14:textId="683A23E8"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 xml:space="preserve">Chen Y, Eaton GW, Paye BS (2018) Micro(structure) before macro? The predictive power of aggregate illiquidity for stock returns and economic activity. </w:t>
      </w:r>
      <w:r>
        <w:rPr>
          <w:noProof/>
          <w:sz w:val="20"/>
        </w:rPr>
        <w:t>J Financ Econ</w:t>
      </w:r>
      <w:r w:rsidRPr="0086345E">
        <w:rPr>
          <w:noProof/>
          <w:sz w:val="20"/>
        </w:rPr>
        <w:t xml:space="preserve"> 130:48–73</w:t>
      </w:r>
    </w:p>
    <w:p w14:paraId="13EA4E22"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Chiu YC (2020) Macroeconomic uncertainty, information competition, and liquidity. Financ Res Lett 34:101262</w:t>
      </w:r>
    </w:p>
    <w:p w14:paraId="1EC42307"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Chong TTL, Tsui SC, Chan WH (2017) Factor pricing in commodity futures and the role of liquidity. Quant Financ 17:1745–1757</w:t>
      </w:r>
    </w:p>
    <w:p w14:paraId="6580919E"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Chordia T, Huh S-W, Subrahmanyam A (2007) The cross-section of expected trading activity. Rev Financ Stud 20:709–740</w:t>
      </w:r>
    </w:p>
    <w:p w14:paraId="105F3E95"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Chordia T, Roll R, Subrahmanyam A (2001) Market liquidity and trading activity. J Finance 56:501–530</w:t>
      </w:r>
    </w:p>
    <w:p w14:paraId="30F087FC" w14:textId="6C794A7B"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 xml:space="preserve">Chordia T, Roll R, Subrahmanyam A (2002) Order imbalance, liquidity, and market returns. </w:t>
      </w:r>
      <w:r>
        <w:rPr>
          <w:noProof/>
          <w:sz w:val="20"/>
        </w:rPr>
        <w:t>J Financ Econ</w:t>
      </w:r>
      <w:r w:rsidRPr="0086345E">
        <w:rPr>
          <w:noProof/>
          <w:sz w:val="20"/>
        </w:rPr>
        <w:t xml:space="preserve"> 65:111–130</w:t>
      </w:r>
    </w:p>
    <w:p w14:paraId="169DAEAF" w14:textId="0BBCB25F"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 xml:space="preserve">Chung KH, Chuwonganant C (2014) Uncertainty, market structure, and liquidity. </w:t>
      </w:r>
      <w:r>
        <w:rPr>
          <w:noProof/>
          <w:sz w:val="20"/>
        </w:rPr>
        <w:t>J Financ Econ</w:t>
      </w:r>
      <w:r w:rsidRPr="0086345E">
        <w:rPr>
          <w:noProof/>
          <w:sz w:val="20"/>
        </w:rPr>
        <w:t xml:space="preserve"> 113:476–499</w:t>
      </w:r>
    </w:p>
    <w:p w14:paraId="3A4324C6"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Clark TE, West KD (2007) Approximately normal tests for equal predictive accuracy in nested models. J Econom 138:291–311</w:t>
      </w:r>
    </w:p>
    <w:p w14:paraId="3CE6986C"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Daniel K, Hirshleifer D (2015) Overconfident investors, predictable returns, and excessive trading. J Econ Perspect 29:61–88</w:t>
      </w:r>
    </w:p>
    <w:p w14:paraId="75722E90"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De Prado ML (2018) The 10 reasons most machine learning funds fail. J Portf Manag 44:120–133</w:t>
      </w:r>
    </w:p>
    <w:p w14:paraId="38714785"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Dickey DA, Fuller WA (1981) Likelihood ratio statistics for autoregressive time series with a unit root. Econometrica 49:1057–1072</w:t>
      </w:r>
    </w:p>
    <w:p w14:paraId="6CD180DF"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Drechsler I, Yaron A (2011) What’s vol got to do with it. Rev Financ Stud 24:1–45</w:t>
      </w:r>
    </w:p>
    <w:p w14:paraId="3C49D6C2"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Durand RB, Lim D, Zumwalt JK (2011) Fear and the fama-french factors. Financ Manag 40:409–426</w:t>
      </w:r>
    </w:p>
    <w:p w14:paraId="77C0B21B" w14:textId="49911EDD"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 xml:space="preserve">Easley D, O’Hara M (1987) Price, trade size, and information in securities markets. </w:t>
      </w:r>
      <w:r>
        <w:rPr>
          <w:noProof/>
          <w:sz w:val="20"/>
        </w:rPr>
        <w:t>J Financ Econ</w:t>
      </w:r>
      <w:r w:rsidRPr="0086345E">
        <w:rPr>
          <w:noProof/>
          <w:sz w:val="20"/>
        </w:rPr>
        <w:t xml:space="preserve"> 19:69–90</w:t>
      </w:r>
    </w:p>
    <w:p w14:paraId="367DA9A6"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Fama EF, French KR (1992) The cross-section of expected stock returns. J Finance 47:427–465</w:t>
      </w:r>
    </w:p>
    <w:p w14:paraId="0DE21841" w14:textId="173AD153"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 xml:space="preserve">Fama EF, French KR (1993) Common risk factors in the returns on stocks and bonds. </w:t>
      </w:r>
      <w:r>
        <w:rPr>
          <w:noProof/>
          <w:sz w:val="20"/>
        </w:rPr>
        <w:t>J Financ Econ</w:t>
      </w:r>
      <w:r w:rsidRPr="0086345E">
        <w:rPr>
          <w:noProof/>
          <w:sz w:val="20"/>
        </w:rPr>
        <w:t xml:space="preserve"> 33:3–56</w:t>
      </w:r>
    </w:p>
    <w:p w14:paraId="35C92C03"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Fama EF, French KR (1995) Size and Book-to-Market Factors in Earnings and Returns. J Finance 50:131–155</w:t>
      </w:r>
    </w:p>
    <w:p w14:paraId="01AA43FD"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Feunou B, Jahan-Parvar MR, Okou C (2018) Downside variance risk premium. J Financ Econom 16:341–383</w:t>
      </w:r>
    </w:p>
    <w:p w14:paraId="7BFEECAA"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Gallant AR, Rossi PE, Tauchen G (1992) Stock prices and volume. Rev Financ Stud 5:199–242</w:t>
      </w:r>
    </w:p>
    <w:p w14:paraId="7DCA38F4"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Gervais S, Odean T (2001) Learning to be overconfident. Rev Financ Stud 14:1–27</w:t>
      </w:r>
    </w:p>
    <w:p w14:paraId="51F7F67B" w14:textId="47471E69"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 xml:space="preserve">Glosten LR, Milgrom PR (1985) Bid, ask and transaction prices in a specialist market with heterogeneously informed traders. </w:t>
      </w:r>
      <w:r>
        <w:rPr>
          <w:noProof/>
          <w:sz w:val="20"/>
        </w:rPr>
        <w:t>J Financ Econ</w:t>
      </w:r>
      <w:r w:rsidRPr="0086345E">
        <w:rPr>
          <w:noProof/>
          <w:sz w:val="20"/>
        </w:rPr>
        <w:t xml:space="preserve"> 14:71–100</w:t>
      </w:r>
    </w:p>
    <w:p w14:paraId="30B7A0AE" w14:textId="0BF46CA1"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 xml:space="preserve">Goyenko RY, Holden CW, Trzcinka CA (2009) Do liquidity measures measure liquidity? </w:t>
      </w:r>
      <w:r>
        <w:rPr>
          <w:noProof/>
          <w:sz w:val="20"/>
        </w:rPr>
        <w:t>J Financ Econ</w:t>
      </w:r>
      <w:r w:rsidRPr="0086345E">
        <w:rPr>
          <w:noProof/>
          <w:sz w:val="20"/>
        </w:rPr>
        <w:t xml:space="preserve"> 92:153–181</w:t>
      </w:r>
    </w:p>
    <w:p w14:paraId="0F9BFE71"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lastRenderedPageBreak/>
        <w:t>Griffin JM, Nardari F, Stulz RM (2007) Do investors trade more when stocks have performed well? Evidence from 46 countries. Rev Financ Stud 20:905–951</w:t>
      </w:r>
    </w:p>
    <w:p w14:paraId="6E7CF69C"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Grinblatt M, Keloharju M (2009) Sensation seeking, overconfidence, and trading activity. J Finance 64:549–578</w:t>
      </w:r>
    </w:p>
    <w:p w14:paraId="4B0DBC67"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Grossman SJ, Miller MH (1988) Liquidity and Market Structure. J Finance 43:617–633</w:t>
      </w:r>
    </w:p>
    <w:p w14:paraId="69018D76"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Guo H, Mortal S, Savickas R, Wood R (2017) Market illiquidity and conditional equity premium. Financ Manag 46:743–766</w:t>
      </w:r>
    </w:p>
    <w:p w14:paraId="7B9CE418"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Hameed A, Kang W, Viswanathan S (2010) Stock market declines and liquidity. J Finance 65:257–293</w:t>
      </w:r>
    </w:p>
    <w:p w14:paraId="4CE77311"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Hiemstra C, Jones J (1994) Testing for linear and nonlinear granger causality in the stock price‐volume relation. J Finance 49:1639–1664</w:t>
      </w:r>
    </w:p>
    <w:p w14:paraId="663620E0"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Hollstein F, Simen CW (2020) Variance risk: A bird’s eye view. J Econom 215:517–535</w:t>
      </w:r>
    </w:p>
    <w:p w14:paraId="45981913"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Huang HY, Ho KC (2020) Liquidity, earnings management, and stock expected returns. North Am J Econ Financ 54:101261</w:t>
      </w:r>
    </w:p>
    <w:p w14:paraId="7706D6B9"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Jones CM (2002) A century of stock market liquidity and trading costs. SSRN Electron J https://ssrn.com/abstract=313681</w:t>
      </w:r>
    </w:p>
    <w:p w14:paraId="5C687BD4"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Kalli M, Studies ME (2019) Stock market liquidity and return predictability: A bayesian nonparametric approach. Rev Financ Stud In press.</w:t>
      </w:r>
    </w:p>
    <w:p w14:paraId="2F636156" w14:textId="595E2A5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 xml:space="preserve">Karady G (1982) The effect of temporal risk aversion on liquidity preference. </w:t>
      </w:r>
      <w:r>
        <w:rPr>
          <w:noProof/>
          <w:sz w:val="20"/>
        </w:rPr>
        <w:t>J Financ Econ</w:t>
      </w:r>
      <w:r w:rsidRPr="0086345E">
        <w:rPr>
          <w:noProof/>
          <w:sz w:val="20"/>
        </w:rPr>
        <w:t xml:space="preserve"> 10:467–483</w:t>
      </w:r>
    </w:p>
    <w:p w14:paraId="1299FA9C"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Koop G, Pesaran MH, Potter SM (1996) Impulse response analysis in nonlinear multivariate models. J Econom 74:119–147</w:t>
      </w:r>
    </w:p>
    <w:p w14:paraId="382FE865"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Kwiatkowski D, Phillips PCB, Schmidt P, Shin Y (1992) Testing the null hypothesis of stationarity against the alternative of a unit root. How sure are we that economic time series have a unit root? J Econom 54:159–178</w:t>
      </w:r>
    </w:p>
    <w:p w14:paraId="20F34D99"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Lakonishok J, Smidt S (1986) Volume for winners and losers: Taxation and other motives for stock trading. J Finance 41:951–974</w:t>
      </w:r>
    </w:p>
    <w:p w14:paraId="30F4B76E"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Lesmond DA, Ogden JP, Trzcinka CA (1999) A new estimate of transaction costs. Rev Financ Stud 12:1113–1141</w:t>
      </w:r>
    </w:p>
    <w:p w14:paraId="372DD06D"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Lettau M, Ludvigson S (2001) Consumption, aggregate wealth, and expected stock returns. J Finance 56:815–849</w:t>
      </w:r>
    </w:p>
    <w:p w14:paraId="73A1BACA"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Li G, Lu L, Wu B, Zhang Z (2014) Asymmetric information, illiquidity and asset returns: Evidence from China. Quant Financ 14:947–957</w:t>
      </w:r>
    </w:p>
    <w:p w14:paraId="1E87C561"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Liu G, Gregoriou A, Bo Y (2020) How do markets value stock liquidity? Comparative evidence from the UK, the US, Germany and China. Econ Lett 186:108500</w:t>
      </w:r>
    </w:p>
    <w:p w14:paraId="59ABE697" w14:textId="549AD062"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 xml:space="preserve">Liu W (2006) A liquidity-augmented capital asset pricing model. </w:t>
      </w:r>
      <w:r>
        <w:rPr>
          <w:noProof/>
          <w:sz w:val="20"/>
        </w:rPr>
        <w:t>J Financ Econ</w:t>
      </w:r>
      <w:r w:rsidRPr="0086345E">
        <w:rPr>
          <w:noProof/>
          <w:sz w:val="20"/>
        </w:rPr>
        <w:t xml:space="preserve"> 82:631–671</w:t>
      </w:r>
    </w:p>
    <w:p w14:paraId="32BA0C38"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Marshall BR, Nguyen NH, Visaltanachoti N (2012) Commodity liquidity measurement and transaction costs. Rev Financ Stud 25:599–638</w:t>
      </w:r>
    </w:p>
    <w:p w14:paraId="26738042"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Mazouz K, Daya W, Yin S (2014) Index revisions, systematic liquidity risk and the cost of equity capital. J Int Financ Mark Institutions Money 33:283–298</w:t>
      </w:r>
    </w:p>
    <w:p w14:paraId="380C3B7E"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Merton RC (1973) An intertemporal capital asset pricing model. Econometrica 41:867</w:t>
      </w:r>
    </w:p>
    <w:p w14:paraId="4853309B"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Neely CJ, Rapach DE, Tu J, Zhou G (2014) Forecasting the equity risk premium: The role of technical indicators. Manage Sci 60:1772–1791</w:t>
      </w:r>
    </w:p>
    <w:p w14:paraId="3A7C905D"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Odean T (1998) Volume, volatility, price, and profit when all traders are above average. J Finance 53:1887–1934</w:t>
      </w:r>
    </w:p>
    <w:p w14:paraId="57BB0265"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Oded J (2009) Optimal execution of open-market stock repurchase programs. J Financ Mark 12:832–869</w:t>
      </w:r>
    </w:p>
    <w:p w14:paraId="3C57C8E3"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Orosel GO (1998) Participation costs, trend chasing, and volatility of stock prices. Rev Financ Stud 11:521–557</w:t>
      </w:r>
    </w:p>
    <w:p w14:paraId="0EC29166"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Pástor Ľ, Stambaugh RF (2003) Liquidity risk and expected stock returns. J Polit Econ 111:642–685</w:t>
      </w:r>
    </w:p>
    <w:p w14:paraId="59509CDE"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Phillips PCB, Perron P (1988) Testing for a unit root in time series regression. Biometrika 75:335–346</w:t>
      </w:r>
    </w:p>
    <w:p w14:paraId="049ECDF0" w14:textId="73A03513"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 xml:space="preserve">Rosenberg J V., Engle RF (2002) Empirical pricing kernels. </w:t>
      </w:r>
      <w:r>
        <w:rPr>
          <w:noProof/>
          <w:sz w:val="20"/>
        </w:rPr>
        <w:t>J Financ Econ</w:t>
      </w:r>
      <w:r w:rsidRPr="0086345E">
        <w:rPr>
          <w:noProof/>
          <w:sz w:val="20"/>
        </w:rPr>
        <w:t xml:space="preserve"> 64:341–372</w:t>
      </w:r>
    </w:p>
    <w:p w14:paraId="5B4F2922"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Ruan X, Zhang JE (2018) Equilibrium variance risk premium in a cost-free production economy. J Econ Dyn Control 96:42–60</w:t>
      </w:r>
    </w:p>
    <w:p w14:paraId="06E9D8FE"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Saad M, Samet A (2017) Liquidity and the implied cost of equity capital. J Int Financ Mark Institutions Money 51:15–38</w:t>
      </w:r>
    </w:p>
    <w:p w14:paraId="5436415E" w14:textId="61CB93F8"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 xml:space="preserve">Segal G, Shaliastovich I, Yaron A (2015) Good and bad uncertainty: Macroeconomic and financial market implications. </w:t>
      </w:r>
      <w:r>
        <w:rPr>
          <w:noProof/>
          <w:sz w:val="20"/>
        </w:rPr>
        <w:t>J Financ Econ</w:t>
      </w:r>
      <w:r w:rsidRPr="0086345E">
        <w:rPr>
          <w:noProof/>
          <w:sz w:val="20"/>
        </w:rPr>
        <w:t xml:space="preserve"> 117:369–397</w:t>
      </w:r>
    </w:p>
    <w:p w14:paraId="40769CB9"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Shefrin H, Statman M (1985) The disposition to sell winners too early and ride losers too lLong: Theory and evidence. J Finance 40:777–790</w:t>
      </w:r>
    </w:p>
    <w:p w14:paraId="21673C6D"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Smirlock M, Starks L (1988) An empirical analysis of the stock price-volume relationship. J Bank Financ 12:31–41</w:t>
      </w:r>
    </w:p>
    <w:p w14:paraId="1085E590" w14:textId="2D41A0EF"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 xml:space="preserve">Stambaugh RF (1999) Predictive regressions. </w:t>
      </w:r>
      <w:r>
        <w:rPr>
          <w:noProof/>
          <w:sz w:val="20"/>
        </w:rPr>
        <w:t>J Financ Econ</w:t>
      </w:r>
      <w:r w:rsidRPr="0086345E">
        <w:rPr>
          <w:noProof/>
          <w:sz w:val="20"/>
        </w:rPr>
        <w:t xml:space="preserve"> 54:375–421</w:t>
      </w:r>
    </w:p>
    <w:p w14:paraId="7BC46F1F"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Statman M, Thorley S, Vorkink K (2006) Investor overconfidence and trading volume. Rev Financ Stud 19:1531–1565</w:t>
      </w:r>
    </w:p>
    <w:p w14:paraId="39E7DFBD"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Stoll HR (1978) The supply of dealer services in securities markets. J Finance 33:1133–1151</w:t>
      </w:r>
    </w:p>
    <w:p w14:paraId="0F7F29A8"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 xml:space="preserve">Toda HY, Yamamoto T (1995) Statistical inference in vector autoregressions with possibly integrated processes. </w:t>
      </w:r>
      <w:r w:rsidRPr="0086345E">
        <w:rPr>
          <w:noProof/>
          <w:sz w:val="20"/>
        </w:rPr>
        <w:lastRenderedPageBreak/>
        <w:t>J Econom 66:225–250</w:t>
      </w:r>
    </w:p>
    <w:p w14:paraId="1C6DDD43"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Vayanos D, Wang J (2012) Liquidity and asset returns Under asymmetric information and imperfect competition. Rev Financ Stud 25:1339–1365</w:t>
      </w:r>
    </w:p>
    <w:p w14:paraId="3DCE14E7"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Wang Q, Zhang J (2015) Individual investor trading and stock liquidity. Rev Quant Financ Account 45:485–508</w:t>
      </w:r>
    </w:p>
    <w:p w14:paraId="2604B949"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Welch I, Goyal A (2008) A comprehensive look at the empirical performance of equity premium prediction. Rev Financ Stud 21:1455–1508</w:t>
      </w:r>
    </w:p>
    <w:p w14:paraId="1E44F76B"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Yildiz S, Van Ness B, Van Ness R (2020) VPIN, liquidity, and return volatility in the U.S. equity markets. Glob Financ J 45:100479</w:t>
      </w:r>
    </w:p>
    <w:p w14:paraId="56D48BCD" w14:textId="77777777" w:rsidR="0086345E" w:rsidRPr="0086345E" w:rsidRDefault="0086345E" w:rsidP="0086345E">
      <w:pPr>
        <w:widowControl w:val="0"/>
        <w:autoSpaceDE w:val="0"/>
        <w:autoSpaceDN w:val="0"/>
        <w:adjustRightInd w:val="0"/>
        <w:ind w:left="480" w:hanging="480"/>
        <w:jc w:val="both"/>
        <w:rPr>
          <w:noProof/>
          <w:sz w:val="20"/>
        </w:rPr>
      </w:pPr>
      <w:r w:rsidRPr="0086345E">
        <w:rPr>
          <w:noProof/>
          <w:sz w:val="20"/>
        </w:rPr>
        <w:t>Zapata HO, Rambaldi AN (1997) Monte carlo evidence on cointegration and causation. Oxf Bull Econ Stat 59:285–298</w:t>
      </w:r>
    </w:p>
    <w:p w14:paraId="4695C7A4" w14:textId="5C1CE1F1" w:rsidR="008F6046" w:rsidRPr="00CE0DE7" w:rsidRDefault="00121271" w:rsidP="0086345E">
      <w:pPr>
        <w:adjustRightInd w:val="0"/>
        <w:snapToGrid w:val="0"/>
        <w:jc w:val="both"/>
        <w:rPr>
          <w:b/>
          <w:sz w:val="20"/>
          <w:szCs w:val="20"/>
          <w:lang w:val="en-GB"/>
        </w:rPr>
      </w:pPr>
      <w:r w:rsidRPr="00CE0DE7">
        <w:rPr>
          <w:b/>
          <w:sz w:val="20"/>
          <w:szCs w:val="20"/>
          <w:lang w:val="en-GB"/>
        </w:rPr>
        <w:fldChar w:fldCharType="end"/>
      </w:r>
    </w:p>
    <w:p w14:paraId="5CC6AAEE" w14:textId="77777777" w:rsidR="008F6046" w:rsidRPr="00CE0DE7" w:rsidRDefault="008F6046" w:rsidP="00813047">
      <w:pPr>
        <w:pStyle w:val="EndNoteBibliography"/>
        <w:rPr>
          <w:sz w:val="20"/>
          <w:szCs w:val="20"/>
        </w:rPr>
        <w:sectPr w:rsidR="008F6046" w:rsidRPr="00CE0DE7" w:rsidSect="00C4540F">
          <w:footerReference w:type="first" r:id="rId49"/>
          <w:footnotePr>
            <w:numRestart w:val="eachSect"/>
          </w:footnotePr>
          <w:pgSz w:w="11907" w:h="16840" w:code="9"/>
          <w:pgMar w:top="1440" w:right="1440" w:bottom="1440" w:left="1440" w:header="709" w:footer="709" w:gutter="0"/>
          <w:pgNumType w:fmt="numberInDash"/>
          <w:cols w:space="708"/>
          <w:docGrid w:linePitch="360"/>
        </w:sectPr>
      </w:pPr>
    </w:p>
    <w:p w14:paraId="6FD57B1C" w14:textId="77777777" w:rsidR="00C30160" w:rsidRPr="00CE0DE7" w:rsidRDefault="00C30160" w:rsidP="00C30160">
      <w:pPr>
        <w:adjustRightInd w:val="0"/>
        <w:snapToGrid w:val="0"/>
        <w:rPr>
          <w:b/>
          <w:bCs/>
          <w:sz w:val="20"/>
          <w:szCs w:val="20"/>
          <w:lang w:eastAsia="zh-CN"/>
        </w:rPr>
      </w:pPr>
      <w:r w:rsidRPr="00CE0DE7">
        <w:rPr>
          <w:b/>
          <w:bCs/>
          <w:sz w:val="20"/>
          <w:szCs w:val="20"/>
        </w:rPr>
        <w:lastRenderedPageBreak/>
        <w:t xml:space="preserve">Table 1. </w:t>
      </w:r>
      <w:r w:rsidRPr="00CE0DE7">
        <w:rPr>
          <w:rFonts w:hint="eastAsia"/>
          <w:b/>
          <w:bCs/>
          <w:sz w:val="20"/>
          <w:szCs w:val="20"/>
          <w:lang w:eastAsia="zh-CN"/>
        </w:rPr>
        <w:t>Descriptive</w:t>
      </w:r>
      <w:r w:rsidRPr="00CE0DE7">
        <w:rPr>
          <w:b/>
          <w:bCs/>
          <w:sz w:val="20"/>
          <w:szCs w:val="20"/>
        </w:rPr>
        <w:t xml:space="preserve"> statistics</w:t>
      </w:r>
    </w:p>
    <w:p w14:paraId="6BE0C6D9" w14:textId="77777777" w:rsidR="00C30160" w:rsidRPr="00CE0DE7" w:rsidRDefault="00C30160" w:rsidP="00C30160">
      <w:pPr>
        <w:adjustRightInd w:val="0"/>
        <w:snapToGrid w:val="0"/>
        <w:rPr>
          <w:bCs/>
          <w:sz w:val="20"/>
          <w:szCs w:val="20"/>
          <w:lang w:eastAsia="zh-CN"/>
        </w:rPr>
      </w:pPr>
    </w:p>
    <w:tbl>
      <w:tblPr>
        <w:tblW w:w="4920" w:type="pct"/>
        <w:jc w:val="center"/>
        <w:tblLayout w:type="fixed"/>
        <w:tblLook w:val="04A0" w:firstRow="1" w:lastRow="0" w:firstColumn="1" w:lastColumn="0" w:noHBand="0" w:noVBand="1"/>
      </w:tblPr>
      <w:tblGrid>
        <w:gridCol w:w="1702"/>
        <w:gridCol w:w="950"/>
        <w:gridCol w:w="951"/>
        <w:gridCol w:w="951"/>
        <w:gridCol w:w="951"/>
        <w:gridCol w:w="879"/>
        <w:gridCol w:w="1027"/>
        <w:gridCol w:w="1099"/>
        <w:gridCol w:w="871"/>
        <w:gridCol w:w="871"/>
        <w:gridCol w:w="871"/>
        <w:gridCol w:w="871"/>
        <w:gridCol w:w="871"/>
        <w:gridCol w:w="871"/>
      </w:tblGrid>
      <w:tr w:rsidR="00687D17" w:rsidRPr="00CE0DE7" w14:paraId="5B2FEB25" w14:textId="77777777" w:rsidTr="009A3796">
        <w:trPr>
          <w:trHeight w:val="300"/>
          <w:jc w:val="center"/>
        </w:trPr>
        <w:tc>
          <w:tcPr>
            <w:tcW w:w="620" w:type="pct"/>
            <w:tcBorders>
              <w:top w:val="double" w:sz="4" w:space="0" w:color="auto"/>
              <w:left w:val="nil"/>
              <w:bottom w:val="single" w:sz="4" w:space="0" w:color="auto"/>
              <w:right w:val="nil"/>
            </w:tcBorders>
            <w:shd w:val="clear" w:color="auto" w:fill="auto"/>
            <w:noWrap/>
            <w:vAlign w:val="center"/>
            <w:hideMark/>
          </w:tcPr>
          <w:p w14:paraId="29395F68" w14:textId="77777777" w:rsidR="00C30160" w:rsidRPr="00CE0DE7" w:rsidRDefault="00C30160" w:rsidP="00F42731">
            <w:pPr>
              <w:jc w:val="center"/>
              <w:rPr>
                <w:rFonts w:eastAsia="Times New Roman"/>
                <w:sz w:val="20"/>
                <w:szCs w:val="20"/>
                <w:lang w:val="en-GB" w:eastAsia="zh-CN"/>
              </w:rPr>
            </w:pPr>
          </w:p>
        </w:tc>
        <w:tc>
          <w:tcPr>
            <w:tcW w:w="346" w:type="pct"/>
            <w:tcBorders>
              <w:top w:val="double" w:sz="4" w:space="0" w:color="auto"/>
              <w:left w:val="nil"/>
              <w:bottom w:val="single" w:sz="4" w:space="0" w:color="auto"/>
              <w:right w:val="nil"/>
            </w:tcBorders>
            <w:shd w:val="clear" w:color="auto" w:fill="auto"/>
            <w:noWrap/>
            <w:vAlign w:val="center"/>
            <w:hideMark/>
          </w:tcPr>
          <w:p w14:paraId="190DD3E7" w14:textId="77777777" w:rsidR="00C30160" w:rsidRPr="00CE0DE7" w:rsidRDefault="00C30160" w:rsidP="00F42731">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VW</w:t>
            </w:r>
          </w:p>
        </w:tc>
        <w:tc>
          <w:tcPr>
            <w:tcW w:w="346" w:type="pct"/>
            <w:tcBorders>
              <w:top w:val="double" w:sz="4" w:space="0" w:color="auto"/>
              <w:left w:val="nil"/>
              <w:bottom w:val="single" w:sz="4" w:space="0" w:color="auto"/>
              <w:right w:val="nil"/>
            </w:tcBorders>
            <w:shd w:val="clear" w:color="auto" w:fill="auto"/>
            <w:noWrap/>
            <w:vAlign w:val="center"/>
            <w:hideMark/>
          </w:tcPr>
          <w:p w14:paraId="42870475" w14:textId="77777777" w:rsidR="00C30160" w:rsidRPr="00CE0DE7" w:rsidRDefault="00C30160" w:rsidP="00F42731">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INDEX</w:t>
            </w:r>
          </w:p>
        </w:tc>
        <w:tc>
          <w:tcPr>
            <w:tcW w:w="346" w:type="pct"/>
            <w:tcBorders>
              <w:top w:val="double" w:sz="4" w:space="0" w:color="auto"/>
              <w:left w:val="nil"/>
              <w:bottom w:val="single" w:sz="4" w:space="0" w:color="auto"/>
              <w:right w:val="nil"/>
            </w:tcBorders>
            <w:shd w:val="clear" w:color="auto" w:fill="auto"/>
            <w:noWrap/>
            <w:vAlign w:val="center"/>
            <w:hideMark/>
          </w:tcPr>
          <w:p w14:paraId="50C2D78B" w14:textId="77777777" w:rsidR="00C30160" w:rsidRPr="00CE0DE7" w:rsidRDefault="00C30160" w:rsidP="00F42731">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p>
        </w:tc>
        <w:tc>
          <w:tcPr>
            <w:tcW w:w="346" w:type="pct"/>
            <w:tcBorders>
              <w:top w:val="double" w:sz="4" w:space="0" w:color="auto"/>
              <w:left w:val="nil"/>
              <w:bottom w:val="single" w:sz="4" w:space="0" w:color="auto"/>
              <w:right w:val="nil"/>
            </w:tcBorders>
            <w:shd w:val="clear" w:color="auto" w:fill="auto"/>
            <w:noWrap/>
            <w:vAlign w:val="center"/>
            <w:hideMark/>
          </w:tcPr>
          <w:p w14:paraId="5DD3BD92" w14:textId="77777777" w:rsidR="00C30160" w:rsidRPr="00CE0DE7" w:rsidRDefault="00C30160" w:rsidP="00F42731">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p>
        </w:tc>
        <w:tc>
          <w:tcPr>
            <w:tcW w:w="320" w:type="pct"/>
            <w:tcBorders>
              <w:top w:val="double" w:sz="4" w:space="0" w:color="auto"/>
              <w:left w:val="nil"/>
              <w:bottom w:val="single" w:sz="4" w:space="0" w:color="auto"/>
              <w:right w:val="nil"/>
            </w:tcBorders>
            <w:shd w:val="clear" w:color="auto" w:fill="auto"/>
            <w:noWrap/>
            <w:vAlign w:val="center"/>
            <w:hideMark/>
          </w:tcPr>
          <w:p w14:paraId="1F1C6E38" w14:textId="77777777" w:rsidR="00C30160" w:rsidRPr="00CE0DE7" w:rsidRDefault="00C30160" w:rsidP="00F42731">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p>
        </w:tc>
        <w:tc>
          <w:tcPr>
            <w:tcW w:w="374" w:type="pct"/>
            <w:tcBorders>
              <w:top w:val="double" w:sz="4" w:space="0" w:color="auto"/>
              <w:left w:val="nil"/>
              <w:bottom w:val="single" w:sz="4" w:space="0" w:color="auto"/>
              <w:right w:val="nil"/>
            </w:tcBorders>
            <w:shd w:val="clear" w:color="auto" w:fill="auto"/>
            <w:noWrap/>
            <w:vAlign w:val="center"/>
            <w:hideMark/>
          </w:tcPr>
          <w:p w14:paraId="20BD2E91" w14:textId="77777777" w:rsidR="00C30160" w:rsidRPr="00CE0DE7" w:rsidRDefault="00C30160" w:rsidP="00F42731">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400" w:type="pct"/>
            <w:tcBorders>
              <w:top w:val="double" w:sz="4" w:space="0" w:color="auto"/>
              <w:left w:val="nil"/>
              <w:bottom w:val="single" w:sz="4" w:space="0" w:color="auto"/>
              <w:right w:val="nil"/>
            </w:tcBorders>
            <w:shd w:val="clear" w:color="auto" w:fill="auto"/>
            <w:noWrap/>
            <w:vAlign w:val="center"/>
            <w:hideMark/>
          </w:tcPr>
          <w:p w14:paraId="14B02A73" w14:textId="77777777" w:rsidR="00C30160" w:rsidRPr="00CE0DE7" w:rsidRDefault="00C30160" w:rsidP="00F42731">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317" w:type="pct"/>
            <w:tcBorders>
              <w:top w:val="double" w:sz="4" w:space="0" w:color="auto"/>
              <w:left w:val="nil"/>
              <w:bottom w:val="single" w:sz="4" w:space="0" w:color="auto"/>
              <w:right w:val="nil"/>
            </w:tcBorders>
            <w:shd w:val="clear" w:color="auto" w:fill="auto"/>
            <w:noWrap/>
            <w:vAlign w:val="center"/>
            <w:hideMark/>
          </w:tcPr>
          <w:p w14:paraId="455932FA" w14:textId="77777777" w:rsidR="00C30160" w:rsidRPr="00CE0DE7" w:rsidRDefault="00C30160" w:rsidP="00F42731">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PD</w:t>
            </w:r>
          </w:p>
        </w:tc>
        <w:tc>
          <w:tcPr>
            <w:tcW w:w="317" w:type="pct"/>
            <w:tcBorders>
              <w:top w:val="double" w:sz="4" w:space="0" w:color="auto"/>
              <w:left w:val="nil"/>
              <w:bottom w:val="single" w:sz="4" w:space="0" w:color="auto"/>
              <w:right w:val="nil"/>
            </w:tcBorders>
            <w:shd w:val="clear" w:color="auto" w:fill="auto"/>
            <w:noWrap/>
            <w:vAlign w:val="center"/>
            <w:hideMark/>
          </w:tcPr>
          <w:p w14:paraId="0A057950" w14:textId="77777777" w:rsidR="00C30160" w:rsidRPr="00CE0DE7" w:rsidRDefault="00C30160" w:rsidP="00F42731">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PE</w:t>
            </w:r>
          </w:p>
        </w:tc>
        <w:tc>
          <w:tcPr>
            <w:tcW w:w="317" w:type="pct"/>
            <w:tcBorders>
              <w:top w:val="double" w:sz="4" w:space="0" w:color="auto"/>
              <w:left w:val="nil"/>
              <w:bottom w:val="single" w:sz="4" w:space="0" w:color="auto"/>
              <w:right w:val="nil"/>
            </w:tcBorders>
            <w:shd w:val="clear" w:color="auto" w:fill="auto"/>
            <w:noWrap/>
            <w:vAlign w:val="center"/>
            <w:hideMark/>
          </w:tcPr>
          <w:p w14:paraId="0F0BB966" w14:textId="77777777" w:rsidR="00C30160" w:rsidRPr="00CE0DE7" w:rsidRDefault="00C30160" w:rsidP="00F42731">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DFSP</w:t>
            </w:r>
          </w:p>
        </w:tc>
        <w:tc>
          <w:tcPr>
            <w:tcW w:w="317" w:type="pct"/>
            <w:tcBorders>
              <w:top w:val="double" w:sz="4" w:space="0" w:color="auto"/>
              <w:left w:val="nil"/>
              <w:bottom w:val="single" w:sz="4" w:space="0" w:color="auto"/>
              <w:right w:val="nil"/>
            </w:tcBorders>
            <w:shd w:val="clear" w:color="auto" w:fill="auto"/>
            <w:noWrap/>
            <w:vAlign w:val="center"/>
            <w:hideMark/>
          </w:tcPr>
          <w:p w14:paraId="4FD42E88" w14:textId="77777777" w:rsidR="00C30160" w:rsidRPr="00CE0DE7" w:rsidRDefault="00C30160" w:rsidP="00F42731">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TMSP</w:t>
            </w:r>
          </w:p>
        </w:tc>
        <w:tc>
          <w:tcPr>
            <w:tcW w:w="317" w:type="pct"/>
            <w:tcBorders>
              <w:top w:val="double" w:sz="4" w:space="0" w:color="auto"/>
              <w:left w:val="nil"/>
              <w:bottom w:val="single" w:sz="4" w:space="0" w:color="auto"/>
              <w:right w:val="nil"/>
            </w:tcBorders>
            <w:shd w:val="clear" w:color="auto" w:fill="auto"/>
            <w:noWrap/>
            <w:vAlign w:val="center"/>
            <w:hideMark/>
          </w:tcPr>
          <w:p w14:paraId="1A0A0541" w14:textId="77777777" w:rsidR="00C30160" w:rsidRPr="00CE0DE7" w:rsidRDefault="00C30160" w:rsidP="00F42731">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RREL</w:t>
            </w:r>
          </w:p>
        </w:tc>
        <w:tc>
          <w:tcPr>
            <w:tcW w:w="317" w:type="pct"/>
            <w:tcBorders>
              <w:top w:val="double" w:sz="4" w:space="0" w:color="auto"/>
              <w:left w:val="nil"/>
              <w:bottom w:val="single" w:sz="4" w:space="0" w:color="auto"/>
              <w:right w:val="nil"/>
            </w:tcBorders>
            <w:shd w:val="clear" w:color="auto" w:fill="auto"/>
            <w:noWrap/>
            <w:vAlign w:val="center"/>
            <w:hideMark/>
          </w:tcPr>
          <w:p w14:paraId="0D784D08" w14:textId="77777777" w:rsidR="00C30160" w:rsidRPr="00CE0DE7" w:rsidRDefault="00C30160" w:rsidP="00F42731">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CAY</w:t>
            </w:r>
          </w:p>
        </w:tc>
      </w:tr>
      <w:tr w:rsidR="00687D17" w:rsidRPr="00CE0DE7" w14:paraId="40E1DBE1" w14:textId="77777777" w:rsidTr="009A3796">
        <w:trPr>
          <w:trHeight w:val="300"/>
          <w:jc w:val="center"/>
        </w:trPr>
        <w:tc>
          <w:tcPr>
            <w:tcW w:w="620" w:type="pct"/>
            <w:tcBorders>
              <w:top w:val="single" w:sz="4" w:space="0" w:color="auto"/>
              <w:left w:val="nil"/>
              <w:bottom w:val="nil"/>
              <w:right w:val="nil"/>
            </w:tcBorders>
            <w:shd w:val="clear" w:color="auto" w:fill="auto"/>
            <w:noWrap/>
            <w:vAlign w:val="center"/>
            <w:hideMark/>
          </w:tcPr>
          <w:p w14:paraId="585CCFF8" w14:textId="6A58168D" w:rsidR="00687D17" w:rsidRPr="00CE0DE7" w:rsidRDefault="00687D17" w:rsidP="00687D17">
            <w:pPr>
              <w:rPr>
                <w:rFonts w:eastAsia="Times New Roman"/>
                <w:color w:val="000000"/>
                <w:sz w:val="20"/>
                <w:szCs w:val="20"/>
                <w:lang w:val="en-GB" w:eastAsia="zh-CN"/>
              </w:rPr>
            </w:pPr>
            <w:r w:rsidRPr="00CE0DE7">
              <w:rPr>
                <w:rFonts w:eastAsia="Times New Roman"/>
                <w:color w:val="000000"/>
                <w:sz w:val="20"/>
                <w:szCs w:val="20"/>
                <w:lang w:val="en-GB" w:eastAsia="zh-CN"/>
              </w:rPr>
              <w:t>Mean</w:t>
            </w:r>
          </w:p>
        </w:tc>
        <w:tc>
          <w:tcPr>
            <w:tcW w:w="346" w:type="pct"/>
            <w:tcBorders>
              <w:top w:val="single" w:sz="4" w:space="0" w:color="auto"/>
              <w:left w:val="nil"/>
              <w:bottom w:val="nil"/>
              <w:right w:val="nil"/>
            </w:tcBorders>
            <w:shd w:val="clear" w:color="auto" w:fill="auto"/>
            <w:noWrap/>
            <w:vAlign w:val="center"/>
            <w:hideMark/>
          </w:tcPr>
          <w:p w14:paraId="7BA33BA6"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6.76</w:t>
            </w:r>
          </w:p>
        </w:tc>
        <w:tc>
          <w:tcPr>
            <w:tcW w:w="346" w:type="pct"/>
            <w:tcBorders>
              <w:top w:val="single" w:sz="4" w:space="0" w:color="auto"/>
              <w:left w:val="nil"/>
              <w:bottom w:val="nil"/>
              <w:right w:val="nil"/>
            </w:tcBorders>
            <w:shd w:val="clear" w:color="auto" w:fill="auto"/>
            <w:noWrap/>
            <w:vAlign w:val="center"/>
            <w:hideMark/>
          </w:tcPr>
          <w:p w14:paraId="40345859"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6.89</w:t>
            </w:r>
          </w:p>
        </w:tc>
        <w:tc>
          <w:tcPr>
            <w:tcW w:w="346" w:type="pct"/>
            <w:tcBorders>
              <w:top w:val="single" w:sz="4" w:space="0" w:color="auto"/>
              <w:left w:val="nil"/>
              <w:bottom w:val="nil"/>
              <w:right w:val="nil"/>
            </w:tcBorders>
            <w:shd w:val="clear" w:color="auto" w:fill="auto"/>
            <w:noWrap/>
            <w:vAlign w:val="center"/>
            <w:hideMark/>
          </w:tcPr>
          <w:p w14:paraId="332E30B7"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15.80</w:t>
            </w:r>
          </w:p>
        </w:tc>
        <w:tc>
          <w:tcPr>
            <w:tcW w:w="346" w:type="pct"/>
            <w:tcBorders>
              <w:top w:val="single" w:sz="4" w:space="0" w:color="auto"/>
              <w:left w:val="nil"/>
              <w:bottom w:val="nil"/>
              <w:right w:val="nil"/>
            </w:tcBorders>
            <w:shd w:val="clear" w:color="auto" w:fill="auto"/>
            <w:noWrap/>
            <w:vAlign w:val="center"/>
            <w:hideMark/>
          </w:tcPr>
          <w:p w14:paraId="0E0FA2EB"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15.77</w:t>
            </w:r>
          </w:p>
        </w:tc>
        <w:tc>
          <w:tcPr>
            <w:tcW w:w="320" w:type="pct"/>
            <w:tcBorders>
              <w:top w:val="single" w:sz="4" w:space="0" w:color="auto"/>
              <w:left w:val="nil"/>
              <w:bottom w:val="nil"/>
              <w:right w:val="nil"/>
            </w:tcBorders>
            <w:shd w:val="clear" w:color="auto" w:fill="auto"/>
            <w:noWrap/>
            <w:vAlign w:val="center"/>
            <w:hideMark/>
          </w:tcPr>
          <w:p w14:paraId="08E9BAF6"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15.86</w:t>
            </w:r>
          </w:p>
        </w:tc>
        <w:tc>
          <w:tcPr>
            <w:tcW w:w="374" w:type="pct"/>
            <w:tcBorders>
              <w:top w:val="single" w:sz="4" w:space="0" w:color="auto"/>
              <w:left w:val="nil"/>
              <w:bottom w:val="nil"/>
              <w:right w:val="nil"/>
            </w:tcBorders>
            <w:shd w:val="clear" w:color="auto" w:fill="auto"/>
            <w:noWrap/>
            <w:vAlign w:val="center"/>
            <w:hideMark/>
          </w:tcPr>
          <w:p w14:paraId="09B61B94"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-2.66</w:t>
            </w:r>
          </w:p>
        </w:tc>
        <w:tc>
          <w:tcPr>
            <w:tcW w:w="400" w:type="pct"/>
            <w:tcBorders>
              <w:top w:val="single" w:sz="4" w:space="0" w:color="auto"/>
              <w:left w:val="nil"/>
              <w:bottom w:val="nil"/>
              <w:right w:val="nil"/>
            </w:tcBorders>
            <w:shd w:val="clear" w:color="auto" w:fill="auto"/>
            <w:noWrap/>
            <w:vAlign w:val="center"/>
            <w:hideMark/>
          </w:tcPr>
          <w:p w14:paraId="2A4CB6B0"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-7.62</w:t>
            </w:r>
          </w:p>
        </w:tc>
        <w:tc>
          <w:tcPr>
            <w:tcW w:w="317" w:type="pct"/>
            <w:tcBorders>
              <w:top w:val="single" w:sz="4" w:space="0" w:color="auto"/>
              <w:left w:val="nil"/>
              <w:bottom w:val="nil"/>
              <w:right w:val="nil"/>
            </w:tcBorders>
            <w:shd w:val="clear" w:color="auto" w:fill="auto"/>
            <w:noWrap/>
            <w:vAlign w:val="center"/>
            <w:hideMark/>
          </w:tcPr>
          <w:p w14:paraId="5C094112"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3.11</w:t>
            </w:r>
          </w:p>
        </w:tc>
        <w:tc>
          <w:tcPr>
            <w:tcW w:w="317" w:type="pct"/>
            <w:tcBorders>
              <w:top w:val="single" w:sz="4" w:space="0" w:color="auto"/>
              <w:left w:val="nil"/>
              <w:bottom w:val="nil"/>
              <w:right w:val="nil"/>
            </w:tcBorders>
            <w:shd w:val="clear" w:color="auto" w:fill="auto"/>
            <w:noWrap/>
            <w:vAlign w:val="center"/>
            <w:hideMark/>
          </w:tcPr>
          <w:p w14:paraId="6A124626"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3.91</w:t>
            </w:r>
          </w:p>
        </w:tc>
        <w:tc>
          <w:tcPr>
            <w:tcW w:w="317" w:type="pct"/>
            <w:tcBorders>
              <w:top w:val="single" w:sz="4" w:space="0" w:color="auto"/>
              <w:left w:val="nil"/>
              <w:bottom w:val="nil"/>
              <w:right w:val="nil"/>
            </w:tcBorders>
            <w:shd w:val="clear" w:color="auto" w:fill="auto"/>
            <w:noWrap/>
            <w:vAlign w:val="center"/>
            <w:hideMark/>
          </w:tcPr>
          <w:p w14:paraId="5A1A0E3F"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0.95</w:t>
            </w:r>
          </w:p>
        </w:tc>
        <w:tc>
          <w:tcPr>
            <w:tcW w:w="317" w:type="pct"/>
            <w:tcBorders>
              <w:top w:val="single" w:sz="4" w:space="0" w:color="auto"/>
              <w:left w:val="nil"/>
              <w:bottom w:val="nil"/>
              <w:right w:val="nil"/>
            </w:tcBorders>
            <w:shd w:val="clear" w:color="auto" w:fill="auto"/>
            <w:noWrap/>
            <w:vAlign w:val="center"/>
            <w:hideMark/>
          </w:tcPr>
          <w:p w14:paraId="34A17D0D"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1.86</w:t>
            </w:r>
          </w:p>
        </w:tc>
        <w:tc>
          <w:tcPr>
            <w:tcW w:w="317" w:type="pct"/>
            <w:tcBorders>
              <w:top w:val="single" w:sz="4" w:space="0" w:color="auto"/>
              <w:left w:val="nil"/>
              <w:bottom w:val="nil"/>
              <w:right w:val="nil"/>
            </w:tcBorders>
            <w:shd w:val="clear" w:color="auto" w:fill="auto"/>
            <w:noWrap/>
            <w:vAlign w:val="center"/>
            <w:hideMark/>
          </w:tcPr>
          <w:p w14:paraId="3247205C"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-0.13</w:t>
            </w:r>
          </w:p>
        </w:tc>
        <w:tc>
          <w:tcPr>
            <w:tcW w:w="317" w:type="pct"/>
            <w:tcBorders>
              <w:top w:val="single" w:sz="4" w:space="0" w:color="auto"/>
              <w:left w:val="nil"/>
              <w:bottom w:val="nil"/>
              <w:right w:val="nil"/>
            </w:tcBorders>
            <w:shd w:val="clear" w:color="auto" w:fill="auto"/>
            <w:noWrap/>
            <w:hideMark/>
          </w:tcPr>
          <w:p w14:paraId="6DB12B95" w14:textId="58F1D95D" w:rsidR="00687D17" w:rsidRPr="00CE0DE7" w:rsidRDefault="00687D17" w:rsidP="00EB3316">
            <w:pPr>
              <w:jc w:val="right"/>
              <w:rPr>
                <w:rFonts w:eastAsia="Times New Roman"/>
                <w:color w:val="000000"/>
                <w:sz w:val="20"/>
                <w:szCs w:val="20"/>
                <w:lang w:val="en-GB" w:eastAsia="zh-CN"/>
              </w:rPr>
            </w:pPr>
            <w:r w:rsidRPr="00CE0DE7">
              <w:rPr>
                <w:sz w:val="20"/>
                <w:szCs w:val="20"/>
              </w:rPr>
              <w:t>-0.16</w:t>
            </w:r>
          </w:p>
        </w:tc>
      </w:tr>
      <w:tr w:rsidR="00687D17" w:rsidRPr="00CE0DE7" w14:paraId="0AA34D9E" w14:textId="77777777" w:rsidTr="009A3796">
        <w:trPr>
          <w:trHeight w:val="300"/>
          <w:jc w:val="center"/>
        </w:trPr>
        <w:tc>
          <w:tcPr>
            <w:tcW w:w="620" w:type="pct"/>
            <w:tcBorders>
              <w:top w:val="nil"/>
              <w:left w:val="nil"/>
              <w:bottom w:val="nil"/>
              <w:right w:val="nil"/>
            </w:tcBorders>
            <w:shd w:val="clear" w:color="auto" w:fill="auto"/>
            <w:noWrap/>
            <w:vAlign w:val="center"/>
            <w:hideMark/>
          </w:tcPr>
          <w:p w14:paraId="33BD1E2E" w14:textId="15188FFA" w:rsidR="00687D17" w:rsidRPr="00CE0DE7" w:rsidRDefault="00687D17" w:rsidP="00687D17">
            <w:pPr>
              <w:rPr>
                <w:rFonts w:eastAsia="Times New Roman"/>
                <w:color w:val="000000"/>
                <w:sz w:val="20"/>
                <w:szCs w:val="20"/>
                <w:lang w:val="en-GB" w:eastAsia="zh-CN"/>
              </w:rPr>
            </w:pPr>
            <w:r w:rsidRPr="00CE0DE7">
              <w:rPr>
                <w:rFonts w:eastAsia="Times New Roman"/>
                <w:color w:val="000000"/>
                <w:sz w:val="20"/>
                <w:szCs w:val="20"/>
                <w:lang w:val="en-GB" w:eastAsia="zh-CN"/>
              </w:rPr>
              <w:t>Median</w:t>
            </w:r>
          </w:p>
        </w:tc>
        <w:tc>
          <w:tcPr>
            <w:tcW w:w="346" w:type="pct"/>
            <w:tcBorders>
              <w:top w:val="nil"/>
              <w:left w:val="nil"/>
              <w:bottom w:val="nil"/>
              <w:right w:val="nil"/>
            </w:tcBorders>
            <w:shd w:val="clear" w:color="auto" w:fill="auto"/>
            <w:noWrap/>
            <w:vAlign w:val="center"/>
            <w:hideMark/>
          </w:tcPr>
          <w:p w14:paraId="793BA393"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12.19</w:t>
            </w:r>
          </w:p>
        </w:tc>
        <w:tc>
          <w:tcPr>
            <w:tcW w:w="346" w:type="pct"/>
            <w:tcBorders>
              <w:top w:val="nil"/>
              <w:left w:val="nil"/>
              <w:bottom w:val="nil"/>
              <w:right w:val="nil"/>
            </w:tcBorders>
            <w:shd w:val="clear" w:color="auto" w:fill="auto"/>
            <w:noWrap/>
            <w:vAlign w:val="center"/>
            <w:hideMark/>
          </w:tcPr>
          <w:p w14:paraId="7FFF2892"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11.48</w:t>
            </w:r>
          </w:p>
        </w:tc>
        <w:tc>
          <w:tcPr>
            <w:tcW w:w="346" w:type="pct"/>
            <w:tcBorders>
              <w:top w:val="nil"/>
              <w:left w:val="nil"/>
              <w:bottom w:val="nil"/>
              <w:right w:val="nil"/>
            </w:tcBorders>
            <w:shd w:val="clear" w:color="auto" w:fill="auto"/>
            <w:noWrap/>
            <w:vAlign w:val="center"/>
            <w:hideMark/>
          </w:tcPr>
          <w:p w14:paraId="7AC47813"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12.85</w:t>
            </w:r>
          </w:p>
        </w:tc>
        <w:tc>
          <w:tcPr>
            <w:tcW w:w="346" w:type="pct"/>
            <w:tcBorders>
              <w:top w:val="nil"/>
              <w:left w:val="nil"/>
              <w:bottom w:val="nil"/>
              <w:right w:val="nil"/>
            </w:tcBorders>
            <w:shd w:val="clear" w:color="auto" w:fill="auto"/>
            <w:noWrap/>
            <w:vAlign w:val="center"/>
            <w:hideMark/>
          </w:tcPr>
          <w:p w14:paraId="5E3F67AA"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12.97</w:t>
            </w:r>
          </w:p>
        </w:tc>
        <w:tc>
          <w:tcPr>
            <w:tcW w:w="320" w:type="pct"/>
            <w:tcBorders>
              <w:top w:val="nil"/>
              <w:left w:val="nil"/>
              <w:bottom w:val="nil"/>
              <w:right w:val="nil"/>
            </w:tcBorders>
            <w:shd w:val="clear" w:color="auto" w:fill="auto"/>
            <w:noWrap/>
            <w:vAlign w:val="center"/>
            <w:hideMark/>
          </w:tcPr>
          <w:p w14:paraId="4178BADA"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10.93</w:t>
            </w:r>
          </w:p>
        </w:tc>
        <w:tc>
          <w:tcPr>
            <w:tcW w:w="374" w:type="pct"/>
            <w:tcBorders>
              <w:top w:val="nil"/>
              <w:left w:val="nil"/>
              <w:bottom w:val="nil"/>
              <w:right w:val="nil"/>
            </w:tcBorders>
            <w:shd w:val="clear" w:color="auto" w:fill="auto"/>
            <w:noWrap/>
            <w:vAlign w:val="center"/>
            <w:hideMark/>
          </w:tcPr>
          <w:p w14:paraId="4FA50BB8"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-2.99</w:t>
            </w:r>
          </w:p>
        </w:tc>
        <w:tc>
          <w:tcPr>
            <w:tcW w:w="400" w:type="pct"/>
            <w:tcBorders>
              <w:top w:val="nil"/>
              <w:left w:val="nil"/>
              <w:bottom w:val="nil"/>
              <w:right w:val="nil"/>
            </w:tcBorders>
            <w:shd w:val="clear" w:color="auto" w:fill="auto"/>
            <w:noWrap/>
            <w:vAlign w:val="center"/>
            <w:hideMark/>
          </w:tcPr>
          <w:p w14:paraId="09BF7979"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-8.00</w:t>
            </w:r>
          </w:p>
        </w:tc>
        <w:tc>
          <w:tcPr>
            <w:tcW w:w="317" w:type="pct"/>
            <w:tcBorders>
              <w:top w:val="nil"/>
              <w:left w:val="nil"/>
              <w:bottom w:val="nil"/>
              <w:right w:val="nil"/>
            </w:tcBorders>
            <w:shd w:val="clear" w:color="auto" w:fill="auto"/>
            <w:noWrap/>
            <w:vAlign w:val="center"/>
            <w:hideMark/>
          </w:tcPr>
          <w:p w14:paraId="11A3D274"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3.07</w:t>
            </w:r>
          </w:p>
        </w:tc>
        <w:tc>
          <w:tcPr>
            <w:tcW w:w="317" w:type="pct"/>
            <w:tcBorders>
              <w:top w:val="nil"/>
              <w:left w:val="nil"/>
              <w:bottom w:val="nil"/>
              <w:right w:val="nil"/>
            </w:tcBorders>
            <w:shd w:val="clear" w:color="auto" w:fill="auto"/>
            <w:noWrap/>
            <w:vAlign w:val="center"/>
            <w:hideMark/>
          </w:tcPr>
          <w:p w14:paraId="54CD6828"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3.93</w:t>
            </w:r>
          </w:p>
        </w:tc>
        <w:tc>
          <w:tcPr>
            <w:tcW w:w="317" w:type="pct"/>
            <w:tcBorders>
              <w:top w:val="nil"/>
              <w:left w:val="nil"/>
              <w:bottom w:val="nil"/>
              <w:right w:val="nil"/>
            </w:tcBorders>
            <w:shd w:val="clear" w:color="auto" w:fill="auto"/>
            <w:noWrap/>
            <w:vAlign w:val="center"/>
            <w:hideMark/>
          </w:tcPr>
          <w:p w14:paraId="6721B353"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0.87</w:t>
            </w:r>
          </w:p>
        </w:tc>
        <w:tc>
          <w:tcPr>
            <w:tcW w:w="317" w:type="pct"/>
            <w:tcBorders>
              <w:top w:val="nil"/>
              <w:left w:val="nil"/>
              <w:bottom w:val="nil"/>
              <w:right w:val="nil"/>
            </w:tcBorders>
            <w:shd w:val="clear" w:color="auto" w:fill="auto"/>
            <w:noWrap/>
            <w:vAlign w:val="center"/>
            <w:hideMark/>
          </w:tcPr>
          <w:p w14:paraId="12E96D78"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1.88</w:t>
            </w:r>
          </w:p>
        </w:tc>
        <w:tc>
          <w:tcPr>
            <w:tcW w:w="317" w:type="pct"/>
            <w:tcBorders>
              <w:top w:val="nil"/>
              <w:left w:val="nil"/>
              <w:bottom w:val="nil"/>
              <w:right w:val="nil"/>
            </w:tcBorders>
            <w:shd w:val="clear" w:color="auto" w:fill="auto"/>
            <w:noWrap/>
            <w:vAlign w:val="center"/>
            <w:hideMark/>
          </w:tcPr>
          <w:p w14:paraId="201940CE"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-0.01</w:t>
            </w:r>
          </w:p>
        </w:tc>
        <w:tc>
          <w:tcPr>
            <w:tcW w:w="317" w:type="pct"/>
            <w:tcBorders>
              <w:top w:val="nil"/>
              <w:left w:val="nil"/>
              <w:bottom w:val="nil"/>
              <w:right w:val="nil"/>
            </w:tcBorders>
            <w:shd w:val="clear" w:color="auto" w:fill="auto"/>
            <w:noWrap/>
            <w:hideMark/>
          </w:tcPr>
          <w:p w14:paraId="03D7D8C2" w14:textId="7E42CF6E" w:rsidR="00687D17" w:rsidRPr="00CE0DE7" w:rsidRDefault="00687D17" w:rsidP="00EB3316">
            <w:pPr>
              <w:jc w:val="right"/>
              <w:rPr>
                <w:rFonts w:eastAsia="Times New Roman"/>
                <w:color w:val="000000"/>
                <w:sz w:val="20"/>
                <w:szCs w:val="20"/>
                <w:lang w:val="en-GB" w:eastAsia="zh-CN"/>
              </w:rPr>
            </w:pPr>
            <w:r w:rsidRPr="00CE0DE7">
              <w:rPr>
                <w:sz w:val="20"/>
                <w:szCs w:val="20"/>
              </w:rPr>
              <w:t>-0.27</w:t>
            </w:r>
          </w:p>
        </w:tc>
      </w:tr>
      <w:tr w:rsidR="00687D17" w:rsidRPr="00CE0DE7" w14:paraId="2C69A393" w14:textId="77777777" w:rsidTr="009A3796">
        <w:trPr>
          <w:trHeight w:val="300"/>
          <w:jc w:val="center"/>
        </w:trPr>
        <w:tc>
          <w:tcPr>
            <w:tcW w:w="620" w:type="pct"/>
            <w:tcBorders>
              <w:top w:val="nil"/>
              <w:left w:val="nil"/>
              <w:bottom w:val="nil"/>
              <w:right w:val="nil"/>
            </w:tcBorders>
            <w:shd w:val="clear" w:color="auto" w:fill="auto"/>
            <w:noWrap/>
            <w:vAlign w:val="center"/>
            <w:hideMark/>
          </w:tcPr>
          <w:p w14:paraId="35E55049" w14:textId="1F6F8A47" w:rsidR="00687D17" w:rsidRPr="00CE0DE7" w:rsidRDefault="00687D17" w:rsidP="00687D17">
            <w:pPr>
              <w:rPr>
                <w:rFonts w:eastAsia="Times New Roman"/>
                <w:color w:val="000000"/>
                <w:sz w:val="20"/>
                <w:szCs w:val="20"/>
                <w:lang w:val="en-GB" w:eastAsia="zh-CN"/>
              </w:rPr>
            </w:pPr>
            <w:r w:rsidRPr="00CE0DE7">
              <w:rPr>
                <w:rFonts w:eastAsia="Times New Roman"/>
                <w:color w:val="000000"/>
                <w:sz w:val="20"/>
                <w:szCs w:val="20"/>
                <w:lang w:val="en-GB" w:eastAsia="zh-CN"/>
              </w:rPr>
              <w:t>Maximum</w:t>
            </w:r>
          </w:p>
        </w:tc>
        <w:tc>
          <w:tcPr>
            <w:tcW w:w="346" w:type="pct"/>
            <w:tcBorders>
              <w:top w:val="nil"/>
              <w:left w:val="nil"/>
              <w:bottom w:val="nil"/>
              <w:right w:val="nil"/>
            </w:tcBorders>
            <w:shd w:val="clear" w:color="auto" w:fill="auto"/>
            <w:noWrap/>
            <w:vAlign w:val="center"/>
            <w:hideMark/>
          </w:tcPr>
          <w:p w14:paraId="3945C89A"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135.08</w:t>
            </w:r>
          </w:p>
        </w:tc>
        <w:tc>
          <w:tcPr>
            <w:tcW w:w="346" w:type="pct"/>
            <w:tcBorders>
              <w:top w:val="nil"/>
              <w:left w:val="nil"/>
              <w:bottom w:val="nil"/>
              <w:right w:val="nil"/>
            </w:tcBorders>
            <w:shd w:val="clear" w:color="auto" w:fill="auto"/>
            <w:noWrap/>
            <w:vAlign w:val="center"/>
            <w:hideMark/>
          </w:tcPr>
          <w:p w14:paraId="452D8BBE"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132.55</w:t>
            </w:r>
          </w:p>
        </w:tc>
        <w:tc>
          <w:tcPr>
            <w:tcW w:w="346" w:type="pct"/>
            <w:tcBorders>
              <w:top w:val="nil"/>
              <w:left w:val="nil"/>
              <w:bottom w:val="nil"/>
              <w:right w:val="nil"/>
            </w:tcBorders>
            <w:shd w:val="clear" w:color="auto" w:fill="auto"/>
            <w:noWrap/>
            <w:vAlign w:val="center"/>
            <w:hideMark/>
          </w:tcPr>
          <w:p w14:paraId="7F56E304"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115.85</w:t>
            </w:r>
          </w:p>
        </w:tc>
        <w:tc>
          <w:tcPr>
            <w:tcW w:w="346" w:type="pct"/>
            <w:tcBorders>
              <w:top w:val="nil"/>
              <w:left w:val="nil"/>
              <w:bottom w:val="nil"/>
              <w:right w:val="nil"/>
            </w:tcBorders>
            <w:shd w:val="clear" w:color="auto" w:fill="auto"/>
            <w:noWrap/>
            <w:vAlign w:val="center"/>
            <w:hideMark/>
          </w:tcPr>
          <w:p w14:paraId="43501F57"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109.98</w:t>
            </w:r>
          </w:p>
        </w:tc>
        <w:tc>
          <w:tcPr>
            <w:tcW w:w="320" w:type="pct"/>
            <w:tcBorders>
              <w:top w:val="nil"/>
              <w:left w:val="nil"/>
              <w:bottom w:val="nil"/>
              <w:right w:val="nil"/>
            </w:tcBorders>
            <w:shd w:val="clear" w:color="auto" w:fill="auto"/>
            <w:noWrap/>
            <w:vAlign w:val="center"/>
            <w:hideMark/>
          </w:tcPr>
          <w:p w14:paraId="73CF356D"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201.42</w:t>
            </w:r>
          </w:p>
        </w:tc>
        <w:tc>
          <w:tcPr>
            <w:tcW w:w="374" w:type="pct"/>
            <w:tcBorders>
              <w:top w:val="nil"/>
              <w:left w:val="nil"/>
              <w:bottom w:val="nil"/>
              <w:right w:val="nil"/>
            </w:tcBorders>
            <w:shd w:val="clear" w:color="auto" w:fill="auto"/>
            <w:noWrap/>
            <w:vAlign w:val="center"/>
            <w:hideMark/>
          </w:tcPr>
          <w:p w14:paraId="6F419B38"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1.28</w:t>
            </w:r>
          </w:p>
        </w:tc>
        <w:tc>
          <w:tcPr>
            <w:tcW w:w="400" w:type="pct"/>
            <w:tcBorders>
              <w:top w:val="nil"/>
              <w:left w:val="nil"/>
              <w:bottom w:val="nil"/>
              <w:right w:val="nil"/>
            </w:tcBorders>
            <w:shd w:val="clear" w:color="auto" w:fill="auto"/>
            <w:noWrap/>
            <w:vAlign w:val="center"/>
            <w:hideMark/>
          </w:tcPr>
          <w:p w14:paraId="42ECA0AA"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-3.76</w:t>
            </w:r>
          </w:p>
        </w:tc>
        <w:tc>
          <w:tcPr>
            <w:tcW w:w="317" w:type="pct"/>
            <w:tcBorders>
              <w:top w:val="nil"/>
              <w:left w:val="nil"/>
              <w:bottom w:val="nil"/>
              <w:right w:val="nil"/>
            </w:tcBorders>
            <w:shd w:val="clear" w:color="auto" w:fill="auto"/>
            <w:noWrap/>
            <w:vAlign w:val="center"/>
            <w:hideMark/>
          </w:tcPr>
          <w:p w14:paraId="0ADC7433"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4.82</w:t>
            </w:r>
          </w:p>
        </w:tc>
        <w:tc>
          <w:tcPr>
            <w:tcW w:w="317" w:type="pct"/>
            <w:tcBorders>
              <w:top w:val="nil"/>
              <w:left w:val="nil"/>
              <w:bottom w:val="nil"/>
              <w:right w:val="nil"/>
            </w:tcBorders>
            <w:shd w:val="clear" w:color="auto" w:fill="auto"/>
            <w:noWrap/>
            <w:vAlign w:val="center"/>
            <w:hideMark/>
          </w:tcPr>
          <w:p w14:paraId="46628538"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4.50</w:t>
            </w:r>
          </w:p>
        </w:tc>
        <w:tc>
          <w:tcPr>
            <w:tcW w:w="317" w:type="pct"/>
            <w:tcBorders>
              <w:top w:val="nil"/>
              <w:left w:val="nil"/>
              <w:bottom w:val="nil"/>
              <w:right w:val="nil"/>
            </w:tcBorders>
            <w:shd w:val="clear" w:color="auto" w:fill="auto"/>
            <w:noWrap/>
            <w:vAlign w:val="center"/>
            <w:hideMark/>
          </w:tcPr>
          <w:p w14:paraId="4C9D9421"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3.38</w:t>
            </w:r>
          </w:p>
        </w:tc>
        <w:tc>
          <w:tcPr>
            <w:tcW w:w="317" w:type="pct"/>
            <w:tcBorders>
              <w:top w:val="nil"/>
              <w:left w:val="nil"/>
              <w:bottom w:val="nil"/>
              <w:right w:val="nil"/>
            </w:tcBorders>
            <w:shd w:val="clear" w:color="auto" w:fill="auto"/>
            <w:noWrap/>
            <w:vAlign w:val="center"/>
            <w:hideMark/>
          </w:tcPr>
          <w:p w14:paraId="54488736"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3.76</w:t>
            </w:r>
          </w:p>
        </w:tc>
        <w:tc>
          <w:tcPr>
            <w:tcW w:w="317" w:type="pct"/>
            <w:tcBorders>
              <w:top w:val="nil"/>
              <w:left w:val="nil"/>
              <w:bottom w:val="nil"/>
              <w:right w:val="nil"/>
            </w:tcBorders>
            <w:shd w:val="clear" w:color="auto" w:fill="auto"/>
            <w:noWrap/>
            <w:vAlign w:val="center"/>
            <w:hideMark/>
          </w:tcPr>
          <w:p w14:paraId="7D77F88E"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1.86</w:t>
            </w:r>
          </w:p>
        </w:tc>
        <w:tc>
          <w:tcPr>
            <w:tcW w:w="317" w:type="pct"/>
            <w:tcBorders>
              <w:top w:val="nil"/>
              <w:left w:val="nil"/>
              <w:bottom w:val="nil"/>
              <w:right w:val="nil"/>
            </w:tcBorders>
            <w:shd w:val="clear" w:color="auto" w:fill="auto"/>
            <w:noWrap/>
            <w:hideMark/>
          </w:tcPr>
          <w:p w14:paraId="7E876CE6" w14:textId="641CA07A" w:rsidR="00687D17" w:rsidRPr="00CE0DE7" w:rsidRDefault="00687D17" w:rsidP="00EB3316">
            <w:pPr>
              <w:jc w:val="right"/>
              <w:rPr>
                <w:rFonts w:eastAsia="Times New Roman"/>
                <w:color w:val="000000"/>
                <w:sz w:val="20"/>
                <w:szCs w:val="20"/>
                <w:lang w:val="en-GB" w:eastAsia="zh-CN"/>
              </w:rPr>
            </w:pPr>
            <w:r w:rsidRPr="00CE0DE7">
              <w:rPr>
                <w:sz w:val="20"/>
                <w:szCs w:val="20"/>
              </w:rPr>
              <w:t>3.26</w:t>
            </w:r>
          </w:p>
        </w:tc>
      </w:tr>
      <w:tr w:rsidR="00687D17" w:rsidRPr="00CE0DE7" w14:paraId="7701660E" w14:textId="77777777" w:rsidTr="009A3796">
        <w:trPr>
          <w:trHeight w:val="300"/>
          <w:jc w:val="center"/>
        </w:trPr>
        <w:tc>
          <w:tcPr>
            <w:tcW w:w="620" w:type="pct"/>
            <w:tcBorders>
              <w:top w:val="nil"/>
              <w:left w:val="nil"/>
              <w:bottom w:val="nil"/>
              <w:right w:val="nil"/>
            </w:tcBorders>
            <w:shd w:val="clear" w:color="auto" w:fill="auto"/>
            <w:noWrap/>
            <w:vAlign w:val="center"/>
            <w:hideMark/>
          </w:tcPr>
          <w:p w14:paraId="6BB50728" w14:textId="0AD16DD7" w:rsidR="00687D17" w:rsidRPr="00CE0DE7" w:rsidRDefault="00687D17" w:rsidP="00687D17">
            <w:pPr>
              <w:rPr>
                <w:rFonts w:eastAsia="Times New Roman"/>
                <w:color w:val="000000"/>
                <w:sz w:val="20"/>
                <w:szCs w:val="20"/>
                <w:lang w:val="en-GB" w:eastAsia="zh-CN"/>
              </w:rPr>
            </w:pPr>
            <w:r w:rsidRPr="00CE0DE7">
              <w:rPr>
                <w:rFonts w:eastAsia="Times New Roman"/>
                <w:color w:val="000000"/>
                <w:sz w:val="20"/>
                <w:szCs w:val="20"/>
                <w:lang w:val="en-GB" w:eastAsia="zh-CN"/>
              </w:rPr>
              <w:t>Minimum</w:t>
            </w:r>
          </w:p>
        </w:tc>
        <w:tc>
          <w:tcPr>
            <w:tcW w:w="346" w:type="pct"/>
            <w:tcBorders>
              <w:top w:val="nil"/>
              <w:left w:val="nil"/>
              <w:bottom w:val="nil"/>
              <w:right w:val="nil"/>
            </w:tcBorders>
            <w:shd w:val="clear" w:color="auto" w:fill="auto"/>
            <w:noWrap/>
            <w:vAlign w:val="center"/>
            <w:hideMark/>
          </w:tcPr>
          <w:p w14:paraId="1AE071AF"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-223.55</w:t>
            </w:r>
          </w:p>
        </w:tc>
        <w:tc>
          <w:tcPr>
            <w:tcW w:w="346" w:type="pct"/>
            <w:tcBorders>
              <w:top w:val="nil"/>
              <w:left w:val="nil"/>
              <w:bottom w:val="nil"/>
              <w:right w:val="nil"/>
            </w:tcBorders>
            <w:shd w:val="clear" w:color="auto" w:fill="auto"/>
            <w:noWrap/>
            <w:vAlign w:val="center"/>
            <w:hideMark/>
          </w:tcPr>
          <w:p w14:paraId="2F760CA2"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-203.53</w:t>
            </w:r>
          </w:p>
        </w:tc>
        <w:tc>
          <w:tcPr>
            <w:tcW w:w="346" w:type="pct"/>
            <w:tcBorders>
              <w:top w:val="nil"/>
              <w:left w:val="nil"/>
              <w:bottom w:val="nil"/>
              <w:right w:val="nil"/>
            </w:tcBorders>
            <w:shd w:val="clear" w:color="auto" w:fill="auto"/>
            <w:noWrap/>
            <w:vAlign w:val="center"/>
            <w:hideMark/>
          </w:tcPr>
          <w:p w14:paraId="5ECF7652"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-218.56</w:t>
            </w:r>
          </w:p>
        </w:tc>
        <w:tc>
          <w:tcPr>
            <w:tcW w:w="346" w:type="pct"/>
            <w:tcBorders>
              <w:top w:val="nil"/>
              <w:left w:val="nil"/>
              <w:bottom w:val="nil"/>
              <w:right w:val="nil"/>
            </w:tcBorders>
            <w:shd w:val="clear" w:color="auto" w:fill="auto"/>
            <w:noWrap/>
            <w:vAlign w:val="center"/>
            <w:hideMark/>
          </w:tcPr>
          <w:p w14:paraId="57FB0EF7"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-388.17</w:t>
            </w:r>
          </w:p>
        </w:tc>
        <w:tc>
          <w:tcPr>
            <w:tcW w:w="320" w:type="pct"/>
            <w:tcBorders>
              <w:top w:val="nil"/>
              <w:left w:val="nil"/>
              <w:bottom w:val="nil"/>
              <w:right w:val="nil"/>
            </w:tcBorders>
            <w:shd w:val="clear" w:color="auto" w:fill="auto"/>
            <w:noWrap/>
            <w:vAlign w:val="center"/>
            <w:hideMark/>
          </w:tcPr>
          <w:p w14:paraId="5579F824"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-48.04</w:t>
            </w:r>
          </w:p>
        </w:tc>
        <w:tc>
          <w:tcPr>
            <w:tcW w:w="374" w:type="pct"/>
            <w:tcBorders>
              <w:top w:val="nil"/>
              <w:left w:val="nil"/>
              <w:bottom w:val="nil"/>
              <w:right w:val="nil"/>
            </w:tcBorders>
            <w:shd w:val="clear" w:color="auto" w:fill="auto"/>
            <w:noWrap/>
            <w:vAlign w:val="center"/>
            <w:hideMark/>
          </w:tcPr>
          <w:p w14:paraId="433151D2"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-4.71</w:t>
            </w:r>
          </w:p>
        </w:tc>
        <w:tc>
          <w:tcPr>
            <w:tcW w:w="400" w:type="pct"/>
            <w:tcBorders>
              <w:top w:val="nil"/>
              <w:left w:val="nil"/>
              <w:bottom w:val="nil"/>
              <w:right w:val="nil"/>
            </w:tcBorders>
            <w:shd w:val="clear" w:color="auto" w:fill="auto"/>
            <w:noWrap/>
            <w:vAlign w:val="center"/>
            <w:hideMark/>
          </w:tcPr>
          <w:p w14:paraId="561CCFD6"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-9.69</w:t>
            </w:r>
          </w:p>
        </w:tc>
        <w:tc>
          <w:tcPr>
            <w:tcW w:w="317" w:type="pct"/>
            <w:tcBorders>
              <w:top w:val="nil"/>
              <w:left w:val="nil"/>
              <w:bottom w:val="nil"/>
              <w:right w:val="nil"/>
            </w:tcBorders>
            <w:shd w:val="clear" w:color="auto" w:fill="auto"/>
            <w:noWrap/>
            <w:vAlign w:val="center"/>
            <w:hideMark/>
          </w:tcPr>
          <w:p w14:paraId="2A5E29D2"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2.60</w:t>
            </w:r>
          </w:p>
        </w:tc>
        <w:tc>
          <w:tcPr>
            <w:tcW w:w="317" w:type="pct"/>
            <w:tcBorders>
              <w:top w:val="nil"/>
              <w:left w:val="nil"/>
              <w:bottom w:val="nil"/>
              <w:right w:val="nil"/>
            </w:tcBorders>
            <w:shd w:val="clear" w:color="auto" w:fill="auto"/>
            <w:noWrap/>
            <w:vAlign w:val="center"/>
            <w:hideMark/>
          </w:tcPr>
          <w:p w14:paraId="79773866"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3.25</w:t>
            </w:r>
          </w:p>
        </w:tc>
        <w:tc>
          <w:tcPr>
            <w:tcW w:w="317" w:type="pct"/>
            <w:tcBorders>
              <w:top w:val="nil"/>
              <w:left w:val="nil"/>
              <w:bottom w:val="nil"/>
              <w:right w:val="nil"/>
            </w:tcBorders>
            <w:shd w:val="clear" w:color="auto" w:fill="auto"/>
            <w:noWrap/>
            <w:vAlign w:val="center"/>
            <w:hideMark/>
          </w:tcPr>
          <w:p w14:paraId="6DBB9C76"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0.55</w:t>
            </w:r>
          </w:p>
        </w:tc>
        <w:tc>
          <w:tcPr>
            <w:tcW w:w="317" w:type="pct"/>
            <w:tcBorders>
              <w:top w:val="nil"/>
              <w:left w:val="nil"/>
              <w:bottom w:val="nil"/>
              <w:right w:val="nil"/>
            </w:tcBorders>
            <w:shd w:val="clear" w:color="auto" w:fill="auto"/>
            <w:noWrap/>
            <w:vAlign w:val="center"/>
            <w:hideMark/>
          </w:tcPr>
          <w:p w14:paraId="516E3B00"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-0.53</w:t>
            </w:r>
          </w:p>
        </w:tc>
        <w:tc>
          <w:tcPr>
            <w:tcW w:w="317" w:type="pct"/>
            <w:tcBorders>
              <w:top w:val="nil"/>
              <w:left w:val="nil"/>
              <w:bottom w:val="nil"/>
              <w:right w:val="nil"/>
            </w:tcBorders>
            <w:shd w:val="clear" w:color="auto" w:fill="auto"/>
            <w:noWrap/>
            <w:vAlign w:val="center"/>
            <w:hideMark/>
          </w:tcPr>
          <w:p w14:paraId="0CDA4AA4"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-2.51</w:t>
            </w:r>
          </w:p>
        </w:tc>
        <w:tc>
          <w:tcPr>
            <w:tcW w:w="317" w:type="pct"/>
            <w:tcBorders>
              <w:top w:val="nil"/>
              <w:left w:val="nil"/>
              <w:bottom w:val="nil"/>
              <w:right w:val="nil"/>
            </w:tcBorders>
            <w:shd w:val="clear" w:color="auto" w:fill="auto"/>
            <w:noWrap/>
            <w:hideMark/>
          </w:tcPr>
          <w:p w14:paraId="2D6E2EAD" w14:textId="3945495A" w:rsidR="00687D17" w:rsidRPr="00CE0DE7" w:rsidRDefault="00687D17" w:rsidP="00EB3316">
            <w:pPr>
              <w:jc w:val="right"/>
              <w:rPr>
                <w:rFonts w:eastAsia="Times New Roman"/>
                <w:color w:val="000000"/>
                <w:sz w:val="20"/>
                <w:szCs w:val="20"/>
                <w:lang w:val="en-GB" w:eastAsia="zh-CN"/>
              </w:rPr>
            </w:pPr>
            <w:r w:rsidRPr="00CE0DE7">
              <w:rPr>
                <w:sz w:val="20"/>
                <w:szCs w:val="20"/>
              </w:rPr>
              <w:t>-4.72</w:t>
            </w:r>
          </w:p>
        </w:tc>
      </w:tr>
      <w:tr w:rsidR="00687D17" w:rsidRPr="00CE0DE7" w14:paraId="35845A3C" w14:textId="77777777" w:rsidTr="009A3796">
        <w:trPr>
          <w:trHeight w:val="300"/>
          <w:jc w:val="center"/>
        </w:trPr>
        <w:tc>
          <w:tcPr>
            <w:tcW w:w="620" w:type="pct"/>
            <w:tcBorders>
              <w:top w:val="nil"/>
              <w:left w:val="nil"/>
              <w:bottom w:val="nil"/>
              <w:right w:val="nil"/>
            </w:tcBorders>
            <w:shd w:val="clear" w:color="auto" w:fill="auto"/>
            <w:noWrap/>
            <w:vAlign w:val="center"/>
            <w:hideMark/>
          </w:tcPr>
          <w:p w14:paraId="0BB524AB" w14:textId="5452E2BE" w:rsidR="00687D17" w:rsidRPr="00CE0DE7" w:rsidRDefault="00687D17" w:rsidP="00687D17">
            <w:pPr>
              <w:rPr>
                <w:rFonts w:eastAsia="Times New Roman"/>
                <w:color w:val="000000"/>
                <w:sz w:val="20"/>
                <w:szCs w:val="20"/>
                <w:lang w:val="en-GB" w:eastAsia="zh-CN"/>
              </w:rPr>
            </w:pPr>
            <w:r w:rsidRPr="00CE0DE7">
              <w:rPr>
                <w:rFonts w:eastAsia="Times New Roman"/>
                <w:color w:val="000000"/>
                <w:sz w:val="20"/>
                <w:szCs w:val="20"/>
                <w:lang w:val="en-GB" w:eastAsia="zh-CN"/>
              </w:rPr>
              <w:t>Std. Dev.</w:t>
            </w:r>
          </w:p>
        </w:tc>
        <w:tc>
          <w:tcPr>
            <w:tcW w:w="346" w:type="pct"/>
            <w:tcBorders>
              <w:top w:val="nil"/>
              <w:left w:val="nil"/>
              <w:bottom w:val="nil"/>
              <w:right w:val="nil"/>
            </w:tcBorders>
            <w:shd w:val="clear" w:color="auto" w:fill="auto"/>
            <w:noWrap/>
            <w:vAlign w:val="center"/>
            <w:hideMark/>
          </w:tcPr>
          <w:p w14:paraId="3F4C7815"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50.74</w:t>
            </w:r>
          </w:p>
        </w:tc>
        <w:tc>
          <w:tcPr>
            <w:tcW w:w="346" w:type="pct"/>
            <w:tcBorders>
              <w:top w:val="nil"/>
              <w:left w:val="nil"/>
              <w:bottom w:val="nil"/>
              <w:right w:val="nil"/>
            </w:tcBorders>
            <w:shd w:val="clear" w:color="auto" w:fill="auto"/>
            <w:noWrap/>
            <w:vAlign w:val="center"/>
            <w:hideMark/>
          </w:tcPr>
          <w:p w14:paraId="73A78DCD"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49.24</w:t>
            </w:r>
          </w:p>
        </w:tc>
        <w:tc>
          <w:tcPr>
            <w:tcW w:w="346" w:type="pct"/>
            <w:tcBorders>
              <w:top w:val="nil"/>
              <w:left w:val="nil"/>
              <w:bottom w:val="nil"/>
              <w:right w:val="nil"/>
            </w:tcBorders>
            <w:shd w:val="clear" w:color="auto" w:fill="auto"/>
            <w:noWrap/>
            <w:vAlign w:val="center"/>
            <w:hideMark/>
          </w:tcPr>
          <w:p w14:paraId="7DF7D8F2"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20.19</w:t>
            </w:r>
          </w:p>
        </w:tc>
        <w:tc>
          <w:tcPr>
            <w:tcW w:w="346" w:type="pct"/>
            <w:tcBorders>
              <w:top w:val="nil"/>
              <w:left w:val="nil"/>
              <w:bottom w:val="nil"/>
              <w:right w:val="nil"/>
            </w:tcBorders>
            <w:shd w:val="clear" w:color="auto" w:fill="auto"/>
            <w:noWrap/>
            <w:vAlign w:val="center"/>
            <w:hideMark/>
          </w:tcPr>
          <w:p w14:paraId="284AB646"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30.09</w:t>
            </w:r>
          </w:p>
        </w:tc>
        <w:tc>
          <w:tcPr>
            <w:tcW w:w="320" w:type="pct"/>
            <w:tcBorders>
              <w:top w:val="nil"/>
              <w:left w:val="nil"/>
              <w:bottom w:val="nil"/>
              <w:right w:val="nil"/>
            </w:tcBorders>
            <w:shd w:val="clear" w:color="auto" w:fill="auto"/>
            <w:noWrap/>
            <w:vAlign w:val="center"/>
            <w:hideMark/>
          </w:tcPr>
          <w:p w14:paraId="553F66BB"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20.41</w:t>
            </w:r>
          </w:p>
        </w:tc>
        <w:tc>
          <w:tcPr>
            <w:tcW w:w="374" w:type="pct"/>
            <w:tcBorders>
              <w:top w:val="nil"/>
              <w:left w:val="nil"/>
              <w:bottom w:val="nil"/>
              <w:right w:val="nil"/>
            </w:tcBorders>
            <w:shd w:val="clear" w:color="auto" w:fill="auto"/>
            <w:noWrap/>
            <w:vAlign w:val="center"/>
            <w:hideMark/>
          </w:tcPr>
          <w:p w14:paraId="7C5502D3"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1.47</w:t>
            </w:r>
          </w:p>
        </w:tc>
        <w:tc>
          <w:tcPr>
            <w:tcW w:w="400" w:type="pct"/>
            <w:tcBorders>
              <w:top w:val="nil"/>
              <w:left w:val="nil"/>
              <w:bottom w:val="nil"/>
              <w:right w:val="nil"/>
            </w:tcBorders>
            <w:shd w:val="clear" w:color="auto" w:fill="auto"/>
            <w:noWrap/>
            <w:vAlign w:val="center"/>
            <w:hideMark/>
          </w:tcPr>
          <w:p w14:paraId="645A5242"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1.54</w:t>
            </w:r>
          </w:p>
        </w:tc>
        <w:tc>
          <w:tcPr>
            <w:tcW w:w="317" w:type="pct"/>
            <w:tcBorders>
              <w:top w:val="nil"/>
              <w:left w:val="nil"/>
              <w:bottom w:val="nil"/>
              <w:right w:val="nil"/>
            </w:tcBorders>
            <w:shd w:val="clear" w:color="auto" w:fill="auto"/>
            <w:noWrap/>
            <w:vAlign w:val="center"/>
            <w:hideMark/>
          </w:tcPr>
          <w:p w14:paraId="7812A6AF"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0.35</w:t>
            </w:r>
          </w:p>
        </w:tc>
        <w:tc>
          <w:tcPr>
            <w:tcW w:w="317" w:type="pct"/>
            <w:tcBorders>
              <w:top w:val="nil"/>
              <w:left w:val="nil"/>
              <w:bottom w:val="nil"/>
              <w:right w:val="nil"/>
            </w:tcBorders>
            <w:shd w:val="clear" w:color="auto" w:fill="auto"/>
            <w:noWrap/>
            <w:vAlign w:val="center"/>
            <w:hideMark/>
          </w:tcPr>
          <w:p w14:paraId="7E917950"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0.27</w:t>
            </w:r>
          </w:p>
        </w:tc>
        <w:tc>
          <w:tcPr>
            <w:tcW w:w="317" w:type="pct"/>
            <w:tcBorders>
              <w:top w:val="nil"/>
              <w:left w:val="nil"/>
              <w:bottom w:val="nil"/>
              <w:right w:val="nil"/>
            </w:tcBorders>
            <w:shd w:val="clear" w:color="auto" w:fill="auto"/>
            <w:noWrap/>
            <w:vAlign w:val="center"/>
            <w:hideMark/>
          </w:tcPr>
          <w:p w14:paraId="2DE7E813"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0.39</w:t>
            </w:r>
          </w:p>
        </w:tc>
        <w:tc>
          <w:tcPr>
            <w:tcW w:w="317" w:type="pct"/>
            <w:tcBorders>
              <w:top w:val="nil"/>
              <w:left w:val="nil"/>
              <w:bottom w:val="nil"/>
              <w:right w:val="nil"/>
            </w:tcBorders>
            <w:shd w:val="clear" w:color="auto" w:fill="auto"/>
            <w:noWrap/>
            <w:vAlign w:val="center"/>
            <w:hideMark/>
          </w:tcPr>
          <w:p w14:paraId="34BEFE0A"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1.07</w:t>
            </w:r>
          </w:p>
        </w:tc>
        <w:tc>
          <w:tcPr>
            <w:tcW w:w="317" w:type="pct"/>
            <w:tcBorders>
              <w:top w:val="nil"/>
              <w:left w:val="nil"/>
              <w:bottom w:val="nil"/>
              <w:right w:val="nil"/>
            </w:tcBorders>
            <w:shd w:val="clear" w:color="auto" w:fill="auto"/>
            <w:noWrap/>
            <w:vAlign w:val="center"/>
            <w:hideMark/>
          </w:tcPr>
          <w:p w14:paraId="1E249702"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0.79</w:t>
            </w:r>
          </w:p>
        </w:tc>
        <w:tc>
          <w:tcPr>
            <w:tcW w:w="317" w:type="pct"/>
            <w:tcBorders>
              <w:top w:val="nil"/>
              <w:left w:val="nil"/>
              <w:bottom w:val="nil"/>
              <w:right w:val="nil"/>
            </w:tcBorders>
            <w:shd w:val="clear" w:color="auto" w:fill="auto"/>
            <w:noWrap/>
            <w:hideMark/>
          </w:tcPr>
          <w:p w14:paraId="7CC1E53D" w14:textId="321BE427" w:rsidR="00687D17" w:rsidRPr="00CE0DE7" w:rsidRDefault="00687D17" w:rsidP="00EB3316">
            <w:pPr>
              <w:jc w:val="right"/>
              <w:rPr>
                <w:rFonts w:eastAsia="Times New Roman"/>
                <w:color w:val="000000"/>
                <w:sz w:val="20"/>
                <w:szCs w:val="20"/>
                <w:lang w:val="en-GB" w:eastAsia="zh-CN"/>
              </w:rPr>
            </w:pPr>
            <w:r w:rsidRPr="00CE0DE7">
              <w:rPr>
                <w:sz w:val="20"/>
                <w:szCs w:val="20"/>
              </w:rPr>
              <w:t>2.03</w:t>
            </w:r>
          </w:p>
        </w:tc>
      </w:tr>
      <w:tr w:rsidR="00687D17" w:rsidRPr="00CE0DE7" w14:paraId="670F73A7" w14:textId="77777777" w:rsidTr="009A3796">
        <w:trPr>
          <w:trHeight w:val="300"/>
          <w:jc w:val="center"/>
        </w:trPr>
        <w:tc>
          <w:tcPr>
            <w:tcW w:w="620" w:type="pct"/>
            <w:tcBorders>
              <w:top w:val="nil"/>
              <w:left w:val="nil"/>
              <w:bottom w:val="nil"/>
              <w:right w:val="nil"/>
            </w:tcBorders>
            <w:shd w:val="clear" w:color="auto" w:fill="auto"/>
            <w:noWrap/>
            <w:vAlign w:val="center"/>
            <w:hideMark/>
          </w:tcPr>
          <w:p w14:paraId="31867A0D" w14:textId="3FB9C1F6" w:rsidR="00687D17" w:rsidRPr="00CE0DE7" w:rsidRDefault="00687D17" w:rsidP="00687D17">
            <w:pPr>
              <w:rPr>
                <w:rFonts w:eastAsia="Times New Roman"/>
                <w:color w:val="000000"/>
                <w:sz w:val="20"/>
                <w:szCs w:val="20"/>
                <w:lang w:val="en-GB" w:eastAsia="zh-CN"/>
              </w:rPr>
            </w:pPr>
            <w:r w:rsidRPr="00CE0DE7">
              <w:rPr>
                <w:rFonts w:eastAsia="Times New Roman"/>
                <w:color w:val="000000"/>
                <w:sz w:val="20"/>
                <w:szCs w:val="20"/>
                <w:lang w:val="en-GB" w:eastAsia="zh-CN"/>
              </w:rPr>
              <w:t>Skewness</w:t>
            </w:r>
          </w:p>
        </w:tc>
        <w:tc>
          <w:tcPr>
            <w:tcW w:w="346" w:type="pct"/>
            <w:tcBorders>
              <w:top w:val="nil"/>
              <w:left w:val="nil"/>
              <w:bottom w:val="nil"/>
              <w:right w:val="nil"/>
            </w:tcBorders>
            <w:shd w:val="clear" w:color="auto" w:fill="auto"/>
            <w:noWrap/>
            <w:vAlign w:val="center"/>
            <w:hideMark/>
          </w:tcPr>
          <w:p w14:paraId="0F051ECA"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-0.73</w:t>
            </w:r>
          </w:p>
        </w:tc>
        <w:tc>
          <w:tcPr>
            <w:tcW w:w="346" w:type="pct"/>
            <w:tcBorders>
              <w:top w:val="nil"/>
              <w:left w:val="nil"/>
              <w:bottom w:val="nil"/>
              <w:right w:val="nil"/>
            </w:tcBorders>
            <w:shd w:val="clear" w:color="auto" w:fill="auto"/>
            <w:noWrap/>
            <w:vAlign w:val="center"/>
            <w:hideMark/>
          </w:tcPr>
          <w:p w14:paraId="527AEB98"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-0.61</w:t>
            </w:r>
          </w:p>
        </w:tc>
        <w:tc>
          <w:tcPr>
            <w:tcW w:w="346" w:type="pct"/>
            <w:tcBorders>
              <w:top w:val="nil"/>
              <w:left w:val="nil"/>
              <w:bottom w:val="nil"/>
              <w:right w:val="nil"/>
            </w:tcBorders>
            <w:shd w:val="clear" w:color="auto" w:fill="auto"/>
            <w:noWrap/>
            <w:vAlign w:val="center"/>
            <w:hideMark/>
          </w:tcPr>
          <w:p w14:paraId="50AD199C"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-3.64</w:t>
            </w:r>
          </w:p>
        </w:tc>
        <w:tc>
          <w:tcPr>
            <w:tcW w:w="346" w:type="pct"/>
            <w:tcBorders>
              <w:top w:val="nil"/>
              <w:left w:val="nil"/>
              <w:bottom w:val="nil"/>
              <w:right w:val="nil"/>
            </w:tcBorders>
            <w:shd w:val="clear" w:color="auto" w:fill="auto"/>
            <w:noWrap/>
            <w:vAlign w:val="center"/>
            <w:hideMark/>
          </w:tcPr>
          <w:p w14:paraId="1BBC4506"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-6.93</w:t>
            </w:r>
          </w:p>
        </w:tc>
        <w:tc>
          <w:tcPr>
            <w:tcW w:w="320" w:type="pct"/>
            <w:tcBorders>
              <w:top w:val="nil"/>
              <w:left w:val="nil"/>
              <w:bottom w:val="nil"/>
              <w:right w:val="nil"/>
            </w:tcBorders>
            <w:shd w:val="clear" w:color="auto" w:fill="auto"/>
            <w:noWrap/>
            <w:vAlign w:val="center"/>
            <w:hideMark/>
          </w:tcPr>
          <w:p w14:paraId="20B0B85F"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3.63</w:t>
            </w:r>
          </w:p>
        </w:tc>
        <w:tc>
          <w:tcPr>
            <w:tcW w:w="374" w:type="pct"/>
            <w:tcBorders>
              <w:top w:val="nil"/>
              <w:left w:val="nil"/>
              <w:bottom w:val="nil"/>
              <w:right w:val="nil"/>
            </w:tcBorders>
            <w:shd w:val="clear" w:color="auto" w:fill="auto"/>
            <w:noWrap/>
            <w:vAlign w:val="center"/>
            <w:hideMark/>
          </w:tcPr>
          <w:p w14:paraId="369DC90A"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0.51</w:t>
            </w:r>
          </w:p>
        </w:tc>
        <w:tc>
          <w:tcPr>
            <w:tcW w:w="400" w:type="pct"/>
            <w:tcBorders>
              <w:top w:val="nil"/>
              <w:left w:val="nil"/>
              <w:bottom w:val="nil"/>
              <w:right w:val="nil"/>
            </w:tcBorders>
            <w:shd w:val="clear" w:color="auto" w:fill="auto"/>
            <w:noWrap/>
            <w:vAlign w:val="center"/>
            <w:hideMark/>
          </w:tcPr>
          <w:p w14:paraId="5E3644C5"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0.50</w:t>
            </w:r>
          </w:p>
        </w:tc>
        <w:tc>
          <w:tcPr>
            <w:tcW w:w="317" w:type="pct"/>
            <w:tcBorders>
              <w:top w:val="nil"/>
              <w:left w:val="nil"/>
              <w:bottom w:val="nil"/>
              <w:right w:val="nil"/>
            </w:tcBorders>
            <w:shd w:val="clear" w:color="auto" w:fill="auto"/>
            <w:noWrap/>
            <w:vAlign w:val="center"/>
            <w:hideMark/>
          </w:tcPr>
          <w:p w14:paraId="62F925FC"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2.16</w:t>
            </w:r>
          </w:p>
        </w:tc>
        <w:tc>
          <w:tcPr>
            <w:tcW w:w="317" w:type="pct"/>
            <w:tcBorders>
              <w:top w:val="nil"/>
              <w:left w:val="nil"/>
              <w:bottom w:val="nil"/>
              <w:right w:val="nil"/>
            </w:tcBorders>
            <w:shd w:val="clear" w:color="auto" w:fill="auto"/>
            <w:noWrap/>
            <w:vAlign w:val="center"/>
            <w:hideMark/>
          </w:tcPr>
          <w:p w14:paraId="0B332E62"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-0.17</w:t>
            </w:r>
          </w:p>
        </w:tc>
        <w:tc>
          <w:tcPr>
            <w:tcW w:w="317" w:type="pct"/>
            <w:tcBorders>
              <w:top w:val="nil"/>
              <w:left w:val="nil"/>
              <w:bottom w:val="nil"/>
              <w:right w:val="nil"/>
            </w:tcBorders>
            <w:shd w:val="clear" w:color="auto" w:fill="auto"/>
            <w:noWrap/>
            <w:vAlign w:val="center"/>
            <w:hideMark/>
          </w:tcPr>
          <w:p w14:paraId="4587266A"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3.19</w:t>
            </w:r>
          </w:p>
        </w:tc>
        <w:tc>
          <w:tcPr>
            <w:tcW w:w="317" w:type="pct"/>
            <w:tcBorders>
              <w:top w:val="nil"/>
              <w:left w:val="nil"/>
              <w:bottom w:val="nil"/>
              <w:right w:val="nil"/>
            </w:tcBorders>
            <w:shd w:val="clear" w:color="auto" w:fill="auto"/>
            <w:noWrap/>
            <w:vAlign w:val="center"/>
            <w:hideMark/>
          </w:tcPr>
          <w:p w14:paraId="6CD98EEA"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-0.12</w:t>
            </w:r>
          </w:p>
        </w:tc>
        <w:tc>
          <w:tcPr>
            <w:tcW w:w="317" w:type="pct"/>
            <w:tcBorders>
              <w:top w:val="nil"/>
              <w:left w:val="nil"/>
              <w:bottom w:val="nil"/>
              <w:right w:val="nil"/>
            </w:tcBorders>
            <w:shd w:val="clear" w:color="auto" w:fill="auto"/>
            <w:noWrap/>
            <w:vAlign w:val="center"/>
            <w:hideMark/>
          </w:tcPr>
          <w:p w14:paraId="714CA21D"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-0.76</w:t>
            </w:r>
          </w:p>
        </w:tc>
        <w:tc>
          <w:tcPr>
            <w:tcW w:w="317" w:type="pct"/>
            <w:tcBorders>
              <w:top w:val="nil"/>
              <w:left w:val="nil"/>
              <w:bottom w:val="nil"/>
              <w:right w:val="nil"/>
            </w:tcBorders>
            <w:shd w:val="clear" w:color="auto" w:fill="auto"/>
            <w:noWrap/>
            <w:hideMark/>
          </w:tcPr>
          <w:p w14:paraId="23F41D29" w14:textId="730C7991" w:rsidR="00687D17" w:rsidRPr="00CE0DE7" w:rsidRDefault="00687D17" w:rsidP="00EB3316">
            <w:pPr>
              <w:jc w:val="right"/>
              <w:rPr>
                <w:rFonts w:eastAsia="Times New Roman"/>
                <w:color w:val="000000"/>
                <w:sz w:val="20"/>
                <w:szCs w:val="20"/>
                <w:lang w:val="en-GB" w:eastAsia="zh-CN"/>
              </w:rPr>
            </w:pPr>
            <w:r w:rsidRPr="00CE0DE7">
              <w:rPr>
                <w:sz w:val="20"/>
                <w:szCs w:val="20"/>
              </w:rPr>
              <w:t>-0.26</w:t>
            </w:r>
          </w:p>
        </w:tc>
      </w:tr>
      <w:tr w:rsidR="00687D17" w:rsidRPr="00CE0DE7" w14:paraId="771A52B4" w14:textId="77777777" w:rsidTr="009A3796">
        <w:trPr>
          <w:trHeight w:val="300"/>
          <w:jc w:val="center"/>
        </w:trPr>
        <w:tc>
          <w:tcPr>
            <w:tcW w:w="620" w:type="pct"/>
            <w:tcBorders>
              <w:top w:val="nil"/>
              <w:left w:val="nil"/>
              <w:bottom w:val="nil"/>
              <w:right w:val="nil"/>
            </w:tcBorders>
            <w:shd w:val="clear" w:color="auto" w:fill="auto"/>
            <w:noWrap/>
            <w:vAlign w:val="center"/>
            <w:hideMark/>
          </w:tcPr>
          <w:p w14:paraId="56D4ABA1" w14:textId="0CC01386" w:rsidR="00687D17" w:rsidRPr="00CE0DE7" w:rsidRDefault="00687D17" w:rsidP="00687D17">
            <w:pPr>
              <w:rPr>
                <w:rFonts w:eastAsia="Times New Roman"/>
                <w:color w:val="000000"/>
                <w:sz w:val="20"/>
                <w:szCs w:val="20"/>
                <w:lang w:val="en-GB" w:eastAsia="zh-CN"/>
              </w:rPr>
            </w:pPr>
            <w:r w:rsidRPr="00CE0DE7">
              <w:rPr>
                <w:rFonts w:eastAsia="Times New Roman"/>
                <w:color w:val="000000"/>
                <w:sz w:val="20"/>
                <w:szCs w:val="20"/>
                <w:lang w:val="en-GB" w:eastAsia="zh-CN"/>
              </w:rPr>
              <w:t>Kurtosis</w:t>
            </w:r>
          </w:p>
        </w:tc>
        <w:tc>
          <w:tcPr>
            <w:tcW w:w="346" w:type="pct"/>
            <w:tcBorders>
              <w:top w:val="nil"/>
              <w:left w:val="nil"/>
              <w:bottom w:val="nil"/>
              <w:right w:val="nil"/>
            </w:tcBorders>
            <w:shd w:val="clear" w:color="auto" w:fill="auto"/>
            <w:noWrap/>
            <w:vAlign w:val="center"/>
            <w:hideMark/>
          </w:tcPr>
          <w:p w14:paraId="37C910C9"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4.54</w:t>
            </w:r>
          </w:p>
        </w:tc>
        <w:tc>
          <w:tcPr>
            <w:tcW w:w="346" w:type="pct"/>
            <w:tcBorders>
              <w:top w:val="nil"/>
              <w:left w:val="nil"/>
              <w:bottom w:val="nil"/>
              <w:right w:val="nil"/>
            </w:tcBorders>
            <w:shd w:val="clear" w:color="auto" w:fill="auto"/>
            <w:noWrap/>
            <w:vAlign w:val="center"/>
            <w:hideMark/>
          </w:tcPr>
          <w:p w14:paraId="3795CBEE"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4.26</w:t>
            </w:r>
          </w:p>
        </w:tc>
        <w:tc>
          <w:tcPr>
            <w:tcW w:w="346" w:type="pct"/>
            <w:tcBorders>
              <w:top w:val="nil"/>
              <w:left w:val="nil"/>
              <w:bottom w:val="nil"/>
              <w:right w:val="nil"/>
            </w:tcBorders>
            <w:shd w:val="clear" w:color="auto" w:fill="auto"/>
            <w:noWrap/>
            <w:vAlign w:val="center"/>
            <w:hideMark/>
          </w:tcPr>
          <w:p w14:paraId="08BD4C4C"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56.24</w:t>
            </w:r>
          </w:p>
        </w:tc>
        <w:tc>
          <w:tcPr>
            <w:tcW w:w="346" w:type="pct"/>
            <w:tcBorders>
              <w:top w:val="nil"/>
              <w:left w:val="nil"/>
              <w:bottom w:val="nil"/>
              <w:right w:val="nil"/>
            </w:tcBorders>
            <w:shd w:val="clear" w:color="auto" w:fill="auto"/>
            <w:noWrap/>
            <w:vAlign w:val="center"/>
            <w:hideMark/>
          </w:tcPr>
          <w:p w14:paraId="6124A320"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96.23</w:t>
            </w:r>
          </w:p>
        </w:tc>
        <w:tc>
          <w:tcPr>
            <w:tcW w:w="320" w:type="pct"/>
            <w:tcBorders>
              <w:top w:val="nil"/>
              <w:left w:val="nil"/>
              <w:bottom w:val="nil"/>
              <w:right w:val="nil"/>
            </w:tcBorders>
            <w:shd w:val="clear" w:color="auto" w:fill="auto"/>
            <w:noWrap/>
            <w:vAlign w:val="center"/>
            <w:hideMark/>
          </w:tcPr>
          <w:p w14:paraId="5592E036"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27.80</w:t>
            </w:r>
          </w:p>
        </w:tc>
        <w:tc>
          <w:tcPr>
            <w:tcW w:w="374" w:type="pct"/>
            <w:tcBorders>
              <w:top w:val="nil"/>
              <w:left w:val="nil"/>
              <w:bottom w:val="nil"/>
              <w:right w:val="nil"/>
            </w:tcBorders>
            <w:shd w:val="clear" w:color="auto" w:fill="auto"/>
            <w:noWrap/>
            <w:vAlign w:val="center"/>
            <w:hideMark/>
          </w:tcPr>
          <w:p w14:paraId="7EB04C6F"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2.19</w:t>
            </w:r>
          </w:p>
        </w:tc>
        <w:tc>
          <w:tcPr>
            <w:tcW w:w="400" w:type="pct"/>
            <w:tcBorders>
              <w:top w:val="nil"/>
              <w:left w:val="nil"/>
              <w:bottom w:val="nil"/>
              <w:right w:val="nil"/>
            </w:tcBorders>
            <w:shd w:val="clear" w:color="auto" w:fill="auto"/>
            <w:noWrap/>
            <w:vAlign w:val="center"/>
            <w:hideMark/>
          </w:tcPr>
          <w:p w14:paraId="4C712FD7"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2.11</w:t>
            </w:r>
          </w:p>
        </w:tc>
        <w:tc>
          <w:tcPr>
            <w:tcW w:w="317" w:type="pct"/>
            <w:tcBorders>
              <w:top w:val="nil"/>
              <w:left w:val="nil"/>
              <w:bottom w:val="nil"/>
              <w:right w:val="nil"/>
            </w:tcBorders>
            <w:shd w:val="clear" w:color="auto" w:fill="auto"/>
            <w:noWrap/>
            <w:vAlign w:val="center"/>
            <w:hideMark/>
          </w:tcPr>
          <w:p w14:paraId="2D452C24"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9.96</w:t>
            </w:r>
          </w:p>
        </w:tc>
        <w:tc>
          <w:tcPr>
            <w:tcW w:w="317" w:type="pct"/>
            <w:tcBorders>
              <w:top w:val="nil"/>
              <w:left w:val="nil"/>
              <w:bottom w:val="nil"/>
              <w:right w:val="nil"/>
            </w:tcBorders>
            <w:shd w:val="clear" w:color="auto" w:fill="auto"/>
            <w:noWrap/>
            <w:vAlign w:val="center"/>
            <w:hideMark/>
          </w:tcPr>
          <w:p w14:paraId="51BB1D2B"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2.73</w:t>
            </w:r>
          </w:p>
        </w:tc>
        <w:tc>
          <w:tcPr>
            <w:tcW w:w="317" w:type="pct"/>
            <w:tcBorders>
              <w:top w:val="nil"/>
              <w:left w:val="nil"/>
              <w:bottom w:val="nil"/>
              <w:right w:val="nil"/>
            </w:tcBorders>
            <w:shd w:val="clear" w:color="auto" w:fill="auto"/>
            <w:noWrap/>
            <w:vAlign w:val="center"/>
            <w:hideMark/>
          </w:tcPr>
          <w:p w14:paraId="125AEE63"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16.97</w:t>
            </w:r>
          </w:p>
        </w:tc>
        <w:tc>
          <w:tcPr>
            <w:tcW w:w="317" w:type="pct"/>
            <w:tcBorders>
              <w:top w:val="nil"/>
              <w:left w:val="nil"/>
              <w:bottom w:val="nil"/>
              <w:right w:val="nil"/>
            </w:tcBorders>
            <w:shd w:val="clear" w:color="auto" w:fill="auto"/>
            <w:noWrap/>
            <w:vAlign w:val="center"/>
            <w:hideMark/>
          </w:tcPr>
          <w:p w14:paraId="457817CB"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2.08</w:t>
            </w:r>
          </w:p>
        </w:tc>
        <w:tc>
          <w:tcPr>
            <w:tcW w:w="317" w:type="pct"/>
            <w:tcBorders>
              <w:top w:val="nil"/>
              <w:left w:val="nil"/>
              <w:bottom w:val="nil"/>
              <w:right w:val="nil"/>
            </w:tcBorders>
            <w:shd w:val="clear" w:color="auto" w:fill="auto"/>
            <w:noWrap/>
            <w:vAlign w:val="center"/>
            <w:hideMark/>
          </w:tcPr>
          <w:p w14:paraId="2B3599B1" w14:textId="77777777" w:rsidR="00687D17" w:rsidRPr="00CE0DE7" w:rsidRDefault="00687D17"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3.71</w:t>
            </w:r>
          </w:p>
        </w:tc>
        <w:tc>
          <w:tcPr>
            <w:tcW w:w="317" w:type="pct"/>
            <w:tcBorders>
              <w:top w:val="nil"/>
              <w:left w:val="nil"/>
              <w:bottom w:val="nil"/>
              <w:right w:val="nil"/>
            </w:tcBorders>
            <w:shd w:val="clear" w:color="auto" w:fill="auto"/>
            <w:noWrap/>
            <w:hideMark/>
          </w:tcPr>
          <w:p w14:paraId="4255F810" w14:textId="40A0A1DE" w:rsidR="00687D17" w:rsidRPr="00CE0DE7" w:rsidRDefault="00687D17" w:rsidP="00EB3316">
            <w:pPr>
              <w:jc w:val="right"/>
              <w:rPr>
                <w:rFonts w:eastAsia="Times New Roman"/>
                <w:color w:val="000000"/>
                <w:sz w:val="20"/>
                <w:szCs w:val="20"/>
                <w:lang w:val="en-GB" w:eastAsia="zh-CN"/>
              </w:rPr>
            </w:pPr>
            <w:r w:rsidRPr="00CE0DE7">
              <w:rPr>
                <w:sz w:val="20"/>
                <w:szCs w:val="20"/>
              </w:rPr>
              <w:t>2.32</w:t>
            </w:r>
          </w:p>
        </w:tc>
      </w:tr>
      <w:tr w:rsidR="00687D17" w:rsidRPr="00CE0DE7" w14:paraId="3E0F33D5" w14:textId="77777777" w:rsidTr="009A3796">
        <w:trPr>
          <w:trHeight w:val="300"/>
          <w:jc w:val="center"/>
        </w:trPr>
        <w:tc>
          <w:tcPr>
            <w:tcW w:w="620" w:type="pct"/>
            <w:tcBorders>
              <w:top w:val="nil"/>
              <w:left w:val="nil"/>
              <w:bottom w:val="nil"/>
              <w:right w:val="nil"/>
            </w:tcBorders>
            <w:shd w:val="clear" w:color="auto" w:fill="auto"/>
            <w:noWrap/>
            <w:vAlign w:val="center"/>
            <w:hideMark/>
          </w:tcPr>
          <w:p w14:paraId="6B2C51A0" w14:textId="183A3997" w:rsidR="00C30160" w:rsidRPr="00CE0DE7" w:rsidRDefault="00C30160" w:rsidP="00EB3316">
            <w:pPr>
              <w:rPr>
                <w:rFonts w:eastAsia="Times New Roman"/>
                <w:color w:val="000000"/>
                <w:sz w:val="20"/>
                <w:szCs w:val="20"/>
                <w:lang w:val="en-GB" w:eastAsia="zh-CN"/>
              </w:rPr>
            </w:pPr>
            <w:r w:rsidRPr="00CE0DE7">
              <w:rPr>
                <w:rFonts w:eastAsia="Times New Roman"/>
                <w:color w:val="000000"/>
                <w:sz w:val="20"/>
                <w:szCs w:val="20"/>
                <w:lang w:val="en-GB" w:eastAsia="zh-CN"/>
              </w:rPr>
              <w:t>Observations</w:t>
            </w:r>
          </w:p>
        </w:tc>
        <w:tc>
          <w:tcPr>
            <w:tcW w:w="346" w:type="pct"/>
            <w:tcBorders>
              <w:top w:val="nil"/>
              <w:left w:val="nil"/>
              <w:bottom w:val="nil"/>
              <w:right w:val="nil"/>
            </w:tcBorders>
            <w:shd w:val="clear" w:color="auto" w:fill="auto"/>
            <w:noWrap/>
            <w:vAlign w:val="center"/>
            <w:hideMark/>
          </w:tcPr>
          <w:p w14:paraId="1E444CA8"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348</w:t>
            </w:r>
          </w:p>
        </w:tc>
        <w:tc>
          <w:tcPr>
            <w:tcW w:w="346" w:type="pct"/>
            <w:tcBorders>
              <w:top w:val="nil"/>
              <w:left w:val="nil"/>
              <w:bottom w:val="nil"/>
              <w:right w:val="nil"/>
            </w:tcBorders>
            <w:shd w:val="clear" w:color="auto" w:fill="auto"/>
            <w:noWrap/>
            <w:vAlign w:val="center"/>
            <w:hideMark/>
          </w:tcPr>
          <w:p w14:paraId="3D3D814E"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348</w:t>
            </w:r>
          </w:p>
        </w:tc>
        <w:tc>
          <w:tcPr>
            <w:tcW w:w="346" w:type="pct"/>
            <w:tcBorders>
              <w:top w:val="nil"/>
              <w:left w:val="nil"/>
              <w:bottom w:val="nil"/>
              <w:right w:val="nil"/>
            </w:tcBorders>
            <w:shd w:val="clear" w:color="auto" w:fill="auto"/>
            <w:noWrap/>
            <w:vAlign w:val="center"/>
            <w:hideMark/>
          </w:tcPr>
          <w:p w14:paraId="7B96509E"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348</w:t>
            </w:r>
          </w:p>
        </w:tc>
        <w:tc>
          <w:tcPr>
            <w:tcW w:w="346" w:type="pct"/>
            <w:tcBorders>
              <w:top w:val="nil"/>
              <w:left w:val="nil"/>
              <w:bottom w:val="nil"/>
              <w:right w:val="nil"/>
            </w:tcBorders>
            <w:shd w:val="clear" w:color="auto" w:fill="auto"/>
            <w:noWrap/>
            <w:vAlign w:val="center"/>
            <w:hideMark/>
          </w:tcPr>
          <w:p w14:paraId="509FC1F2"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348</w:t>
            </w:r>
          </w:p>
        </w:tc>
        <w:tc>
          <w:tcPr>
            <w:tcW w:w="320" w:type="pct"/>
            <w:tcBorders>
              <w:top w:val="nil"/>
              <w:left w:val="nil"/>
              <w:bottom w:val="nil"/>
              <w:right w:val="nil"/>
            </w:tcBorders>
            <w:shd w:val="clear" w:color="auto" w:fill="auto"/>
            <w:noWrap/>
            <w:vAlign w:val="center"/>
            <w:hideMark/>
          </w:tcPr>
          <w:p w14:paraId="1BE04732"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348</w:t>
            </w:r>
          </w:p>
        </w:tc>
        <w:tc>
          <w:tcPr>
            <w:tcW w:w="374" w:type="pct"/>
            <w:tcBorders>
              <w:top w:val="nil"/>
              <w:left w:val="nil"/>
              <w:bottom w:val="nil"/>
              <w:right w:val="nil"/>
            </w:tcBorders>
            <w:shd w:val="clear" w:color="auto" w:fill="auto"/>
            <w:noWrap/>
            <w:vAlign w:val="center"/>
            <w:hideMark/>
          </w:tcPr>
          <w:p w14:paraId="0617FA52"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348</w:t>
            </w:r>
          </w:p>
        </w:tc>
        <w:tc>
          <w:tcPr>
            <w:tcW w:w="400" w:type="pct"/>
            <w:tcBorders>
              <w:top w:val="nil"/>
              <w:left w:val="nil"/>
              <w:bottom w:val="nil"/>
              <w:right w:val="nil"/>
            </w:tcBorders>
            <w:shd w:val="clear" w:color="auto" w:fill="auto"/>
            <w:noWrap/>
            <w:vAlign w:val="center"/>
            <w:hideMark/>
          </w:tcPr>
          <w:p w14:paraId="60EAD542"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348</w:t>
            </w:r>
          </w:p>
        </w:tc>
        <w:tc>
          <w:tcPr>
            <w:tcW w:w="317" w:type="pct"/>
            <w:tcBorders>
              <w:top w:val="nil"/>
              <w:left w:val="nil"/>
              <w:bottom w:val="nil"/>
              <w:right w:val="nil"/>
            </w:tcBorders>
            <w:shd w:val="clear" w:color="auto" w:fill="auto"/>
            <w:noWrap/>
            <w:vAlign w:val="center"/>
            <w:hideMark/>
          </w:tcPr>
          <w:p w14:paraId="2C042B08"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348</w:t>
            </w:r>
          </w:p>
        </w:tc>
        <w:tc>
          <w:tcPr>
            <w:tcW w:w="317" w:type="pct"/>
            <w:tcBorders>
              <w:top w:val="nil"/>
              <w:left w:val="nil"/>
              <w:bottom w:val="nil"/>
              <w:right w:val="nil"/>
            </w:tcBorders>
            <w:shd w:val="clear" w:color="auto" w:fill="auto"/>
            <w:noWrap/>
            <w:vAlign w:val="center"/>
            <w:hideMark/>
          </w:tcPr>
          <w:p w14:paraId="36F39485"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348</w:t>
            </w:r>
          </w:p>
        </w:tc>
        <w:tc>
          <w:tcPr>
            <w:tcW w:w="317" w:type="pct"/>
            <w:tcBorders>
              <w:top w:val="nil"/>
              <w:left w:val="nil"/>
              <w:bottom w:val="nil"/>
              <w:right w:val="nil"/>
            </w:tcBorders>
            <w:shd w:val="clear" w:color="auto" w:fill="auto"/>
            <w:noWrap/>
            <w:vAlign w:val="center"/>
            <w:hideMark/>
          </w:tcPr>
          <w:p w14:paraId="39957826"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348</w:t>
            </w:r>
          </w:p>
        </w:tc>
        <w:tc>
          <w:tcPr>
            <w:tcW w:w="317" w:type="pct"/>
            <w:tcBorders>
              <w:top w:val="nil"/>
              <w:left w:val="nil"/>
              <w:bottom w:val="nil"/>
              <w:right w:val="nil"/>
            </w:tcBorders>
            <w:shd w:val="clear" w:color="auto" w:fill="auto"/>
            <w:noWrap/>
            <w:vAlign w:val="center"/>
            <w:hideMark/>
          </w:tcPr>
          <w:p w14:paraId="362F2EBC"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348</w:t>
            </w:r>
          </w:p>
        </w:tc>
        <w:tc>
          <w:tcPr>
            <w:tcW w:w="317" w:type="pct"/>
            <w:tcBorders>
              <w:top w:val="nil"/>
              <w:left w:val="nil"/>
              <w:bottom w:val="nil"/>
              <w:right w:val="nil"/>
            </w:tcBorders>
            <w:shd w:val="clear" w:color="auto" w:fill="auto"/>
            <w:noWrap/>
            <w:vAlign w:val="center"/>
            <w:hideMark/>
          </w:tcPr>
          <w:p w14:paraId="4B20AF79"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348</w:t>
            </w:r>
          </w:p>
        </w:tc>
        <w:tc>
          <w:tcPr>
            <w:tcW w:w="317" w:type="pct"/>
            <w:tcBorders>
              <w:top w:val="nil"/>
              <w:left w:val="nil"/>
              <w:bottom w:val="nil"/>
              <w:right w:val="nil"/>
            </w:tcBorders>
            <w:shd w:val="clear" w:color="auto" w:fill="auto"/>
            <w:noWrap/>
            <w:vAlign w:val="center"/>
            <w:hideMark/>
          </w:tcPr>
          <w:p w14:paraId="3FF8923E"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348</w:t>
            </w:r>
          </w:p>
        </w:tc>
      </w:tr>
      <w:tr w:rsidR="00687D17" w:rsidRPr="00CE0DE7" w14:paraId="65E8F5EB" w14:textId="77777777" w:rsidTr="009A3796">
        <w:trPr>
          <w:trHeight w:val="300"/>
          <w:jc w:val="center"/>
        </w:trPr>
        <w:tc>
          <w:tcPr>
            <w:tcW w:w="620" w:type="pct"/>
            <w:tcBorders>
              <w:top w:val="nil"/>
              <w:left w:val="nil"/>
              <w:bottom w:val="nil"/>
              <w:right w:val="nil"/>
            </w:tcBorders>
            <w:shd w:val="clear" w:color="auto" w:fill="auto"/>
            <w:noWrap/>
            <w:vAlign w:val="center"/>
            <w:hideMark/>
          </w:tcPr>
          <w:p w14:paraId="68444E04"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Autocorrelation</w:t>
            </w:r>
          </w:p>
        </w:tc>
        <w:tc>
          <w:tcPr>
            <w:tcW w:w="346" w:type="pct"/>
            <w:tcBorders>
              <w:top w:val="nil"/>
              <w:left w:val="nil"/>
              <w:bottom w:val="nil"/>
              <w:right w:val="nil"/>
            </w:tcBorders>
            <w:shd w:val="clear" w:color="auto" w:fill="auto"/>
            <w:noWrap/>
            <w:vAlign w:val="center"/>
            <w:hideMark/>
          </w:tcPr>
          <w:p w14:paraId="1F71CEEA" w14:textId="77777777" w:rsidR="00C30160" w:rsidRPr="00CE0DE7" w:rsidRDefault="00C30160" w:rsidP="00EB3316">
            <w:pPr>
              <w:jc w:val="right"/>
              <w:rPr>
                <w:rFonts w:eastAsia="Times New Roman"/>
                <w:color w:val="000000"/>
                <w:sz w:val="20"/>
                <w:szCs w:val="20"/>
                <w:lang w:val="en-GB" w:eastAsia="zh-CN"/>
              </w:rPr>
            </w:pPr>
          </w:p>
        </w:tc>
        <w:tc>
          <w:tcPr>
            <w:tcW w:w="346" w:type="pct"/>
            <w:tcBorders>
              <w:top w:val="nil"/>
              <w:left w:val="nil"/>
              <w:bottom w:val="nil"/>
              <w:right w:val="nil"/>
            </w:tcBorders>
            <w:shd w:val="clear" w:color="auto" w:fill="auto"/>
            <w:noWrap/>
            <w:vAlign w:val="center"/>
            <w:hideMark/>
          </w:tcPr>
          <w:p w14:paraId="6C1BAA37" w14:textId="77777777" w:rsidR="00C30160" w:rsidRPr="00CE0DE7" w:rsidRDefault="00C30160" w:rsidP="00EB3316">
            <w:pPr>
              <w:jc w:val="right"/>
              <w:rPr>
                <w:rFonts w:eastAsia="Times New Roman"/>
                <w:sz w:val="20"/>
                <w:szCs w:val="20"/>
                <w:lang w:val="en-GB" w:eastAsia="zh-CN"/>
              </w:rPr>
            </w:pPr>
          </w:p>
        </w:tc>
        <w:tc>
          <w:tcPr>
            <w:tcW w:w="346" w:type="pct"/>
            <w:tcBorders>
              <w:top w:val="nil"/>
              <w:left w:val="nil"/>
              <w:bottom w:val="nil"/>
              <w:right w:val="nil"/>
            </w:tcBorders>
            <w:shd w:val="clear" w:color="auto" w:fill="auto"/>
            <w:noWrap/>
            <w:vAlign w:val="center"/>
            <w:hideMark/>
          </w:tcPr>
          <w:p w14:paraId="7C5DFD8F" w14:textId="77777777" w:rsidR="00C30160" w:rsidRPr="00CE0DE7" w:rsidRDefault="00C30160" w:rsidP="00EB3316">
            <w:pPr>
              <w:jc w:val="right"/>
              <w:rPr>
                <w:rFonts w:eastAsia="Times New Roman"/>
                <w:sz w:val="20"/>
                <w:szCs w:val="20"/>
                <w:lang w:val="en-GB" w:eastAsia="zh-CN"/>
              </w:rPr>
            </w:pPr>
          </w:p>
        </w:tc>
        <w:tc>
          <w:tcPr>
            <w:tcW w:w="346" w:type="pct"/>
            <w:tcBorders>
              <w:top w:val="nil"/>
              <w:left w:val="nil"/>
              <w:bottom w:val="nil"/>
              <w:right w:val="nil"/>
            </w:tcBorders>
            <w:shd w:val="clear" w:color="auto" w:fill="auto"/>
            <w:noWrap/>
            <w:vAlign w:val="center"/>
            <w:hideMark/>
          </w:tcPr>
          <w:p w14:paraId="3CD54146" w14:textId="77777777" w:rsidR="00C30160" w:rsidRPr="00CE0DE7" w:rsidRDefault="00C30160" w:rsidP="00EB3316">
            <w:pPr>
              <w:jc w:val="right"/>
              <w:rPr>
                <w:rFonts w:eastAsia="Times New Roman"/>
                <w:sz w:val="20"/>
                <w:szCs w:val="20"/>
                <w:lang w:val="en-GB" w:eastAsia="zh-CN"/>
              </w:rPr>
            </w:pPr>
          </w:p>
        </w:tc>
        <w:tc>
          <w:tcPr>
            <w:tcW w:w="320" w:type="pct"/>
            <w:tcBorders>
              <w:top w:val="nil"/>
              <w:left w:val="nil"/>
              <w:bottom w:val="nil"/>
              <w:right w:val="nil"/>
            </w:tcBorders>
            <w:shd w:val="clear" w:color="auto" w:fill="auto"/>
            <w:noWrap/>
            <w:vAlign w:val="center"/>
            <w:hideMark/>
          </w:tcPr>
          <w:p w14:paraId="5C35EAAD" w14:textId="77777777" w:rsidR="00C30160" w:rsidRPr="00CE0DE7" w:rsidRDefault="00C30160" w:rsidP="00EB3316">
            <w:pPr>
              <w:jc w:val="right"/>
              <w:rPr>
                <w:rFonts w:eastAsia="Times New Roman"/>
                <w:sz w:val="20"/>
                <w:szCs w:val="20"/>
                <w:lang w:val="en-GB" w:eastAsia="zh-CN"/>
              </w:rPr>
            </w:pPr>
          </w:p>
        </w:tc>
        <w:tc>
          <w:tcPr>
            <w:tcW w:w="374" w:type="pct"/>
            <w:tcBorders>
              <w:top w:val="nil"/>
              <w:left w:val="nil"/>
              <w:bottom w:val="nil"/>
              <w:right w:val="nil"/>
            </w:tcBorders>
            <w:shd w:val="clear" w:color="auto" w:fill="auto"/>
            <w:noWrap/>
            <w:vAlign w:val="center"/>
            <w:hideMark/>
          </w:tcPr>
          <w:p w14:paraId="1B78DD4B" w14:textId="77777777" w:rsidR="00C30160" w:rsidRPr="00CE0DE7" w:rsidRDefault="00C30160" w:rsidP="00EB3316">
            <w:pPr>
              <w:jc w:val="right"/>
              <w:rPr>
                <w:rFonts w:eastAsia="Times New Roman"/>
                <w:sz w:val="20"/>
                <w:szCs w:val="20"/>
                <w:lang w:val="en-GB" w:eastAsia="zh-CN"/>
              </w:rPr>
            </w:pPr>
          </w:p>
        </w:tc>
        <w:tc>
          <w:tcPr>
            <w:tcW w:w="400" w:type="pct"/>
            <w:tcBorders>
              <w:top w:val="nil"/>
              <w:left w:val="nil"/>
              <w:bottom w:val="nil"/>
              <w:right w:val="nil"/>
            </w:tcBorders>
            <w:shd w:val="clear" w:color="auto" w:fill="auto"/>
            <w:noWrap/>
            <w:vAlign w:val="center"/>
            <w:hideMark/>
          </w:tcPr>
          <w:p w14:paraId="06CE560C" w14:textId="77777777" w:rsidR="00C30160" w:rsidRPr="00CE0DE7" w:rsidRDefault="00C30160" w:rsidP="00EB3316">
            <w:pPr>
              <w:jc w:val="right"/>
              <w:rPr>
                <w:rFonts w:eastAsia="Times New Roman"/>
                <w:sz w:val="20"/>
                <w:szCs w:val="20"/>
                <w:lang w:val="en-GB" w:eastAsia="zh-CN"/>
              </w:rPr>
            </w:pPr>
          </w:p>
        </w:tc>
        <w:tc>
          <w:tcPr>
            <w:tcW w:w="317" w:type="pct"/>
            <w:tcBorders>
              <w:top w:val="nil"/>
              <w:left w:val="nil"/>
              <w:bottom w:val="nil"/>
              <w:right w:val="nil"/>
            </w:tcBorders>
            <w:shd w:val="clear" w:color="auto" w:fill="auto"/>
            <w:noWrap/>
            <w:vAlign w:val="center"/>
            <w:hideMark/>
          </w:tcPr>
          <w:p w14:paraId="34C7CEFF" w14:textId="77777777" w:rsidR="00C30160" w:rsidRPr="00CE0DE7" w:rsidRDefault="00C30160" w:rsidP="00EB3316">
            <w:pPr>
              <w:jc w:val="right"/>
              <w:rPr>
                <w:rFonts w:eastAsia="Times New Roman"/>
                <w:sz w:val="20"/>
                <w:szCs w:val="20"/>
                <w:lang w:val="en-GB" w:eastAsia="zh-CN"/>
              </w:rPr>
            </w:pPr>
          </w:p>
        </w:tc>
        <w:tc>
          <w:tcPr>
            <w:tcW w:w="317" w:type="pct"/>
            <w:tcBorders>
              <w:top w:val="nil"/>
              <w:left w:val="nil"/>
              <w:bottom w:val="nil"/>
              <w:right w:val="nil"/>
            </w:tcBorders>
            <w:shd w:val="clear" w:color="auto" w:fill="auto"/>
            <w:noWrap/>
            <w:vAlign w:val="center"/>
            <w:hideMark/>
          </w:tcPr>
          <w:p w14:paraId="705CCECC" w14:textId="77777777" w:rsidR="00C30160" w:rsidRPr="00CE0DE7" w:rsidRDefault="00C30160" w:rsidP="00EB3316">
            <w:pPr>
              <w:jc w:val="right"/>
              <w:rPr>
                <w:rFonts w:eastAsia="Times New Roman"/>
                <w:sz w:val="20"/>
                <w:szCs w:val="20"/>
                <w:lang w:val="en-GB" w:eastAsia="zh-CN"/>
              </w:rPr>
            </w:pPr>
          </w:p>
        </w:tc>
        <w:tc>
          <w:tcPr>
            <w:tcW w:w="317" w:type="pct"/>
            <w:tcBorders>
              <w:top w:val="nil"/>
              <w:left w:val="nil"/>
              <w:bottom w:val="nil"/>
              <w:right w:val="nil"/>
            </w:tcBorders>
            <w:shd w:val="clear" w:color="auto" w:fill="auto"/>
            <w:noWrap/>
            <w:vAlign w:val="center"/>
            <w:hideMark/>
          </w:tcPr>
          <w:p w14:paraId="337650DC" w14:textId="77777777" w:rsidR="00C30160" w:rsidRPr="00CE0DE7" w:rsidRDefault="00C30160" w:rsidP="00EB3316">
            <w:pPr>
              <w:jc w:val="right"/>
              <w:rPr>
                <w:rFonts w:eastAsia="Times New Roman"/>
                <w:sz w:val="20"/>
                <w:szCs w:val="20"/>
                <w:lang w:val="en-GB" w:eastAsia="zh-CN"/>
              </w:rPr>
            </w:pPr>
          </w:p>
        </w:tc>
        <w:tc>
          <w:tcPr>
            <w:tcW w:w="317" w:type="pct"/>
            <w:tcBorders>
              <w:top w:val="nil"/>
              <w:left w:val="nil"/>
              <w:bottom w:val="nil"/>
              <w:right w:val="nil"/>
            </w:tcBorders>
            <w:shd w:val="clear" w:color="auto" w:fill="auto"/>
            <w:noWrap/>
            <w:vAlign w:val="center"/>
            <w:hideMark/>
          </w:tcPr>
          <w:p w14:paraId="5D08DF5D" w14:textId="77777777" w:rsidR="00C30160" w:rsidRPr="00CE0DE7" w:rsidRDefault="00C30160" w:rsidP="00EB3316">
            <w:pPr>
              <w:jc w:val="right"/>
              <w:rPr>
                <w:rFonts w:eastAsia="Times New Roman"/>
                <w:sz w:val="20"/>
                <w:szCs w:val="20"/>
                <w:lang w:val="en-GB" w:eastAsia="zh-CN"/>
              </w:rPr>
            </w:pPr>
          </w:p>
        </w:tc>
        <w:tc>
          <w:tcPr>
            <w:tcW w:w="317" w:type="pct"/>
            <w:tcBorders>
              <w:top w:val="nil"/>
              <w:left w:val="nil"/>
              <w:bottom w:val="nil"/>
              <w:right w:val="nil"/>
            </w:tcBorders>
            <w:shd w:val="clear" w:color="auto" w:fill="auto"/>
            <w:noWrap/>
            <w:vAlign w:val="center"/>
            <w:hideMark/>
          </w:tcPr>
          <w:p w14:paraId="386DCBA7" w14:textId="77777777" w:rsidR="00C30160" w:rsidRPr="00CE0DE7" w:rsidRDefault="00C30160" w:rsidP="00EB3316">
            <w:pPr>
              <w:jc w:val="right"/>
              <w:rPr>
                <w:rFonts w:eastAsia="Times New Roman"/>
                <w:sz w:val="20"/>
                <w:szCs w:val="20"/>
                <w:lang w:val="en-GB" w:eastAsia="zh-CN"/>
              </w:rPr>
            </w:pPr>
          </w:p>
        </w:tc>
        <w:tc>
          <w:tcPr>
            <w:tcW w:w="317" w:type="pct"/>
            <w:tcBorders>
              <w:top w:val="nil"/>
              <w:left w:val="nil"/>
              <w:bottom w:val="nil"/>
              <w:right w:val="nil"/>
            </w:tcBorders>
            <w:shd w:val="clear" w:color="auto" w:fill="auto"/>
            <w:noWrap/>
            <w:vAlign w:val="center"/>
            <w:hideMark/>
          </w:tcPr>
          <w:p w14:paraId="672A897A" w14:textId="77777777" w:rsidR="00C30160" w:rsidRPr="00CE0DE7" w:rsidRDefault="00C30160" w:rsidP="00EB3316">
            <w:pPr>
              <w:jc w:val="right"/>
              <w:rPr>
                <w:rFonts w:eastAsia="Times New Roman"/>
                <w:sz w:val="20"/>
                <w:szCs w:val="20"/>
                <w:lang w:val="en-GB" w:eastAsia="zh-CN"/>
              </w:rPr>
            </w:pPr>
          </w:p>
        </w:tc>
      </w:tr>
      <w:tr w:rsidR="00687D17" w:rsidRPr="00CE0DE7" w14:paraId="55B28D90" w14:textId="77777777" w:rsidTr="009A3796">
        <w:trPr>
          <w:trHeight w:val="300"/>
          <w:jc w:val="center"/>
        </w:trPr>
        <w:tc>
          <w:tcPr>
            <w:tcW w:w="620" w:type="pct"/>
            <w:tcBorders>
              <w:top w:val="nil"/>
              <w:left w:val="nil"/>
              <w:bottom w:val="nil"/>
              <w:right w:val="nil"/>
            </w:tcBorders>
            <w:shd w:val="clear" w:color="auto" w:fill="auto"/>
            <w:noWrap/>
            <w:vAlign w:val="center"/>
            <w:hideMark/>
          </w:tcPr>
          <w:p w14:paraId="352F2817" w14:textId="05F8EA8D" w:rsidR="00C30160" w:rsidRPr="00CE0DE7" w:rsidRDefault="00C30160" w:rsidP="00EB3316">
            <w:pPr>
              <w:rPr>
                <w:rFonts w:eastAsia="Times New Roman"/>
                <w:color w:val="000000"/>
                <w:sz w:val="20"/>
                <w:szCs w:val="20"/>
                <w:lang w:val="en-GB" w:eastAsia="zh-CN"/>
              </w:rPr>
            </w:pPr>
            <w:r w:rsidRPr="00CE0DE7">
              <w:rPr>
                <w:rFonts w:eastAsia="Times New Roman"/>
                <w:color w:val="000000"/>
                <w:sz w:val="20"/>
                <w:szCs w:val="20"/>
                <w:lang w:val="en-GB" w:eastAsia="zh-CN"/>
              </w:rPr>
              <w:t>Q-stat (1 lag)</w:t>
            </w:r>
          </w:p>
        </w:tc>
        <w:tc>
          <w:tcPr>
            <w:tcW w:w="346" w:type="pct"/>
            <w:tcBorders>
              <w:top w:val="nil"/>
              <w:left w:val="nil"/>
              <w:bottom w:val="nil"/>
              <w:right w:val="nil"/>
            </w:tcBorders>
            <w:shd w:val="clear" w:color="auto" w:fill="auto"/>
            <w:noWrap/>
            <w:vAlign w:val="center"/>
            <w:hideMark/>
          </w:tcPr>
          <w:p w14:paraId="6D21CD86"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2.04</w:t>
            </w:r>
          </w:p>
        </w:tc>
        <w:tc>
          <w:tcPr>
            <w:tcW w:w="346" w:type="pct"/>
            <w:tcBorders>
              <w:top w:val="nil"/>
              <w:left w:val="nil"/>
              <w:bottom w:val="nil"/>
              <w:right w:val="nil"/>
            </w:tcBorders>
            <w:shd w:val="clear" w:color="auto" w:fill="auto"/>
            <w:noWrap/>
            <w:vAlign w:val="center"/>
            <w:hideMark/>
          </w:tcPr>
          <w:p w14:paraId="44D67F59"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0.50</w:t>
            </w:r>
          </w:p>
        </w:tc>
        <w:tc>
          <w:tcPr>
            <w:tcW w:w="346" w:type="pct"/>
            <w:tcBorders>
              <w:top w:val="nil"/>
              <w:left w:val="nil"/>
              <w:bottom w:val="nil"/>
              <w:right w:val="nil"/>
            </w:tcBorders>
            <w:shd w:val="clear" w:color="auto" w:fill="auto"/>
            <w:noWrap/>
            <w:vAlign w:val="center"/>
            <w:hideMark/>
          </w:tcPr>
          <w:p w14:paraId="73E041EF"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27.84</w:t>
            </w:r>
          </w:p>
        </w:tc>
        <w:tc>
          <w:tcPr>
            <w:tcW w:w="346" w:type="pct"/>
            <w:tcBorders>
              <w:top w:val="nil"/>
              <w:left w:val="nil"/>
              <w:bottom w:val="nil"/>
              <w:right w:val="nil"/>
            </w:tcBorders>
            <w:shd w:val="clear" w:color="auto" w:fill="auto"/>
            <w:noWrap/>
            <w:vAlign w:val="center"/>
            <w:hideMark/>
          </w:tcPr>
          <w:p w14:paraId="7D4E6E66"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26.85</w:t>
            </w:r>
          </w:p>
        </w:tc>
        <w:tc>
          <w:tcPr>
            <w:tcW w:w="320" w:type="pct"/>
            <w:tcBorders>
              <w:top w:val="nil"/>
              <w:left w:val="nil"/>
              <w:bottom w:val="nil"/>
              <w:right w:val="nil"/>
            </w:tcBorders>
            <w:shd w:val="clear" w:color="auto" w:fill="auto"/>
            <w:noWrap/>
            <w:vAlign w:val="center"/>
            <w:hideMark/>
          </w:tcPr>
          <w:p w14:paraId="44EE3391"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23.59</w:t>
            </w:r>
          </w:p>
        </w:tc>
        <w:tc>
          <w:tcPr>
            <w:tcW w:w="374" w:type="pct"/>
            <w:tcBorders>
              <w:top w:val="nil"/>
              <w:left w:val="nil"/>
              <w:bottom w:val="nil"/>
              <w:right w:val="nil"/>
            </w:tcBorders>
            <w:shd w:val="clear" w:color="auto" w:fill="auto"/>
            <w:noWrap/>
            <w:vAlign w:val="center"/>
            <w:hideMark/>
          </w:tcPr>
          <w:p w14:paraId="013D2CE7"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341.29</w:t>
            </w:r>
          </w:p>
        </w:tc>
        <w:tc>
          <w:tcPr>
            <w:tcW w:w="400" w:type="pct"/>
            <w:tcBorders>
              <w:top w:val="nil"/>
              <w:left w:val="nil"/>
              <w:bottom w:val="nil"/>
              <w:right w:val="nil"/>
            </w:tcBorders>
            <w:shd w:val="clear" w:color="auto" w:fill="auto"/>
            <w:noWrap/>
            <w:vAlign w:val="center"/>
            <w:hideMark/>
          </w:tcPr>
          <w:p w14:paraId="22F04AA0"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343.21</w:t>
            </w:r>
          </w:p>
        </w:tc>
        <w:tc>
          <w:tcPr>
            <w:tcW w:w="317" w:type="pct"/>
            <w:tcBorders>
              <w:top w:val="nil"/>
              <w:left w:val="nil"/>
              <w:bottom w:val="nil"/>
              <w:right w:val="nil"/>
            </w:tcBorders>
            <w:shd w:val="clear" w:color="auto" w:fill="auto"/>
            <w:noWrap/>
            <w:vAlign w:val="center"/>
            <w:hideMark/>
          </w:tcPr>
          <w:p w14:paraId="776B9225"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336.13</w:t>
            </w:r>
          </w:p>
        </w:tc>
        <w:tc>
          <w:tcPr>
            <w:tcW w:w="317" w:type="pct"/>
            <w:tcBorders>
              <w:top w:val="nil"/>
              <w:left w:val="nil"/>
              <w:bottom w:val="nil"/>
              <w:right w:val="nil"/>
            </w:tcBorders>
            <w:shd w:val="clear" w:color="auto" w:fill="auto"/>
            <w:noWrap/>
            <w:vAlign w:val="center"/>
            <w:hideMark/>
          </w:tcPr>
          <w:p w14:paraId="74D29FB8"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341.75</w:t>
            </w:r>
          </w:p>
        </w:tc>
        <w:tc>
          <w:tcPr>
            <w:tcW w:w="317" w:type="pct"/>
            <w:tcBorders>
              <w:top w:val="nil"/>
              <w:left w:val="nil"/>
              <w:bottom w:val="nil"/>
              <w:right w:val="nil"/>
            </w:tcBorders>
            <w:shd w:val="clear" w:color="auto" w:fill="auto"/>
            <w:noWrap/>
            <w:vAlign w:val="center"/>
            <w:hideMark/>
          </w:tcPr>
          <w:p w14:paraId="4F464B41"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326.04</w:t>
            </w:r>
          </w:p>
        </w:tc>
        <w:tc>
          <w:tcPr>
            <w:tcW w:w="317" w:type="pct"/>
            <w:tcBorders>
              <w:top w:val="nil"/>
              <w:left w:val="nil"/>
              <w:bottom w:val="nil"/>
              <w:right w:val="nil"/>
            </w:tcBorders>
            <w:shd w:val="clear" w:color="auto" w:fill="auto"/>
            <w:noWrap/>
            <w:vAlign w:val="center"/>
            <w:hideMark/>
          </w:tcPr>
          <w:p w14:paraId="56C1EEBA"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332.32</w:t>
            </w:r>
          </w:p>
        </w:tc>
        <w:tc>
          <w:tcPr>
            <w:tcW w:w="317" w:type="pct"/>
            <w:tcBorders>
              <w:top w:val="nil"/>
              <w:left w:val="nil"/>
              <w:bottom w:val="nil"/>
              <w:right w:val="nil"/>
            </w:tcBorders>
            <w:shd w:val="clear" w:color="auto" w:fill="auto"/>
            <w:noWrap/>
            <w:vAlign w:val="center"/>
            <w:hideMark/>
          </w:tcPr>
          <w:p w14:paraId="68F047E9"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316.72</w:t>
            </w:r>
          </w:p>
        </w:tc>
        <w:tc>
          <w:tcPr>
            <w:tcW w:w="317" w:type="pct"/>
            <w:tcBorders>
              <w:top w:val="nil"/>
              <w:left w:val="nil"/>
              <w:bottom w:val="nil"/>
              <w:right w:val="nil"/>
            </w:tcBorders>
            <w:shd w:val="clear" w:color="auto" w:fill="auto"/>
            <w:noWrap/>
            <w:vAlign w:val="center"/>
            <w:hideMark/>
          </w:tcPr>
          <w:p w14:paraId="65039686" w14:textId="3C6CDD3A"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328.</w:t>
            </w:r>
            <w:r w:rsidR="004670AA" w:rsidRPr="00CE0DE7">
              <w:rPr>
                <w:rFonts w:eastAsiaTheme="minorEastAsia" w:hint="eastAsia"/>
                <w:color w:val="000000"/>
                <w:sz w:val="20"/>
                <w:szCs w:val="20"/>
                <w:lang w:val="en-GB" w:eastAsia="zh-CN"/>
              </w:rPr>
              <w:t>9</w:t>
            </w:r>
            <w:r w:rsidRPr="00CE0DE7">
              <w:rPr>
                <w:rFonts w:eastAsia="Times New Roman"/>
                <w:color w:val="000000"/>
                <w:sz w:val="20"/>
                <w:szCs w:val="20"/>
                <w:lang w:val="en-GB" w:eastAsia="zh-CN"/>
              </w:rPr>
              <w:t>1</w:t>
            </w:r>
          </w:p>
        </w:tc>
      </w:tr>
      <w:tr w:rsidR="00687D17" w:rsidRPr="00CE0DE7" w14:paraId="54BE8C4A" w14:textId="77777777" w:rsidTr="009A3796">
        <w:trPr>
          <w:trHeight w:val="300"/>
          <w:jc w:val="center"/>
        </w:trPr>
        <w:tc>
          <w:tcPr>
            <w:tcW w:w="620" w:type="pct"/>
            <w:tcBorders>
              <w:top w:val="nil"/>
              <w:left w:val="nil"/>
              <w:bottom w:val="double" w:sz="4" w:space="0" w:color="auto"/>
              <w:right w:val="nil"/>
            </w:tcBorders>
            <w:shd w:val="clear" w:color="auto" w:fill="auto"/>
            <w:noWrap/>
            <w:vAlign w:val="center"/>
            <w:hideMark/>
          </w:tcPr>
          <w:p w14:paraId="3DEDA2F5" w14:textId="77777777" w:rsidR="00C30160" w:rsidRPr="00CE0DE7" w:rsidRDefault="00C30160" w:rsidP="00C24E43">
            <w:pPr>
              <w:rPr>
                <w:rFonts w:eastAsia="Times New Roman"/>
                <w:i/>
                <w:iCs/>
                <w:color w:val="000000"/>
                <w:sz w:val="20"/>
                <w:szCs w:val="20"/>
                <w:lang w:val="en-GB" w:eastAsia="zh-CN"/>
              </w:rPr>
            </w:pPr>
            <w:r w:rsidRPr="00CE0DE7">
              <w:rPr>
                <w:rFonts w:eastAsia="Times New Roman"/>
                <w:i/>
                <w:iCs/>
                <w:color w:val="000000"/>
                <w:sz w:val="20"/>
                <w:szCs w:val="20"/>
                <w:lang w:val="en-GB" w:eastAsia="zh-CN"/>
              </w:rPr>
              <w:t>p</w:t>
            </w:r>
            <w:r w:rsidRPr="00CE0DE7">
              <w:rPr>
                <w:rFonts w:eastAsia="Times New Roman"/>
                <w:color w:val="000000"/>
                <w:sz w:val="20"/>
                <w:szCs w:val="20"/>
                <w:lang w:val="en-GB" w:eastAsia="zh-CN"/>
              </w:rPr>
              <w:t>-value</w:t>
            </w:r>
          </w:p>
        </w:tc>
        <w:tc>
          <w:tcPr>
            <w:tcW w:w="346" w:type="pct"/>
            <w:tcBorders>
              <w:top w:val="nil"/>
              <w:left w:val="nil"/>
              <w:bottom w:val="double" w:sz="4" w:space="0" w:color="auto"/>
              <w:right w:val="nil"/>
            </w:tcBorders>
            <w:shd w:val="clear" w:color="auto" w:fill="auto"/>
            <w:noWrap/>
            <w:vAlign w:val="center"/>
            <w:hideMark/>
          </w:tcPr>
          <w:p w14:paraId="60915C15"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0.15</w:t>
            </w:r>
          </w:p>
        </w:tc>
        <w:tc>
          <w:tcPr>
            <w:tcW w:w="346" w:type="pct"/>
            <w:tcBorders>
              <w:top w:val="nil"/>
              <w:left w:val="nil"/>
              <w:bottom w:val="double" w:sz="4" w:space="0" w:color="auto"/>
              <w:right w:val="nil"/>
            </w:tcBorders>
            <w:shd w:val="clear" w:color="auto" w:fill="auto"/>
            <w:noWrap/>
            <w:vAlign w:val="center"/>
            <w:hideMark/>
          </w:tcPr>
          <w:p w14:paraId="43866B9E"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0.48</w:t>
            </w:r>
          </w:p>
        </w:tc>
        <w:tc>
          <w:tcPr>
            <w:tcW w:w="346" w:type="pct"/>
            <w:tcBorders>
              <w:top w:val="nil"/>
              <w:left w:val="nil"/>
              <w:bottom w:val="double" w:sz="4" w:space="0" w:color="auto"/>
              <w:right w:val="nil"/>
            </w:tcBorders>
            <w:shd w:val="clear" w:color="auto" w:fill="auto"/>
            <w:noWrap/>
            <w:vAlign w:val="center"/>
            <w:hideMark/>
          </w:tcPr>
          <w:p w14:paraId="16DB6C03"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0.00</w:t>
            </w:r>
          </w:p>
        </w:tc>
        <w:tc>
          <w:tcPr>
            <w:tcW w:w="346" w:type="pct"/>
            <w:tcBorders>
              <w:top w:val="nil"/>
              <w:left w:val="nil"/>
              <w:bottom w:val="double" w:sz="4" w:space="0" w:color="auto"/>
              <w:right w:val="nil"/>
            </w:tcBorders>
            <w:shd w:val="clear" w:color="auto" w:fill="auto"/>
            <w:noWrap/>
            <w:vAlign w:val="center"/>
            <w:hideMark/>
          </w:tcPr>
          <w:p w14:paraId="7ACB59DF"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0.00</w:t>
            </w:r>
          </w:p>
        </w:tc>
        <w:tc>
          <w:tcPr>
            <w:tcW w:w="320" w:type="pct"/>
            <w:tcBorders>
              <w:top w:val="nil"/>
              <w:left w:val="nil"/>
              <w:bottom w:val="double" w:sz="4" w:space="0" w:color="auto"/>
              <w:right w:val="nil"/>
            </w:tcBorders>
            <w:shd w:val="clear" w:color="auto" w:fill="auto"/>
            <w:noWrap/>
            <w:vAlign w:val="center"/>
            <w:hideMark/>
          </w:tcPr>
          <w:p w14:paraId="6643B559"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0.00</w:t>
            </w:r>
          </w:p>
        </w:tc>
        <w:tc>
          <w:tcPr>
            <w:tcW w:w="374" w:type="pct"/>
            <w:tcBorders>
              <w:top w:val="nil"/>
              <w:left w:val="nil"/>
              <w:bottom w:val="double" w:sz="4" w:space="0" w:color="auto"/>
              <w:right w:val="nil"/>
            </w:tcBorders>
            <w:shd w:val="clear" w:color="auto" w:fill="auto"/>
            <w:noWrap/>
            <w:vAlign w:val="center"/>
            <w:hideMark/>
          </w:tcPr>
          <w:p w14:paraId="4E91028E"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0.00</w:t>
            </w:r>
          </w:p>
        </w:tc>
        <w:tc>
          <w:tcPr>
            <w:tcW w:w="400" w:type="pct"/>
            <w:tcBorders>
              <w:top w:val="nil"/>
              <w:left w:val="nil"/>
              <w:bottom w:val="double" w:sz="4" w:space="0" w:color="auto"/>
              <w:right w:val="nil"/>
            </w:tcBorders>
            <w:shd w:val="clear" w:color="auto" w:fill="auto"/>
            <w:noWrap/>
            <w:vAlign w:val="center"/>
            <w:hideMark/>
          </w:tcPr>
          <w:p w14:paraId="2C1BD8A7"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0.00</w:t>
            </w:r>
          </w:p>
        </w:tc>
        <w:tc>
          <w:tcPr>
            <w:tcW w:w="317" w:type="pct"/>
            <w:tcBorders>
              <w:top w:val="nil"/>
              <w:left w:val="nil"/>
              <w:bottom w:val="double" w:sz="4" w:space="0" w:color="auto"/>
              <w:right w:val="nil"/>
            </w:tcBorders>
            <w:shd w:val="clear" w:color="auto" w:fill="auto"/>
            <w:noWrap/>
            <w:vAlign w:val="center"/>
            <w:hideMark/>
          </w:tcPr>
          <w:p w14:paraId="43535B0E"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0.00</w:t>
            </w:r>
          </w:p>
        </w:tc>
        <w:tc>
          <w:tcPr>
            <w:tcW w:w="317" w:type="pct"/>
            <w:tcBorders>
              <w:top w:val="nil"/>
              <w:left w:val="nil"/>
              <w:bottom w:val="double" w:sz="4" w:space="0" w:color="auto"/>
              <w:right w:val="nil"/>
            </w:tcBorders>
            <w:shd w:val="clear" w:color="auto" w:fill="auto"/>
            <w:noWrap/>
            <w:vAlign w:val="center"/>
            <w:hideMark/>
          </w:tcPr>
          <w:p w14:paraId="6FD90080"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0.00</w:t>
            </w:r>
          </w:p>
        </w:tc>
        <w:tc>
          <w:tcPr>
            <w:tcW w:w="317" w:type="pct"/>
            <w:tcBorders>
              <w:top w:val="nil"/>
              <w:left w:val="nil"/>
              <w:bottom w:val="double" w:sz="4" w:space="0" w:color="auto"/>
              <w:right w:val="nil"/>
            </w:tcBorders>
            <w:shd w:val="clear" w:color="auto" w:fill="auto"/>
            <w:noWrap/>
            <w:vAlign w:val="center"/>
            <w:hideMark/>
          </w:tcPr>
          <w:p w14:paraId="72F51539"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0.00</w:t>
            </w:r>
          </w:p>
        </w:tc>
        <w:tc>
          <w:tcPr>
            <w:tcW w:w="317" w:type="pct"/>
            <w:tcBorders>
              <w:top w:val="nil"/>
              <w:left w:val="nil"/>
              <w:bottom w:val="double" w:sz="4" w:space="0" w:color="auto"/>
              <w:right w:val="nil"/>
            </w:tcBorders>
            <w:shd w:val="clear" w:color="auto" w:fill="auto"/>
            <w:noWrap/>
            <w:vAlign w:val="center"/>
            <w:hideMark/>
          </w:tcPr>
          <w:p w14:paraId="3F3C2D1C"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0.00</w:t>
            </w:r>
          </w:p>
        </w:tc>
        <w:tc>
          <w:tcPr>
            <w:tcW w:w="317" w:type="pct"/>
            <w:tcBorders>
              <w:top w:val="nil"/>
              <w:left w:val="nil"/>
              <w:bottom w:val="double" w:sz="4" w:space="0" w:color="auto"/>
              <w:right w:val="nil"/>
            </w:tcBorders>
            <w:shd w:val="clear" w:color="auto" w:fill="auto"/>
            <w:noWrap/>
            <w:vAlign w:val="center"/>
            <w:hideMark/>
          </w:tcPr>
          <w:p w14:paraId="029B5953"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0.00</w:t>
            </w:r>
          </w:p>
        </w:tc>
        <w:tc>
          <w:tcPr>
            <w:tcW w:w="317" w:type="pct"/>
            <w:tcBorders>
              <w:top w:val="nil"/>
              <w:left w:val="nil"/>
              <w:bottom w:val="double" w:sz="4" w:space="0" w:color="auto"/>
              <w:right w:val="nil"/>
            </w:tcBorders>
            <w:shd w:val="clear" w:color="auto" w:fill="auto"/>
            <w:noWrap/>
            <w:vAlign w:val="center"/>
            <w:hideMark/>
          </w:tcPr>
          <w:p w14:paraId="1CBE89F0" w14:textId="77777777" w:rsidR="00C30160" w:rsidRPr="00CE0DE7" w:rsidRDefault="00C30160" w:rsidP="00EB3316">
            <w:pPr>
              <w:jc w:val="right"/>
              <w:rPr>
                <w:rFonts w:eastAsia="Times New Roman"/>
                <w:color w:val="000000"/>
                <w:sz w:val="20"/>
                <w:szCs w:val="20"/>
                <w:lang w:val="en-GB" w:eastAsia="zh-CN"/>
              </w:rPr>
            </w:pPr>
            <w:r w:rsidRPr="00CE0DE7">
              <w:rPr>
                <w:rFonts w:eastAsia="Times New Roman"/>
                <w:color w:val="000000"/>
                <w:sz w:val="20"/>
                <w:szCs w:val="20"/>
                <w:lang w:val="en-GB" w:eastAsia="zh-CN"/>
              </w:rPr>
              <w:t>0.00</w:t>
            </w:r>
          </w:p>
        </w:tc>
      </w:tr>
    </w:tbl>
    <w:p w14:paraId="2A2535E2" w14:textId="26400BFE" w:rsidR="00C30160" w:rsidRPr="00CE0DE7" w:rsidRDefault="00C30160" w:rsidP="00C30160">
      <w:pPr>
        <w:jc w:val="both"/>
        <w:rPr>
          <w:sz w:val="20"/>
          <w:szCs w:val="20"/>
        </w:rPr>
      </w:pPr>
      <w:r w:rsidRPr="00CE0DE7">
        <w:rPr>
          <w:sz w:val="20"/>
          <w:szCs w:val="20"/>
        </w:rPr>
        <w:t xml:space="preserve">The table shows the summary statistics of </w:t>
      </w:r>
      <w:r w:rsidR="00022A17" w:rsidRPr="00CE0DE7">
        <w:rPr>
          <w:rFonts w:hint="eastAsia"/>
          <w:sz w:val="20"/>
          <w:szCs w:val="20"/>
          <w:lang w:eastAsia="zh-CN"/>
        </w:rPr>
        <w:t>all</w:t>
      </w:r>
      <w:r w:rsidRPr="00CE0DE7">
        <w:rPr>
          <w:sz w:val="20"/>
          <w:szCs w:val="20"/>
        </w:rPr>
        <w:t xml:space="preserve"> variables used in this study. The variables are liquidity measures</w:t>
      </w:r>
      <w:r w:rsidRPr="00CE0DE7">
        <w:rPr>
          <w:sz w:val="20"/>
          <w:szCs w:val="20"/>
          <w:lang w:eastAsia="zh-CN"/>
        </w:rPr>
        <w:t xml:space="preserve"> (</w:t>
      </w:r>
      <w:r w:rsidRPr="00CE0DE7">
        <w:rPr>
          <w:rFonts w:eastAsia="Times New Roman"/>
          <w:i/>
          <w:iCs/>
          <w:color w:val="000000"/>
          <w:sz w:val="20"/>
          <w:szCs w:val="20"/>
          <w:lang w:eastAsia="zh-CN"/>
        </w:rPr>
        <w:t>ILLIQ</w:t>
      </w:r>
      <w:r w:rsidRPr="00CE0DE7">
        <w:rPr>
          <w:rFonts w:eastAsia="Times New Roman"/>
          <w:i/>
          <w:iCs/>
          <w:color w:val="000000"/>
          <w:sz w:val="20"/>
          <w:szCs w:val="20"/>
          <w:vertAlign w:val="superscript"/>
          <w:lang w:eastAsia="zh-CN"/>
        </w:rPr>
        <w:t>NYSE</w:t>
      </w:r>
      <w:r w:rsidRPr="00CE0DE7">
        <w:rPr>
          <w:sz w:val="20"/>
          <w:szCs w:val="20"/>
        </w:rPr>
        <w:t xml:space="preserve"> and</w:t>
      </w:r>
      <w:r w:rsidRPr="00CE0DE7">
        <w:rPr>
          <w:rFonts w:eastAsia="Times New Roman"/>
          <w:i/>
          <w:iCs/>
          <w:color w:val="000000"/>
          <w:sz w:val="20"/>
          <w:szCs w:val="20"/>
          <w:lang w:eastAsia="zh-CN"/>
        </w:rPr>
        <w:t xml:space="preserve"> ILLIQ</w:t>
      </w:r>
      <w:r w:rsidRPr="00CE0DE7">
        <w:rPr>
          <w:rFonts w:eastAsia="Times New Roman"/>
          <w:i/>
          <w:iCs/>
          <w:color w:val="000000"/>
          <w:sz w:val="20"/>
          <w:szCs w:val="20"/>
          <w:vertAlign w:val="superscript"/>
          <w:lang w:eastAsia="zh-CN"/>
        </w:rPr>
        <w:t>SP500</w:t>
      </w:r>
      <w:r w:rsidRPr="00CE0DE7">
        <w:rPr>
          <w:sz w:val="20"/>
          <w:szCs w:val="20"/>
        </w:rPr>
        <w:t xml:space="preserve">), </w:t>
      </w:r>
      <w:r w:rsidRPr="00CE0DE7">
        <w:rPr>
          <w:rFonts w:hint="eastAsia"/>
          <w:sz w:val="20"/>
          <w:szCs w:val="20"/>
          <w:lang w:eastAsia="zh-CN"/>
        </w:rPr>
        <w:t xml:space="preserve">the </w:t>
      </w:r>
      <w:r w:rsidRPr="00CE0DE7">
        <w:rPr>
          <w:sz w:val="20"/>
          <w:szCs w:val="20"/>
        </w:rPr>
        <w:t>variance risk premium (</w:t>
      </w:r>
      <w:r w:rsidRPr="00CE0DE7">
        <w:rPr>
          <w:rFonts w:eastAsia="Times New Roman"/>
          <w:i/>
          <w:iCs/>
          <w:color w:val="000000"/>
          <w:sz w:val="20"/>
          <w:szCs w:val="20"/>
          <w:lang w:eastAsia="zh-CN"/>
        </w:rPr>
        <w:t>VRP</w:t>
      </w:r>
      <w:r w:rsidRPr="00CE0DE7">
        <w:rPr>
          <w:rFonts w:eastAsia="Times New Roman"/>
          <w:i/>
          <w:iCs/>
          <w:color w:val="000000"/>
          <w:sz w:val="20"/>
          <w:szCs w:val="20"/>
          <w:vertAlign w:val="superscript"/>
          <w:lang w:eastAsia="zh-CN"/>
        </w:rPr>
        <w:t>BTZ</w:t>
      </w:r>
      <w:r w:rsidRPr="00CE0DE7">
        <w:rPr>
          <w:sz w:val="20"/>
          <w:szCs w:val="20"/>
          <w:lang w:eastAsia="zh-CN"/>
        </w:rPr>
        <w:t xml:space="preserve">, </w:t>
      </w:r>
      <w:r w:rsidRPr="00CE0DE7">
        <w:rPr>
          <w:rFonts w:eastAsia="Times New Roman"/>
          <w:i/>
          <w:iCs/>
          <w:color w:val="000000"/>
          <w:sz w:val="20"/>
          <w:szCs w:val="20"/>
          <w:lang w:eastAsia="zh-CN"/>
        </w:rPr>
        <w:t>VRP</w:t>
      </w:r>
      <w:r w:rsidRPr="00CE0DE7">
        <w:rPr>
          <w:rFonts w:eastAsia="Times New Roman"/>
          <w:i/>
          <w:iCs/>
          <w:color w:val="000000"/>
          <w:sz w:val="20"/>
          <w:szCs w:val="20"/>
          <w:vertAlign w:val="superscript"/>
          <w:lang w:eastAsia="zh-CN"/>
        </w:rPr>
        <w:t>CW</w:t>
      </w:r>
      <w:r w:rsidRPr="00CE0DE7">
        <w:rPr>
          <w:sz w:val="20"/>
          <w:szCs w:val="20"/>
        </w:rPr>
        <w:t xml:space="preserve"> and</w:t>
      </w:r>
      <w:r w:rsidRPr="00CE0DE7">
        <w:rPr>
          <w:rFonts w:eastAsia="Times New Roman"/>
          <w:i/>
          <w:iCs/>
          <w:color w:val="000000"/>
          <w:sz w:val="20"/>
          <w:szCs w:val="20"/>
          <w:lang w:eastAsia="zh-CN"/>
        </w:rPr>
        <w:t xml:space="preserve"> VRP</w:t>
      </w:r>
      <w:r w:rsidRPr="00CE0DE7">
        <w:rPr>
          <w:rFonts w:eastAsia="Times New Roman"/>
          <w:i/>
          <w:iCs/>
          <w:color w:val="000000"/>
          <w:sz w:val="20"/>
          <w:szCs w:val="20"/>
          <w:vertAlign w:val="superscript"/>
          <w:lang w:eastAsia="zh-CN"/>
        </w:rPr>
        <w:t>DY</w:t>
      </w:r>
      <w:r w:rsidRPr="00CE0DE7">
        <w:rPr>
          <w:sz w:val="20"/>
          <w:szCs w:val="20"/>
        </w:rPr>
        <w:t xml:space="preserve">), return </w:t>
      </w:r>
      <w:r w:rsidR="00022A17" w:rsidRPr="00CE0DE7">
        <w:rPr>
          <w:rFonts w:hint="eastAsia"/>
          <w:sz w:val="20"/>
          <w:szCs w:val="20"/>
          <w:lang w:eastAsia="zh-CN"/>
        </w:rPr>
        <w:t>series</w:t>
      </w:r>
      <w:r w:rsidRPr="00CE0DE7">
        <w:rPr>
          <w:sz w:val="20"/>
          <w:szCs w:val="20"/>
        </w:rPr>
        <w:t xml:space="preserve"> (</w:t>
      </w:r>
      <w:r w:rsidRPr="00CE0DE7">
        <w:rPr>
          <w:rFonts w:eastAsia="Times New Roman"/>
          <w:i/>
          <w:iCs/>
          <w:color w:val="000000"/>
          <w:sz w:val="20"/>
          <w:szCs w:val="20"/>
          <w:lang w:eastAsia="zh-CN"/>
        </w:rPr>
        <w:t>VW</w:t>
      </w:r>
      <w:r w:rsidRPr="00CE0DE7">
        <w:rPr>
          <w:sz w:val="20"/>
          <w:szCs w:val="20"/>
        </w:rPr>
        <w:t xml:space="preserve"> and</w:t>
      </w:r>
      <w:r w:rsidRPr="00CE0DE7">
        <w:rPr>
          <w:rFonts w:eastAsia="Times New Roman"/>
          <w:i/>
          <w:iCs/>
          <w:color w:val="000000"/>
          <w:sz w:val="20"/>
          <w:szCs w:val="20"/>
          <w:lang w:eastAsia="zh-CN"/>
        </w:rPr>
        <w:t xml:space="preserve"> INDEX</w:t>
      </w:r>
      <w:r w:rsidRPr="00CE0DE7">
        <w:rPr>
          <w:sz w:val="20"/>
          <w:szCs w:val="20"/>
        </w:rPr>
        <w:t>) and control variables (</w:t>
      </w:r>
      <w:r w:rsidRPr="00CE0DE7">
        <w:rPr>
          <w:i/>
          <w:sz w:val="20"/>
          <w:szCs w:val="20"/>
        </w:rPr>
        <w:t>PD, PE, DFSP, TMSP</w:t>
      </w:r>
      <w:r w:rsidRPr="00CE0DE7">
        <w:rPr>
          <w:sz w:val="20"/>
          <w:szCs w:val="20"/>
        </w:rPr>
        <w:t xml:space="preserve">, </w:t>
      </w:r>
      <w:r w:rsidRPr="00CE0DE7">
        <w:rPr>
          <w:i/>
          <w:sz w:val="20"/>
          <w:szCs w:val="20"/>
        </w:rPr>
        <w:t>RREL</w:t>
      </w:r>
      <w:r w:rsidRPr="00CE0DE7">
        <w:rPr>
          <w:sz w:val="20"/>
          <w:szCs w:val="20"/>
        </w:rPr>
        <w:t xml:space="preserve"> and </w:t>
      </w:r>
      <w:r w:rsidRPr="00CE0DE7">
        <w:rPr>
          <w:i/>
          <w:sz w:val="20"/>
          <w:szCs w:val="20"/>
        </w:rPr>
        <w:t>CAY</w:t>
      </w:r>
      <w:r w:rsidRPr="00CE0DE7">
        <w:rPr>
          <w:sz w:val="20"/>
          <w:szCs w:val="20"/>
        </w:rPr>
        <w:t xml:space="preserve">). </w:t>
      </w:r>
      <w:r w:rsidR="00F301B0" w:rsidRPr="00CE0DE7">
        <w:rPr>
          <w:sz w:val="20"/>
          <w:szCs w:val="20"/>
        </w:rPr>
        <w:t xml:space="preserve">Following </w:t>
      </w:r>
      <w:proofErr w:type="spellStart"/>
      <w:r w:rsidR="00F301B0" w:rsidRPr="00CE0DE7">
        <w:rPr>
          <w:sz w:val="20"/>
          <w:szCs w:val="20"/>
        </w:rPr>
        <w:t>Bollerslev</w:t>
      </w:r>
      <w:proofErr w:type="spellEnd"/>
      <w:r w:rsidR="00F301B0" w:rsidRPr="00CE0DE7">
        <w:rPr>
          <w:sz w:val="20"/>
          <w:szCs w:val="20"/>
        </w:rPr>
        <w:t xml:space="preserve"> et al</w:t>
      </w:r>
      <w:r w:rsidR="004670AA" w:rsidRPr="00CE0DE7">
        <w:rPr>
          <w:rFonts w:hint="eastAsia"/>
          <w:sz w:val="20"/>
          <w:szCs w:val="20"/>
          <w:lang w:eastAsia="zh-CN"/>
        </w:rPr>
        <w:t>.</w:t>
      </w:r>
      <w:r w:rsidR="00F301B0" w:rsidRPr="00CE0DE7">
        <w:rPr>
          <w:sz w:val="20"/>
          <w:szCs w:val="20"/>
        </w:rPr>
        <w:t xml:space="preserve"> (2009), all variables are reported in annualized percentage form whenever appropriate. </w:t>
      </w:r>
      <w:r w:rsidRPr="00CE0DE7">
        <w:rPr>
          <w:sz w:val="20"/>
          <w:szCs w:val="20"/>
        </w:rPr>
        <w:t>The analysis uses monthly data from January 1990 to December 2018.</w:t>
      </w:r>
    </w:p>
    <w:p w14:paraId="7090E3CF" w14:textId="77777777" w:rsidR="00C30160" w:rsidRPr="00CE0DE7" w:rsidRDefault="00C30160" w:rsidP="00C30160"/>
    <w:p w14:paraId="01806BB2" w14:textId="77777777" w:rsidR="00C30160" w:rsidRPr="00CE0DE7" w:rsidRDefault="00C30160" w:rsidP="00C30160"/>
    <w:p w14:paraId="36B049EE" w14:textId="77777777" w:rsidR="00C30160" w:rsidRPr="00CE0DE7" w:rsidRDefault="00C30160" w:rsidP="00C30160"/>
    <w:p w14:paraId="24110721" w14:textId="77777777" w:rsidR="00C30160" w:rsidRPr="00CE0DE7" w:rsidRDefault="00C30160" w:rsidP="00C30160"/>
    <w:p w14:paraId="3C4B4FDC" w14:textId="77777777" w:rsidR="00C30160" w:rsidRPr="00CE0DE7" w:rsidRDefault="00C30160" w:rsidP="00C30160"/>
    <w:p w14:paraId="304380B7" w14:textId="77777777" w:rsidR="00C30160" w:rsidRPr="00CE0DE7" w:rsidRDefault="00C30160" w:rsidP="00C30160"/>
    <w:p w14:paraId="28ADC57F" w14:textId="77777777" w:rsidR="00C30160" w:rsidRPr="00CE0DE7" w:rsidRDefault="00C30160" w:rsidP="00C30160"/>
    <w:p w14:paraId="2D7E6AE3" w14:textId="04E26A3C" w:rsidR="00C30160" w:rsidRPr="00CE0DE7" w:rsidRDefault="00C30160" w:rsidP="00C30160"/>
    <w:p w14:paraId="7D12384A" w14:textId="0678A30E" w:rsidR="00E5101E" w:rsidRPr="00CE0DE7" w:rsidRDefault="00E5101E" w:rsidP="00C30160"/>
    <w:p w14:paraId="5D13F0FA" w14:textId="51C18C17" w:rsidR="00E5101E" w:rsidRDefault="00E5101E" w:rsidP="00C30160"/>
    <w:p w14:paraId="09282BCB" w14:textId="77777777" w:rsidR="004C1F68" w:rsidRPr="00CE0DE7" w:rsidRDefault="004C1F68" w:rsidP="00C30160"/>
    <w:p w14:paraId="56EE1175" w14:textId="062093B1" w:rsidR="00C30160" w:rsidRPr="00CE0DE7" w:rsidRDefault="00C30160" w:rsidP="00C30160"/>
    <w:p w14:paraId="2ACEAD24" w14:textId="77777777" w:rsidR="00C30160" w:rsidRPr="00CE0DE7" w:rsidRDefault="00C30160" w:rsidP="00C30160"/>
    <w:p w14:paraId="65D74075" w14:textId="77777777" w:rsidR="00C30160" w:rsidRPr="00CE0DE7" w:rsidRDefault="00C30160" w:rsidP="00C30160"/>
    <w:p w14:paraId="0DD0B8FA" w14:textId="77777777" w:rsidR="00C30160" w:rsidRPr="00CE0DE7" w:rsidRDefault="00C30160" w:rsidP="00C30160"/>
    <w:p w14:paraId="1B54F496" w14:textId="77777777" w:rsidR="00C30160" w:rsidRPr="00CE0DE7" w:rsidRDefault="00C30160" w:rsidP="00C30160">
      <w:pPr>
        <w:adjustRightInd w:val="0"/>
        <w:snapToGrid w:val="0"/>
        <w:rPr>
          <w:b/>
          <w:bCs/>
          <w:sz w:val="20"/>
          <w:szCs w:val="20"/>
          <w:lang w:eastAsia="zh-CN"/>
        </w:rPr>
      </w:pPr>
      <w:r w:rsidRPr="00CE0DE7">
        <w:rPr>
          <w:b/>
          <w:bCs/>
          <w:sz w:val="20"/>
          <w:szCs w:val="20"/>
        </w:rPr>
        <w:lastRenderedPageBreak/>
        <w:t>Table 2. Correlation matrix</w:t>
      </w:r>
    </w:p>
    <w:p w14:paraId="2537E6F3" w14:textId="77777777" w:rsidR="00C30160" w:rsidRPr="00CE0DE7" w:rsidRDefault="00C30160" w:rsidP="00C30160">
      <w:pPr>
        <w:adjustRightInd w:val="0"/>
        <w:snapToGrid w:val="0"/>
        <w:rPr>
          <w:bCs/>
          <w:sz w:val="20"/>
          <w:szCs w:val="20"/>
          <w:lang w:eastAsia="zh-CN"/>
        </w:rPr>
      </w:pPr>
    </w:p>
    <w:tbl>
      <w:tblPr>
        <w:tblW w:w="4297" w:type="pct"/>
        <w:tblLook w:val="04A0" w:firstRow="1" w:lastRow="0" w:firstColumn="1" w:lastColumn="0" w:noHBand="0" w:noVBand="1"/>
      </w:tblPr>
      <w:tblGrid>
        <w:gridCol w:w="1005"/>
        <w:gridCol w:w="992"/>
        <w:gridCol w:w="992"/>
        <w:gridCol w:w="992"/>
        <w:gridCol w:w="992"/>
        <w:gridCol w:w="929"/>
        <w:gridCol w:w="992"/>
        <w:gridCol w:w="1005"/>
        <w:gridCol w:w="992"/>
        <w:gridCol w:w="992"/>
        <w:gridCol w:w="992"/>
        <w:gridCol w:w="992"/>
        <w:gridCol w:w="992"/>
        <w:gridCol w:w="644"/>
      </w:tblGrid>
      <w:tr w:rsidR="00C30160" w:rsidRPr="00CE0DE7" w14:paraId="2EEC4C67" w14:textId="77777777" w:rsidTr="00C24E43">
        <w:trPr>
          <w:trHeight w:val="187"/>
        </w:trPr>
        <w:tc>
          <w:tcPr>
            <w:tcW w:w="374" w:type="pct"/>
            <w:tcBorders>
              <w:top w:val="double" w:sz="4" w:space="0" w:color="auto"/>
              <w:left w:val="nil"/>
              <w:bottom w:val="single" w:sz="4" w:space="0" w:color="auto"/>
              <w:right w:val="nil"/>
            </w:tcBorders>
            <w:shd w:val="clear" w:color="auto" w:fill="auto"/>
            <w:noWrap/>
            <w:vAlign w:val="center"/>
            <w:hideMark/>
          </w:tcPr>
          <w:p w14:paraId="6CA3C48D" w14:textId="77777777" w:rsidR="00C30160" w:rsidRPr="00CE0DE7" w:rsidRDefault="00C30160" w:rsidP="00C24E43">
            <w:pPr>
              <w:rPr>
                <w:rFonts w:eastAsia="Times New Roman"/>
                <w:sz w:val="19"/>
                <w:szCs w:val="19"/>
                <w:lang w:val="en-GB" w:eastAsia="zh-CN"/>
              </w:rPr>
            </w:pPr>
          </w:p>
        </w:tc>
        <w:tc>
          <w:tcPr>
            <w:tcW w:w="367" w:type="pct"/>
            <w:tcBorders>
              <w:top w:val="double" w:sz="4" w:space="0" w:color="auto"/>
              <w:left w:val="nil"/>
              <w:bottom w:val="single" w:sz="4" w:space="0" w:color="auto"/>
              <w:right w:val="nil"/>
            </w:tcBorders>
            <w:shd w:val="clear" w:color="auto" w:fill="auto"/>
            <w:noWrap/>
            <w:vAlign w:val="center"/>
            <w:hideMark/>
          </w:tcPr>
          <w:p w14:paraId="61B851FA" w14:textId="77777777" w:rsidR="00C30160" w:rsidRPr="00CE0DE7" w:rsidRDefault="00C30160" w:rsidP="00022A17">
            <w:pPr>
              <w:rPr>
                <w:rFonts w:eastAsia="Times New Roman"/>
                <w:i/>
                <w:iCs/>
                <w:color w:val="000000"/>
                <w:sz w:val="19"/>
                <w:szCs w:val="19"/>
                <w:lang w:val="en-GB" w:eastAsia="zh-CN"/>
              </w:rPr>
            </w:pPr>
            <w:r w:rsidRPr="00CE0DE7">
              <w:rPr>
                <w:rFonts w:eastAsia="Times New Roman"/>
                <w:i/>
                <w:iCs/>
                <w:color w:val="000000"/>
                <w:sz w:val="19"/>
                <w:szCs w:val="19"/>
                <w:lang w:val="en-GB" w:eastAsia="zh-CN"/>
              </w:rPr>
              <w:t>VW</w:t>
            </w:r>
          </w:p>
        </w:tc>
        <w:tc>
          <w:tcPr>
            <w:tcW w:w="367" w:type="pct"/>
            <w:tcBorders>
              <w:top w:val="double" w:sz="4" w:space="0" w:color="auto"/>
              <w:left w:val="nil"/>
              <w:bottom w:val="single" w:sz="4" w:space="0" w:color="auto"/>
              <w:right w:val="nil"/>
            </w:tcBorders>
            <w:shd w:val="clear" w:color="auto" w:fill="auto"/>
            <w:noWrap/>
            <w:vAlign w:val="center"/>
            <w:hideMark/>
          </w:tcPr>
          <w:p w14:paraId="772DCE4A" w14:textId="77777777" w:rsidR="00C30160" w:rsidRPr="00CE0DE7" w:rsidRDefault="00C30160" w:rsidP="00022A17">
            <w:pPr>
              <w:rPr>
                <w:rFonts w:eastAsia="Times New Roman"/>
                <w:i/>
                <w:iCs/>
                <w:color w:val="000000"/>
                <w:sz w:val="19"/>
                <w:szCs w:val="19"/>
                <w:lang w:val="en-GB" w:eastAsia="zh-CN"/>
              </w:rPr>
            </w:pPr>
            <w:r w:rsidRPr="00CE0DE7">
              <w:rPr>
                <w:rFonts w:eastAsia="Times New Roman"/>
                <w:i/>
                <w:iCs/>
                <w:color w:val="000000"/>
                <w:sz w:val="19"/>
                <w:szCs w:val="19"/>
                <w:lang w:val="en-GB" w:eastAsia="zh-CN"/>
              </w:rPr>
              <w:t>INDEX</w:t>
            </w:r>
          </w:p>
        </w:tc>
        <w:tc>
          <w:tcPr>
            <w:tcW w:w="367" w:type="pct"/>
            <w:tcBorders>
              <w:top w:val="double" w:sz="4" w:space="0" w:color="auto"/>
              <w:left w:val="nil"/>
              <w:bottom w:val="single" w:sz="4" w:space="0" w:color="auto"/>
              <w:right w:val="nil"/>
            </w:tcBorders>
            <w:shd w:val="clear" w:color="auto" w:fill="auto"/>
            <w:noWrap/>
            <w:vAlign w:val="center"/>
            <w:hideMark/>
          </w:tcPr>
          <w:p w14:paraId="334FF15B" w14:textId="77777777" w:rsidR="00C30160" w:rsidRPr="00CE0DE7" w:rsidRDefault="00C30160" w:rsidP="00022A17">
            <w:pPr>
              <w:rPr>
                <w:rFonts w:eastAsia="Times New Roman"/>
                <w:i/>
                <w:iCs/>
                <w:color w:val="000000"/>
                <w:sz w:val="19"/>
                <w:szCs w:val="19"/>
                <w:lang w:val="en-GB" w:eastAsia="zh-CN"/>
              </w:rPr>
            </w:pPr>
            <w:r w:rsidRPr="00CE0DE7">
              <w:rPr>
                <w:rFonts w:eastAsia="Times New Roman"/>
                <w:i/>
                <w:iCs/>
                <w:color w:val="000000"/>
                <w:sz w:val="19"/>
                <w:szCs w:val="19"/>
                <w:lang w:val="en-GB" w:eastAsia="zh-CN"/>
              </w:rPr>
              <w:t>VRP</w:t>
            </w:r>
            <w:r w:rsidRPr="00CE0DE7">
              <w:rPr>
                <w:rFonts w:eastAsia="Times New Roman"/>
                <w:i/>
                <w:iCs/>
                <w:color w:val="000000"/>
                <w:sz w:val="19"/>
                <w:szCs w:val="19"/>
                <w:vertAlign w:val="superscript"/>
                <w:lang w:val="en-GB" w:eastAsia="zh-CN"/>
              </w:rPr>
              <w:t>BTZ</w:t>
            </w:r>
          </w:p>
        </w:tc>
        <w:tc>
          <w:tcPr>
            <w:tcW w:w="367" w:type="pct"/>
            <w:tcBorders>
              <w:top w:val="double" w:sz="4" w:space="0" w:color="auto"/>
              <w:left w:val="nil"/>
              <w:bottom w:val="single" w:sz="4" w:space="0" w:color="auto"/>
              <w:right w:val="nil"/>
            </w:tcBorders>
            <w:shd w:val="clear" w:color="auto" w:fill="auto"/>
            <w:noWrap/>
            <w:vAlign w:val="center"/>
            <w:hideMark/>
          </w:tcPr>
          <w:p w14:paraId="1CEB0F4B" w14:textId="77777777" w:rsidR="00C30160" w:rsidRPr="00CE0DE7" w:rsidRDefault="00C30160" w:rsidP="00022A17">
            <w:pPr>
              <w:rPr>
                <w:rFonts w:eastAsia="Times New Roman"/>
                <w:i/>
                <w:iCs/>
                <w:color w:val="000000"/>
                <w:sz w:val="19"/>
                <w:szCs w:val="19"/>
                <w:lang w:val="en-GB" w:eastAsia="zh-CN"/>
              </w:rPr>
            </w:pPr>
            <w:r w:rsidRPr="00CE0DE7">
              <w:rPr>
                <w:rFonts w:eastAsia="Times New Roman"/>
                <w:i/>
                <w:iCs/>
                <w:color w:val="000000"/>
                <w:sz w:val="19"/>
                <w:szCs w:val="19"/>
                <w:lang w:val="en-GB" w:eastAsia="zh-CN"/>
              </w:rPr>
              <w:t>VRP</w:t>
            </w:r>
            <w:r w:rsidRPr="00CE0DE7">
              <w:rPr>
                <w:rFonts w:eastAsia="Times New Roman"/>
                <w:i/>
                <w:iCs/>
                <w:color w:val="000000"/>
                <w:sz w:val="19"/>
                <w:szCs w:val="19"/>
                <w:vertAlign w:val="superscript"/>
                <w:lang w:val="en-GB" w:eastAsia="zh-CN"/>
              </w:rPr>
              <w:t>CW</w:t>
            </w:r>
          </w:p>
        </w:tc>
        <w:tc>
          <w:tcPr>
            <w:tcW w:w="345" w:type="pct"/>
            <w:tcBorders>
              <w:top w:val="double" w:sz="4" w:space="0" w:color="auto"/>
              <w:left w:val="nil"/>
              <w:bottom w:val="single" w:sz="4" w:space="0" w:color="auto"/>
              <w:right w:val="nil"/>
            </w:tcBorders>
            <w:shd w:val="clear" w:color="auto" w:fill="auto"/>
            <w:noWrap/>
            <w:vAlign w:val="center"/>
            <w:hideMark/>
          </w:tcPr>
          <w:p w14:paraId="00B684EB" w14:textId="77777777" w:rsidR="00C30160" w:rsidRPr="00CE0DE7" w:rsidRDefault="00C30160" w:rsidP="00022A17">
            <w:pPr>
              <w:rPr>
                <w:rFonts w:eastAsia="Times New Roman"/>
                <w:i/>
                <w:iCs/>
                <w:color w:val="000000"/>
                <w:sz w:val="19"/>
                <w:szCs w:val="19"/>
                <w:lang w:val="en-GB" w:eastAsia="zh-CN"/>
              </w:rPr>
            </w:pPr>
            <w:r w:rsidRPr="00CE0DE7">
              <w:rPr>
                <w:rFonts w:eastAsia="Times New Roman"/>
                <w:i/>
                <w:iCs/>
                <w:color w:val="000000"/>
                <w:sz w:val="19"/>
                <w:szCs w:val="19"/>
                <w:lang w:val="en-GB" w:eastAsia="zh-CN"/>
              </w:rPr>
              <w:t>VRP</w:t>
            </w:r>
            <w:r w:rsidRPr="00CE0DE7">
              <w:rPr>
                <w:rFonts w:eastAsia="Times New Roman"/>
                <w:i/>
                <w:iCs/>
                <w:color w:val="000000"/>
                <w:sz w:val="19"/>
                <w:szCs w:val="19"/>
                <w:vertAlign w:val="superscript"/>
                <w:lang w:val="en-GB" w:eastAsia="zh-CN"/>
              </w:rPr>
              <w:t>DY</w:t>
            </w:r>
          </w:p>
        </w:tc>
        <w:tc>
          <w:tcPr>
            <w:tcW w:w="367" w:type="pct"/>
            <w:tcBorders>
              <w:top w:val="double" w:sz="4" w:space="0" w:color="auto"/>
              <w:left w:val="nil"/>
              <w:bottom w:val="single" w:sz="4" w:space="0" w:color="auto"/>
              <w:right w:val="nil"/>
            </w:tcBorders>
            <w:shd w:val="clear" w:color="auto" w:fill="auto"/>
            <w:noWrap/>
            <w:vAlign w:val="center"/>
            <w:hideMark/>
          </w:tcPr>
          <w:p w14:paraId="7515E896" w14:textId="77777777" w:rsidR="00C30160" w:rsidRPr="00CE0DE7" w:rsidRDefault="00C30160" w:rsidP="00022A17">
            <w:pPr>
              <w:rPr>
                <w:rFonts w:eastAsia="Times New Roman"/>
                <w:i/>
                <w:iCs/>
                <w:color w:val="000000"/>
                <w:sz w:val="19"/>
                <w:szCs w:val="19"/>
                <w:lang w:val="en-GB" w:eastAsia="zh-CN"/>
              </w:rPr>
            </w:pPr>
            <w:r w:rsidRPr="00CE0DE7">
              <w:rPr>
                <w:rFonts w:eastAsia="Times New Roman"/>
                <w:i/>
                <w:iCs/>
                <w:color w:val="000000"/>
                <w:sz w:val="19"/>
                <w:szCs w:val="19"/>
                <w:lang w:val="en-GB" w:eastAsia="zh-CN"/>
              </w:rPr>
              <w:t>ILLIQ</w:t>
            </w:r>
            <w:r w:rsidRPr="00CE0DE7">
              <w:rPr>
                <w:rFonts w:eastAsia="Times New Roman"/>
                <w:i/>
                <w:iCs/>
                <w:color w:val="000000"/>
                <w:sz w:val="19"/>
                <w:szCs w:val="19"/>
                <w:vertAlign w:val="superscript"/>
                <w:lang w:val="en-GB" w:eastAsia="zh-CN"/>
              </w:rPr>
              <w:t>NYSE</w:t>
            </w:r>
          </w:p>
        </w:tc>
        <w:tc>
          <w:tcPr>
            <w:tcW w:w="375" w:type="pct"/>
            <w:tcBorders>
              <w:top w:val="double" w:sz="4" w:space="0" w:color="auto"/>
              <w:left w:val="nil"/>
              <w:bottom w:val="single" w:sz="4" w:space="0" w:color="auto"/>
              <w:right w:val="nil"/>
            </w:tcBorders>
            <w:shd w:val="clear" w:color="auto" w:fill="auto"/>
            <w:noWrap/>
            <w:vAlign w:val="center"/>
            <w:hideMark/>
          </w:tcPr>
          <w:p w14:paraId="6488ABB1" w14:textId="77777777" w:rsidR="00C30160" w:rsidRPr="00CE0DE7" w:rsidRDefault="00C30160" w:rsidP="00022A17">
            <w:pPr>
              <w:rPr>
                <w:rFonts w:eastAsia="Times New Roman"/>
                <w:i/>
                <w:iCs/>
                <w:color w:val="000000"/>
                <w:sz w:val="19"/>
                <w:szCs w:val="19"/>
                <w:lang w:val="en-GB" w:eastAsia="zh-CN"/>
              </w:rPr>
            </w:pPr>
            <w:r w:rsidRPr="00CE0DE7">
              <w:rPr>
                <w:rFonts w:eastAsia="Times New Roman"/>
                <w:i/>
                <w:iCs/>
                <w:color w:val="000000"/>
                <w:sz w:val="19"/>
                <w:szCs w:val="19"/>
                <w:lang w:val="en-GB" w:eastAsia="zh-CN"/>
              </w:rPr>
              <w:t>ILLIQ</w:t>
            </w:r>
            <w:r w:rsidRPr="00CE0DE7">
              <w:rPr>
                <w:rFonts w:eastAsia="Times New Roman"/>
                <w:i/>
                <w:iCs/>
                <w:color w:val="000000"/>
                <w:sz w:val="19"/>
                <w:szCs w:val="19"/>
                <w:vertAlign w:val="superscript"/>
                <w:lang w:val="en-GB" w:eastAsia="zh-CN"/>
              </w:rPr>
              <w:t>SP500</w:t>
            </w:r>
          </w:p>
        </w:tc>
        <w:tc>
          <w:tcPr>
            <w:tcW w:w="367" w:type="pct"/>
            <w:tcBorders>
              <w:top w:val="double" w:sz="4" w:space="0" w:color="auto"/>
              <w:left w:val="nil"/>
              <w:bottom w:val="single" w:sz="4" w:space="0" w:color="auto"/>
              <w:right w:val="nil"/>
            </w:tcBorders>
            <w:shd w:val="clear" w:color="auto" w:fill="auto"/>
            <w:noWrap/>
            <w:vAlign w:val="center"/>
            <w:hideMark/>
          </w:tcPr>
          <w:p w14:paraId="6A2F8B93" w14:textId="77777777" w:rsidR="00C30160" w:rsidRPr="00CE0DE7" w:rsidRDefault="00C30160" w:rsidP="00022A17">
            <w:pPr>
              <w:rPr>
                <w:rFonts w:eastAsia="Times New Roman"/>
                <w:i/>
                <w:iCs/>
                <w:color w:val="000000"/>
                <w:sz w:val="19"/>
                <w:szCs w:val="19"/>
                <w:lang w:val="en-GB" w:eastAsia="zh-CN"/>
              </w:rPr>
            </w:pPr>
            <w:r w:rsidRPr="00CE0DE7">
              <w:rPr>
                <w:rFonts w:eastAsia="Times New Roman"/>
                <w:i/>
                <w:iCs/>
                <w:color w:val="000000"/>
                <w:sz w:val="19"/>
                <w:szCs w:val="19"/>
                <w:lang w:val="en-GB" w:eastAsia="zh-CN"/>
              </w:rPr>
              <w:t>PD</w:t>
            </w:r>
          </w:p>
        </w:tc>
        <w:tc>
          <w:tcPr>
            <w:tcW w:w="367" w:type="pct"/>
            <w:tcBorders>
              <w:top w:val="double" w:sz="4" w:space="0" w:color="auto"/>
              <w:left w:val="nil"/>
              <w:bottom w:val="single" w:sz="4" w:space="0" w:color="auto"/>
              <w:right w:val="nil"/>
            </w:tcBorders>
            <w:shd w:val="clear" w:color="auto" w:fill="auto"/>
            <w:noWrap/>
            <w:vAlign w:val="center"/>
            <w:hideMark/>
          </w:tcPr>
          <w:p w14:paraId="3D0A8448" w14:textId="77777777" w:rsidR="00C30160" w:rsidRPr="00CE0DE7" w:rsidRDefault="00C30160" w:rsidP="00022A17">
            <w:pPr>
              <w:rPr>
                <w:rFonts w:eastAsia="Times New Roman"/>
                <w:i/>
                <w:iCs/>
                <w:color w:val="000000"/>
                <w:sz w:val="19"/>
                <w:szCs w:val="19"/>
                <w:lang w:val="en-GB" w:eastAsia="zh-CN"/>
              </w:rPr>
            </w:pPr>
            <w:r w:rsidRPr="00CE0DE7">
              <w:rPr>
                <w:rFonts w:eastAsia="Times New Roman"/>
                <w:i/>
                <w:iCs/>
                <w:color w:val="000000"/>
                <w:sz w:val="19"/>
                <w:szCs w:val="19"/>
                <w:lang w:val="en-GB" w:eastAsia="zh-CN"/>
              </w:rPr>
              <w:t>PE</w:t>
            </w:r>
          </w:p>
        </w:tc>
        <w:tc>
          <w:tcPr>
            <w:tcW w:w="367" w:type="pct"/>
            <w:tcBorders>
              <w:top w:val="double" w:sz="4" w:space="0" w:color="auto"/>
              <w:left w:val="nil"/>
              <w:bottom w:val="single" w:sz="4" w:space="0" w:color="auto"/>
              <w:right w:val="nil"/>
            </w:tcBorders>
            <w:shd w:val="clear" w:color="auto" w:fill="auto"/>
            <w:noWrap/>
            <w:vAlign w:val="center"/>
            <w:hideMark/>
          </w:tcPr>
          <w:p w14:paraId="57819DFD" w14:textId="77777777" w:rsidR="00C30160" w:rsidRPr="00CE0DE7" w:rsidRDefault="00C30160" w:rsidP="00022A17">
            <w:pPr>
              <w:rPr>
                <w:rFonts w:eastAsia="Times New Roman"/>
                <w:i/>
                <w:iCs/>
                <w:color w:val="000000"/>
                <w:sz w:val="19"/>
                <w:szCs w:val="19"/>
                <w:lang w:val="en-GB" w:eastAsia="zh-CN"/>
              </w:rPr>
            </w:pPr>
            <w:r w:rsidRPr="00CE0DE7">
              <w:rPr>
                <w:rFonts w:eastAsia="Times New Roman"/>
                <w:i/>
                <w:iCs/>
                <w:color w:val="000000"/>
                <w:sz w:val="19"/>
                <w:szCs w:val="19"/>
                <w:lang w:val="en-GB" w:eastAsia="zh-CN"/>
              </w:rPr>
              <w:t>DFSP</w:t>
            </w:r>
          </w:p>
        </w:tc>
        <w:tc>
          <w:tcPr>
            <w:tcW w:w="367" w:type="pct"/>
            <w:tcBorders>
              <w:top w:val="double" w:sz="4" w:space="0" w:color="auto"/>
              <w:left w:val="nil"/>
              <w:bottom w:val="single" w:sz="4" w:space="0" w:color="auto"/>
              <w:right w:val="nil"/>
            </w:tcBorders>
            <w:shd w:val="clear" w:color="auto" w:fill="auto"/>
            <w:noWrap/>
            <w:vAlign w:val="center"/>
            <w:hideMark/>
          </w:tcPr>
          <w:p w14:paraId="2296D8F7" w14:textId="77777777" w:rsidR="00C30160" w:rsidRPr="00CE0DE7" w:rsidRDefault="00C30160" w:rsidP="00022A17">
            <w:pPr>
              <w:rPr>
                <w:rFonts w:eastAsia="Times New Roman"/>
                <w:i/>
                <w:iCs/>
                <w:color w:val="000000"/>
                <w:sz w:val="19"/>
                <w:szCs w:val="19"/>
                <w:lang w:val="en-GB" w:eastAsia="zh-CN"/>
              </w:rPr>
            </w:pPr>
            <w:r w:rsidRPr="00CE0DE7">
              <w:rPr>
                <w:rFonts w:eastAsia="Times New Roman"/>
                <w:i/>
                <w:iCs/>
                <w:color w:val="000000"/>
                <w:sz w:val="19"/>
                <w:szCs w:val="19"/>
                <w:lang w:val="en-GB" w:eastAsia="zh-CN"/>
              </w:rPr>
              <w:t>TMSP</w:t>
            </w:r>
          </w:p>
        </w:tc>
        <w:tc>
          <w:tcPr>
            <w:tcW w:w="367" w:type="pct"/>
            <w:tcBorders>
              <w:top w:val="double" w:sz="4" w:space="0" w:color="auto"/>
              <w:left w:val="nil"/>
              <w:bottom w:val="single" w:sz="4" w:space="0" w:color="auto"/>
              <w:right w:val="nil"/>
            </w:tcBorders>
            <w:shd w:val="clear" w:color="auto" w:fill="auto"/>
            <w:noWrap/>
            <w:vAlign w:val="center"/>
            <w:hideMark/>
          </w:tcPr>
          <w:p w14:paraId="100E3E58" w14:textId="77777777" w:rsidR="00C30160" w:rsidRPr="00CE0DE7" w:rsidRDefault="00C30160" w:rsidP="00022A17">
            <w:pPr>
              <w:rPr>
                <w:rFonts w:eastAsia="Times New Roman"/>
                <w:i/>
                <w:iCs/>
                <w:color w:val="000000"/>
                <w:sz w:val="19"/>
                <w:szCs w:val="19"/>
                <w:lang w:val="en-GB" w:eastAsia="zh-CN"/>
              </w:rPr>
            </w:pPr>
            <w:r w:rsidRPr="00CE0DE7">
              <w:rPr>
                <w:rFonts w:eastAsia="Times New Roman"/>
                <w:i/>
                <w:iCs/>
                <w:color w:val="000000"/>
                <w:sz w:val="19"/>
                <w:szCs w:val="19"/>
                <w:lang w:val="en-GB" w:eastAsia="zh-CN"/>
              </w:rPr>
              <w:t>RREL</w:t>
            </w:r>
          </w:p>
        </w:tc>
        <w:tc>
          <w:tcPr>
            <w:tcW w:w="239" w:type="pct"/>
            <w:tcBorders>
              <w:top w:val="double" w:sz="4" w:space="0" w:color="auto"/>
              <w:left w:val="nil"/>
              <w:bottom w:val="single" w:sz="4" w:space="0" w:color="auto"/>
              <w:right w:val="nil"/>
            </w:tcBorders>
            <w:shd w:val="clear" w:color="auto" w:fill="auto"/>
            <w:noWrap/>
            <w:vAlign w:val="center"/>
            <w:hideMark/>
          </w:tcPr>
          <w:p w14:paraId="0D7A7BCE" w14:textId="77777777" w:rsidR="00C30160" w:rsidRPr="00CE0DE7" w:rsidRDefault="00C30160" w:rsidP="00022A17">
            <w:pPr>
              <w:rPr>
                <w:rFonts w:eastAsia="Times New Roman"/>
                <w:i/>
                <w:iCs/>
                <w:color w:val="000000"/>
                <w:sz w:val="19"/>
                <w:szCs w:val="19"/>
                <w:lang w:val="en-GB" w:eastAsia="zh-CN"/>
              </w:rPr>
            </w:pPr>
            <w:r w:rsidRPr="00CE0DE7">
              <w:rPr>
                <w:rFonts w:eastAsia="Times New Roman"/>
                <w:i/>
                <w:iCs/>
                <w:color w:val="000000"/>
                <w:sz w:val="19"/>
                <w:szCs w:val="19"/>
                <w:lang w:val="en-GB" w:eastAsia="zh-CN"/>
              </w:rPr>
              <w:t>CAY</w:t>
            </w:r>
          </w:p>
        </w:tc>
      </w:tr>
      <w:tr w:rsidR="00C30160" w:rsidRPr="00CE0DE7" w14:paraId="491C39B5" w14:textId="77777777" w:rsidTr="00C24E43">
        <w:trPr>
          <w:trHeight w:val="187"/>
        </w:trPr>
        <w:tc>
          <w:tcPr>
            <w:tcW w:w="374" w:type="pct"/>
            <w:tcBorders>
              <w:top w:val="single" w:sz="4" w:space="0" w:color="auto"/>
              <w:left w:val="nil"/>
              <w:bottom w:val="nil"/>
              <w:right w:val="nil"/>
            </w:tcBorders>
            <w:shd w:val="clear" w:color="auto" w:fill="auto"/>
            <w:noWrap/>
            <w:vAlign w:val="center"/>
            <w:hideMark/>
          </w:tcPr>
          <w:p w14:paraId="3A3BD898" w14:textId="77777777" w:rsidR="00C30160" w:rsidRPr="00CE0DE7" w:rsidRDefault="00C30160" w:rsidP="00C24E43">
            <w:pPr>
              <w:rPr>
                <w:rFonts w:eastAsia="Times New Roman"/>
                <w:i/>
                <w:iCs/>
                <w:color w:val="000000"/>
                <w:sz w:val="19"/>
                <w:szCs w:val="19"/>
                <w:lang w:val="en-GB" w:eastAsia="zh-CN"/>
              </w:rPr>
            </w:pPr>
            <w:r w:rsidRPr="00CE0DE7">
              <w:rPr>
                <w:rFonts w:eastAsia="Times New Roman"/>
                <w:i/>
                <w:iCs/>
                <w:color w:val="000000"/>
                <w:sz w:val="19"/>
                <w:szCs w:val="19"/>
                <w:lang w:val="en-GB" w:eastAsia="zh-CN"/>
              </w:rPr>
              <w:t>VW</w:t>
            </w:r>
          </w:p>
        </w:tc>
        <w:tc>
          <w:tcPr>
            <w:tcW w:w="367" w:type="pct"/>
            <w:tcBorders>
              <w:top w:val="single" w:sz="4" w:space="0" w:color="auto"/>
              <w:left w:val="nil"/>
              <w:bottom w:val="nil"/>
              <w:right w:val="nil"/>
            </w:tcBorders>
            <w:shd w:val="clear" w:color="auto" w:fill="auto"/>
            <w:noWrap/>
            <w:vAlign w:val="center"/>
            <w:hideMark/>
          </w:tcPr>
          <w:p w14:paraId="24F11C82"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1.000</w:t>
            </w:r>
          </w:p>
        </w:tc>
        <w:tc>
          <w:tcPr>
            <w:tcW w:w="367" w:type="pct"/>
            <w:tcBorders>
              <w:top w:val="single" w:sz="4" w:space="0" w:color="auto"/>
              <w:left w:val="nil"/>
              <w:bottom w:val="nil"/>
              <w:right w:val="nil"/>
            </w:tcBorders>
            <w:shd w:val="clear" w:color="auto" w:fill="auto"/>
            <w:noWrap/>
            <w:vAlign w:val="center"/>
            <w:hideMark/>
          </w:tcPr>
          <w:p w14:paraId="50DF602C" w14:textId="77777777" w:rsidR="00C30160" w:rsidRPr="00CE0DE7" w:rsidRDefault="00C30160" w:rsidP="00022A17">
            <w:pPr>
              <w:rPr>
                <w:rFonts w:eastAsia="Times New Roman"/>
                <w:color w:val="000000"/>
                <w:sz w:val="19"/>
                <w:szCs w:val="19"/>
                <w:lang w:val="en-GB" w:eastAsia="zh-CN"/>
              </w:rPr>
            </w:pPr>
          </w:p>
        </w:tc>
        <w:tc>
          <w:tcPr>
            <w:tcW w:w="367" w:type="pct"/>
            <w:tcBorders>
              <w:top w:val="single" w:sz="4" w:space="0" w:color="auto"/>
              <w:left w:val="nil"/>
              <w:bottom w:val="nil"/>
              <w:right w:val="nil"/>
            </w:tcBorders>
            <w:shd w:val="clear" w:color="auto" w:fill="auto"/>
            <w:noWrap/>
            <w:vAlign w:val="center"/>
            <w:hideMark/>
          </w:tcPr>
          <w:p w14:paraId="247953A0" w14:textId="77777777" w:rsidR="00C30160" w:rsidRPr="00CE0DE7" w:rsidRDefault="00C30160" w:rsidP="00022A17">
            <w:pPr>
              <w:rPr>
                <w:rFonts w:eastAsia="Times New Roman"/>
                <w:sz w:val="19"/>
                <w:szCs w:val="19"/>
                <w:lang w:val="en-GB" w:eastAsia="zh-CN"/>
              </w:rPr>
            </w:pPr>
          </w:p>
        </w:tc>
        <w:tc>
          <w:tcPr>
            <w:tcW w:w="367" w:type="pct"/>
            <w:tcBorders>
              <w:top w:val="single" w:sz="4" w:space="0" w:color="auto"/>
              <w:left w:val="nil"/>
              <w:bottom w:val="nil"/>
              <w:right w:val="nil"/>
            </w:tcBorders>
            <w:shd w:val="clear" w:color="auto" w:fill="auto"/>
            <w:noWrap/>
            <w:vAlign w:val="center"/>
            <w:hideMark/>
          </w:tcPr>
          <w:p w14:paraId="5D89DA38" w14:textId="77777777" w:rsidR="00C30160" w:rsidRPr="00CE0DE7" w:rsidRDefault="00C30160" w:rsidP="00022A17">
            <w:pPr>
              <w:rPr>
                <w:rFonts w:eastAsia="Times New Roman"/>
                <w:sz w:val="19"/>
                <w:szCs w:val="19"/>
                <w:lang w:val="en-GB" w:eastAsia="zh-CN"/>
              </w:rPr>
            </w:pPr>
          </w:p>
        </w:tc>
        <w:tc>
          <w:tcPr>
            <w:tcW w:w="345" w:type="pct"/>
            <w:tcBorders>
              <w:top w:val="single" w:sz="4" w:space="0" w:color="auto"/>
              <w:left w:val="nil"/>
              <w:bottom w:val="nil"/>
              <w:right w:val="nil"/>
            </w:tcBorders>
            <w:shd w:val="clear" w:color="auto" w:fill="auto"/>
            <w:noWrap/>
            <w:vAlign w:val="center"/>
            <w:hideMark/>
          </w:tcPr>
          <w:p w14:paraId="0C857FEC" w14:textId="77777777" w:rsidR="00C30160" w:rsidRPr="00CE0DE7" w:rsidRDefault="00C30160" w:rsidP="00022A17">
            <w:pPr>
              <w:rPr>
                <w:rFonts w:eastAsia="Times New Roman"/>
                <w:sz w:val="19"/>
                <w:szCs w:val="19"/>
                <w:lang w:val="en-GB" w:eastAsia="zh-CN"/>
              </w:rPr>
            </w:pPr>
          </w:p>
        </w:tc>
        <w:tc>
          <w:tcPr>
            <w:tcW w:w="367" w:type="pct"/>
            <w:tcBorders>
              <w:top w:val="single" w:sz="4" w:space="0" w:color="auto"/>
              <w:left w:val="nil"/>
              <w:bottom w:val="nil"/>
              <w:right w:val="nil"/>
            </w:tcBorders>
            <w:shd w:val="clear" w:color="auto" w:fill="auto"/>
            <w:noWrap/>
            <w:vAlign w:val="center"/>
            <w:hideMark/>
          </w:tcPr>
          <w:p w14:paraId="78893196" w14:textId="77777777" w:rsidR="00C30160" w:rsidRPr="00CE0DE7" w:rsidRDefault="00C30160" w:rsidP="00022A17">
            <w:pPr>
              <w:rPr>
                <w:rFonts w:eastAsia="Times New Roman"/>
                <w:sz w:val="19"/>
                <w:szCs w:val="19"/>
                <w:lang w:val="en-GB" w:eastAsia="zh-CN"/>
              </w:rPr>
            </w:pPr>
          </w:p>
        </w:tc>
        <w:tc>
          <w:tcPr>
            <w:tcW w:w="375" w:type="pct"/>
            <w:tcBorders>
              <w:top w:val="single" w:sz="4" w:space="0" w:color="auto"/>
              <w:left w:val="nil"/>
              <w:bottom w:val="nil"/>
              <w:right w:val="nil"/>
            </w:tcBorders>
            <w:shd w:val="clear" w:color="auto" w:fill="auto"/>
            <w:noWrap/>
            <w:vAlign w:val="center"/>
            <w:hideMark/>
          </w:tcPr>
          <w:p w14:paraId="424031D1" w14:textId="77777777" w:rsidR="00C30160" w:rsidRPr="00CE0DE7" w:rsidRDefault="00C30160" w:rsidP="00022A17">
            <w:pPr>
              <w:rPr>
                <w:rFonts w:eastAsia="Times New Roman"/>
                <w:sz w:val="19"/>
                <w:szCs w:val="19"/>
                <w:lang w:val="en-GB" w:eastAsia="zh-CN"/>
              </w:rPr>
            </w:pPr>
          </w:p>
        </w:tc>
        <w:tc>
          <w:tcPr>
            <w:tcW w:w="367" w:type="pct"/>
            <w:tcBorders>
              <w:top w:val="single" w:sz="4" w:space="0" w:color="auto"/>
              <w:left w:val="nil"/>
              <w:bottom w:val="nil"/>
              <w:right w:val="nil"/>
            </w:tcBorders>
            <w:shd w:val="clear" w:color="auto" w:fill="auto"/>
            <w:noWrap/>
            <w:vAlign w:val="center"/>
            <w:hideMark/>
          </w:tcPr>
          <w:p w14:paraId="33C3EF2D" w14:textId="77777777" w:rsidR="00C30160" w:rsidRPr="00CE0DE7" w:rsidRDefault="00C30160" w:rsidP="00022A17">
            <w:pPr>
              <w:rPr>
                <w:rFonts w:eastAsia="Times New Roman"/>
                <w:sz w:val="19"/>
                <w:szCs w:val="19"/>
                <w:lang w:val="en-GB" w:eastAsia="zh-CN"/>
              </w:rPr>
            </w:pPr>
          </w:p>
        </w:tc>
        <w:tc>
          <w:tcPr>
            <w:tcW w:w="367" w:type="pct"/>
            <w:tcBorders>
              <w:top w:val="single" w:sz="4" w:space="0" w:color="auto"/>
              <w:left w:val="nil"/>
              <w:bottom w:val="nil"/>
              <w:right w:val="nil"/>
            </w:tcBorders>
            <w:shd w:val="clear" w:color="auto" w:fill="auto"/>
            <w:noWrap/>
            <w:vAlign w:val="center"/>
            <w:hideMark/>
          </w:tcPr>
          <w:p w14:paraId="7EBB596D" w14:textId="77777777" w:rsidR="00C30160" w:rsidRPr="00CE0DE7" w:rsidRDefault="00C30160" w:rsidP="00022A17">
            <w:pPr>
              <w:rPr>
                <w:rFonts w:eastAsia="Times New Roman"/>
                <w:sz w:val="19"/>
                <w:szCs w:val="19"/>
                <w:lang w:val="en-GB" w:eastAsia="zh-CN"/>
              </w:rPr>
            </w:pPr>
          </w:p>
        </w:tc>
        <w:tc>
          <w:tcPr>
            <w:tcW w:w="367" w:type="pct"/>
            <w:tcBorders>
              <w:top w:val="single" w:sz="4" w:space="0" w:color="auto"/>
              <w:left w:val="nil"/>
              <w:bottom w:val="nil"/>
              <w:right w:val="nil"/>
            </w:tcBorders>
            <w:shd w:val="clear" w:color="auto" w:fill="auto"/>
            <w:noWrap/>
            <w:vAlign w:val="center"/>
            <w:hideMark/>
          </w:tcPr>
          <w:p w14:paraId="7462A0C2" w14:textId="77777777" w:rsidR="00C30160" w:rsidRPr="00CE0DE7" w:rsidRDefault="00C30160" w:rsidP="00022A17">
            <w:pPr>
              <w:rPr>
                <w:rFonts w:eastAsia="Times New Roman"/>
                <w:sz w:val="19"/>
                <w:szCs w:val="19"/>
                <w:lang w:val="en-GB" w:eastAsia="zh-CN"/>
              </w:rPr>
            </w:pPr>
          </w:p>
        </w:tc>
        <w:tc>
          <w:tcPr>
            <w:tcW w:w="367" w:type="pct"/>
            <w:tcBorders>
              <w:top w:val="single" w:sz="4" w:space="0" w:color="auto"/>
              <w:left w:val="nil"/>
              <w:bottom w:val="nil"/>
              <w:right w:val="nil"/>
            </w:tcBorders>
            <w:shd w:val="clear" w:color="auto" w:fill="auto"/>
            <w:noWrap/>
            <w:vAlign w:val="center"/>
            <w:hideMark/>
          </w:tcPr>
          <w:p w14:paraId="06BE1D8E" w14:textId="77777777" w:rsidR="00C30160" w:rsidRPr="00CE0DE7" w:rsidRDefault="00C30160" w:rsidP="00022A17">
            <w:pPr>
              <w:rPr>
                <w:rFonts w:eastAsia="Times New Roman"/>
                <w:sz w:val="19"/>
                <w:szCs w:val="19"/>
                <w:lang w:val="en-GB" w:eastAsia="zh-CN"/>
              </w:rPr>
            </w:pPr>
          </w:p>
        </w:tc>
        <w:tc>
          <w:tcPr>
            <w:tcW w:w="367" w:type="pct"/>
            <w:tcBorders>
              <w:top w:val="single" w:sz="4" w:space="0" w:color="auto"/>
              <w:left w:val="nil"/>
              <w:bottom w:val="nil"/>
              <w:right w:val="nil"/>
            </w:tcBorders>
            <w:shd w:val="clear" w:color="auto" w:fill="auto"/>
            <w:noWrap/>
            <w:vAlign w:val="center"/>
            <w:hideMark/>
          </w:tcPr>
          <w:p w14:paraId="4680736D" w14:textId="77777777" w:rsidR="00C30160" w:rsidRPr="00CE0DE7" w:rsidRDefault="00C30160" w:rsidP="00022A17">
            <w:pPr>
              <w:rPr>
                <w:rFonts w:eastAsia="Times New Roman"/>
                <w:sz w:val="19"/>
                <w:szCs w:val="19"/>
                <w:lang w:val="en-GB" w:eastAsia="zh-CN"/>
              </w:rPr>
            </w:pPr>
          </w:p>
        </w:tc>
        <w:tc>
          <w:tcPr>
            <w:tcW w:w="239" w:type="pct"/>
            <w:tcBorders>
              <w:top w:val="single" w:sz="4" w:space="0" w:color="auto"/>
              <w:left w:val="nil"/>
              <w:bottom w:val="nil"/>
              <w:right w:val="nil"/>
            </w:tcBorders>
            <w:shd w:val="clear" w:color="auto" w:fill="auto"/>
            <w:noWrap/>
            <w:vAlign w:val="center"/>
            <w:hideMark/>
          </w:tcPr>
          <w:p w14:paraId="48D90832" w14:textId="77777777" w:rsidR="00C30160" w:rsidRPr="00CE0DE7" w:rsidRDefault="00C30160" w:rsidP="00022A17">
            <w:pPr>
              <w:rPr>
                <w:rFonts w:eastAsia="Times New Roman"/>
                <w:sz w:val="19"/>
                <w:szCs w:val="19"/>
                <w:lang w:val="en-GB" w:eastAsia="zh-CN"/>
              </w:rPr>
            </w:pPr>
          </w:p>
        </w:tc>
      </w:tr>
      <w:tr w:rsidR="00C30160" w:rsidRPr="00CE0DE7" w14:paraId="4962D37A" w14:textId="77777777" w:rsidTr="00C24E43">
        <w:trPr>
          <w:trHeight w:val="187"/>
        </w:trPr>
        <w:tc>
          <w:tcPr>
            <w:tcW w:w="374" w:type="pct"/>
            <w:tcBorders>
              <w:top w:val="nil"/>
              <w:left w:val="nil"/>
              <w:bottom w:val="nil"/>
              <w:right w:val="nil"/>
            </w:tcBorders>
            <w:shd w:val="clear" w:color="auto" w:fill="auto"/>
            <w:noWrap/>
            <w:vAlign w:val="center"/>
            <w:hideMark/>
          </w:tcPr>
          <w:p w14:paraId="5ADEC2E6" w14:textId="77777777" w:rsidR="00C30160" w:rsidRPr="00CE0DE7" w:rsidRDefault="00C30160" w:rsidP="00C24E43">
            <w:pPr>
              <w:rPr>
                <w:rFonts w:eastAsia="Times New Roman"/>
                <w:i/>
                <w:iCs/>
                <w:color w:val="000000"/>
                <w:sz w:val="19"/>
                <w:szCs w:val="19"/>
                <w:lang w:val="en-GB" w:eastAsia="zh-CN"/>
              </w:rPr>
            </w:pPr>
            <w:r w:rsidRPr="00CE0DE7">
              <w:rPr>
                <w:rFonts w:eastAsia="Times New Roman"/>
                <w:i/>
                <w:iCs/>
                <w:color w:val="000000"/>
                <w:sz w:val="19"/>
                <w:szCs w:val="19"/>
                <w:lang w:val="en-GB" w:eastAsia="zh-CN"/>
              </w:rPr>
              <w:t>INDEX</w:t>
            </w:r>
          </w:p>
        </w:tc>
        <w:tc>
          <w:tcPr>
            <w:tcW w:w="367" w:type="pct"/>
            <w:tcBorders>
              <w:top w:val="nil"/>
              <w:left w:val="nil"/>
              <w:bottom w:val="nil"/>
              <w:right w:val="nil"/>
            </w:tcBorders>
            <w:shd w:val="clear" w:color="auto" w:fill="auto"/>
            <w:noWrap/>
            <w:vAlign w:val="center"/>
            <w:hideMark/>
          </w:tcPr>
          <w:p w14:paraId="2EE7CBD8"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0.983***</w:t>
            </w:r>
          </w:p>
        </w:tc>
        <w:tc>
          <w:tcPr>
            <w:tcW w:w="367" w:type="pct"/>
            <w:tcBorders>
              <w:top w:val="nil"/>
              <w:left w:val="nil"/>
              <w:bottom w:val="nil"/>
              <w:right w:val="nil"/>
            </w:tcBorders>
            <w:shd w:val="clear" w:color="auto" w:fill="auto"/>
            <w:noWrap/>
            <w:vAlign w:val="center"/>
            <w:hideMark/>
          </w:tcPr>
          <w:p w14:paraId="0D83F297"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1.000</w:t>
            </w:r>
          </w:p>
        </w:tc>
        <w:tc>
          <w:tcPr>
            <w:tcW w:w="367" w:type="pct"/>
            <w:tcBorders>
              <w:top w:val="nil"/>
              <w:left w:val="nil"/>
              <w:bottom w:val="nil"/>
              <w:right w:val="nil"/>
            </w:tcBorders>
            <w:shd w:val="clear" w:color="auto" w:fill="auto"/>
            <w:noWrap/>
            <w:vAlign w:val="center"/>
            <w:hideMark/>
          </w:tcPr>
          <w:p w14:paraId="19FE4B85" w14:textId="77777777" w:rsidR="00C30160" w:rsidRPr="00CE0DE7" w:rsidRDefault="00C30160" w:rsidP="00022A17">
            <w:pPr>
              <w:rPr>
                <w:rFonts w:eastAsia="Times New Roman"/>
                <w:color w:val="000000"/>
                <w:sz w:val="19"/>
                <w:szCs w:val="19"/>
                <w:lang w:val="en-GB" w:eastAsia="zh-CN"/>
              </w:rPr>
            </w:pPr>
          </w:p>
        </w:tc>
        <w:tc>
          <w:tcPr>
            <w:tcW w:w="367" w:type="pct"/>
            <w:tcBorders>
              <w:top w:val="nil"/>
              <w:left w:val="nil"/>
              <w:bottom w:val="nil"/>
              <w:right w:val="nil"/>
            </w:tcBorders>
            <w:shd w:val="clear" w:color="auto" w:fill="auto"/>
            <w:noWrap/>
            <w:vAlign w:val="center"/>
            <w:hideMark/>
          </w:tcPr>
          <w:p w14:paraId="4BA3FDCA" w14:textId="77777777" w:rsidR="00C30160" w:rsidRPr="00CE0DE7" w:rsidRDefault="00C30160" w:rsidP="00022A17">
            <w:pPr>
              <w:rPr>
                <w:rFonts w:eastAsia="Times New Roman"/>
                <w:sz w:val="19"/>
                <w:szCs w:val="19"/>
                <w:lang w:val="en-GB" w:eastAsia="zh-CN"/>
              </w:rPr>
            </w:pPr>
          </w:p>
        </w:tc>
        <w:tc>
          <w:tcPr>
            <w:tcW w:w="345" w:type="pct"/>
            <w:tcBorders>
              <w:top w:val="nil"/>
              <w:left w:val="nil"/>
              <w:bottom w:val="nil"/>
              <w:right w:val="nil"/>
            </w:tcBorders>
            <w:shd w:val="clear" w:color="auto" w:fill="auto"/>
            <w:noWrap/>
            <w:vAlign w:val="center"/>
            <w:hideMark/>
          </w:tcPr>
          <w:p w14:paraId="6D4C0B5E"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195CFEF3" w14:textId="77777777" w:rsidR="00C30160" w:rsidRPr="00CE0DE7" w:rsidRDefault="00C30160" w:rsidP="00022A17">
            <w:pPr>
              <w:rPr>
                <w:rFonts w:eastAsia="Times New Roman"/>
                <w:sz w:val="19"/>
                <w:szCs w:val="19"/>
                <w:lang w:val="en-GB" w:eastAsia="zh-CN"/>
              </w:rPr>
            </w:pPr>
          </w:p>
        </w:tc>
        <w:tc>
          <w:tcPr>
            <w:tcW w:w="375" w:type="pct"/>
            <w:tcBorders>
              <w:top w:val="nil"/>
              <w:left w:val="nil"/>
              <w:bottom w:val="nil"/>
              <w:right w:val="nil"/>
            </w:tcBorders>
            <w:shd w:val="clear" w:color="auto" w:fill="auto"/>
            <w:noWrap/>
            <w:vAlign w:val="center"/>
            <w:hideMark/>
          </w:tcPr>
          <w:p w14:paraId="1FAD760A"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5C96153A"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04B949BC"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534E67D8"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01F2AC4E"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55C8CFDA" w14:textId="77777777" w:rsidR="00C30160" w:rsidRPr="00CE0DE7" w:rsidRDefault="00C30160" w:rsidP="00022A17">
            <w:pPr>
              <w:rPr>
                <w:rFonts w:eastAsia="Times New Roman"/>
                <w:sz w:val="19"/>
                <w:szCs w:val="19"/>
                <w:lang w:val="en-GB" w:eastAsia="zh-CN"/>
              </w:rPr>
            </w:pPr>
          </w:p>
        </w:tc>
        <w:tc>
          <w:tcPr>
            <w:tcW w:w="239" w:type="pct"/>
            <w:tcBorders>
              <w:top w:val="nil"/>
              <w:left w:val="nil"/>
              <w:bottom w:val="nil"/>
              <w:right w:val="nil"/>
            </w:tcBorders>
            <w:shd w:val="clear" w:color="auto" w:fill="auto"/>
            <w:noWrap/>
            <w:vAlign w:val="center"/>
            <w:hideMark/>
          </w:tcPr>
          <w:p w14:paraId="13DABBC9" w14:textId="77777777" w:rsidR="00C30160" w:rsidRPr="00CE0DE7" w:rsidRDefault="00C30160" w:rsidP="00022A17">
            <w:pPr>
              <w:rPr>
                <w:rFonts w:eastAsia="Times New Roman"/>
                <w:sz w:val="19"/>
                <w:szCs w:val="19"/>
                <w:lang w:val="en-GB" w:eastAsia="zh-CN"/>
              </w:rPr>
            </w:pPr>
          </w:p>
        </w:tc>
      </w:tr>
      <w:tr w:rsidR="00C30160" w:rsidRPr="00CE0DE7" w14:paraId="2FCA4CEC" w14:textId="77777777" w:rsidTr="00C24E43">
        <w:trPr>
          <w:trHeight w:val="187"/>
        </w:trPr>
        <w:tc>
          <w:tcPr>
            <w:tcW w:w="374" w:type="pct"/>
            <w:tcBorders>
              <w:top w:val="nil"/>
              <w:left w:val="nil"/>
              <w:bottom w:val="nil"/>
              <w:right w:val="nil"/>
            </w:tcBorders>
            <w:shd w:val="clear" w:color="auto" w:fill="auto"/>
            <w:noWrap/>
            <w:vAlign w:val="center"/>
            <w:hideMark/>
          </w:tcPr>
          <w:p w14:paraId="6F57D7C5" w14:textId="77777777" w:rsidR="00C30160" w:rsidRPr="00CE0DE7" w:rsidRDefault="00C30160" w:rsidP="00C24E43">
            <w:pPr>
              <w:rPr>
                <w:rFonts w:eastAsia="Times New Roman"/>
                <w:i/>
                <w:iCs/>
                <w:color w:val="000000"/>
                <w:sz w:val="19"/>
                <w:szCs w:val="19"/>
                <w:lang w:val="en-GB" w:eastAsia="zh-CN"/>
              </w:rPr>
            </w:pPr>
            <w:r w:rsidRPr="00CE0DE7">
              <w:rPr>
                <w:rFonts w:eastAsia="Times New Roman"/>
                <w:i/>
                <w:iCs/>
                <w:color w:val="000000"/>
                <w:sz w:val="19"/>
                <w:szCs w:val="19"/>
                <w:lang w:val="en-GB" w:eastAsia="zh-CN"/>
              </w:rPr>
              <w:t>VRP</w:t>
            </w:r>
            <w:r w:rsidRPr="00CE0DE7">
              <w:rPr>
                <w:rFonts w:eastAsia="Times New Roman"/>
                <w:i/>
                <w:iCs/>
                <w:color w:val="000000"/>
                <w:sz w:val="19"/>
                <w:szCs w:val="19"/>
                <w:vertAlign w:val="superscript"/>
                <w:lang w:val="en-GB" w:eastAsia="zh-CN"/>
              </w:rPr>
              <w:t>BTZ</w:t>
            </w:r>
          </w:p>
        </w:tc>
        <w:tc>
          <w:tcPr>
            <w:tcW w:w="367" w:type="pct"/>
            <w:tcBorders>
              <w:top w:val="nil"/>
              <w:left w:val="nil"/>
              <w:bottom w:val="nil"/>
              <w:right w:val="nil"/>
            </w:tcBorders>
            <w:shd w:val="clear" w:color="auto" w:fill="auto"/>
            <w:noWrap/>
            <w:vAlign w:val="center"/>
            <w:hideMark/>
          </w:tcPr>
          <w:p w14:paraId="17FD825A"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0.017</w:t>
            </w:r>
          </w:p>
        </w:tc>
        <w:tc>
          <w:tcPr>
            <w:tcW w:w="367" w:type="pct"/>
            <w:tcBorders>
              <w:top w:val="nil"/>
              <w:left w:val="nil"/>
              <w:bottom w:val="nil"/>
              <w:right w:val="nil"/>
            </w:tcBorders>
            <w:shd w:val="clear" w:color="auto" w:fill="auto"/>
            <w:noWrap/>
            <w:vAlign w:val="center"/>
            <w:hideMark/>
          </w:tcPr>
          <w:p w14:paraId="737E6BD1"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-0.002</w:t>
            </w:r>
          </w:p>
        </w:tc>
        <w:tc>
          <w:tcPr>
            <w:tcW w:w="367" w:type="pct"/>
            <w:tcBorders>
              <w:top w:val="nil"/>
              <w:left w:val="nil"/>
              <w:bottom w:val="nil"/>
              <w:right w:val="nil"/>
            </w:tcBorders>
            <w:shd w:val="clear" w:color="auto" w:fill="auto"/>
            <w:noWrap/>
            <w:vAlign w:val="center"/>
            <w:hideMark/>
          </w:tcPr>
          <w:p w14:paraId="53FB28CF"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1.000</w:t>
            </w:r>
          </w:p>
        </w:tc>
        <w:tc>
          <w:tcPr>
            <w:tcW w:w="367" w:type="pct"/>
            <w:tcBorders>
              <w:top w:val="nil"/>
              <w:left w:val="nil"/>
              <w:bottom w:val="nil"/>
              <w:right w:val="nil"/>
            </w:tcBorders>
            <w:shd w:val="clear" w:color="auto" w:fill="auto"/>
            <w:noWrap/>
            <w:vAlign w:val="center"/>
            <w:hideMark/>
          </w:tcPr>
          <w:p w14:paraId="65597F03" w14:textId="77777777" w:rsidR="00C30160" w:rsidRPr="00CE0DE7" w:rsidRDefault="00C30160" w:rsidP="00022A17">
            <w:pPr>
              <w:rPr>
                <w:rFonts w:eastAsia="Times New Roman"/>
                <w:color w:val="000000"/>
                <w:sz w:val="19"/>
                <w:szCs w:val="19"/>
                <w:lang w:val="en-GB" w:eastAsia="zh-CN"/>
              </w:rPr>
            </w:pPr>
          </w:p>
        </w:tc>
        <w:tc>
          <w:tcPr>
            <w:tcW w:w="345" w:type="pct"/>
            <w:tcBorders>
              <w:top w:val="nil"/>
              <w:left w:val="nil"/>
              <w:bottom w:val="nil"/>
              <w:right w:val="nil"/>
            </w:tcBorders>
            <w:shd w:val="clear" w:color="auto" w:fill="auto"/>
            <w:noWrap/>
            <w:vAlign w:val="center"/>
            <w:hideMark/>
          </w:tcPr>
          <w:p w14:paraId="356A92EC"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549332BD" w14:textId="77777777" w:rsidR="00C30160" w:rsidRPr="00CE0DE7" w:rsidRDefault="00C30160" w:rsidP="00022A17">
            <w:pPr>
              <w:rPr>
                <w:rFonts w:eastAsia="Times New Roman"/>
                <w:sz w:val="19"/>
                <w:szCs w:val="19"/>
                <w:lang w:val="en-GB" w:eastAsia="zh-CN"/>
              </w:rPr>
            </w:pPr>
          </w:p>
        </w:tc>
        <w:tc>
          <w:tcPr>
            <w:tcW w:w="375" w:type="pct"/>
            <w:tcBorders>
              <w:top w:val="nil"/>
              <w:left w:val="nil"/>
              <w:bottom w:val="nil"/>
              <w:right w:val="nil"/>
            </w:tcBorders>
            <w:shd w:val="clear" w:color="auto" w:fill="auto"/>
            <w:noWrap/>
            <w:vAlign w:val="center"/>
            <w:hideMark/>
          </w:tcPr>
          <w:p w14:paraId="2E0E4FAF"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7613A9F0"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6B6B5352"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0F6869CD"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33AF9E70"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735DF4AB" w14:textId="77777777" w:rsidR="00C30160" w:rsidRPr="00CE0DE7" w:rsidRDefault="00C30160" w:rsidP="00022A17">
            <w:pPr>
              <w:rPr>
                <w:rFonts w:eastAsia="Times New Roman"/>
                <w:sz w:val="19"/>
                <w:szCs w:val="19"/>
                <w:lang w:val="en-GB" w:eastAsia="zh-CN"/>
              </w:rPr>
            </w:pPr>
          </w:p>
        </w:tc>
        <w:tc>
          <w:tcPr>
            <w:tcW w:w="239" w:type="pct"/>
            <w:tcBorders>
              <w:top w:val="nil"/>
              <w:left w:val="nil"/>
              <w:bottom w:val="nil"/>
              <w:right w:val="nil"/>
            </w:tcBorders>
            <w:shd w:val="clear" w:color="auto" w:fill="auto"/>
            <w:noWrap/>
            <w:vAlign w:val="center"/>
            <w:hideMark/>
          </w:tcPr>
          <w:p w14:paraId="768036FC" w14:textId="77777777" w:rsidR="00C30160" w:rsidRPr="00CE0DE7" w:rsidRDefault="00C30160" w:rsidP="00022A17">
            <w:pPr>
              <w:rPr>
                <w:rFonts w:eastAsia="Times New Roman"/>
                <w:sz w:val="19"/>
                <w:szCs w:val="19"/>
                <w:lang w:val="en-GB" w:eastAsia="zh-CN"/>
              </w:rPr>
            </w:pPr>
          </w:p>
        </w:tc>
      </w:tr>
      <w:tr w:rsidR="00C30160" w:rsidRPr="00CE0DE7" w14:paraId="7042E3AA" w14:textId="77777777" w:rsidTr="00C24E43">
        <w:trPr>
          <w:trHeight w:val="187"/>
        </w:trPr>
        <w:tc>
          <w:tcPr>
            <w:tcW w:w="374" w:type="pct"/>
            <w:tcBorders>
              <w:top w:val="nil"/>
              <w:left w:val="nil"/>
              <w:bottom w:val="nil"/>
              <w:right w:val="nil"/>
            </w:tcBorders>
            <w:shd w:val="clear" w:color="auto" w:fill="auto"/>
            <w:noWrap/>
            <w:vAlign w:val="center"/>
            <w:hideMark/>
          </w:tcPr>
          <w:p w14:paraId="7EF5B872" w14:textId="77777777" w:rsidR="00C30160" w:rsidRPr="00CE0DE7" w:rsidRDefault="00C30160" w:rsidP="00C24E43">
            <w:pPr>
              <w:rPr>
                <w:rFonts w:eastAsia="Times New Roman"/>
                <w:i/>
                <w:iCs/>
                <w:color w:val="000000"/>
                <w:sz w:val="19"/>
                <w:szCs w:val="19"/>
                <w:lang w:val="en-GB" w:eastAsia="zh-CN"/>
              </w:rPr>
            </w:pPr>
            <w:r w:rsidRPr="00CE0DE7">
              <w:rPr>
                <w:rFonts w:eastAsia="Times New Roman"/>
                <w:i/>
                <w:iCs/>
                <w:color w:val="000000"/>
                <w:sz w:val="19"/>
                <w:szCs w:val="19"/>
                <w:lang w:val="en-GB" w:eastAsia="zh-CN"/>
              </w:rPr>
              <w:t>VRP</w:t>
            </w:r>
            <w:r w:rsidRPr="00CE0DE7">
              <w:rPr>
                <w:rFonts w:eastAsia="Times New Roman"/>
                <w:i/>
                <w:iCs/>
                <w:color w:val="000000"/>
                <w:sz w:val="19"/>
                <w:szCs w:val="19"/>
                <w:vertAlign w:val="superscript"/>
                <w:lang w:val="en-GB" w:eastAsia="zh-CN"/>
              </w:rPr>
              <w:t>CW</w:t>
            </w:r>
          </w:p>
        </w:tc>
        <w:tc>
          <w:tcPr>
            <w:tcW w:w="367" w:type="pct"/>
            <w:tcBorders>
              <w:top w:val="nil"/>
              <w:left w:val="nil"/>
              <w:bottom w:val="nil"/>
              <w:right w:val="nil"/>
            </w:tcBorders>
            <w:shd w:val="clear" w:color="auto" w:fill="auto"/>
            <w:noWrap/>
            <w:vAlign w:val="center"/>
            <w:hideMark/>
          </w:tcPr>
          <w:p w14:paraId="33B1EEE4"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-0.024</w:t>
            </w:r>
          </w:p>
        </w:tc>
        <w:tc>
          <w:tcPr>
            <w:tcW w:w="367" w:type="pct"/>
            <w:tcBorders>
              <w:top w:val="nil"/>
              <w:left w:val="nil"/>
              <w:bottom w:val="nil"/>
              <w:right w:val="nil"/>
            </w:tcBorders>
            <w:shd w:val="clear" w:color="auto" w:fill="auto"/>
            <w:noWrap/>
            <w:vAlign w:val="center"/>
            <w:hideMark/>
          </w:tcPr>
          <w:p w14:paraId="4C2675DF"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-0.030</w:t>
            </w:r>
          </w:p>
        </w:tc>
        <w:tc>
          <w:tcPr>
            <w:tcW w:w="367" w:type="pct"/>
            <w:tcBorders>
              <w:top w:val="nil"/>
              <w:left w:val="nil"/>
              <w:bottom w:val="nil"/>
              <w:right w:val="nil"/>
            </w:tcBorders>
            <w:shd w:val="clear" w:color="auto" w:fill="auto"/>
            <w:noWrap/>
            <w:vAlign w:val="center"/>
            <w:hideMark/>
          </w:tcPr>
          <w:p w14:paraId="7A84CC11"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0.306***</w:t>
            </w:r>
          </w:p>
        </w:tc>
        <w:tc>
          <w:tcPr>
            <w:tcW w:w="367" w:type="pct"/>
            <w:tcBorders>
              <w:top w:val="nil"/>
              <w:left w:val="nil"/>
              <w:bottom w:val="nil"/>
              <w:right w:val="nil"/>
            </w:tcBorders>
            <w:shd w:val="clear" w:color="auto" w:fill="auto"/>
            <w:noWrap/>
            <w:vAlign w:val="center"/>
            <w:hideMark/>
          </w:tcPr>
          <w:p w14:paraId="5395A322"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1.000</w:t>
            </w:r>
          </w:p>
        </w:tc>
        <w:tc>
          <w:tcPr>
            <w:tcW w:w="345" w:type="pct"/>
            <w:tcBorders>
              <w:top w:val="nil"/>
              <w:left w:val="nil"/>
              <w:bottom w:val="nil"/>
              <w:right w:val="nil"/>
            </w:tcBorders>
            <w:shd w:val="clear" w:color="auto" w:fill="auto"/>
            <w:noWrap/>
            <w:vAlign w:val="center"/>
            <w:hideMark/>
          </w:tcPr>
          <w:p w14:paraId="2EA02C0A" w14:textId="77777777" w:rsidR="00C30160" w:rsidRPr="00CE0DE7" w:rsidRDefault="00C30160" w:rsidP="00022A17">
            <w:pPr>
              <w:rPr>
                <w:rFonts w:eastAsia="Times New Roman"/>
                <w:color w:val="000000"/>
                <w:sz w:val="19"/>
                <w:szCs w:val="19"/>
                <w:lang w:val="en-GB" w:eastAsia="zh-CN"/>
              </w:rPr>
            </w:pPr>
          </w:p>
        </w:tc>
        <w:tc>
          <w:tcPr>
            <w:tcW w:w="367" w:type="pct"/>
            <w:tcBorders>
              <w:top w:val="nil"/>
              <w:left w:val="nil"/>
              <w:bottom w:val="nil"/>
              <w:right w:val="nil"/>
            </w:tcBorders>
            <w:shd w:val="clear" w:color="auto" w:fill="auto"/>
            <w:noWrap/>
            <w:vAlign w:val="center"/>
            <w:hideMark/>
          </w:tcPr>
          <w:p w14:paraId="51C6498F" w14:textId="77777777" w:rsidR="00C30160" w:rsidRPr="00CE0DE7" w:rsidRDefault="00C30160" w:rsidP="00022A17">
            <w:pPr>
              <w:rPr>
                <w:rFonts w:eastAsia="Times New Roman"/>
                <w:sz w:val="19"/>
                <w:szCs w:val="19"/>
                <w:lang w:val="en-GB" w:eastAsia="zh-CN"/>
              </w:rPr>
            </w:pPr>
          </w:p>
        </w:tc>
        <w:tc>
          <w:tcPr>
            <w:tcW w:w="375" w:type="pct"/>
            <w:tcBorders>
              <w:top w:val="nil"/>
              <w:left w:val="nil"/>
              <w:bottom w:val="nil"/>
              <w:right w:val="nil"/>
            </w:tcBorders>
            <w:shd w:val="clear" w:color="auto" w:fill="auto"/>
            <w:noWrap/>
            <w:vAlign w:val="center"/>
            <w:hideMark/>
          </w:tcPr>
          <w:p w14:paraId="3F00C931"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1C333944"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74289EB8"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555E01D0"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127863E7"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2F9D5881" w14:textId="77777777" w:rsidR="00C30160" w:rsidRPr="00CE0DE7" w:rsidRDefault="00C30160" w:rsidP="00022A17">
            <w:pPr>
              <w:rPr>
                <w:rFonts w:eastAsia="Times New Roman"/>
                <w:sz w:val="19"/>
                <w:szCs w:val="19"/>
                <w:lang w:val="en-GB" w:eastAsia="zh-CN"/>
              </w:rPr>
            </w:pPr>
          </w:p>
        </w:tc>
        <w:tc>
          <w:tcPr>
            <w:tcW w:w="239" w:type="pct"/>
            <w:tcBorders>
              <w:top w:val="nil"/>
              <w:left w:val="nil"/>
              <w:bottom w:val="nil"/>
              <w:right w:val="nil"/>
            </w:tcBorders>
            <w:shd w:val="clear" w:color="auto" w:fill="auto"/>
            <w:noWrap/>
            <w:vAlign w:val="center"/>
            <w:hideMark/>
          </w:tcPr>
          <w:p w14:paraId="4259208F" w14:textId="77777777" w:rsidR="00C30160" w:rsidRPr="00CE0DE7" w:rsidRDefault="00C30160" w:rsidP="00022A17">
            <w:pPr>
              <w:rPr>
                <w:rFonts w:eastAsia="Times New Roman"/>
                <w:sz w:val="19"/>
                <w:szCs w:val="19"/>
                <w:lang w:val="en-GB" w:eastAsia="zh-CN"/>
              </w:rPr>
            </w:pPr>
          </w:p>
        </w:tc>
      </w:tr>
      <w:tr w:rsidR="00C30160" w:rsidRPr="00CE0DE7" w14:paraId="0B402348" w14:textId="77777777" w:rsidTr="00C24E43">
        <w:trPr>
          <w:trHeight w:val="187"/>
        </w:trPr>
        <w:tc>
          <w:tcPr>
            <w:tcW w:w="374" w:type="pct"/>
            <w:tcBorders>
              <w:top w:val="nil"/>
              <w:left w:val="nil"/>
              <w:bottom w:val="nil"/>
              <w:right w:val="nil"/>
            </w:tcBorders>
            <w:shd w:val="clear" w:color="auto" w:fill="auto"/>
            <w:noWrap/>
            <w:vAlign w:val="center"/>
            <w:hideMark/>
          </w:tcPr>
          <w:p w14:paraId="5124E92B" w14:textId="77777777" w:rsidR="00C30160" w:rsidRPr="00CE0DE7" w:rsidRDefault="00C30160" w:rsidP="00C24E43">
            <w:pPr>
              <w:rPr>
                <w:rFonts w:eastAsia="Times New Roman"/>
                <w:i/>
                <w:iCs/>
                <w:color w:val="000000"/>
                <w:sz w:val="19"/>
                <w:szCs w:val="19"/>
                <w:lang w:val="en-GB" w:eastAsia="zh-CN"/>
              </w:rPr>
            </w:pPr>
            <w:r w:rsidRPr="00CE0DE7">
              <w:rPr>
                <w:rFonts w:eastAsia="Times New Roman"/>
                <w:i/>
                <w:iCs/>
                <w:color w:val="000000"/>
                <w:sz w:val="19"/>
                <w:szCs w:val="19"/>
                <w:lang w:val="en-GB" w:eastAsia="zh-CN"/>
              </w:rPr>
              <w:t>VRP</w:t>
            </w:r>
            <w:r w:rsidRPr="00CE0DE7">
              <w:rPr>
                <w:rFonts w:eastAsia="Times New Roman"/>
                <w:i/>
                <w:iCs/>
                <w:color w:val="000000"/>
                <w:sz w:val="19"/>
                <w:szCs w:val="19"/>
                <w:vertAlign w:val="superscript"/>
                <w:lang w:val="en-GB" w:eastAsia="zh-CN"/>
              </w:rPr>
              <w:t>DY</w:t>
            </w:r>
          </w:p>
        </w:tc>
        <w:tc>
          <w:tcPr>
            <w:tcW w:w="367" w:type="pct"/>
            <w:tcBorders>
              <w:top w:val="nil"/>
              <w:left w:val="nil"/>
              <w:bottom w:val="nil"/>
              <w:right w:val="nil"/>
            </w:tcBorders>
            <w:shd w:val="clear" w:color="auto" w:fill="auto"/>
            <w:noWrap/>
            <w:vAlign w:val="center"/>
            <w:hideMark/>
          </w:tcPr>
          <w:p w14:paraId="1011EC91"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-0.578***</w:t>
            </w:r>
          </w:p>
        </w:tc>
        <w:tc>
          <w:tcPr>
            <w:tcW w:w="367" w:type="pct"/>
            <w:tcBorders>
              <w:top w:val="nil"/>
              <w:left w:val="nil"/>
              <w:bottom w:val="nil"/>
              <w:right w:val="nil"/>
            </w:tcBorders>
            <w:shd w:val="clear" w:color="auto" w:fill="auto"/>
            <w:noWrap/>
            <w:vAlign w:val="center"/>
            <w:hideMark/>
          </w:tcPr>
          <w:p w14:paraId="1AAD3744"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-0.567***</w:t>
            </w:r>
          </w:p>
        </w:tc>
        <w:tc>
          <w:tcPr>
            <w:tcW w:w="367" w:type="pct"/>
            <w:tcBorders>
              <w:top w:val="nil"/>
              <w:left w:val="nil"/>
              <w:bottom w:val="nil"/>
              <w:right w:val="nil"/>
            </w:tcBorders>
            <w:shd w:val="clear" w:color="auto" w:fill="auto"/>
            <w:noWrap/>
            <w:vAlign w:val="center"/>
            <w:hideMark/>
          </w:tcPr>
          <w:p w14:paraId="022DF536"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0.108**</w:t>
            </w:r>
          </w:p>
        </w:tc>
        <w:tc>
          <w:tcPr>
            <w:tcW w:w="367" w:type="pct"/>
            <w:tcBorders>
              <w:top w:val="nil"/>
              <w:left w:val="nil"/>
              <w:bottom w:val="nil"/>
              <w:right w:val="nil"/>
            </w:tcBorders>
            <w:shd w:val="clear" w:color="auto" w:fill="auto"/>
            <w:noWrap/>
            <w:vAlign w:val="center"/>
            <w:hideMark/>
          </w:tcPr>
          <w:p w14:paraId="3824D35D"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0.122**</w:t>
            </w:r>
          </w:p>
        </w:tc>
        <w:tc>
          <w:tcPr>
            <w:tcW w:w="345" w:type="pct"/>
            <w:tcBorders>
              <w:top w:val="nil"/>
              <w:left w:val="nil"/>
              <w:bottom w:val="nil"/>
              <w:right w:val="nil"/>
            </w:tcBorders>
            <w:shd w:val="clear" w:color="auto" w:fill="auto"/>
            <w:noWrap/>
            <w:vAlign w:val="center"/>
            <w:hideMark/>
          </w:tcPr>
          <w:p w14:paraId="77CD59D8"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1.000</w:t>
            </w:r>
          </w:p>
        </w:tc>
        <w:tc>
          <w:tcPr>
            <w:tcW w:w="367" w:type="pct"/>
            <w:tcBorders>
              <w:top w:val="nil"/>
              <w:left w:val="nil"/>
              <w:bottom w:val="nil"/>
              <w:right w:val="nil"/>
            </w:tcBorders>
            <w:shd w:val="clear" w:color="auto" w:fill="auto"/>
            <w:noWrap/>
            <w:vAlign w:val="center"/>
            <w:hideMark/>
          </w:tcPr>
          <w:p w14:paraId="1BFCBA1E" w14:textId="77777777" w:rsidR="00C30160" w:rsidRPr="00CE0DE7" w:rsidRDefault="00C30160" w:rsidP="00022A17">
            <w:pPr>
              <w:rPr>
                <w:rFonts w:eastAsia="Times New Roman"/>
                <w:color w:val="000000"/>
                <w:sz w:val="19"/>
                <w:szCs w:val="19"/>
                <w:lang w:val="en-GB" w:eastAsia="zh-CN"/>
              </w:rPr>
            </w:pPr>
          </w:p>
        </w:tc>
        <w:tc>
          <w:tcPr>
            <w:tcW w:w="375" w:type="pct"/>
            <w:tcBorders>
              <w:top w:val="nil"/>
              <w:left w:val="nil"/>
              <w:bottom w:val="nil"/>
              <w:right w:val="nil"/>
            </w:tcBorders>
            <w:shd w:val="clear" w:color="auto" w:fill="auto"/>
            <w:noWrap/>
            <w:vAlign w:val="center"/>
            <w:hideMark/>
          </w:tcPr>
          <w:p w14:paraId="497CD41C"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54E20D63"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7F287949"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4EC1DC0E"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7E23ECB5"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433CE3F9" w14:textId="77777777" w:rsidR="00C30160" w:rsidRPr="00CE0DE7" w:rsidRDefault="00C30160" w:rsidP="00022A17">
            <w:pPr>
              <w:rPr>
                <w:rFonts w:eastAsia="Times New Roman"/>
                <w:sz w:val="19"/>
                <w:szCs w:val="19"/>
                <w:lang w:val="en-GB" w:eastAsia="zh-CN"/>
              </w:rPr>
            </w:pPr>
          </w:p>
        </w:tc>
        <w:tc>
          <w:tcPr>
            <w:tcW w:w="239" w:type="pct"/>
            <w:tcBorders>
              <w:top w:val="nil"/>
              <w:left w:val="nil"/>
              <w:bottom w:val="nil"/>
              <w:right w:val="nil"/>
            </w:tcBorders>
            <w:shd w:val="clear" w:color="auto" w:fill="auto"/>
            <w:noWrap/>
            <w:vAlign w:val="center"/>
            <w:hideMark/>
          </w:tcPr>
          <w:p w14:paraId="1202A9FE" w14:textId="77777777" w:rsidR="00C30160" w:rsidRPr="00CE0DE7" w:rsidRDefault="00C30160" w:rsidP="00022A17">
            <w:pPr>
              <w:rPr>
                <w:rFonts w:eastAsia="Times New Roman"/>
                <w:sz w:val="19"/>
                <w:szCs w:val="19"/>
                <w:lang w:val="en-GB" w:eastAsia="zh-CN"/>
              </w:rPr>
            </w:pPr>
          </w:p>
        </w:tc>
      </w:tr>
      <w:tr w:rsidR="00C30160" w:rsidRPr="00CE0DE7" w14:paraId="5DF51065" w14:textId="77777777" w:rsidTr="00C24E43">
        <w:trPr>
          <w:trHeight w:val="187"/>
        </w:trPr>
        <w:tc>
          <w:tcPr>
            <w:tcW w:w="374" w:type="pct"/>
            <w:tcBorders>
              <w:top w:val="nil"/>
              <w:left w:val="nil"/>
              <w:bottom w:val="nil"/>
              <w:right w:val="nil"/>
            </w:tcBorders>
            <w:shd w:val="clear" w:color="auto" w:fill="auto"/>
            <w:noWrap/>
            <w:vAlign w:val="center"/>
            <w:hideMark/>
          </w:tcPr>
          <w:p w14:paraId="369648DD" w14:textId="77777777" w:rsidR="00C30160" w:rsidRPr="00CE0DE7" w:rsidRDefault="00C30160" w:rsidP="00C24E43">
            <w:pPr>
              <w:rPr>
                <w:rFonts w:eastAsia="Times New Roman"/>
                <w:i/>
                <w:iCs/>
                <w:color w:val="000000"/>
                <w:sz w:val="19"/>
                <w:szCs w:val="19"/>
                <w:lang w:val="en-GB" w:eastAsia="zh-CN"/>
              </w:rPr>
            </w:pPr>
            <w:r w:rsidRPr="00CE0DE7">
              <w:rPr>
                <w:rFonts w:eastAsia="Times New Roman"/>
                <w:i/>
                <w:iCs/>
                <w:color w:val="000000"/>
                <w:sz w:val="19"/>
                <w:szCs w:val="19"/>
                <w:lang w:val="en-GB" w:eastAsia="zh-CN"/>
              </w:rPr>
              <w:t>ILLIQ</w:t>
            </w:r>
            <w:r w:rsidRPr="00CE0DE7">
              <w:rPr>
                <w:rFonts w:eastAsia="Times New Roman"/>
                <w:i/>
                <w:iCs/>
                <w:color w:val="000000"/>
                <w:sz w:val="19"/>
                <w:szCs w:val="19"/>
                <w:vertAlign w:val="superscript"/>
                <w:lang w:val="en-GB" w:eastAsia="zh-CN"/>
              </w:rPr>
              <w:t>NYSE</w:t>
            </w:r>
          </w:p>
        </w:tc>
        <w:tc>
          <w:tcPr>
            <w:tcW w:w="367" w:type="pct"/>
            <w:tcBorders>
              <w:top w:val="nil"/>
              <w:left w:val="nil"/>
              <w:bottom w:val="nil"/>
              <w:right w:val="nil"/>
            </w:tcBorders>
            <w:shd w:val="clear" w:color="auto" w:fill="auto"/>
            <w:noWrap/>
            <w:vAlign w:val="center"/>
            <w:hideMark/>
          </w:tcPr>
          <w:p w14:paraId="3E76199B"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-0.027</w:t>
            </w:r>
          </w:p>
        </w:tc>
        <w:tc>
          <w:tcPr>
            <w:tcW w:w="367" w:type="pct"/>
            <w:tcBorders>
              <w:top w:val="nil"/>
              <w:left w:val="nil"/>
              <w:bottom w:val="nil"/>
              <w:right w:val="nil"/>
            </w:tcBorders>
            <w:shd w:val="clear" w:color="auto" w:fill="auto"/>
            <w:noWrap/>
            <w:vAlign w:val="center"/>
            <w:hideMark/>
          </w:tcPr>
          <w:p w14:paraId="53C1288C"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-0.028</w:t>
            </w:r>
          </w:p>
        </w:tc>
        <w:tc>
          <w:tcPr>
            <w:tcW w:w="367" w:type="pct"/>
            <w:tcBorders>
              <w:top w:val="nil"/>
              <w:left w:val="nil"/>
              <w:bottom w:val="nil"/>
              <w:right w:val="nil"/>
            </w:tcBorders>
            <w:shd w:val="clear" w:color="auto" w:fill="auto"/>
            <w:noWrap/>
            <w:vAlign w:val="center"/>
            <w:hideMark/>
          </w:tcPr>
          <w:p w14:paraId="343D6983"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0.219***</w:t>
            </w:r>
          </w:p>
        </w:tc>
        <w:tc>
          <w:tcPr>
            <w:tcW w:w="367" w:type="pct"/>
            <w:tcBorders>
              <w:top w:val="nil"/>
              <w:left w:val="nil"/>
              <w:bottom w:val="nil"/>
              <w:right w:val="nil"/>
            </w:tcBorders>
            <w:shd w:val="clear" w:color="auto" w:fill="auto"/>
            <w:noWrap/>
            <w:vAlign w:val="center"/>
            <w:hideMark/>
          </w:tcPr>
          <w:p w14:paraId="33059A96"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0.205***</w:t>
            </w:r>
          </w:p>
        </w:tc>
        <w:tc>
          <w:tcPr>
            <w:tcW w:w="345" w:type="pct"/>
            <w:tcBorders>
              <w:top w:val="nil"/>
              <w:left w:val="nil"/>
              <w:bottom w:val="nil"/>
              <w:right w:val="nil"/>
            </w:tcBorders>
            <w:shd w:val="clear" w:color="auto" w:fill="auto"/>
            <w:noWrap/>
            <w:vAlign w:val="center"/>
            <w:hideMark/>
          </w:tcPr>
          <w:p w14:paraId="790837B8"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0.129**</w:t>
            </w:r>
          </w:p>
        </w:tc>
        <w:tc>
          <w:tcPr>
            <w:tcW w:w="367" w:type="pct"/>
            <w:tcBorders>
              <w:top w:val="nil"/>
              <w:left w:val="nil"/>
              <w:bottom w:val="nil"/>
              <w:right w:val="nil"/>
            </w:tcBorders>
            <w:shd w:val="clear" w:color="auto" w:fill="auto"/>
            <w:noWrap/>
            <w:vAlign w:val="center"/>
            <w:hideMark/>
          </w:tcPr>
          <w:p w14:paraId="4B4E75C5"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1.000</w:t>
            </w:r>
          </w:p>
        </w:tc>
        <w:tc>
          <w:tcPr>
            <w:tcW w:w="375" w:type="pct"/>
            <w:tcBorders>
              <w:top w:val="nil"/>
              <w:left w:val="nil"/>
              <w:bottom w:val="nil"/>
              <w:right w:val="nil"/>
            </w:tcBorders>
            <w:shd w:val="clear" w:color="auto" w:fill="auto"/>
            <w:noWrap/>
            <w:vAlign w:val="center"/>
            <w:hideMark/>
          </w:tcPr>
          <w:p w14:paraId="1C08DE03" w14:textId="77777777" w:rsidR="00C30160" w:rsidRPr="00CE0DE7" w:rsidRDefault="00C30160" w:rsidP="00022A17">
            <w:pPr>
              <w:rPr>
                <w:rFonts w:eastAsia="Times New Roman"/>
                <w:color w:val="000000"/>
                <w:sz w:val="19"/>
                <w:szCs w:val="19"/>
                <w:lang w:val="en-GB" w:eastAsia="zh-CN"/>
              </w:rPr>
            </w:pPr>
          </w:p>
        </w:tc>
        <w:tc>
          <w:tcPr>
            <w:tcW w:w="367" w:type="pct"/>
            <w:tcBorders>
              <w:top w:val="nil"/>
              <w:left w:val="nil"/>
              <w:bottom w:val="nil"/>
              <w:right w:val="nil"/>
            </w:tcBorders>
            <w:shd w:val="clear" w:color="auto" w:fill="auto"/>
            <w:noWrap/>
            <w:vAlign w:val="center"/>
            <w:hideMark/>
          </w:tcPr>
          <w:p w14:paraId="1B39CB98"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13444A08"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3DD8D725"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42C26FCC"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3847B848" w14:textId="77777777" w:rsidR="00C30160" w:rsidRPr="00CE0DE7" w:rsidRDefault="00C30160" w:rsidP="00022A17">
            <w:pPr>
              <w:rPr>
                <w:rFonts w:eastAsia="Times New Roman"/>
                <w:sz w:val="19"/>
                <w:szCs w:val="19"/>
                <w:lang w:val="en-GB" w:eastAsia="zh-CN"/>
              </w:rPr>
            </w:pPr>
          </w:p>
        </w:tc>
        <w:tc>
          <w:tcPr>
            <w:tcW w:w="239" w:type="pct"/>
            <w:tcBorders>
              <w:top w:val="nil"/>
              <w:left w:val="nil"/>
              <w:bottom w:val="nil"/>
              <w:right w:val="nil"/>
            </w:tcBorders>
            <w:shd w:val="clear" w:color="auto" w:fill="auto"/>
            <w:noWrap/>
            <w:vAlign w:val="center"/>
            <w:hideMark/>
          </w:tcPr>
          <w:p w14:paraId="32756D76" w14:textId="77777777" w:rsidR="00C30160" w:rsidRPr="00CE0DE7" w:rsidRDefault="00C30160" w:rsidP="00022A17">
            <w:pPr>
              <w:rPr>
                <w:rFonts w:eastAsia="Times New Roman"/>
                <w:sz w:val="19"/>
                <w:szCs w:val="19"/>
                <w:lang w:val="en-GB" w:eastAsia="zh-CN"/>
              </w:rPr>
            </w:pPr>
          </w:p>
        </w:tc>
      </w:tr>
      <w:tr w:rsidR="00C30160" w:rsidRPr="00CE0DE7" w14:paraId="63155C19" w14:textId="77777777" w:rsidTr="00C24E43">
        <w:trPr>
          <w:trHeight w:val="187"/>
        </w:trPr>
        <w:tc>
          <w:tcPr>
            <w:tcW w:w="374" w:type="pct"/>
            <w:tcBorders>
              <w:top w:val="nil"/>
              <w:left w:val="nil"/>
              <w:bottom w:val="nil"/>
              <w:right w:val="nil"/>
            </w:tcBorders>
            <w:shd w:val="clear" w:color="auto" w:fill="auto"/>
            <w:noWrap/>
            <w:vAlign w:val="center"/>
            <w:hideMark/>
          </w:tcPr>
          <w:p w14:paraId="1D82EC4D" w14:textId="77777777" w:rsidR="00C30160" w:rsidRPr="00CE0DE7" w:rsidRDefault="00C30160" w:rsidP="00C24E43">
            <w:pPr>
              <w:rPr>
                <w:rFonts w:eastAsia="Times New Roman"/>
                <w:i/>
                <w:iCs/>
                <w:color w:val="000000"/>
                <w:sz w:val="19"/>
                <w:szCs w:val="19"/>
                <w:lang w:val="en-GB" w:eastAsia="zh-CN"/>
              </w:rPr>
            </w:pPr>
            <w:r w:rsidRPr="00CE0DE7">
              <w:rPr>
                <w:rFonts w:eastAsia="Times New Roman"/>
                <w:i/>
                <w:iCs/>
                <w:color w:val="000000"/>
                <w:sz w:val="19"/>
                <w:szCs w:val="19"/>
                <w:lang w:val="en-GB" w:eastAsia="zh-CN"/>
              </w:rPr>
              <w:t>ILLIQ</w:t>
            </w:r>
            <w:r w:rsidRPr="00CE0DE7">
              <w:rPr>
                <w:rFonts w:eastAsia="Times New Roman"/>
                <w:i/>
                <w:iCs/>
                <w:color w:val="000000"/>
                <w:sz w:val="19"/>
                <w:szCs w:val="19"/>
                <w:vertAlign w:val="superscript"/>
                <w:lang w:val="en-GB" w:eastAsia="zh-CN"/>
              </w:rPr>
              <w:t>SP500</w:t>
            </w:r>
          </w:p>
        </w:tc>
        <w:tc>
          <w:tcPr>
            <w:tcW w:w="367" w:type="pct"/>
            <w:tcBorders>
              <w:top w:val="nil"/>
              <w:left w:val="nil"/>
              <w:bottom w:val="nil"/>
              <w:right w:val="nil"/>
            </w:tcBorders>
            <w:shd w:val="clear" w:color="auto" w:fill="auto"/>
            <w:noWrap/>
            <w:vAlign w:val="center"/>
            <w:hideMark/>
          </w:tcPr>
          <w:p w14:paraId="42B0183E"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-0.013</w:t>
            </w:r>
          </w:p>
        </w:tc>
        <w:tc>
          <w:tcPr>
            <w:tcW w:w="367" w:type="pct"/>
            <w:tcBorders>
              <w:top w:val="nil"/>
              <w:left w:val="nil"/>
              <w:bottom w:val="nil"/>
              <w:right w:val="nil"/>
            </w:tcBorders>
            <w:shd w:val="clear" w:color="auto" w:fill="auto"/>
            <w:noWrap/>
            <w:vAlign w:val="center"/>
            <w:hideMark/>
          </w:tcPr>
          <w:p w14:paraId="789EED4B"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-0.013</w:t>
            </w:r>
          </w:p>
        </w:tc>
        <w:tc>
          <w:tcPr>
            <w:tcW w:w="367" w:type="pct"/>
            <w:tcBorders>
              <w:top w:val="nil"/>
              <w:left w:val="nil"/>
              <w:bottom w:val="nil"/>
              <w:right w:val="nil"/>
            </w:tcBorders>
            <w:shd w:val="clear" w:color="auto" w:fill="auto"/>
            <w:noWrap/>
            <w:vAlign w:val="center"/>
            <w:hideMark/>
          </w:tcPr>
          <w:p w14:paraId="0402503C"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0.216***</w:t>
            </w:r>
          </w:p>
        </w:tc>
        <w:tc>
          <w:tcPr>
            <w:tcW w:w="367" w:type="pct"/>
            <w:tcBorders>
              <w:top w:val="nil"/>
              <w:left w:val="nil"/>
              <w:bottom w:val="nil"/>
              <w:right w:val="nil"/>
            </w:tcBorders>
            <w:shd w:val="clear" w:color="auto" w:fill="auto"/>
            <w:noWrap/>
            <w:vAlign w:val="center"/>
            <w:hideMark/>
          </w:tcPr>
          <w:p w14:paraId="67CCB62E"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0.193***</w:t>
            </w:r>
          </w:p>
        </w:tc>
        <w:tc>
          <w:tcPr>
            <w:tcW w:w="345" w:type="pct"/>
            <w:tcBorders>
              <w:top w:val="nil"/>
              <w:left w:val="nil"/>
              <w:bottom w:val="nil"/>
              <w:right w:val="nil"/>
            </w:tcBorders>
            <w:shd w:val="clear" w:color="auto" w:fill="auto"/>
            <w:noWrap/>
            <w:vAlign w:val="center"/>
            <w:hideMark/>
          </w:tcPr>
          <w:p w14:paraId="3375FF3E"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0.128**</w:t>
            </w:r>
          </w:p>
        </w:tc>
        <w:tc>
          <w:tcPr>
            <w:tcW w:w="367" w:type="pct"/>
            <w:tcBorders>
              <w:top w:val="nil"/>
              <w:left w:val="nil"/>
              <w:bottom w:val="nil"/>
              <w:right w:val="nil"/>
            </w:tcBorders>
            <w:shd w:val="clear" w:color="auto" w:fill="auto"/>
            <w:noWrap/>
            <w:vAlign w:val="center"/>
            <w:hideMark/>
          </w:tcPr>
          <w:p w14:paraId="50CDC304"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0.973***</w:t>
            </w:r>
          </w:p>
        </w:tc>
        <w:tc>
          <w:tcPr>
            <w:tcW w:w="375" w:type="pct"/>
            <w:tcBorders>
              <w:top w:val="nil"/>
              <w:left w:val="nil"/>
              <w:bottom w:val="nil"/>
              <w:right w:val="nil"/>
            </w:tcBorders>
            <w:shd w:val="clear" w:color="auto" w:fill="auto"/>
            <w:noWrap/>
            <w:vAlign w:val="center"/>
            <w:hideMark/>
          </w:tcPr>
          <w:p w14:paraId="00BF53F6"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1.000</w:t>
            </w:r>
          </w:p>
        </w:tc>
        <w:tc>
          <w:tcPr>
            <w:tcW w:w="367" w:type="pct"/>
            <w:tcBorders>
              <w:top w:val="nil"/>
              <w:left w:val="nil"/>
              <w:bottom w:val="nil"/>
              <w:right w:val="nil"/>
            </w:tcBorders>
            <w:shd w:val="clear" w:color="auto" w:fill="auto"/>
            <w:noWrap/>
            <w:vAlign w:val="center"/>
            <w:hideMark/>
          </w:tcPr>
          <w:p w14:paraId="4704C03C" w14:textId="77777777" w:rsidR="00C30160" w:rsidRPr="00CE0DE7" w:rsidRDefault="00C30160" w:rsidP="00022A17">
            <w:pPr>
              <w:rPr>
                <w:rFonts w:eastAsia="Times New Roman"/>
                <w:color w:val="000000"/>
                <w:sz w:val="19"/>
                <w:szCs w:val="19"/>
                <w:lang w:val="en-GB" w:eastAsia="zh-CN"/>
              </w:rPr>
            </w:pPr>
          </w:p>
        </w:tc>
        <w:tc>
          <w:tcPr>
            <w:tcW w:w="367" w:type="pct"/>
            <w:tcBorders>
              <w:top w:val="nil"/>
              <w:left w:val="nil"/>
              <w:bottom w:val="nil"/>
              <w:right w:val="nil"/>
            </w:tcBorders>
            <w:shd w:val="clear" w:color="auto" w:fill="auto"/>
            <w:noWrap/>
            <w:vAlign w:val="center"/>
            <w:hideMark/>
          </w:tcPr>
          <w:p w14:paraId="1C4F9CA9"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3539BCB0"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030875BF"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7699D0A3" w14:textId="77777777" w:rsidR="00C30160" w:rsidRPr="00CE0DE7" w:rsidRDefault="00C30160" w:rsidP="00022A17">
            <w:pPr>
              <w:rPr>
                <w:rFonts w:eastAsia="Times New Roman"/>
                <w:sz w:val="19"/>
                <w:szCs w:val="19"/>
                <w:lang w:val="en-GB" w:eastAsia="zh-CN"/>
              </w:rPr>
            </w:pPr>
          </w:p>
        </w:tc>
        <w:tc>
          <w:tcPr>
            <w:tcW w:w="239" w:type="pct"/>
            <w:tcBorders>
              <w:top w:val="nil"/>
              <w:left w:val="nil"/>
              <w:bottom w:val="nil"/>
              <w:right w:val="nil"/>
            </w:tcBorders>
            <w:shd w:val="clear" w:color="auto" w:fill="auto"/>
            <w:noWrap/>
            <w:vAlign w:val="center"/>
            <w:hideMark/>
          </w:tcPr>
          <w:p w14:paraId="05E5FC86" w14:textId="77777777" w:rsidR="00C30160" w:rsidRPr="00CE0DE7" w:rsidRDefault="00C30160" w:rsidP="00022A17">
            <w:pPr>
              <w:rPr>
                <w:rFonts w:eastAsia="Times New Roman"/>
                <w:sz w:val="19"/>
                <w:szCs w:val="19"/>
                <w:lang w:val="en-GB" w:eastAsia="zh-CN"/>
              </w:rPr>
            </w:pPr>
          </w:p>
        </w:tc>
      </w:tr>
      <w:tr w:rsidR="00C30160" w:rsidRPr="00CE0DE7" w14:paraId="69078453" w14:textId="77777777" w:rsidTr="00C24E43">
        <w:trPr>
          <w:trHeight w:val="187"/>
        </w:trPr>
        <w:tc>
          <w:tcPr>
            <w:tcW w:w="374" w:type="pct"/>
            <w:tcBorders>
              <w:top w:val="nil"/>
              <w:left w:val="nil"/>
              <w:bottom w:val="nil"/>
              <w:right w:val="nil"/>
            </w:tcBorders>
            <w:shd w:val="clear" w:color="auto" w:fill="auto"/>
            <w:noWrap/>
            <w:vAlign w:val="center"/>
            <w:hideMark/>
          </w:tcPr>
          <w:p w14:paraId="457B067F" w14:textId="77777777" w:rsidR="00C30160" w:rsidRPr="00CE0DE7" w:rsidRDefault="00C30160" w:rsidP="00C24E43">
            <w:pPr>
              <w:rPr>
                <w:rFonts w:eastAsia="Times New Roman"/>
                <w:i/>
                <w:iCs/>
                <w:color w:val="000000"/>
                <w:sz w:val="19"/>
                <w:szCs w:val="19"/>
                <w:lang w:val="en-GB" w:eastAsia="zh-CN"/>
              </w:rPr>
            </w:pPr>
            <w:r w:rsidRPr="00CE0DE7">
              <w:rPr>
                <w:rFonts w:eastAsia="Times New Roman"/>
                <w:i/>
                <w:iCs/>
                <w:color w:val="000000"/>
                <w:sz w:val="19"/>
                <w:szCs w:val="19"/>
                <w:lang w:val="en-GB" w:eastAsia="zh-CN"/>
              </w:rPr>
              <w:t>PD</w:t>
            </w:r>
          </w:p>
        </w:tc>
        <w:tc>
          <w:tcPr>
            <w:tcW w:w="367" w:type="pct"/>
            <w:tcBorders>
              <w:top w:val="nil"/>
              <w:left w:val="nil"/>
              <w:bottom w:val="nil"/>
              <w:right w:val="nil"/>
            </w:tcBorders>
            <w:shd w:val="clear" w:color="auto" w:fill="auto"/>
            <w:noWrap/>
            <w:vAlign w:val="center"/>
            <w:hideMark/>
          </w:tcPr>
          <w:p w14:paraId="1BB500B1"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0.003</w:t>
            </w:r>
          </w:p>
        </w:tc>
        <w:tc>
          <w:tcPr>
            <w:tcW w:w="367" w:type="pct"/>
            <w:tcBorders>
              <w:top w:val="nil"/>
              <w:left w:val="nil"/>
              <w:bottom w:val="nil"/>
              <w:right w:val="nil"/>
            </w:tcBorders>
            <w:shd w:val="clear" w:color="auto" w:fill="auto"/>
            <w:noWrap/>
            <w:vAlign w:val="center"/>
            <w:hideMark/>
          </w:tcPr>
          <w:p w14:paraId="09E855E1"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-0.019</w:t>
            </w:r>
          </w:p>
        </w:tc>
        <w:tc>
          <w:tcPr>
            <w:tcW w:w="367" w:type="pct"/>
            <w:tcBorders>
              <w:top w:val="nil"/>
              <w:left w:val="nil"/>
              <w:bottom w:val="nil"/>
              <w:right w:val="nil"/>
            </w:tcBorders>
            <w:shd w:val="clear" w:color="auto" w:fill="auto"/>
            <w:noWrap/>
            <w:vAlign w:val="center"/>
            <w:hideMark/>
          </w:tcPr>
          <w:p w14:paraId="31334878"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0.207***</w:t>
            </w:r>
          </w:p>
        </w:tc>
        <w:tc>
          <w:tcPr>
            <w:tcW w:w="367" w:type="pct"/>
            <w:tcBorders>
              <w:top w:val="nil"/>
              <w:left w:val="nil"/>
              <w:bottom w:val="nil"/>
              <w:right w:val="nil"/>
            </w:tcBorders>
            <w:shd w:val="clear" w:color="auto" w:fill="auto"/>
            <w:noWrap/>
            <w:vAlign w:val="center"/>
            <w:hideMark/>
          </w:tcPr>
          <w:p w14:paraId="176FF21F"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0.172***</w:t>
            </w:r>
          </w:p>
        </w:tc>
        <w:tc>
          <w:tcPr>
            <w:tcW w:w="345" w:type="pct"/>
            <w:tcBorders>
              <w:top w:val="nil"/>
              <w:left w:val="nil"/>
              <w:bottom w:val="nil"/>
              <w:right w:val="nil"/>
            </w:tcBorders>
            <w:shd w:val="clear" w:color="auto" w:fill="auto"/>
            <w:noWrap/>
            <w:vAlign w:val="center"/>
            <w:hideMark/>
          </w:tcPr>
          <w:p w14:paraId="3CA85086"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0.189***</w:t>
            </w:r>
          </w:p>
        </w:tc>
        <w:tc>
          <w:tcPr>
            <w:tcW w:w="367" w:type="pct"/>
            <w:tcBorders>
              <w:top w:val="nil"/>
              <w:left w:val="nil"/>
              <w:bottom w:val="nil"/>
              <w:right w:val="nil"/>
            </w:tcBorders>
            <w:shd w:val="clear" w:color="auto" w:fill="auto"/>
            <w:noWrap/>
            <w:vAlign w:val="center"/>
            <w:hideMark/>
          </w:tcPr>
          <w:p w14:paraId="2026068A"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0.088*</w:t>
            </w:r>
          </w:p>
        </w:tc>
        <w:tc>
          <w:tcPr>
            <w:tcW w:w="375" w:type="pct"/>
            <w:tcBorders>
              <w:top w:val="nil"/>
              <w:left w:val="nil"/>
              <w:bottom w:val="nil"/>
              <w:right w:val="nil"/>
            </w:tcBorders>
            <w:shd w:val="clear" w:color="auto" w:fill="auto"/>
            <w:noWrap/>
            <w:vAlign w:val="center"/>
            <w:hideMark/>
          </w:tcPr>
          <w:p w14:paraId="6DD59826"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0.015</w:t>
            </w:r>
          </w:p>
        </w:tc>
        <w:tc>
          <w:tcPr>
            <w:tcW w:w="367" w:type="pct"/>
            <w:tcBorders>
              <w:top w:val="nil"/>
              <w:left w:val="nil"/>
              <w:bottom w:val="nil"/>
              <w:right w:val="nil"/>
            </w:tcBorders>
            <w:shd w:val="clear" w:color="auto" w:fill="auto"/>
            <w:noWrap/>
            <w:vAlign w:val="center"/>
            <w:hideMark/>
          </w:tcPr>
          <w:p w14:paraId="363AD69A"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1.000</w:t>
            </w:r>
          </w:p>
        </w:tc>
        <w:tc>
          <w:tcPr>
            <w:tcW w:w="367" w:type="pct"/>
            <w:tcBorders>
              <w:top w:val="nil"/>
              <w:left w:val="nil"/>
              <w:bottom w:val="nil"/>
              <w:right w:val="nil"/>
            </w:tcBorders>
            <w:shd w:val="clear" w:color="auto" w:fill="auto"/>
            <w:noWrap/>
            <w:vAlign w:val="center"/>
            <w:hideMark/>
          </w:tcPr>
          <w:p w14:paraId="0A47A1E6" w14:textId="77777777" w:rsidR="00C30160" w:rsidRPr="00CE0DE7" w:rsidRDefault="00C30160" w:rsidP="00022A17">
            <w:pPr>
              <w:rPr>
                <w:rFonts w:eastAsia="Times New Roman"/>
                <w:color w:val="000000"/>
                <w:sz w:val="19"/>
                <w:szCs w:val="19"/>
                <w:lang w:val="en-GB" w:eastAsia="zh-CN"/>
              </w:rPr>
            </w:pPr>
          </w:p>
        </w:tc>
        <w:tc>
          <w:tcPr>
            <w:tcW w:w="367" w:type="pct"/>
            <w:tcBorders>
              <w:top w:val="nil"/>
              <w:left w:val="nil"/>
              <w:bottom w:val="nil"/>
              <w:right w:val="nil"/>
            </w:tcBorders>
            <w:shd w:val="clear" w:color="auto" w:fill="auto"/>
            <w:noWrap/>
            <w:vAlign w:val="center"/>
            <w:hideMark/>
          </w:tcPr>
          <w:p w14:paraId="791AA0C2"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0D963920"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571A43D6" w14:textId="77777777" w:rsidR="00C30160" w:rsidRPr="00CE0DE7" w:rsidRDefault="00C30160" w:rsidP="00022A17">
            <w:pPr>
              <w:rPr>
                <w:rFonts w:eastAsia="Times New Roman"/>
                <w:sz w:val="19"/>
                <w:szCs w:val="19"/>
                <w:lang w:val="en-GB" w:eastAsia="zh-CN"/>
              </w:rPr>
            </w:pPr>
          </w:p>
        </w:tc>
        <w:tc>
          <w:tcPr>
            <w:tcW w:w="239" w:type="pct"/>
            <w:tcBorders>
              <w:top w:val="nil"/>
              <w:left w:val="nil"/>
              <w:bottom w:val="nil"/>
              <w:right w:val="nil"/>
            </w:tcBorders>
            <w:shd w:val="clear" w:color="auto" w:fill="auto"/>
            <w:noWrap/>
            <w:vAlign w:val="center"/>
            <w:hideMark/>
          </w:tcPr>
          <w:p w14:paraId="25A93FF6" w14:textId="77777777" w:rsidR="00C30160" w:rsidRPr="00CE0DE7" w:rsidRDefault="00C30160" w:rsidP="00022A17">
            <w:pPr>
              <w:rPr>
                <w:rFonts w:eastAsia="Times New Roman"/>
                <w:sz w:val="19"/>
                <w:szCs w:val="19"/>
                <w:lang w:val="en-GB" w:eastAsia="zh-CN"/>
              </w:rPr>
            </w:pPr>
          </w:p>
        </w:tc>
      </w:tr>
      <w:tr w:rsidR="00C30160" w:rsidRPr="00CE0DE7" w14:paraId="48BEE06C" w14:textId="77777777" w:rsidTr="00C24E43">
        <w:trPr>
          <w:trHeight w:val="187"/>
        </w:trPr>
        <w:tc>
          <w:tcPr>
            <w:tcW w:w="374" w:type="pct"/>
            <w:tcBorders>
              <w:top w:val="nil"/>
              <w:left w:val="nil"/>
              <w:bottom w:val="nil"/>
              <w:right w:val="nil"/>
            </w:tcBorders>
            <w:shd w:val="clear" w:color="auto" w:fill="auto"/>
            <w:noWrap/>
            <w:vAlign w:val="center"/>
            <w:hideMark/>
          </w:tcPr>
          <w:p w14:paraId="606C5AB0" w14:textId="77777777" w:rsidR="00C30160" w:rsidRPr="00CE0DE7" w:rsidRDefault="00C30160" w:rsidP="00C24E43">
            <w:pPr>
              <w:rPr>
                <w:rFonts w:eastAsia="Times New Roman"/>
                <w:i/>
                <w:iCs/>
                <w:color w:val="000000"/>
                <w:sz w:val="19"/>
                <w:szCs w:val="19"/>
                <w:lang w:val="en-GB" w:eastAsia="zh-CN"/>
              </w:rPr>
            </w:pPr>
            <w:r w:rsidRPr="00CE0DE7">
              <w:rPr>
                <w:rFonts w:eastAsia="Times New Roman"/>
                <w:i/>
                <w:iCs/>
                <w:color w:val="000000"/>
                <w:sz w:val="19"/>
                <w:szCs w:val="19"/>
                <w:lang w:val="en-GB" w:eastAsia="zh-CN"/>
              </w:rPr>
              <w:t>PE</w:t>
            </w:r>
          </w:p>
        </w:tc>
        <w:tc>
          <w:tcPr>
            <w:tcW w:w="367" w:type="pct"/>
            <w:tcBorders>
              <w:top w:val="nil"/>
              <w:left w:val="nil"/>
              <w:bottom w:val="nil"/>
              <w:right w:val="nil"/>
            </w:tcBorders>
            <w:shd w:val="clear" w:color="auto" w:fill="auto"/>
            <w:noWrap/>
            <w:vAlign w:val="center"/>
            <w:hideMark/>
          </w:tcPr>
          <w:p w14:paraId="37DFF96A"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0.012</w:t>
            </w:r>
          </w:p>
        </w:tc>
        <w:tc>
          <w:tcPr>
            <w:tcW w:w="367" w:type="pct"/>
            <w:tcBorders>
              <w:top w:val="nil"/>
              <w:left w:val="nil"/>
              <w:bottom w:val="nil"/>
              <w:right w:val="nil"/>
            </w:tcBorders>
            <w:shd w:val="clear" w:color="auto" w:fill="auto"/>
            <w:noWrap/>
            <w:vAlign w:val="center"/>
            <w:hideMark/>
          </w:tcPr>
          <w:p w14:paraId="26702B6E"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0.008</w:t>
            </w:r>
          </w:p>
        </w:tc>
        <w:tc>
          <w:tcPr>
            <w:tcW w:w="367" w:type="pct"/>
            <w:tcBorders>
              <w:top w:val="nil"/>
              <w:left w:val="nil"/>
              <w:bottom w:val="nil"/>
              <w:right w:val="nil"/>
            </w:tcBorders>
            <w:shd w:val="clear" w:color="auto" w:fill="auto"/>
            <w:noWrap/>
            <w:vAlign w:val="center"/>
            <w:hideMark/>
          </w:tcPr>
          <w:p w14:paraId="383EDF39"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0.076</w:t>
            </w:r>
          </w:p>
        </w:tc>
        <w:tc>
          <w:tcPr>
            <w:tcW w:w="367" w:type="pct"/>
            <w:tcBorders>
              <w:top w:val="nil"/>
              <w:left w:val="nil"/>
              <w:bottom w:val="nil"/>
              <w:right w:val="nil"/>
            </w:tcBorders>
            <w:shd w:val="clear" w:color="auto" w:fill="auto"/>
            <w:noWrap/>
            <w:vAlign w:val="center"/>
            <w:hideMark/>
          </w:tcPr>
          <w:p w14:paraId="5F065364"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-0.028</w:t>
            </w:r>
          </w:p>
        </w:tc>
        <w:tc>
          <w:tcPr>
            <w:tcW w:w="345" w:type="pct"/>
            <w:tcBorders>
              <w:top w:val="nil"/>
              <w:left w:val="nil"/>
              <w:bottom w:val="nil"/>
              <w:right w:val="nil"/>
            </w:tcBorders>
            <w:shd w:val="clear" w:color="auto" w:fill="auto"/>
            <w:noWrap/>
            <w:vAlign w:val="center"/>
            <w:hideMark/>
          </w:tcPr>
          <w:p w14:paraId="10B9FA53"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0.044</w:t>
            </w:r>
          </w:p>
        </w:tc>
        <w:tc>
          <w:tcPr>
            <w:tcW w:w="367" w:type="pct"/>
            <w:tcBorders>
              <w:top w:val="nil"/>
              <w:left w:val="nil"/>
              <w:bottom w:val="nil"/>
              <w:right w:val="nil"/>
            </w:tcBorders>
            <w:shd w:val="clear" w:color="auto" w:fill="auto"/>
            <w:noWrap/>
            <w:vAlign w:val="center"/>
            <w:hideMark/>
          </w:tcPr>
          <w:p w14:paraId="49C4F135"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-0.399***</w:t>
            </w:r>
          </w:p>
        </w:tc>
        <w:tc>
          <w:tcPr>
            <w:tcW w:w="375" w:type="pct"/>
            <w:tcBorders>
              <w:top w:val="nil"/>
              <w:left w:val="nil"/>
              <w:bottom w:val="nil"/>
              <w:right w:val="nil"/>
            </w:tcBorders>
            <w:shd w:val="clear" w:color="auto" w:fill="auto"/>
            <w:noWrap/>
            <w:vAlign w:val="center"/>
            <w:hideMark/>
          </w:tcPr>
          <w:p w14:paraId="23665ACB"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-0.421***</w:t>
            </w:r>
          </w:p>
        </w:tc>
        <w:tc>
          <w:tcPr>
            <w:tcW w:w="367" w:type="pct"/>
            <w:tcBorders>
              <w:top w:val="nil"/>
              <w:left w:val="nil"/>
              <w:bottom w:val="nil"/>
              <w:right w:val="nil"/>
            </w:tcBorders>
            <w:shd w:val="clear" w:color="auto" w:fill="auto"/>
            <w:noWrap/>
            <w:vAlign w:val="center"/>
            <w:hideMark/>
          </w:tcPr>
          <w:p w14:paraId="28B5DDBD"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0.177***</w:t>
            </w:r>
          </w:p>
        </w:tc>
        <w:tc>
          <w:tcPr>
            <w:tcW w:w="367" w:type="pct"/>
            <w:tcBorders>
              <w:top w:val="nil"/>
              <w:left w:val="nil"/>
              <w:bottom w:val="nil"/>
              <w:right w:val="nil"/>
            </w:tcBorders>
            <w:shd w:val="clear" w:color="auto" w:fill="auto"/>
            <w:noWrap/>
            <w:vAlign w:val="center"/>
            <w:hideMark/>
          </w:tcPr>
          <w:p w14:paraId="640853C8"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1.000</w:t>
            </w:r>
          </w:p>
        </w:tc>
        <w:tc>
          <w:tcPr>
            <w:tcW w:w="367" w:type="pct"/>
            <w:tcBorders>
              <w:top w:val="nil"/>
              <w:left w:val="nil"/>
              <w:bottom w:val="nil"/>
              <w:right w:val="nil"/>
            </w:tcBorders>
            <w:shd w:val="clear" w:color="auto" w:fill="auto"/>
            <w:noWrap/>
            <w:vAlign w:val="center"/>
            <w:hideMark/>
          </w:tcPr>
          <w:p w14:paraId="2E82FB5F" w14:textId="77777777" w:rsidR="00C30160" w:rsidRPr="00CE0DE7" w:rsidRDefault="00C30160" w:rsidP="00022A17">
            <w:pPr>
              <w:rPr>
                <w:rFonts w:eastAsia="Times New Roman"/>
                <w:color w:val="000000"/>
                <w:sz w:val="19"/>
                <w:szCs w:val="19"/>
                <w:lang w:val="en-GB" w:eastAsia="zh-CN"/>
              </w:rPr>
            </w:pPr>
          </w:p>
        </w:tc>
        <w:tc>
          <w:tcPr>
            <w:tcW w:w="367" w:type="pct"/>
            <w:tcBorders>
              <w:top w:val="nil"/>
              <w:left w:val="nil"/>
              <w:bottom w:val="nil"/>
              <w:right w:val="nil"/>
            </w:tcBorders>
            <w:shd w:val="clear" w:color="auto" w:fill="auto"/>
            <w:noWrap/>
            <w:vAlign w:val="center"/>
            <w:hideMark/>
          </w:tcPr>
          <w:p w14:paraId="71F22B93" w14:textId="77777777" w:rsidR="00C30160" w:rsidRPr="00CE0DE7" w:rsidRDefault="00C30160" w:rsidP="00022A17">
            <w:pPr>
              <w:rPr>
                <w:rFonts w:eastAsia="Times New Roman"/>
                <w:sz w:val="19"/>
                <w:szCs w:val="19"/>
                <w:lang w:val="en-GB" w:eastAsia="zh-CN"/>
              </w:rPr>
            </w:pPr>
          </w:p>
        </w:tc>
        <w:tc>
          <w:tcPr>
            <w:tcW w:w="367" w:type="pct"/>
            <w:tcBorders>
              <w:top w:val="nil"/>
              <w:left w:val="nil"/>
              <w:bottom w:val="nil"/>
              <w:right w:val="nil"/>
            </w:tcBorders>
            <w:shd w:val="clear" w:color="auto" w:fill="auto"/>
            <w:noWrap/>
            <w:vAlign w:val="center"/>
            <w:hideMark/>
          </w:tcPr>
          <w:p w14:paraId="727E8BDA" w14:textId="77777777" w:rsidR="00C30160" w:rsidRPr="00CE0DE7" w:rsidRDefault="00C30160" w:rsidP="00022A17">
            <w:pPr>
              <w:rPr>
                <w:rFonts w:eastAsia="Times New Roman"/>
                <w:sz w:val="19"/>
                <w:szCs w:val="19"/>
                <w:lang w:val="en-GB" w:eastAsia="zh-CN"/>
              </w:rPr>
            </w:pPr>
          </w:p>
        </w:tc>
        <w:tc>
          <w:tcPr>
            <w:tcW w:w="239" w:type="pct"/>
            <w:tcBorders>
              <w:top w:val="nil"/>
              <w:left w:val="nil"/>
              <w:bottom w:val="nil"/>
              <w:right w:val="nil"/>
            </w:tcBorders>
            <w:shd w:val="clear" w:color="auto" w:fill="auto"/>
            <w:noWrap/>
            <w:vAlign w:val="center"/>
            <w:hideMark/>
          </w:tcPr>
          <w:p w14:paraId="7BC8284C" w14:textId="77777777" w:rsidR="00C30160" w:rsidRPr="00CE0DE7" w:rsidRDefault="00C30160" w:rsidP="00022A17">
            <w:pPr>
              <w:rPr>
                <w:rFonts w:eastAsia="Times New Roman"/>
                <w:sz w:val="19"/>
                <w:szCs w:val="19"/>
                <w:lang w:val="en-GB" w:eastAsia="zh-CN"/>
              </w:rPr>
            </w:pPr>
          </w:p>
        </w:tc>
      </w:tr>
      <w:tr w:rsidR="00C30160" w:rsidRPr="00CE0DE7" w14:paraId="7F231A0E" w14:textId="77777777" w:rsidTr="00C24E43">
        <w:trPr>
          <w:trHeight w:val="187"/>
        </w:trPr>
        <w:tc>
          <w:tcPr>
            <w:tcW w:w="374" w:type="pct"/>
            <w:tcBorders>
              <w:top w:val="nil"/>
              <w:left w:val="nil"/>
              <w:bottom w:val="nil"/>
              <w:right w:val="nil"/>
            </w:tcBorders>
            <w:shd w:val="clear" w:color="auto" w:fill="auto"/>
            <w:noWrap/>
            <w:vAlign w:val="center"/>
            <w:hideMark/>
          </w:tcPr>
          <w:p w14:paraId="5DB46FF7" w14:textId="77777777" w:rsidR="00C30160" w:rsidRPr="00CE0DE7" w:rsidRDefault="00C30160" w:rsidP="00C24E43">
            <w:pPr>
              <w:rPr>
                <w:rFonts w:eastAsia="Times New Roman"/>
                <w:i/>
                <w:iCs/>
                <w:color w:val="000000"/>
                <w:sz w:val="19"/>
                <w:szCs w:val="19"/>
                <w:lang w:val="en-GB" w:eastAsia="zh-CN"/>
              </w:rPr>
            </w:pPr>
            <w:r w:rsidRPr="00CE0DE7">
              <w:rPr>
                <w:rFonts w:eastAsia="Times New Roman"/>
                <w:i/>
                <w:iCs/>
                <w:color w:val="000000"/>
                <w:sz w:val="19"/>
                <w:szCs w:val="19"/>
                <w:lang w:val="en-GB" w:eastAsia="zh-CN"/>
              </w:rPr>
              <w:t>DFSP</w:t>
            </w:r>
          </w:p>
        </w:tc>
        <w:tc>
          <w:tcPr>
            <w:tcW w:w="367" w:type="pct"/>
            <w:tcBorders>
              <w:top w:val="nil"/>
              <w:left w:val="nil"/>
              <w:bottom w:val="nil"/>
              <w:right w:val="nil"/>
            </w:tcBorders>
            <w:shd w:val="clear" w:color="auto" w:fill="auto"/>
            <w:noWrap/>
            <w:vAlign w:val="center"/>
            <w:hideMark/>
          </w:tcPr>
          <w:p w14:paraId="6E3843AC"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-0.104*</w:t>
            </w:r>
          </w:p>
        </w:tc>
        <w:tc>
          <w:tcPr>
            <w:tcW w:w="367" w:type="pct"/>
            <w:tcBorders>
              <w:top w:val="nil"/>
              <w:left w:val="nil"/>
              <w:bottom w:val="nil"/>
              <w:right w:val="nil"/>
            </w:tcBorders>
            <w:shd w:val="clear" w:color="auto" w:fill="auto"/>
            <w:noWrap/>
            <w:vAlign w:val="center"/>
            <w:hideMark/>
          </w:tcPr>
          <w:p w14:paraId="7F8921BB"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-0.119**</w:t>
            </w:r>
          </w:p>
        </w:tc>
        <w:tc>
          <w:tcPr>
            <w:tcW w:w="367" w:type="pct"/>
            <w:tcBorders>
              <w:top w:val="nil"/>
              <w:left w:val="nil"/>
              <w:bottom w:val="nil"/>
              <w:right w:val="nil"/>
            </w:tcBorders>
            <w:shd w:val="clear" w:color="auto" w:fill="auto"/>
            <w:noWrap/>
            <w:vAlign w:val="center"/>
            <w:hideMark/>
          </w:tcPr>
          <w:p w14:paraId="4ADFF3B3"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-0.032</w:t>
            </w:r>
          </w:p>
        </w:tc>
        <w:tc>
          <w:tcPr>
            <w:tcW w:w="367" w:type="pct"/>
            <w:tcBorders>
              <w:top w:val="nil"/>
              <w:left w:val="nil"/>
              <w:bottom w:val="nil"/>
              <w:right w:val="nil"/>
            </w:tcBorders>
            <w:shd w:val="clear" w:color="auto" w:fill="auto"/>
            <w:noWrap/>
            <w:vAlign w:val="center"/>
            <w:hideMark/>
          </w:tcPr>
          <w:p w14:paraId="0C95021B"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0.149***</w:t>
            </w:r>
          </w:p>
        </w:tc>
        <w:tc>
          <w:tcPr>
            <w:tcW w:w="345" w:type="pct"/>
            <w:tcBorders>
              <w:top w:val="nil"/>
              <w:left w:val="nil"/>
              <w:bottom w:val="nil"/>
              <w:right w:val="nil"/>
            </w:tcBorders>
            <w:shd w:val="clear" w:color="auto" w:fill="auto"/>
            <w:noWrap/>
            <w:vAlign w:val="center"/>
            <w:hideMark/>
          </w:tcPr>
          <w:p w14:paraId="4B7E84BF"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0.181***</w:t>
            </w:r>
          </w:p>
        </w:tc>
        <w:tc>
          <w:tcPr>
            <w:tcW w:w="367" w:type="pct"/>
            <w:tcBorders>
              <w:top w:val="nil"/>
              <w:left w:val="nil"/>
              <w:bottom w:val="nil"/>
              <w:right w:val="nil"/>
            </w:tcBorders>
            <w:shd w:val="clear" w:color="auto" w:fill="auto"/>
            <w:noWrap/>
            <w:vAlign w:val="center"/>
            <w:hideMark/>
          </w:tcPr>
          <w:p w14:paraId="4FB78367"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-0.061</w:t>
            </w:r>
          </w:p>
        </w:tc>
        <w:tc>
          <w:tcPr>
            <w:tcW w:w="375" w:type="pct"/>
            <w:tcBorders>
              <w:top w:val="nil"/>
              <w:left w:val="nil"/>
              <w:bottom w:val="nil"/>
              <w:right w:val="nil"/>
            </w:tcBorders>
            <w:shd w:val="clear" w:color="auto" w:fill="auto"/>
            <w:noWrap/>
            <w:vAlign w:val="center"/>
            <w:hideMark/>
          </w:tcPr>
          <w:p w14:paraId="4E38F576"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-0.123**</w:t>
            </w:r>
          </w:p>
        </w:tc>
        <w:tc>
          <w:tcPr>
            <w:tcW w:w="367" w:type="pct"/>
            <w:tcBorders>
              <w:top w:val="nil"/>
              <w:left w:val="nil"/>
              <w:bottom w:val="nil"/>
              <w:right w:val="nil"/>
            </w:tcBorders>
            <w:shd w:val="clear" w:color="auto" w:fill="auto"/>
            <w:noWrap/>
            <w:vAlign w:val="center"/>
            <w:hideMark/>
          </w:tcPr>
          <w:p w14:paraId="7A2D910C"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0.490***</w:t>
            </w:r>
          </w:p>
        </w:tc>
        <w:tc>
          <w:tcPr>
            <w:tcW w:w="367" w:type="pct"/>
            <w:tcBorders>
              <w:top w:val="nil"/>
              <w:left w:val="nil"/>
              <w:bottom w:val="nil"/>
              <w:right w:val="nil"/>
            </w:tcBorders>
            <w:shd w:val="clear" w:color="auto" w:fill="auto"/>
            <w:noWrap/>
            <w:vAlign w:val="center"/>
            <w:hideMark/>
          </w:tcPr>
          <w:p w14:paraId="412269C1"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-0.279***</w:t>
            </w:r>
          </w:p>
        </w:tc>
        <w:tc>
          <w:tcPr>
            <w:tcW w:w="367" w:type="pct"/>
            <w:tcBorders>
              <w:top w:val="nil"/>
              <w:left w:val="nil"/>
              <w:bottom w:val="nil"/>
              <w:right w:val="nil"/>
            </w:tcBorders>
            <w:shd w:val="clear" w:color="auto" w:fill="auto"/>
            <w:noWrap/>
            <w:vAlign w:val="center"/>
            <w:hideMark/>
          </w:tcPr>
          <w:p w14:paraId="603FD645"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1.000</w:t>
            </w:r>
          </w:p>
        </w:tc>
        <w:tc>
          <w:tcPr>
            <w:tcW w:w="367" w:type="pct"/>
            <w:tcBorders>
              <w:top w:val="nil"/>
              <w:left w:val="nil"/>
              <w:bottom w:val="nil"/>
              <w:right w:val="nil"/>
            </w:tcBorders>
            <w:shd w:val="clear" w:color="auto" w:fill="auto"/>
            <w:noWrap/>
            <w:vAlign w:val="center"/>
            <w:hideMark/>
          </w:tcPr>
          <w:p w14:paraId="0C0C0803" w14:textId="77777777" w:rsidR="00C30160" w:rsidRPr="00CE0DE7" w:rsidRDefault="00C30160" w:rsidP="00022A17">
            <w:pPr>
              <w:rPr>
                <w:rFonts w:eastAsia="Times New Roman"/>
                <w:color w:val="000000"/>
                <w:sz w:val="19"/>
                <w:szCs w:val="19"/>
                <w:lang w:val="en-GB" w:eastAsia="zh-CN"/>
              </w:rPr>
            </w:pPr>
          </w:p>
        </w:tc>
        <w:tc>
          <w:tcPr>
            <w:tcW w:w="367" w:type="pct"/>
            <w:tcBorders>
              <w:top w:val="nil"/>
              <w:left w:val="nil"/>
              <w:bottom w:val="nil"/>
              <w:right w:val="nil"/>
            </w:tcBorders>
            <w:shd w:val="clear" w:color="auto" w:fill="auto"/>
            <w:noWrap/>
            <w:vAlign w:val="center"/>
            <w:hideMark/>
          </w:tcPr>
          <w:p w14:paraId="449C00A1" w14:textId="77777777" w:rsidR="00C30160" w:rsidRPr="00CE0DE7" w:rsidRDefault="00C30160" w:rsidP="00022A17">
            <w:pPr>
              <w:rPr>
                <w:rFonts w:eastAsia="Times New Roman"/>
                <w:sz w:val="19"/>
                <w:szCs w:val="19"/>
                <w:lang w:val="en-GB" w:eastAsia="zh-CN"/>
              </w:rPr>
            </w:pPr>
          </w:p>
        </w:tc>
        <w:tc>
          <w:tcPr>
            <w:tcW w:w="239" w:type="pct"/>
            <w:tcBorders>
              <w:top w:val="nil"/>
              <w:left w:val="nil"/>
              <w:bottom w:val="nil"/>
              <w:right w:val="nil"/>
            </w:tcBorders>
            <w:shd w:val="clear" w:color="auto" w:fill="auto"/>
            <w:noWrap/>
            <w:vAlign w:val="center"/>
            <w:hideMark/>
          </w:tcPr>
          <w:p w14:paraId="2FD0FA67" w14:textId="77777777" w:rsidR="00C30160" w:rsidRPr="00CE0DE7" w:rsidRDefault="00C30160" w:rsidP="00022A17">
            <w:pPr>
              <w:rPr>
                <w:rFonts w:eastAsia="Times New Roman"/>
                <w:sz w:val="19"/>
                <w:szCs w:val="19"/>
                <w:lang w:val="en-GB" w:eastAsia="zh-CN"/>
              </w:rPr>
            </w:pPr>
          </w:p>
        </w:tc>
      </w:tr>
      <w:tr w:rsidR="00C30160" w:rsidRPr="00CE0DE7" w14:paraId="14D1F378" w14:textId="77777777" w:rsidTr="00C24E43">
        <w:trPr>
          <w:trHeight w:val="187"/>
        </w:trPr>
        <w:tc>
          <w:tcPr>
            <w:tcW w:w="374" w:type="pct"/>
            <w:tcBorders>
              <w:top w:val="nil"/>
              <w:left w:val="nil"/>
              <w:bottom w:val="nil"/>
              <w:right w:val="nil"/>
            </w:tcBorders>
            <w:shd w:val="clear" w:color="auto" w:fill="auto"/>
            <w:noWrap/>
            <w:vAlign w:val="center"/>
            <w:hideMark/>
          </w:tcPr>
          <w:p w14:paraId="00AB86B9" w14:textId="77777777" w:rsidR="00C30160" w:rsidRPr="00CE0DE7" w:rsidRDefault="00C30160" w:rsidP="00C24E43">
            <w:pPr>
              <w:rPr>
                <w:rFonts w:eastAsia="Times New Roman"/>
                <w:i/>
                <w:iCs/>
                <w:color w:val="000000"/>
                <w:sz w:val="19"/>
                <w:szCs w:val="19"/>
                <w:lang w:val="en-GB" w:eastAsia="zh-CN"/>
              </w:rPr>
            </w:pPr>
            <w:r w:rsidRPr="00CE0DE7">
              <w:rPr>
                <w:rFonts w:eastAsia="Times New Roman"/>
                <w:i/>
                <w:iCs/>
                <w:color w:val="000000"/>
                <w:sz w:val="19"/>
                <w:szCs w:val="19"/>
                <w:lang w:val="en-GB" w:eastAsia="zh-CN"/>
              </w:rPr>
              <w:t>TMSP</w:t>
            </w:r>
          </w:p>
        </w:tc>
        <w:tc>
          <w:tcPr>
            <w:tcW w:w="367" w:type="pct"/>
            <w:tcBorders>
              <w:top w:val="nil"/>
              <w:left w:val="nil"/>
              <w:bottom w:val="nil"/>
              <w:right w:val="nil"/>
            </w:tcBorders>
            <w:shd w:val="clear" w:color="auto" w:fill="auto"/>
            <w:noWrap/>
            <w:vAlign w:val="center"/>
            <w:hideMark/>
          </w:tcPr>
          <w:p w14:paraId="4F5C0F98"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0.000</w:t>
            </w:r>
          </w:p>
        </w:tc>
        <w:tc>
          <w:tcPr>
            <w:tcW w:w="367" w:type="pct"/>
            <w:tcBorders>
              <w:top w:val="nil"/>
              <w:left w:val="nil"/>
              <w:bottom w:val="nil"/>
              <w:right w:val="nil"/>
            </w:tcBorders>
            <w:shd w:val="clear" w:color="auto" w:fill="auto"/>
            <w:noWrap/>
            <w:vAlign w:val="center"/>
            <w:hideMark/>
          </w:tcPr>
          <w:p w14:paraId="19CF1064"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-0.014</w:t>
            </w:r>
          </w:p>
        </w:tc>
        <w:tc>
          <w:tcPr>
            <w:tcW w:w="367" w:type="pct"/>
            <w:tcBorders>
              <w:top w:val="nil"/>
              <w:left w:val="nil"/>
              <w:bottom w:val="nil"/>
              <w:right w:val="nil"/>
            </w:tcBorders>
            <w:shd w:val="clear" w:color="auto" w:fill="auto"/>
            <w:noWrap/>
            <w:vAlign w:val="center"/>
            <w:hideMark/>
          </w:tcPr>
          <w:p w14:paraId="37B486EC"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-0.036</w:t>
            </w:r>
          </w:p>
        </w:tc>
        <w:tc>
          <w:tcPr>
            <w:tcW w:w="367" w:type="pct"/>
            <w:tcBorders>
              <w:top w:val="nil"/>
              <w:left w:val="nil"/>
              <w:bottom w:val="nil"/>
              <w:right w:val="nil"/>
            </w:tcBorders>
            <w:shd w:val="clear" w:color="auto" w:fill="auto"/>
            <w:noWrap/>
            <w:vAlign w:val="center"/>
            <w:hideMark/>
          </w:tcPr>
          <w:p w14:paraId="23A8E739"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-0.003</w:t>
            </w:r>
          </w:p>
        </w:tc>
        <w:tc>
          <w:tcPr>
            <w:tcW w:w="345" w:type="pct"/>
            <w:tcBorders>
              <w:top w:val="nil"/>
              <w:left w:val="nil"/>
              <w:bottom w:val="nil"/>
              <w:right w:val="nil"/>
            </w:tcBorders>
            <w:shd w:val="clear" w:color="auto" w:fill="auto"/>
            <w:noWrap/>
            <w:vAlign w:val="center"/>
            <w:hideMark/>
          </w:tcPr>
          <w:p w14:paraId="21BB473B"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0.003</w:t>
            </w:r>
          </w:p>
        </w:tc>
        <w:tc>
          <w:tcPr>
            <w:tcW w:w="367" w:type="pct"/>
            <w:tcBorders>
              <w:top w:val="nil"/>
              <w:left w:val="nil"/>
              <w:bottom w:val="nil"/>
              <w:right w:val="nil"/>
            </w:tcBorders>
            <w:shd w:val="clear" w:color="auto" w:fill="auto"/>
            <w:noWrap/>
            <w:vAlign w:val="center"/>
            <w:hideMark/>
          </w:tcPr>
          <w:p w14:paraId="28A86DE3"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0.128**</w:t>
            </w:r>
          </w:p>
        </w:tc>
        <w:tc>
          <w:tcPr>
            <w:tcW w:w="375" w:type="pct"/>
            <w:tcBorders>
              <w:top w:val="nil"/>
              <w:left w:val="nil"/>
              <w:bottom w:val="nil"/>
              <w:right w:val="nil"/>
            </w:tcBorders>
            <w:shd w:val="clear" w:color="auto" w:fill="auto"/>
            <w:noWrap/>
            <w:vAlign w:val="center"/>
            <w:hideMark/>
          </w:tcPr>
          <w:p w14:paraId="608C73EE"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0.084</w:t>
            </w:r>
          </w:p>
        </w:tc>
        <w:tc>
          <w:tcPr>
            <w:tcW w:w="367" w:type="pct"/>
            <w:tcBorders>
              <w:top w:val="nil"/>
              <w:left w:val="nil"/>
              <w:bottom w:val="nil"/>
              <w:right w:val="nil"/>
            </w:tcBorders>
            <w:shd w:val="clear" w:color="auto" w:fill="auto"/>
            <w:noWrap/>
            <w:vAlign w:val="center"/>
            <w:hideMark/>
          </w:tcPr>
          <w:p w14:paraId="074862D5"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0.187***</w:t>
            </w:r>
          </w:p>
        </w:tc>
        <w:tc>
          <w:tcPr>
            <w:tcW w:w="367" w:type="pct"/>
            <w:tcBorders>
              <w:top w:val="nil"/>
              <w:left w:val="nil"/>
              <w:bottom w:val="nil"/>
              <w:right w:val="nil"/>
            </w:tcBorders>
            <w:shd w:val="clear" w:color="auto" w:fill="auto"/>
            <w:noWrap/>
            <w:vAlign w:val="center"/>
            <w:hideMark/>
          </w:tcPr>
          <w:p w14:paraId="7F043208"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-0.370***</w:t>
            </w:r>
          </w:p>
        </w:tc>
        <w:tc>
          <w:tcPr>
            <w:tcW w:w="367" w:type="pct"/>
            <w:tcBorders>
              <w:top w:val="nil"/>
              <w:left w:val="nil"/>
              <w:bottom w:val="nil"/>
              <w:right w:val="nil"/>
            </w:tcBorders>
            <w:shd w:val="clear" w:color="auto" w:fill="auto"/>
            <w:noWrap/>
            <w:vAlign w:val="center"/>
            <w:hideMark/>
          </w:tcPr>
          <w:p w14:paraId="5F0066FF"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0.244***</w:t>
            </w:r>
          </w:p>
        </w:tc>
        <w:tc>
          <w:tcPr>
            <w:tcW w:w="367" w:type="pct"/>
            <w:tcBorders>
              <w:top w:val="nil"/>
              <w:left w:val="nil"/>
              <w:bottom w:val="nil"/>
              <w:right w:val="nil"/>
            </w:tcBorders>
            <w:shd w:val="clear" w:color="auto" w:fill="auto"/>
            <w:noWrap/>
            <w:vAlign w:val="center"/>
            <w:hideMark/>
          </w:tcPr>
          <w:p w14:paraId="2D7C3BD9"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1.000</w:t>
            </w:r>
          </w:p>
        </w:tc>
        <w:tc>
          <w:tcPr>
            <w:tcW w:w="367" w:type="pct"/>
            <w:tcBorders>
              <w:top w:val="nil"/>
              <w:left w:val="nil"/>
              <w:bottom w:val="nil"/>
              <w:right w:val="nil"/>
            </w:tcBorders>
            <w:shd w:val="clear" w:color="auto" w:fill="auto"/>
            <w:noWrap/>
            <w:vAlign w:val="center"/>
            <w:hideMark/>
          </w:tcPr>
          <w:p w14:paraId="1210CD4D" w14:textId="77777777" w:rsidR="00C30160" w:rsidRPr="00CE0DE7" w:rsidRDefault="00C30160" w:rsidP="00022A17">
            <w:pPr>
              <w:rPr>
                <w:rFonts w:eastAsia="Times New Roman"/>
                <w:color w:val="000000"/>
                <w:sz w:val="19"/>
                <w:szCs w:val="19"/>
                <w:lang w:val="en-GB" w:eastAsia="zh-CN"/>
              </w:rPr>
            </w:pPr>
          </w:p>
        </w:tc>
        <w:tc>
          <w:tcPr>
            <w:tcW w:w="239" w:type="pct"/>
            <w:tcBorders>
              <w:top w:val="nil"/>
              <w:left w:val="nil"/>
              <w:bottom w:val="nil"/>
              <w:right w:val="nil"/>
            </w:tcBorders>
            <w:shd w:val="clear" w:color="auto" w:fill="auto"/>
            <w:noWrap/>
            <w:vAlign w:val="center"/>
            <w:hideMark/>
          </w:tcPr>
          <w:p w14:paraId="29A0B1CE" w14:textId="77777777" w:rsidR="00C30160" w:rsidRPr="00CE0DE7" w:rsidRDefault="00C30160" w:rsidP="00022A17">
            <w:pPr>
              <w:rPr>
                <w:rFonts w:eastAsia="Times New Roman"/>
                <w:sz w:val="19"/>
                <w:szCs w:val="19"/>
                <w:lang w:val="en-GB" w:eastAsia="zh-CN"/>
              </w:rPr>
            </w:pPr>
          </w:p>
        </w:tc>
      </w:tr>
      <w:tr w:rsidR="00C30160" w:rsidRPr="00CE0DE7" w14:paraId="3EF66CB8" w14:textId="77777777" w:rsidTr="00C24E43">
        <w:trPr>
          <w:trHeight w:val="187"/>
        </w:trPr>
        <w:tc>
          <w:tcPr>
            <w:tcW w:w="374" w:type="pct"/>
            <w:tcBorders>
              <w:top w:val="nil"/>
              <w:left w:val="nil"/>
              <w:bottom w:val="nil"/>
              <w:right w:val="nil"/>
            </w:tcBorders>
            <w:shd w:val="clear" w:color="auto" w:fill="auto"/>
            <w:noWrap/>
            <w:vAlign w:val="center"/>
            <w:hideMark/>
          </w:tcPr>
          <w:p w14:paraId="55760EF2" w14:textId="77777777" w:rsidR="00C30160" w:rsidRPr="00CE0DE7" w:rsidRDefault="00C30160" w:rsidP="00C24E43">
            <w:pPr>
              <w:rPr>
                <w:rFonts w:eastAsia="Times New Roman"/>
                <w:i/>
                <w:iCs/>
                <w:color w:val="000000"/>
                <w:sz w:val="19"/>
                <w:szCs w:val="19"/>
                <w:lang w:val="en-GB" w:eastAsia="zh-CN"/>
              </w:rPr>
            </w:pPr>
            <w:r w:rsidRPr="00CE0DE7">
              <w:rPr>
                <w:rFonts w:eastAsia="Times New Roman"/>
                <w:i/>
                <w:iCs/>
                <w:color w:val="000000"/>
                <w:sz w:val="19"/>
                <w:szCs w:val="19"/>
                <w:lang w:val="en-GB" w:eastAsia="zh-CN"/>
              </w:rPr>
              <w:t>RREL</w:t>
            </w:r>
          </w:p>
        </w:tc>
        <w:tc>
          <w:tcPr>
            <w:tcW w:w="367" w:type="pct"/>
            <w:tcBorders>
              <w:top w:val="nil"/>
              <w:left w:val="nil"/>
              <w:bottom w:val="nil"/>
              <w:right w:val="nil"/>
            </w:tcBorders>
            <w:shd w:val="clear" w:color="auto" w:fill="auto"/>
            <w:noWrap/>
            <w:vAlign w:val="center"/>
            <w:hideMark/>
          </w:tcPr>
          <w:p w14:paraId="2D283747"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0.046</w:t>
            </w:r>
          </w:p>
        </w:tc>
        <w:tc>
          <w:tcPr>
            <w:tcW w:w="367" w:type="pct"/>
            <w:tcBorders>
              <w:top w:val="nil"/>
              <w:left w:val="nil"/>
              <w:bottom w:val="nil"/>
              <w:right w:val="nil"/>
            </w:tcBorders>
            <w:shd w:val="clear" w:color="auto" w:fill="auto"/>
            <w:noWrap/>
            <w:vAlign w:val="center"/>
            <w:hideMark/>
          </w:tcPr>
          <w:p w14:paraId="7ADD5EB4"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0.064</w:t>
            </w:r>
          </w:p>
        </w:tc>
        <w:tc>
          <w:tcPr>
            <w:tcW w:w="367" w:type="pct"/>
            <w:tcBorders>
              <w:top w:val="nil"/>
              <w:left w:val="nil"/>
              <w:bottom w:val="nil"/>
              <w:right w:val="nil"/>
            </w:tcBorders>
            <w:shd w:val="clear" w:color="auto" w:fill="auto"/>
            <w:noWrap/>
            <w:vAlign w:val="center"/>
            <w:hideMark/>
          </w:tcPr>
          <w:p w14:paraId="19871D46"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-0.242***</w:t>
            </w:r>
          </w:p>
        </w:tc>
        <w:tc>
          <w:tcPr>
            <w:tcW w:w="367" w:type="pct"/>
            <w:tcBorders>
              <w:top w:val="nil"/>
              <w:left w:val="nil"/>
              <w:bottom w:val="nil"/>
              <w:right w:val="nil"/>
            </w:tcBorders>
            <w:shd w:val="clear" w:color="auto" w:fill="auto"/>
            <w:noWrap/>
            <w:vAlign w:val="center"/>
            <w:hideMark/>
          </w:tcPr>
          <w:p w14:paraId="6F7ABFE6"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-0.179***</w:t>
            </w:r>
          </w:p>
        </w:tc>
        <w:tc>
          <w:tcPr>
            <w:tcW w:w="345" w:type="pct"/>
            <w:tcBorders>
              <w:top w:val="nil"/>
              <w:left w:val="nil"/>
              <w:bottom w:val="nil"/>
              <w:right w:val="nil"/>
            </w:tcBorders>
            <w:shd w:val="clear" w:color="auto" w:fill="auto"/>
            <w:noWrap/>
            <w:vAlign w:val="center"/>
            <w:hideMark/>
          </w:tcPr>
          <w:p w14:paraId="5320C09B"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-0.121**</w:t>
            </w:r>
          </w:p>
        </w:tc>
        <w:tc>
          <w:tcPr>
            <w:tcW w:w="367" w:type="pct"/>
            <w:tcBorders>
              <w:top w:val="nil"/>
              <w:left w:val="nil"/>
              <w:bottom w:val="nil"/>
              <w:right w:val="nil"/>
            </w:tcBorders>
            <w:shd w:val="clear" w:color="auto" w:fill="auto"/>
            <w:noWrap/>
            <w:vAlign w:val="center"/>
            <w:hideMark/>
          </w:tcPr>
          <w:p w14:paraId="2A89E36F"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-0.329***</w:t>
            </w:r>
          </w:p>
        </w:tc>
        <w:tc>
          <w:tcPr>
            <w:tcW w:w="375" w:type="pct"/>
            <w:tcBorders>
              <w:top w:val="nil"/>
              <w:left w:val="nil"/>
              <w:bottom w:val="nil"/>
              <w:right w:val="nil"/>
            </w:tcBorders>
            <w:shd w:val="clear" w:color="auto" w:fill="auto"/>
            <w:noWrap/>
            <w:vAlign w:val="center"/>
            <w:hideMark/>
          </w:tcPr>
          <w:p w14:paraId="06E6ED19"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-0.248***</w:t>
            </w:r>
          </w:p>
        </w:tc>
        <w:tc>
          <w:tcPr>
            <w:tcW w:w="367" w:type="pct"/>
            <w:tcBorders>
              <w:top w:val="nil"/>
              <w:left w:val="nil"/>
              <w:bottom w:val="nil"/>
              <w:right w:val="nil"/>
            </w:tcBorders>
            <w:shd w:val="clear" w:color="auto" w:fill="auto"/>
            <w:noWrap/>
            <w:vAlign w:val="center"/>
            <w:hideMark/>
          </w:tcPr>
          <w:p w14:paraId="64228E67"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-0.492***</w:t>
            </w:r>
          </w:p>
        </w:tc>
        <w:tc>
          <w:tcPr>
            <w:tcW w:w="367" w:type="pct"/>
            <w:tcBorders>
              <w:top w:val="nil"/>
              <w:left w:val="nil"/>
              <w:bottom w:val="nil"/>
              <w:right w:val="nil"/>
            </w:tcBorders>
            <w:shd w:val="clear" w:color="auto" w:fill="auto"/>
            <w:noWrap/>
            <w:vAlign w:val="center"/>
            <w:hideMark/>
          </w:tcPr>
          <w:p w14:paraId="1CBDF9B6"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0.206***</w:t>
            </w:r>
          </w:p>
        </w:tc>
        <w:tc>
          <w:tcPr>
            <w:tcW w:w="367" w:type="pct"/>
            <w:tcBorders>
              <w:top w:val="nil"/>
              <w:left w:val="nil"/>
              <w:bottom w:val="nil"/>
              <w:right w:val="nil"/>
            </w:tcBorders>
            <w:shd w:val="clear" w:color="auto" w:fill="auto"/>
            <w:noWrap/>
            <w:vAlign w:val="center"/>
            <w:hideMark/>
          </w:tcPr>
          <w:p w14:paraId="3F216AFF"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-0.446***</w:t>
            </w:r>
          </w:p>
        </w:tc>
        <w:tc>
          <w:tcPr>
            <w:tcW w:w="367" w:type="pct"/>
            <w:tcBorders>
              <w:top w:val="nil"/>
              <w:left w:val="nil"/>
              <w:bottom w:val="nil"/>
              <w:right w:val="nil"/>
            </w:tcBorders>
            <w:shd w:val="clear" w:color="auto" w:fill="auto"/>
            <w:noWrap/>
            <w:vAlign w:val="center"/>
            <w:hideMark/>
          </w:tcPr>
          <w:p w14:paraId="0012951A"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-0.365***</w:t>
            </w:r>
          </w:p>
        </w:tc>
        <w:tc>
          <w:tcPr>
            <w:tcW w:w="367" w:type="pct"/>
            <w:tcBorders>
              <w:top w:val="nil"/>
              <w:left w:val="nil"/>
              <w:bottom w:val="nil"/>
              <w:right w:val="nil"/>
            </w:tcBorders>
            <w:shd w:val="clear" w:color="auto" w:fill="auto"/>
            <w:noWrap/>
            <w:vAlign w:val="center"/>
            <w:hideMark/>
          </w:tcPr>
          <w:p w14:paraId="63EEBF77"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1.000</w:t>
            </w:r>
          </w:p>
        </w:tc>
        <w:tc>
          <w:tcPr>
            <w:tcW w:w="239" w:type="pct"/>
            <w:tcBorders>
              <w:top w:val="nil"/>
              <w:left w:val="nil"/>
              <w:bottom w:val="nil"/>
              <w:right w:val="nil"/>
            </w:tcBorders>
            <w:shd w:val="clear" w:color="auto" w:fill="auto"/>
            <w:noWrap/>
            <w:vAlign w:val="center"/>
            <w:hideMark/>
          </w:tcPr>
          <w:p w14:paraId="59341AD6" w14:textId="77777777" w:rsidR="00C30160" w:rsidRPr="00CE0DE7" w:rsidRDefault="00C30160" w:rsidP="00022A17">
            <w:pPr>
              <w:rPr>
                <w:rFonts w:eastAsia="Times New Roman"/>
                <w:color w:val="000000"/>
                <w:sz w:val="19"/>
                <w:szCs w:val="19"/>
                <w:lang w:val="en-GB" w:eastAsia="zh-CN"/>
              </w:rPr>
            </w:pPr>
          </w:p>
        </w:tc>
      </w:tr>
      <w:tr w:rsidR="00C30160" w:rsidRPr="00CE0DE7" w14:paraId="7128CFEE" w14:textId="77777777" w:rsidTr="00C24E43">
        <w:trPr>
          <w:trHeight w:val="187"/>
        </w:trPr>
        <w:tc>
          <w:tcPr>
            <w:tcW w:w="374" w:type="pct"/>
            <w:tcBorders>
              <w:top w:val="nil"/>
              <w:left w:val="nil"/>
              <w:bottom w:val="double" w:sz="4" w:space="0" w:color="auto"/>
              <w:right w:val="nil"/>
            </w:tcBorders>
            <w:shd w:val="clear" w:color="auto" w:fill="auto"/>
            <w:noWrap/>
            <w:vAlign w:val="center"/>
            <w:hideMark/>
          </w:tcPr>
          <w:p w14:paraId="0EB594AE" w14:textId="77777777" w:rsidR="00C30160" w:rsidRPr="00CE0DE7" w:rsidRDefault="00C30160" w:rsidP="00C24E43">
            <w:pPr>
              <w:rPr>
                <w:rFonts w:eastAsia="Times New Roman"/>
                <w:i/>
                <w:iCs/>
                <w:color w:val="000000"/>
                <w:sz w:val="19"/>
                <w:szCs w:val="19"/>
                <w:lang w:val="en-GB" w:eastAsia="zh-CN"/>
              </w:rPr>
            </w:pPr>
            <w:r w:rsidRPr="00CE0DE7">
              <w:rPr>
                <w:rFonts w:eastAsia="Times New Roman"/>
                <w:i/>
                <w:iCs/>
                <w:color w:val="000000"/>
                <w:sz w:val="19"/>
                <w:szCs w:val="19"/>
                <w:lang w:val="en-GB" w:eastAsia="zh-CN"/>
              </w:rPr>
              <w:t>CAY</w:t>
            </w:r>
          </w:p>
        </w:tc>
        <w:tc>
          <w:tcPr>
            <w:tcW w:w="367" w:type="pct"/>
            <w:tcBorders>
              <w:top w:val="nil"/>
              <w:left w:val="nil"/>
              <w:bottom w:val="double" w:sz="4" w:space="0" w:color="auto"/>
              <w:right w:val="nil"/>
            </w:tcBorders>
            <w:shd w:val="clear" w:color="auto" w:fill="auto"/>
            <w:noWrap/>
            <w:vAlign w:val="center"/>
            <w:hideMark/>
          </w:tcPr>
          <w:p w14:paraId="671595C6"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-0.069</w:t>
            </w:r>
          </w:p>
        </w:tc>
        <w:tc>
          <w:tcPr>
            <w:tcW w:w="367" w:type="pct"/>
            <w:tcBorders>
              <w:top w:val="nil"/>
              <w:left w:val="nil"/>
              <w:bottom w:val="double" w:sz="4" w:space="0" w:color="auto"/>
              <w:right w:val="nil"/>
            </w:tcBorders>
            <w:shd w:val="clear" w:color="auto" w:fill="auto"/>
            <w:noWrap/>
            <w:vAlign w:val="center"/>
            <w:hideMark/>
          </w:tcPr>
          <w:p w14:paraId="421FC078"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-0.065</w:t>
            </w:r>
          </w:p>
        </w:tc>
        <w:tc>
          <w:tcPr>
            <w:tcW w:w="367" w:type="pct"/>
            <w:tcBorders>
              <w:top w:val="nil"/>
              <w:left w:val="nil"/>
              <w:bottom w:val="double" w:sz="4" w:space="0" w:color="auto"/>
              <w:right w:val="nil"/>
            </w:tcBorders>
            <w:shd w:val="clear" w:color="auto" w:fill="auto"/>
            <w:noWrap/>
            <w:vAlign w:val="center"/>
            <w:hideMark/>
          </w:tcPr>
          <w:p w14:paraId="572798E1"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0.235***</w:t>
            </w:r>
          </w:p>
        </w:tc>
        <w:tc>
          <w:tcPr>
            <w:tcW w:w="367" w:type="pct"/>
            <w:tcBorders>
              <w:top w:val="nil"/>
              <w:left w:val="nil"/>
              <w:bottom w:val="double" w:sz="4" w:space="0" w:color="auto"/>
              <w:right w:val="nil"/>
            </w:tcBorders>
            <w:shd w:val="clear" w:color="auto" w:fill="auto"/>
            <w:noWrap/>
            <w:vAlign w:val="center"/>
            <w:hideMark/>
          </w:tcPr>
          <w:p w14:paraId="2520CF0D"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0.153***</w:t>
            </w:r>
          </w:p>
        </w:tc>
        <w:tc>
          <w:tcPr>
            <w:tcW w:w="345" w:type="pct"/>
            <w:tcBorders>
              <w:top w:val="nil"/>
              <w:left w:val="nil"/>
              <w:bottom w:val="double" w:sz="4" w:space="0" w:color="auto"/>
              <w:right w:val="nil"/>
            </w:tcBorders>
            <w:shd w:val="clear" w:color="auto" w:fill="auto"/>
            <w:noWrap/>
            <w:vAlign w:val="center"/>
            <w:hideMark/>
          </w:tcPr>
          <w:p w14:paraId="76B3DAFE"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0.234***</w:t>
            </w:r>
          </w:p>
        </w:tc>
        <w:tc>
          <w:tcPr>
            <w:tcW w:w="367" w:type="pct"/>
            <w:tcBorders>
              <w:top w:val="nil"/>
              <w:left w:val="nil"/>
              <w:bottom w:val="double" w:sz="4" w:space="0" w:color="auto"/>
              <w:right w:val="nil"/>
            </w:tcBorders>
            <w:shd w:val="clear" w:color="auto" w:fill="auto"/>
            <w:noWrap/>
            <w:vAlign w:val="center"/>
            <w:hideMark/>
          </w:tcPr>
          <w:p w14:paraId="6CE54818"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0.731***</w:t>
            </w:r>
          </w:p>
        </w:tc>
        <w:tc>
          <w:tcPr>
            <w:tcW w:w="375" w:type="pct"/>
            <w:tcBorders>
              <w:top w:val="nil"/>
              <w:left w:val="nil"/>
              <w:bottom w:val="double" w:sz="4" w:space="0" w:color="auto"/>
              <w:right w:val="nil"/>
            </w:tcBorders>
            <w:shd w:val="clear" w:color="auto" w:fill="auto"/>
            <w:noWrap/>
            <w:vAlign w:val="center"/>
            <w:hideMark/>
          </w:tcPr>
          <w:p w14:paraId="330BAA72"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0.771***</w:t>
            </w:r>
          </w:p>
        </w:tc>
        <w:tc>
          <w:tcPr>
            <w:tcW w:w="367" w:type="pct"/>
            <w:tcBorders>
              <w:top w:val="nil"/>
              <w:left w:val="nil"/>
              <w:bottom w:val="double" w:sz="4" w:space="0" w:color="auto"/>
              <w:right w:val="nil"/>
            </w:tcBorders>
            <w:shd w:val="clear" w:color="auto" w:fill="auto"/>
            <w:noWrap/>
            <w:vAlign w:val="center"/>
            <w:hideMark/>
          </w:tcPr>
          <w:p w14:paraId="61969647"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0.015</w:t>
            </w:r>
          </w:p>
        </w:tc>
        <w:tc>
          <w:tcPr>
            <w:tcW w:w="367" w:type="pct"/>
            <w:tcBorders>
              <w:top w:val="nil"/>
              <w:left w:val="nil"/>
              <w:bottom w:val="double" w:sz="4" w:space="0" w:color="auto"/>
              <w:right w:val="nil"/>
            </w:tcBorders>
            <w:shd w:val="clear" w:color="auto" w:fill="auto"/>
            <w:noWrap/>
            <w:vAlign w:val="center"/>
            <w:hideMark/>
          </w:tcPr>
          <w:p w14:paraId="69100AD7"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-0.247***</w:t>
            </w:r>
          </w:p>
        </w:tc>
        <w:tc>
          <w:tcPr>
            <w:tcW w:w="367" w:type="pct"/>
            <w:tcBorders>
              <w:top w:val="nil"/>
              <w:left w:val="nil"/>
              <w:bottom w:val="double" w:sz="4" w:space="0" w:color="auto"/>
              <w:right w:val="nil"/>
            </w:tcBorders>
            <w:shd w:val="clear" w:color="auto" w:fill="auto"/>
            <w:noWrap/>
            <w:vAlign w:val="center"/>
            <w:hideMark/>
          </w:tcPr>
          <w:p w14:paraId="277CCD46"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-0.043</w:t>
            </w:r>
          </w:p>
        </w:tc>
        <w:tc>
          <w:tcPr>
            <w:tcW w:w="367" w:type="pct"/>
            <w:tcBorders>
              <w:top w:val="nil"/>
              <w:left w:val="nil"/>
              <w:bottom w:val="double" w:sz="4" w:space="0" w:color="auto"/>
              <w:right w:val="nil"/>
            </w:tcBorders>
            <w:shd w:val="clear" w:color="auto" w:fill="auto"/>
            <w:noWrap/>
            <w:vAlign w:val="center"/>
            <w:hideMark/>
          </w:tcPr>
          <w:p w14:paraId="79DBB0DF"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0.112**</w:t>
            </w:r>
          </w:p>
        </w:tc>
        <w:tc>
          <w:tcPr>
            <w:tcW w:w="367" w:type="pct"/>
            <w:tcBorders>
              <w:top w:val="nil"/>
              <w:left w:val="nil"/>
              <w:bottom w:val="double" w:sz="4" w:space="0" w:color="auto"/>
              <w:right w:val="nil"/>
            </w:tcBorders>
            <w:shd w:val="clear" w:color="auto" w:fill="auto"/>
            <w:noWrap/>
            <w:vAlign w:val="center"/>
            <w:hideMark/>
          </w:tcPr>
          <w:p w14:paraId="7C1D4EEC"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-0.195***</w:t>
            </w:r>
          </w:p>
        </w:tc>
        <w:tc>
          <w:tcPr>
            <w:tcW w:w="239" w:type="pct"/>
            <w:tcBorders>
              <w:top w:val="nil"/>
              <w:left w:val="nil"/>
              <w:bottom w:val="double" w:sz="4" w:space="0" w:color="auto"/>
              <w:right w:val="nil"/>
            </w:tcBorders>
            <w:shd w:val="clear" w:color="auto" w:fill="auto"/>
            <w:noWrap/>
            <w:vAlign w:val="center"/>
            <w:hideMark/>
          </w:tcPr>
          <w:p w14:paraId="0B69B3F1" w14:textId="77777777" w:rsidR="00C30160" w:rsidRPr="00CE0DE7" w:rsidRDefault="00C30160" w:rsidP="00022A17">
            <w:pPr>
              <w:rPr>
                <w:rFonts w:eastAsia="Times New Roman"/>
                <w:color w:val="000000"/>
                <w:sz w:val="19"/>
                <w:szCs w:val="19"/>
                <w:lang w:val="en-GB" w:eastAsia="zh-CN"/>
              </w:rPr>
            </w:pPr>
            <w:r w:rsidRPr="00CE0DE7">
              <w:rPr>
                <w:rFonts w:eastAsia="Times New Roman"/>
                <w:color w:val="000000"/>
                <w:sz w:val="19"/>
                <w:szCs w:val="19"/>
                <w:lang w:val="en-GB" w:eastAsia="zh-CN"/>
              </w:rPr>
              <w:t>1.000</w:t>
            </w:r>
          </w:p>
        </w:tc>
      </w:tr>
    </w:tbl>
    <w:p w14:paraId="20E7A955" w14:textId="5B0D7F8F" w:rsidR="00C30160" w:rsidRPr="00CE0DE7" w:rsidRDefault="00C30160" w:rsidP="00C30160">
      <w:pPr>
        <w:adjustRightInd w:val="0"/>
        <w:snapToGrid w:val="0"/>
        <w:jc w:val="both"/>
        <w:rPr>
          <w:sz w:val="20"/>
          <w:szCs w:val="20"/>
          <w:lang w:val="en-GB" w:eastAsia="zh-CN"/>
        </w:rPr>
      </w:pPr>
      <w:r w:rsidRPr="00CE0DE7">
        <w:rPr>
          <w:sz w:val="20"/>
          <w:szCs w:val="20"/>
        </w:rPr>
        <w:t xml:space="preserve">This table shows the correlations </w:t>
      </w:r>
      <w:r w:rsidRPr="00CE0DE7">
        <w:rPr>
          <w:rFonts w:hint="eastAsia"/>
          <w:sz w:val="20"/>
          <w:szCs w:val="20"/>
          <w:lang w:eastAsia="zh-CN"/>
        </w:rPr>
        <w:t>between</w:t>
      </w:r>
      <w:r w:rsidRPr="00CE0DE7">
        <w:rPr>
          <w:sz w:val="20"/>
          <w:szCs w:val="20"/>
        </w:rPr>
        <w:t xml:space="preserve"> variables used in this study. The variables are liquidity measures (</w:t>
      </w:r>
      <w:r w:rsidRPr="00CE0DE7">
        <w:rPr>
          <w:rFonts w:eastAsia="Times New Roman"/>
          <w:i/>
          <w:iCs/>
          <w:color w:val="000000"/>
          <w:sz w:val="20"/>
          <w:szCs w:val="20"/>
          <w:lang w:eastAsia="zh-CN"/>
        </w:rPr>
        <w:t>ILLIQ</w:t>
      </w:r>
      <w:r w:rsidRPr="00CE0DE7">
        <w:rPr>
          <w:rFonts w:eastAsia="Times New Roman"/>
          <w:i/>
          <w:iCs/>
          <w:color w:val="000000"/>
          <w:sz w:val="20"/>
          <w:szCs w:val="20"/>
          <w:vertAlign w:val="superscript"/>
          <w:lang w:eastAsia="zh-CN"/>
        </w:rPr>
        <w:t>NYSE</w:t>
      </w:r>
      <w:r w:rsidRPr="00CE0DE7">
        <w:rPr>
          <w:sz w:val="20"/>
          <w:szCs w:val="20"/>
        </w:rPr>
        <w:t xml:space="preserve"> and</w:t>
      </w:r>
      <w:r w:rsidRPr="00CE0DE7">
        <w:rPr>
          <w:rFonts w:eastAsia="Times New Roman"/>
          <w:i/>
          <w:iCs/>
          <w:color w:val="000000"/>
          <w:sz w:val="20"/>
          <w:szCs w:val="20"/>
          <w:lang w:eastAsia="zh-CN"/>
        </w:rPr>
        <w:t xml:space="preserve"> ILLIQ</w:t>
      </w:r>
      <w:r w:rsidRPr="00CE0DE7">
        <w:rPr>
          <w:rFonts w:eastAsia="Times New Roman"/>
          <w:i/>
          <w:iCs/>
          <w:color w:val="000000"/>
          <w:sz w:val="20"/>
          <w:szCs w:val="20"/>
          <w:vertAlign w:val="superscript"/>
          <w:lang w:eastAsia="zh-CN"/>
        </w:rPr>
        <w:t>SP500</w:t>
      </w:r>
      <w:r w:rsidRPr="00CE0DE7">
        <w:rPr>
          <w:sz w:val="20"/>
          <w:szCs w:val="20"/>
        </w:rPr>
        <w:t xml:space="preserve">), </w:t>
      </w:r>
      <w:r w:rsidRPr="00CE0DE7">
        <w:rPr>
          <w:rFonts w:hint="eastAsia"/>
          <w:sz w:val="20"/>
          <w:szCs w:val="20"/>
          <w:lang w:eastAsia="zh-CN"/>
        </w:rPr>
        <w:t xml:space="preserve">the </w:t>
      </w:r>
      <w:r w:rsidRPr="00CE0DE7">
        <w:rPr>
          <w:sz w:val="20"/>
          <w:szCs w:val="20"/>
        </w:rPr>
        <w:t>variance risk premium (</w:t>
      </w:r>
      <w:r w:rsidRPr="00CE0DE7">
        <w:rPr>
          <w:rFonts w:eastAsia="Times New Roman"/>
          <w:i/>
          <w:iCs/>
          <w:color w:val="000000"/>
          <w:sz w:val="20"/>
          <w:szCs w:val="20"/>
          <w:lang w:eastAsia="zh-CN"/>
        </w:rPr>
        <w:t>VRP</w:t>
      </w:r>
      <w:r w:rsidRPr="00CE0DE7">
        <w:rPr>
          <w:rFonts w:eastAsia="Times New Roman"/>
          <w:i/>
          <w:iCs/>
          <w:color w:val="000000"/>
          <w:sz w:val="20"/>
          <w:szCs w:val="20"/>
          <w:vertAlign w:val="superscript"/>
          <w:lang w:eastAsia="zh-CN"/>
        </w:rPr>
        <w:t>BTZ</w:t>
      </w:r>
      <w:r w:rsidRPr="00CE0DE7">
        <w:rPr>
          <w:sz w:val="20"/>
          <w:szCs w:val="20"/>
          <w:lang w:eastAsia="zh-CN"/>
        </w:rPr>
        <w:t xml:space="preserve">, </w:t>
      </w:r>
      <w:r w:rsidRPr="00CE0DE7">
        <w:rPr>
          <w:rFonts w:eastAsia="Times New Roman"/>
          <w:i/>
          <w:iCs/>
          <w:color w:val="000000"/>
          <w:sz w:val="20"/>
          <w:szCs w:val="20"/>
          <w:lang w:eastAsia="zh-CN"/>
        </w:rPr>
        <w:t>VRP</w:t>
      </w:r>
      <w:r w:rsidRPr="00CE0DE7">
        <w:rPr>
          <w:rFonts w:eastAsia="Times New Roman"/>
          <w:i/>
          <w:iCs/>
          <w:color w:val="000000"/>
          <w:sz w:val="20"/>
          <w:szCs w:val="20"/>
          <w:vertAlign w:val="superscript"/>
          <w:lang w:eastAsia="zh-CN"/>
        </w:rPr>
        <w:t>CW</w:t>
      </w:r>
      <w:r w:rsidRPr="00CE0DE7">
        <w:rPr>
          <w:sz w:val="20"/>
          <w:szCs w:val="20"/>
        </w:rPr>
        <w:t xml:space="preserve"> and</w:t>
      </w:r>
      <w:r w:rsidRPr="00CE0DE7">
        <w:rPr>
          <w:rFonts w:eastAsia="Times New Roman"/>
          <w:i/>
          <w:iCs/>
          <w:color w:val="000000"/>
          <w:sz w:val="20"/>
          <w:szCs w:val="20"/>
          <w:lang w:eastAsia="zh-CN"/>
        </w:rPr>
        <w:t xml:space="preserve"> VRP</w:t>
      </w:r>
      <w:r w:rsidRPr="00CE0DE7">
        <w:rPr>
          <w:rFonts w:eastAsia="Times New Roman"/>
          <w:i/>
          <w:iCs/>
          <w:color w:val="000000"/>
          <w:sz w:val="20"/>
          <w:szCs w:val="20"/>
          <w:vertAlign w:val="superscript"/>
          <w:lang w:eastAsia="zh-CN"/>
        </w:rPr>
        <w:t>DY</w:t>
      </w:r>
      <w:r w:rsidRPr="00CE0DE7">
        <w:rPr>
          <w:sz w:val="20"/>
          <w:szCs w:val="20"/>
        </w:rPr>
        <w:t>), return proxies (</w:t>
      </w:r>
      <w:r w:rsidRPr="00CE0DE7">
        <w:rPr>
          <w:rFonts w:eastAsia="Times New Roman"/>
          <w:i/>
          <w:iCs/>
          <w:color w:val="000000"/>
          <w:sz w:val="20"/>
          <w:szCs w:val="20"/>
          <w:lang w:eastAsia="zh-CN"/>
        </w:rPr>
        <w:t>VW</w:t>
      </w:r>
      <w:r w:rsidRPr="00CE0DE7">
        <w:rPr>
          <w:sz w:val="20"/>
          <w:szCs w:val="20"/>
        </w:rPr>
        <w:t xml:space="preserve"> and</w:t>
      </w:r>
      <w:r w:rsidRPr="00CE0DE7">
        <w:rPr>
          <w:rFonts w:eastAsia="Times New Roman"/>
          <w:i/>
          <w:iCs/>
          <w:color w:val="000000"/>
          <w:sz w:val="20"/>
          <w:szCs w:val="20"/>
          <w:lang w:eastAsia="zh-CN"/>
        </w:rPr>
        <w:t xml:space="preserve"> INDEX</w:t>
      </w:r>
      <w:r w:rsidRPr="00CE0DE7">
        <w:rPr>
          <w:sz w:val="20"/>
          <w:szCs w:val="20"/>
        </w:rPr>
        <w:t>) and control variables (</w:t>
      </w:r>
      <w:r w:rsidRPr="00CE0DE7">
        <w:rPr>
          <w:i/>
          <w:sz w:val="20"/>
          <w:szCs w:val="20"/>
        </w:rPr>
        <w:t>PD, PE, DFSP, TMSP, RREL</w:t>
      </w:r>
      <w:r w:rsidRPr="00CE0DE7">
        <w:rPr>
          <w:sz w:val="20"/>
          <w:szCs w:val="20"/>
        </w:rPr>
        <w:t xml:space="preserve"> and </w:t>
      </w:r>
      <w:r w:rsidRPr="00CE0DE7">
        <w:rPr>
          <w:i/>
          <w:sz w:val="20"/>
          <w:szCs w:val="20"/>
        </w:rPr>
        <w:t>CAY</w:t>
      </w:r>
      <w:r w:rsidRPr="00CE0DE7">
        <w:rPr>
          <w:sz w:val="20"/>
          <w:szCs w:val="20"/>
        </w:rPr>
        <w:t xml:space="preserve">). The analysis uses monthly data from January 1990 to December 2018. </w:t>
      </w:r>
      <w:r w:rsidRPr="00CE0DE7">
        <w:rPr>
          <w:rFonts w:hint="eastAsia"/>
          <w:sz w:val="20"/>
          <w:szCs w:val="20"/>
          <w:lang w:eastAsia="zh-CN"/>
        </w:rPr>
        <w:t>And</w:t>
      </w:r>
      <w:r w:rsidRPr="00CE0DE7">
        <w:rPr>
          <w:sz w:val="20"/>
          <w:szCs w:val="20"/>
        </w:rPr>
        <w:t xml:space="preserve"> *, **, and *** indicate </w:t>
      </w:r>
      <w:r w:rsidRPr="00CE0DE7">
        <w:rPr>
          <w:rFonts w:hint="eastAsia"/>
          <w:sz w:val="20"/>
          <w:szCs w:val="20"/>
          <w:lang w:eastAsia="zh-CN"/>
        </w:rPr>
        <w:t xml:space="preserve">statistical </w:t>
      </w:r>
      <w:r w:rsidRPr="00CE0DE7">
        <w:rPr>
          <w:sz w:val="20"/>
          <w:szCs w:val="20"/>
        </w:rPr>
        <w:t xml:space="preserve">significance at </w:t>
      </w:r>
      <w:r w:rsidRPr="00CE0DE7">
        <w:rPr>
          <w:rFonts w:hint="eastAsia"/>
          <w:sz w:val="20"/>
          <w:szCs w:val="20"/>
          <w:lang w:eastAsia="zh-CN"/>
        </w:rPr>
        <w:t xml:space="preserve">the </w:t>
      </w:r>
      <w:r w:rsidRPr="00CE0DE7">
        <w:rPr>
          <w:sz w:val="20"/>
          <w:szCs w:val="20"/>
        </w:rPr>
        <w:t xml:space="preserve">10%, 5%, and 1% level, respectively. </w:t>
      </w:r>
    </w:p>
    <w:p w14:paraId="7257D594" w14:textId="77777777" w:rsidR="00C30160" w:rsidRPr="00CE0DE7" w:rsidRDefault="00C30160" w:rsidP="00C30160">
      <w:pPr>
        <w:adjustRightInd w:val="0"/>
        <w:snapToGrid w:val="0"/>
        <w:jc w:val="both"/>
        <w:rPr>
          <w:sz w:val="20"/>
          <w:szCs w:val="20"/>
          <w:lang w:val="en-GB" w:eastAsia="zh-CN"/>
        </w:rPr>
        <w:sectPr w:rsidR="00C30160" w:rsidRPr="00CE0DE7" w:rsidSect="00012ACE">
          <w:footerReference w:type="default" r:id="rId50"/>
          <w:pgSz w:w="16839" w:h="11907" w:orient="landscape" w:code="9"/>
          <w:pgMar w:top="1440" w:right="1440" w:bottom="1440" w:left="1440" w:header="709" w:footer="709" w:gutter="0"/>
          <w:pgNumType w:fmt="numberInDash"/>
          <w:cols w:space="708"/>
          <w:titlePg/>
          <w:docGrid w:linePitch="360"/>
        </w:sectPr>
      </w:pPr>
    </w:p>
    <w:p w14:paraId="587C4EDB" w14:textId="77777777" w:rsidR="00C30160" w:rsidRPr="00CE0DE7" w:rsidRDefault="00C30160" w:rsidP="00C30160">
      <w:pPr>
        <w:adjustRightInd w:val="0"/>
        <w:snapToGrid w:val="0"/>
        <w:rPr>
          <w:b/>
          <w:bCs/>
          <w:sz w:val="20"/>
          <w:szCs w:val="20"/>
          <w:lang w:eastAsia="zh-CN"/>
        </w:rPr>
      </w:pPr>
      <w:r w:rsidRPr="00CE0DE7">
        <w:rPr>
          <w:b/>
          <w:bCs/>
          <w:sz w:val="20"/>
          <w:szCs w:val="20"/>
        </w:rPr>
        <w:lastRenderedPageBreak/>
        <w:t xml:space="preserve">Table 3. </w:t>
      </w:r>
      <w:r w:rsidRPr="00CE0DE7">
        <w:rPr>
          <w:rFonts w:hint="eastAsia"/>
          <w:b/>
          <w:bCs/>
          <w:sz w:val="20"/>
          <w:szCs w:val="20"/>
          <w:lang w:eastAsia="zh-CN"/>
        </w:rPr>
        <w:t>The t</w:t>
      </w:r>
      <w:r w:rsidRPr="00CE0DE7">
        <w:rPr>
          <w:b/>
          <w:bCs/>
          <w:sz w:val="20"/>
          <w:szCs w:val="20"/>
        </w:rPr>
        <w:t>ri-variate Toda–Yamamoto Granger non-causality test</w:t>
      </w:r>
      <w:r w:rsidRPr="00CE0DE7">
        <w:rPr>
          <w:rFonts w:hint="eastAsia"/>
          <w:b/>
          <w:bCs/>
          <w:sz w:val="20"/>
          <w:szCs w:val="20"/>
          <w:lang w:eastAsia="zh-CN"/>
        </w:rPr>
        <w:t xml:space="preserve"> results</w:t>
      </w:r>
    </w:p>
    <w:p w14:paraId="33EA0AFD" w14:textId="77777777" w:rsidR="00C30160" w:rsidRPr="00CE0DE7" w:rsidRDefault="00C30160" w:rsidP="00C30160">
      <w:pPr>
        <w:adjustRightInd w:val="0"/>
        <w:snapToGrid w:val="0"/>
        <w:rPr>
          <w:bCs/>
          <w:sz w:val="20"/>
          <w:szCs w:val="20"/>
        </w:rPr>
      </w:pPr>
    </w:p>
    <w:tbl>
      <w:tblPr>
        <w:tblW w:w="5000" w:type="pct"/>
        <w:tblLook w:val="04A0" w:firstRow="1" w:lastRow="0" w:firstColumn="1" w:lastColumn="0" w:noHBand="0" w:noVBand="1"/>
      </w:tblPr>
      <w:tblGrid>
        <w:gridCol w:w="3047"/>
        <w:gridCol w:w="996"/>
        <w:gridCol w:w="996"/>
        <w:gridCol w:w="997"/>
        <w:gridCol w:w="997"/>
        <w:gridCol w:w="997"/>
        <w:gridCol w:w="997"/>
      </w:tblGrid>
      <w:tr w:rsidR="00C30160" w:rsidRPr="00CE0DE7" w14:paraId="40110C8C" w14:textId="77777777" w:rsidTr="00C24E43">
        <w:trPr>
          <w:trHeight w:val="300"/>
        </w:trPr>
        <w:tc>
          <w:tcPr>
            <w:tcW w:w="1688" w:type="pct"/>
            <w:tcBorders>
              <w:top w:val="double" w:sz="4" w:space="0" w:color="auto"/>
              <w:left w:val="nil"/>
              <w:bottom w:val="nil"/>
              <w:right w:val="single" w:sz="4" w:space="0" w:color="auto"/>
            </w:tcBorders>
            <w:shd w:val="clear" w:color="auto" w:fill="auto"/>
            <w:noWrap/>
            <w:vAlign w:val="bottom"/>
            <w:hideMark/>
          </w:tcPr>
          <w:p w14:paraId="34B4672D" w14:textId="77777777" w:rsidR="00C30160" w:rsidRPr="00CE0DE7" w:rsidRDefault="00C30160" w:rsidP="00C24E43">
            <w:pPr>
              <w:rPr>
                <w:rFonts w:eastAsia="Times New Roman"/>
                <w:sz w:val="20"/>
                <w:szCs w:val="20"/>
                <w:lang w:val="en-GB" w:eastAsia="zh-CN"/>
              </w:rPr>
            </w:pPr>
          </w:p>
        </w:tc>
        <w:tc>
          <w:tcPr>
            <w:tcW w:w="3312" w:type="pct"/>
            <w:gridSpan w:val="6"/>
            <w:tcBorders>
              <w:top w:val="double" w:sz="4" w:space="0" w:color="auto"/>
              <w:left w:val="single" w:sz="4" w:space="0" w:color="auto"/>
              <w:bottom w:val="single" w:sz="4" w:space="0" w:color="auto"/>
              <w:right w:val="nil"/>
            </w:tcBorders>
            <w:shd w:val="clear" w:color="auto" w:fill="auto"/>
            <w:noWrap/>
            <w:vAlign w:val="center"/>
            <w:hideMark/>
          </w:tcPr>
          <w:p w14:paraId="07E6E5F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 xml:space="preserve">X1: </w:t>
            </w:r>
            <w:r w:rsidRPr="00CE0DE7">
              <w:rPr>
                <w:rFonts w:eastAsia="Times New Roman"/>
                <w:i/>
                <w:iCs/>
                <w:color w:val="000000"/>
                <w:sz w:val="20"/>
                <w:szCs w:val="20"/>
                <w:lang w:val="en-GB" w:eastAsia="zh-CN"/>
              </w:rPr>
              <w:t>VW</w:t>
            </w:r>
          </w:p>
        </w:tc>
      </w:tr>
      <w:tr w:rsidR="00C30160" w:rsidRPr="00CE0DE7" w14:paraId="4A05E1B4" w14:textId="77777777" w:rsidTr="00C24E43">
        <w:trPr>
          <w:trHeight w:val="300"/>
        </w:trPr>
        <w:tc>
          <w:tcPr>
            <w:tcW w:w="1688" w:type="pct"/>
            <w:tcBorders>
              <w:top w:val="nil"/>
              <w:left w:val="nil"/>
              <w:bottom w:val="single" w:sz="4" w:space="0" w:color="auto"/>
              <w:right w:val="single" w:sz="4" w:space="0" w:color="auto"/>
            </w:tcBorders>
            <w:shd w:val="clear" w:color="auto" w:fill="auto"/>
            <w:noWrap/>
            <w:vAlign w:val="bottom"/>
            <w:hideMark/>
          </w:tcPr>
          <w:p w14:paraId="691B2C33" w14:textId="77777777" w:rsidR="00C30160" w:rsidRPr="00CE0DE7" w:rsidRDefault="00C30160" w:rsidP="00C24E43">
            <w:pPr>
              <w:jc w:val="center"/>
              <w:rPr>
                <w:rFonts w:eastAsia="Times New Roman"/>
                <w:color w:val="000000"/>
                <w:sz w:val="20"/>
                <w:szCs w:val="20"/>
                <w:lang w:val="en-GB" w:eastAsia="zh-CN"/>
              </w:rPr>
            </w:pPr>
          </w:p>
        </w:tc>
        <w:tc>
          <w:tcPr>
            <w:tcW w:w="552" w:type="pct"/>
            <w:tcBorders>
              <w:top w:val="single" w:sz="4" w:space="0" w:color="auto"/>
              <w:left w:val="single" w:sz="4" w:space="0" w:color="auto"/>
              <w:bottom w:val="single" w:sz="4" w:space="0" w:color="auto"/>
              <w:right w:val="nil"/>
            </w:tcBorders>
            <w:shd w:val="clear" w:color="auto" w:fill="auto"/>
            <w:noWrap/>
            <w:vAlign w:val="center"/>
            <w:hideMark/>
          </w:tcPr>
          <w:p w14:paraId="527B9C7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552" w:type="pct"/>
            <w:tcBorders>
              <w:top w:val="single" w:sz="4" w:space="0" w:color="auto"/>
              <w:left w:val="nil"/>
              <w:bottom w:val="single" w:sz="4" w:space="0" w:color="auto"/>
              <w:right w:val="nil"/>
            </w:tcBorders>
            <w:shd w:val="clear" w:color="auto" w:fill="auto"/>
            <w:noWrap/>
            <w:vAlign w:val="center"/>
            <w:hideMark/>
          </w:tcPr>
          <w:p w14:paraId="6B2E1EF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c>
          <w:tcPr>
            <w:tcW w:w="552" w:type="pct"/>
            <w:tcBorders>
              <w:top w:val="single" w:sz="4" w:space="0" w:color="auto"/>
              <w:left w:val="nil"/>
              <w:bottom w:val="single" w:sz="4" w:space="0" w:color="auto"/>
              <w:right w:val="nil"/>
            </w:tcBorders>
            <w:shd w:val="clear" w:color="auto" w:fill="auto"/>
            <w:noWrap/>
            <w:vAlign w:val="center"/>
            <w:hideMark/>
          </w:tcPr>
          <w:p w14:paraId="63673AE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X1-&gt;X3</w:t>
            </w:r>
          </w:p>
        </w:tc>
        <w:tc>
          <w:tcPr>
            <w:tcW w:w="552" w:type="pct"/>
            <w:tcBorders>
              <w:top w:val="single" w:sz="4" w:space="0" w:color="auto"/>
              <w:left w:val="nil"/>
              <w:bottom w:val="single" w:sz="4" w:space="0" w:color="auto"/>
              <w:right w:val="nil"/>
            </w:tcBorders>
            <w:shd w:val="clear" w:color="auto" w:fill="auto"/>
            <w:noWrap/>
            <w:vAlign w:val="center"/>
            <w:hideMark/>
          </w:tcPr>
          <w:p w14:paraId="0A4C9BB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X3-&gt;X1</w:t>
            </w:r>
          </w:p>
        </w:tc>
        <w:tc>
          <w:tcPr>
            <w:tcW w:w="552" w:type="pct"/>
            <w:tcBorders>
              <w:top w:val="single" w:sz="4" w:space="0" w:color="auto"/>
              <w:left w:val="nil"/>
              <w:bottom w:val="single" w:sz="4" w:space="0" w:color="auto"/>
              <w:right w:val="nil"/>
            </w:tcBorders>
            <w:shd w:val="clear" w:color="auto" w:fill="auto"/>
            <w:noWrap/>
            <w:vAlign w:val="center"/>
            <w:hideMark/>
          </w:tcPr>
          <w:p w14:paraId="37FDD05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X2-&gt;X3</w:t>
            </w:r>
          </w:p>
        </w:tc>
        <w:tc>
          <w:tcPr>
            <w:tcW w:w="552" w:type="pct"/>
            <w:tcBorders>
              <w:top w:val="single" w:sz="4" w:space="0" w:color="auto"/>
              <w:left w:val="nil"/>
              <w:bottom w:val="single" w:sz="4" w:space="0" w:color="auto"/>
              <w:right w:val="nil"/>
            </w:tcBorders>
            <w:shd w:val="clear" w:color="auto" w:fill="auto"/>
            <w:noWrap/>
            <w:vAlign w:val="center"/>
            <w:hideMark/>
          </w:tcPr>
          <w:p w14:paraId="1F2E307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X3-&gt;X2</w:t>
            </w:r>
          </w:p>
        </w:tc>
      </w:tr>
      <w:tr w:rsidR="00C30160" w:rsidRPr="00CE0DE7" w14:paraId="1E739C16" w14:textId="77777777" w:rsidTr="00C24E43">
        <w:trPr>
          <w:trHeight w:val="300"/>
        </w:trPr>
        <w:tc>
          <w:tcPr>
            <w:tcW w:w="1688" w:type="pct"/>
            <w:tcBorders>
              <w:top w:val="single" w:sz="4" w:space="0" w:color="auto"/>
              <w:left w:val="nil"/>
              <w:bottom w:val="nil"/>
              <w:right w:val="single" w:sz="4" w:space="0" w:color="auto"/>
            </w:tcBorders>
            <w:shd w:val="clear" w:color="auto" w:fill="auto"/>
            <w:noWrap/>
            <w:vAlign w:val="bottom"/>
            <w:hideMark/>
          </w:tcPr>
          <w:p w14:paraId="5EB09121"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552" w:type="pct"/>
            <w:tcBorders>
              <w:top w:val="single" w:sz="4" w:space="0" w:color="auto"/>
              <w:left w:val="single" w:sz="4" w:space="0" w:color="auto"/>
              <w:bottom w:val="nil"/>
              <w:right w:val="nil"/>
            </w:tcBorders>
            <w:shd w:val="clear" w:color="auto" w:fill="auto"/>
            <w:noWrap/>
            <w:vAlign w:val="center"/>
            <w:hideMark/>
          </w:tcPr>
          <w:p w14:paraId="36BC778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0.8719</w:t>
            </w:r>
          </w:p>
        </w:tc>
        <w:tc>
          <w:tcPr>
            <w:tcW w:w="552" w:type="pct"/>
            <w:tcBorders>
              <w:top w:val="single" w:sz="4" w:space="0" w:color="auto"/>
              <w:left w:val="nil"/>
              <w:bottom w:val="nil"/>
              <w:right w:val="nil"/>
            </w:tcBorders>
            <w:shd w:val="clear" w:color="auto" w:fill="auto"/>
            <w:noWrap/>
            <w:vAlign w:val="center"/>
            <w:hideMark/>
          </w:tcPr>
          <w:p w14:paraId="774350E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0.0001</w:t>
            </w:r>
          </w:p>
        </w:tc>
        <w:tc>
          <w:tcPr>
            <w:tcW w:w="552" w:type="pct"/>
            <w:tcBorders>
              <w:top w:val="single" w:sz="4" w:space="0" w:color="auto"/>
              <w:left w:val="nil"/>
              <w:bottom w:val="nil"/>
              <w:right w:val="nil"/>
            </w:tcBorders>
            <w:shd w:val="clear" w:color="auto" w:fill="auto"/>
            <w:noWrap/>
            <w:vAlign w:val="center"/>
            <w:hideMark/>
          </w:tcPr>
          <w:p w14:paraId="6C82E72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single" w:sz="4" w:space="0" w:color="auto"/>
              <w:left w:val="nil"/>
              <w:bottom w:val="nil"/>
              <w:right w:val="nil"/>
            </w:tcBorders>
            <w:shd w:val="clear" w:color="auto" w:fill="auto"/>
            <w:noWrap/>
            <w:vAlign w:val="center"/>
            <w:hideMark/>
          </w:tcPr>
          <w:p w14:paraId="74EBE44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0.7808</w:t>
            </w:r>
          </w:p>
        </w:tc>
        <w:tc>
          <w:tcPr>
            <w:tcW w:w="552" w:type="pct"/>
            <w:tcBorders>
              <w:top w:val="single" w:sz="4" w:space="0" w:color="auto"/>
              <w:left w:val="nil"/>
              <w:bottom w:val="nil"/>
              <w:right w:val="nil"/>
            </w:tcBorders>
            <w:shd w:val="clear" w:color="auto" w:fill="auto"/>
            <w:noWrap/>
            <w:vAlign w:val="center"/>
            <w:hideMark/>
          </w:tcPr>
          <w:p w14:paraId="18A1F29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0.3821</w:t>
            </w:r>
          </w:p>
        </w:tc>
        <w:tc>
          <w:tcPr>
            <w:tcW w:w="552" w:type="pct"/>
            <w:tcBorders>
              <w:top w:val="single" w:sz="4" w:space="0" w:color="auto"/>
              <w:left w:val="nil"/>
              <w:bottom w:val="nil"/>
              <w:right w:val="nil"/>
            </w:tcBorders>
            <w:shd w:val="clear" w:color="auto" w:fill="auto"/>
            <w:noWrap/>
            <w:vAlign w:val="center"/>
            <w:hideMark/>
          </w:tcPr>
          <w:p w14:paraId="17E3EFC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0.7458</w:t>
            </w:r>
          </w:p>
        </w:tc>
      </w:tr>
      <w:tr w:rsidR="00C30160" w:rsidRPr="00CE0DE7" w14:paraId="72CE0151" w14:textId="77777777" w:rsidTr="00C24E43">
        <w:trPr>
          <w:trHeight w:val="300"/>
        </w:trPr>
        <w:tc>
          <w:tcPr>
            <w:tcW w:w="1688" w:type="pct"/>
            <w:tcBorders>
              <w:top w:val="nil"/>
              <w:left w:val="nil"/>
              <w:bottom w:val="nil"/>
              <w:right w:val="single" w:sz="4" w:space="0" w:color="auto"/>
            </w:tcBorders>
            <w:shd w:val="clear" w:color="auto" w:fill="auto"/>
            <w:noWrap/>
            <w:vAlign w:val="bottom"/>
            <w:hideMark/>
          </w:tcPr>
          <w:p w14:paraId="5437C132"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552" w:type="pct"/>
            <w:tcBorders>
              <w:top w:val="nil"/>
              <w:left w:val="single" w:sz="4" w:space="0" w:color="auto"/>
              <w:bottom w:val="nil"/>
              <w:right w:val="nil"/>
            </w:tcBorders>
            <w:shd w:val="clear" w:color="auto" w:fill="auto"/>
            <w:noWrap/>
            <w:vAlign w:val="center"/>
            <w:hideMark/>
          </w:tcPr>
          <w:p w14:paraId="79FB86C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0.8726</w:t>
            </w:r>
          </w:p>
        </w:tc>
        <w:tc>
          <w:tcPr>
            <w:tcW w:w="552" w:type="pct"/>
            <w:tcBorders>
              <w:top w:val="nil"/>
              <w:left w:val="nil"/>
              <w:bottom w:val="nil"/>
              <w:right w:val="nil"/>
            </w:tcBorders>
            <w:shd w:val="clear" w:color="auto" w:fill="auto"/>
            <w:noWrap/>
            <w:vAlign w:val="center"/>
            <w:hideMark/>
          </w:tcPr>
          <w:p w14:paraId="416DBA6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0.0001</w:t>
            </w:r>
          </w:p>
        </w:tc>
        <w:tc>
          <w:tcPr>
            <w:tcW w:w="552" w:type="pct"/>
            <w:tcBorders>
              <w:top w:val="nil"/>
              <w:left w:val="nil"/>
              <w:bottom w:val="nil"/>
              <w:right w:val="nil"/>
            </w:tcBorders>
            <w:shd w:val="clear" w:color="auto" w:fill="auto"/>
            <w:noWrap/>
            <w:vAlign w:val="center"/>
            <w:hideMark/>
          </w:tcPr>
          <w:p w14:paraId="29942FD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34FB6C8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0.7236</w:t>
            </w:r>
          </w:p>
        </w:tc>
        <w:tc>
          <w:tcPr>
            <w:tcW w:w="552" w:type="pct"/>
            <w:tcBorders>
              <w:top w:val="nil"/>
              <w:left w:val="nil"/>
              <w:bottom w:val="nil"/>
              <w:right w:val="nil"/>
            </w:tcBorders>
            <w:shd w:val="clear" w:color="auto" w:fill="auto"/>
            <w:noWrap/>
            <w:vAlign w:val="center"/>
            <w:hideMark/>
          </w:tcPr>
          <w:p w14:paraId="2C8007D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0.1066</w:t>
            </w:r>
          </w:p>
        </w:tc>
        <w:tc>
          <w:tcPr>
            <w:tcW w:w="552" w:type="pct"/>
            <w:tcBorders>
              <w:top w:val="nil"/>
              <w:left w:val="nil"/>
              <w:bottom w:val="nil"/>
              <w:right w:val="nil"/>
            </w:tcBorders>
            <w:shd w:val="clear" w:color="auto" w:fill="auto"/>
            <w:noWrap/>
            <w:vAlign w:val="center"/>
            <w:hideMark/>
          </w:tcPr>
          <w:p w14:paraId="46BA43F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0.8180</w:t>
            </w:r>
          </w:p>
        </w:tc>
      </w:tr>
      <w:tr w:rsidR="00C30160" w:rsidRPr="00CE0DE7" w14:paraId="70CD66B5" w14:textId="77777777" w:rsidTr="00C24E43">
        <w:trPr>
          <w:trHeight w:val="300"/>
        </w:trPr>
        <w:tc>
          <w:tcPr>
            <w:tcW w:w="1688" w:type="pct"/>
            <w:tcBorders>
              <w:top w:val="nil"/>
              <w:left w:val="nil"/>
              <w:bottom w:val="nil"/>
              <w:right w:val="single" w:sz="4" w:space="0" w:color="auto"/>
            </w:tcBorders>
            <w:shd w:val="clear" w:color="auto" w:fill="auto"/>
            <w:noWrap/>
            <w:vAlign w:val="bottom"/>
            <w:hideMark/>
          </w:tcPr>
          <w:p w14:paraId="64156F2B"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552" w:type="pct"/>
            <w:tcBorders>
              <w:top w:val="nil"/>
              <w:left w:val="single" w:sz="4" w:space="0" w:color="auto"/>
              <w:bottom w:val="nil"/>
              <w:right w:val="nil"/>
            </w:tcBorders>
            <w:shd w:val="clear" w:color="auto" w:fill="auto"/>
            <w:noWrap/>
            <w:vAlign w:val="center"/>
            <w:hideMark/>
          </w:tcPr>
          <w:p w14:paraId="2556B07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0.3482</w:t>
            </w:r>
          </w:p>
        </w:tc>
        <w:tc>
          <w:tcPr>
            <w:tcW w:w="552" w:type="pct"/>
            <w:tcBorders>
              <w:top w:val="nil"/>
              <w:left w:val="nil"/>
              <w:bottom w:val="nil"/>
              <w:right w:val="nil"/>
            </w:tcBorders>
            <w:shd w:val="clear" w:color="auto" w:fill="auto"/>
            <w:noWrap/>
            <w:vAlign w:val="center"/>
            <w:hideMark/>
          </w:tcPr>
          <w:p w14:paraId="09BBC78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03E15B4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7777B49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0.8935</w:t>
            </w:r>
          </w:p>
        </w:tc>
        <w:tc>
          <w:tcPr>
            <w:tcW w:w="552" w:type="pct"/>
            <w:tcBorders>
              <w:top w:val="nil"/>
              <w:left w:val="nil"/>
              <w:bottom w:val="nil"/>
              <w:right w:val="nil"/>
            </w:tcBorders>
            <w:shd w:val="clear" w:color="auto" w:fill="auto"/>
            <w:noWrap/>
            <w:vAlign w:val="center"/>
            <w:hideMark/>
          </w:tcPr>
          <w:p w14:paraId="46570F9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14FE09D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0.3429</w:t>
            </w:r>
          </w:p>
        </w:tc>
      </w:tr>
      <w:tr w:rsidR="00C30160" w:rsidRPr="00CE0DE7" w14:paraId="774C277F" w14:textId="77777777" w:rsidTr="00C24E43">
        <w:trPr>
          <w:trHeight w:val="300"/>
        </w:trPr>
        <w:tc>
          <w:tcPr>
            <w:tcW w:w="1688" w:type="pct"/>
            <w:tcBorders>
              <w:top w:val="nil"/>
              <w:left w:val="nil"/>
              <w:bottom w:val="nil"/>
              <w:right w:val="single" w:sz="4" w:space="0" w:color="auto"/>
            </w:tcBorders>
            <w:shd w:val="clear" w:color="auto" w:fill="auto"/>
            <w:noWrap/>
            <w:vAlign w:val="bottom"/>
            <w:hideMark/>
          </w:tcPr>
          <w:p w14:paraId="12EA1E86"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552" w:type="pct"/>
            <w:tcBorders>
              <w:top w:val="nil"/>
              <w:left w:val="single" w:sz="4" w:space="0" w:color="auto"/>
              <w:bottom w:val="nil"/>
              <w:right w:val="nil"/>
            </w:tcBorders>
            <w:shd w:val="clear" w:color="auto" w:fill="auto"/>
            <w:noWrap/>
            <w:vAlign w:val="center"/>
            <w:hideMark/>
          </w:tcPr>
          <w:p w14:paraId="3AA1BC6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0.2592</w:t>
            </w:r>
          </w:p>
        </w:tc>
        <w:tc>
          <w:tcPr>
            <w:tcW w:w="552" w:type="pct"/>
            <w:tcBorders>
              <w:top w:val="nil"/>
              <w:left w:val="nil"/>
              <w:bottom w:val="nil"/>
              <w:right w:val="nil"/>
            </w:tcBorders>
            <w:shd w:val="clear" w:color="auto" w:fill="auto"/>
            <w:noWrap/>
            <w:vAlign w:val="center"/>
            <w:hideMark/>
          </w:tcPr>
          <w:p w14:paraId="69C52DA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4C74698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290068E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0.8592</w:t>
            </w:r>
          </w:p>
        </w:tc>
        <w:tc>
          <w:tcPr>
            <w:tcW w:w="552" w:type="pct"/>
            <w:tcBorders>
              <w:top w:val="nil"/>
              <w:left w:val="nil"/>
              <w:bottom w:val="nil"/>
              <w:right w:val="nil"/>
            </w:tcBorders>
            <w:shd w:val="clear" w:color="auto" w:fill="auto"/>
            <w:noWrap/>
            <w:vAlign w:val="center"/>
            <w:hideMark/>
          </w:tcPr>
          <w:p w14:paraId="0FC56D7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2405384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0.6330</w:t>
            </w:r>
          </w:p>
        </w:tc>
      </w:tr>
      <w:tr w:rsidR="00C30160" w:rsidRPr="00CE0DE7" w14:paraId="7B0F7DA9" w14:textId="77777777" w:rsidTr="00C24E43">
        <w:trPr>
          <w:trHeight w:val="300"/>
        </w:trPr>
        <w:tc>
          <w:tcPr>
            <w:tcW w:w="1688" w:type="pct"/>
            <w:tcBorders>
              <w:top w:val="nil"/>
              <w:left w:val="nil"/>
              <w:bottom w:val="nil"/>
              <w:right w:val="single" w:sz="4" w:space="0" w:color="auto"/>
            </w:tcBorders>
            <w:shd w:val="clear" w:color="auto" w:fill="auto"/>
            <w:noWrap/>
            <w:vAlign w:val="bottom"/>
            <w:hideMark/>
          </w:tcPr>
          <w:p w14:paraId="3F942614"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552" w:type="pct"/>
            <w:tcBorders>
              <w:top w:val="nil"/>
              <w:left w:val="single" w:sz="4" w:space="0" w:color="auto"/>
              <w:bottom w:val="nil"/>
              <w:right w:val="nil"/>
            </w:tcBorders>
            <w:shd w:val="clear" w:color="auto" w:fill="auto"/>
            <w:noWrap/>
            <w:vAlign w:val="center"/>
            <w:hideMark/>
          </w:tcPr>
          <w:p w14:paraId="3185995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0.1372</w:t>
            </w:r>
          </w:p>
        </w:tc>
        <w:tc>
          <w:tcPr>
            <w:tcW w:w="552" w:type="pct"/>
            <w:tcBorders>
              <w:top w:val="nil"/>
              <w:left w:val="nil"/>
              <w:bottom w:val="nil"/>
              <w:right w:val="nil"/>
            </w:tcBorders>
            <w:shd w:val="clear" w:color="auto" w:fill="auto"/>
            <w:noWrap/>
            <w:vAlign w:val="center"/>
            <w:hideMark/>
          </w:tcPr>
          <w:p w14:paraId="6D57A04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0.0003</w:t>
            </w:r>
          </w:p>
        </w:tc>
        <w:tc>
          <w:tcPr>
            <w:tcW w:w="552" w:type="pct"/>
            <w:tcBorders>
              <w:top w:val="nil"/>
              <w:left w:val="nil"/>
              <w:bottom w:val="nil"/>
              <w:right w:val="nil"/>
            </w:tcBorders>
            <w:shd w:val="clear" w:color="auto" w:fill="auto"/>
            <w:noWrap/>
            <w:vAlign w:val="center"/>
            <w:hideMark/>
          </w:tcPr>
          <w:p w14:paraId="55AC943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58BDF1E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0.3761</w:t>
            </w:r>
          </w:p>
        </w:tc>
        <w:tc>
          <w:tcPr>
            <w:tcW w:w="552" w:type="pct"/>
            <w:tcBorders>
              <w:top w:val="nil"/>
              <w:left w:val="nil"/>
              <w:bottom w:val="nil"/>
              <w:right w:val="nil"/>
            </w:tcBorders>
            <w:shd w:val="clear" w:color="auto" w:fill="auto"/>
            <w:noWrap/>
            <w:vAlign w:val="center"/>
            <w:hideMark/>
          </w:tcPr>
          <w:p w14:paraId="09F5ACB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0.0037</w:t>
            </w:r>
          </w:p>
        </w:tc>
        <w:tc>
          <w:tcPr>
            <w:tcW w:w="552" w:type="pct"/>
            <w:tcBorders>
              <w:top w:val="nil"/>
              <w:left w:val="nil"/>
              <w:bottom w:val="nil"/>
              <w:right w:val="nil"/>
            </w:tcBorders>
            <w:shd w:val="clear" w:color="auto" w:fill="auto"/>
            <w:noWrap/>
            <w:vAlign w:val="center"/>
            <w:hideMark/>
          </w:tcPr>
          <w:p w14:paraId="30EFD01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0.8248</w:t>
            </w:r>
          </w:p>
        </w:tc>
      </w:tr>
      <w:tr w:rsidR="00C30160" w:rsidRPr="00CE0DE7" w14:paraId="0BF2EE8D" w14:textId="77777777" w:rsidTr="00C24E43">
        <w:trPr>
          <w:trHeight w:val="300"/>
        </w:trPr>
        <w:tc>
          <w:tcPr>
            <w:tcW w:w="1688" w:type="pct"/>
            <w:tcBorders>
              <w:top w:val="nil"/>
              <w:left w:val="nil"/>
              <w:bottom w:val="single" w:sz="12" w:space="0" w:color="auto"/>
              <w:right w:val="single" w:sz="4" w:space="0" w:color="auto"/>
            </w:tcBorders>
            <w:shd w:val="clear" w:color="auto" w:fill="auto"/>
            <w:noWrap/>
            <w:vAlign w:val="bottom"/>
            <w:hideMark/>
          </w:tcPr>
          <w:p w14:paraId="1C54C524"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552" w:type="pct"/>
            <w:tcBorders>
              <w:top w:val="nil"/>
              <w:left w:val="single" w:sz="4" w:space="0" w:color="auto"/>
              <w:bottom w:val="single" w:sz="12" w:space="0" w:color="auto"/>
              <w:right w:val="nil"/>
            </w:tcBorders>
            <w:shd w:val="clear" w:color="auto" w:fill="auto"/>
            <w:noWrap/>
            <w:vAlign w:val="center"/>
            <w:hideMark/>
          </w:tcPr>
          <w:p w14:paraId="7B1BBC9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0.1595</w:t>
            </w:r>
          </w:p>
        </w:tc>
        <w:tc>
          <w:tcPr>
            <w:tcW w:w="552" w:type="pct"/>
            <w:tcBorders>
              <w:top w:val="nil"/>
              <w:left w:val="nil"/>
              <w:bottom w:val="single" w:sz="12" w:space="0" w:color="auto"/>
              <w:right w:val="nil"/>
            </w:tcBorders>
            <w:shd w:val="clear" w:color="auto" w:fill="auto"/>
            <w:noWrap/>
            <w:vAlign w:val="center"/>
            <w:hideMark/>
          </w:tcPr>
          <w:p w14:paraId="721E9D6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0.0003</w:t>
            </w:r>
          </w:p>
        </w:tc>
        <w:tc>
          <w:tcPr>
            <w:tcW w:w="552" w:type="pct"/>
            <w:tcBorders>
              <w:top w:val="nil"/>
              <w:left w:val="nil"/>
              <w:bottom w:val="single" w:sz="12" w:space="0" w:color="auto"/>
              <w:right w:val="nil"/>
            </w:tcBorders>
            <w:shd w:val="clear" w:color="auto" w:fill="auto"/>
            <w:noWrap/>
            <w:vAlign w:val="center"/>
            <w:hideMark/>
          </w:tcPr>
          <w:p w14:paraId="1B89939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single" w:sz="12" w:space="0" w:color="auto"/>
              <w:right w:val="nil"/>
            </w:tcBorders>
            <w:shd w:val="clear" w:color="auto" w:fill="auto"/>
            <w:noWrap/>
            <w:vAlign w:val="center"/>
            <w:hideMark/>
          </w:tcPr>
          <w:p w14:paraId="07F00EF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0.2447</w:t>
            </w:r>
          </w:p>
        </w:tc>
        <w:tc>
          <w:tcPr>
            <w:tcW w:w="552" w:type="pct"/>
            <w:tcBorders>
              <w:top w:val="nil"/>
              <w:left w:val="nil"/>
              <w:bottom w:val="single" w:sz="12" w:space="0" w:color="auto"/>
              <w:right w:val="nil"/>
            </w:tcBorders>
            <w:shd w:val="clear" w:color="auto" w:fill="auto"/>
            <w:noWrap/>
            <w:vAlign w:val="center"/>
            <w:hideMark/>
          </w:tcPr>
          <w:p w14:paraId="1F7A6D3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single" w:sz="12" w:space="0" w:color="auto"/>
              <w:right w:val="nil"/>
            </w:tcBorders>
            <w:shd w:val="clear" w:color="auto" w:fill="auto"/>
            <w:noWrap/>
            <w:vAlign w:val="center"/>
            <w:hideMark/>
          </w:tcPr>
          <w:p w14:paraId="36BD019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0.9998</w:t>
            </w:r>
          </w:p>
        </w:tc>
      </w:tr>
      <w:tr w:rsidR="00C30160" w:rsidRPr="00CE0DE7" w14:paraId="4A707A49" w14:textId="77777777" w:rsidTr="00C24E43">
        <w:trPr>
          <w:trHeight w:val="300"/>
        </w:trPr>
        <w:tc>
          <w:tcPr>
            <w:tcW w:w="5000" w:type="pct"/>
            <w:gridSpan w:val="7"/>
            <w:tcBorders>
              <w:top w:val="single" w:sz="12" w:space="0" w:color="auto"/>
              <w:left w:val="nil"/>
              <w:bottom w:val="single" w:sz="12" w:space="0" w:color="auto"/>
              <w:right w:val="nil"/>
            </w:tcBorders>
            <w:shd w:val="clear" w:color="auto" w:fill="auto"/>
            <w:noWrap/>
            <w:vAlign w:val="bottom"/>
            <w:hideMark/>
          </w:tcPr>
          <w:p w14:paraId="01B651E5" w14:textId="77777777" w:rsidR="00C30160" w:rsidRPr="00CE0DE7" w:rsidRDefault="00C30160" w:rsidP="00C24E43">
            <w:pPr>
              <w:jc w:val="center"/>
              <w:rPr>
                <w:rFonts w:eastAsia="Times New Roman"/>
                <w:color w:val="000000"/>
                <w:sz w:val="20"/>
                <w:szCs w:val="20"/>
                <w:lang w:val="en-GB" w:eastAsia="zh-CN"/>
              </w:rPr>
            </w:pPr>
          </w:p>
        </w:tc>
      </w:tr>
      <w:tr w:rsidR="00C30160" w:rsidRPr="00CE0DE7" w14:paraId="55D88B8E" w14:textId="77777777" w:rsidTr="00C24E43">
        <w:trPr>
          <w:trHeight w:val="300"/>
        </w:trPr>
        <w:tc>
          <w:tcPr>
            <w:tcW w:w="1688" w:type="pct"/>
            <w:tcBorders>
              <w:top w:val="single" w:sz="12" w:space="0" w:color="auto"/>
              <w:left w:val="nil"/>
              <w:bottom w:val="nil"/>
              <w:right w:val="single" w:sz="4" w:space="0" w:color="auto"/>
            </w:tcBorders>
            <w:shd w:val="clear" w:color="auto" w:fill="auto"/>
            <w:noWrap/>
            <w:vAlign w:val="bottom"/>
            <w:hideMark/>
          </w:tcPr>
          <w:p w14:paraId="58100FEC" w14:textId="77777777" w:rsidR="00C30160" w:rsidRPr="00CE0DE7" w:rsidRDefault="00C30160" w:rsidP="00C24E43">
            <w:pPr>
              <w:jc w:val="center"/>
              <w:rPr>
                <w:rFonts w:eastAsia="Times New Roman"/>
                <w:sz w:val="20"/>
                <w:szCs w:val="20"/>
                <w:lang w:val="en-GB" w:eastAsia="zh-CN"/>
              </w:rPr>
            </w:pPr>
          </w:p>
        </w:tc>
        <w:tc>
          <w:tcPr>
            <w:tcW w:w="3312" w:type="pct"/>
            <w:gridSpan w:val="6"/>
            <w:tcBorders>
              <w:top w:val="single" w:sz="12" w:space="0" w:color="auto"/>
              <w:left w:val="single" w:sz="4" w:space="0" w:color="auto"/>
              <w:bottom w:val="single" w:sz="4" w:space="0" w:color="auto"/>
              <w:right w:val="nil"/>
            </w:tcBorders>
            <w:shd w:val="clear" w:color="auto" w:fill="auto"/>
            <w:noWrap/>
            <w:vAlign w:val="center"/>
            <w:hideMark/>
          </w:tcPr>
          <w:p w14:paraId="7B3FB39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 xml:space="preserve">X1: </w:t>
            </w:r>
            <w:r w:rsidRPr="00CE0DE7">
              <w:rPr>
                <w:rFonts w:eastAsia="Times New Roman"/>
                <w:i/>
                <w:iCs/>
                <w:color w:val="000000"/>
                <w:sz w:val="20"/>
                <w:szCs w:val="20"/>
                <w:lang w:val="en-GB" w:eastAsia="zh-CN"/>
              </w:rPr>
              <w:t>INDEX</w:t>
            </w:r>
          </w:p>
        </w:tc>
      </w:tr>
      <w:tr w:rsidR="00C30160" w:rsidRPr="00CE0DE7" w14:paraId="1184CD6A" w14:textId="77777777" w:rsidTr="00C24E43">
        <w:trPr>
          <w:trHeight w:val="300"/>
        </w:trPr>
        <w:tc>
          <w:tcPr>
            <w:tcW w:w="1688" w:type="pct"/>
            <w:tcBorders>
              <w:top w:val="nil"/>
              <w:left w:val="nil"/>
              <w:bottom w:val="single" w:sz="4" w:space="0" w:color="auto"/>
              <w:right w:val="single" w:sz="4" w:space="0" w:color="auto"/>
            </w:tcBorders>
            <w:shd w:val="clear" w:color="auto" w:fill="auto"/>
            <w:noWrap/>
            <w:vAlign w:val="bottom"/>
            <w:hideMark/>
          </w:tcPr>
          <w:p w14:paraId="6F6EA452" w14:textId="77777777" w:rsidR="00C30160" w:rsidRPr="00CE0DE7" w:rsidRDefault="00C30160" w:rsidP="00C24E43">
            <w:pPr>
              <w:jc w:val="center"/>
              <w:rPr>
                <w:rFonts w:eastAsia="Times New Roman"/>
                <w:color w:val="000000"/>
                <w:sz w:val="20"/>
                <w:szCs w:val="20"/>
                <w:lang w:val="en-GB" w:eastAsia="zh-CN"/>
              </w:rPr>
            </w:pPr>
          </w:p>
        </w:tc>
        <w:tc>
          <w:tcPr>
            <w:tcW w:w="552" w:type="pct"/>
            <w:tcBorders>
              <w:top w:val="single" w:sz="4" w:space="0" w:color="auto"/>
              <w:left w:val="single" w:sz="4" w:space="0" w:color="auto"/>
              <w:bottom w:val="single" w:sz="4" w:space="0" w:color="auto"/>
              <w:right w:val="nil"/>
            </w:tcBorders>
            <w:shd w:val="clear" w:color="auto" w:fill="auto"/>
            <w:noWrap/>
            <w:vAlign w:val="center"/>
            <w:hideMark/>
          </w:tcPr>
          <w:p w14:paraId="02A2C08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552" w:type="pct"/>
            <w:tcBorders>
              <w:top w:val="single" w:sz="4" w:space="0" w:color="auto"/>
              <w:left w:val="nil"/>
              <w:bottom w:val="single" w:sz="4" w:space="0" w:color="auto"/>
              <w:right w:val="nil"/>
            </w:tcBorders>
            <w:shd w:val="clear" w:color="auto" w:fill="auto"/>
            <w:noWrap/>
            <w:vAlign w:val="center"/>
            <w:hideMark/>
          </w:tcPr>
          <w:p w14:paraId="38C17DE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c>
          <w:tcPr>
            <w:tcW w:w="552" w:type="pct"/>
            <w:tcBorders>
              <w:top w:val="single" w:sz="4" w:space="0" w:color="auto"/>
              <w:left w:val="nil"/>
              <w:bottom w:val="single" w:sz="4" w:space="0" w:color="auto"/>
              <w:right w:val="nil"/>
            </w:tcBorders>
            <w:shd w:val="clear" w:color="auto" w:fill="auto"/>
            <w:noWrap/>
            <w:vAlign w:val="center"/>
            <w:hideMark/>
          </w:tcPr>
          <w:p w14:paraId="7208900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X1-&gt;X3</w:t>
            </w:r>
          </w:p>
        </w:tc>
        <w:tc>
          <w:tcPr>
            <w:tcW w:w="552" w:type="pct"/>
            <w:tcBorders>
              <w:top w:val="single" w:sz="4" w:space="0" w:color="auto"/>
              <w:left w:val="nil"/>
              <w:bottom w:val="single" w:sz="4" w:space="0" w:color="auto"/>
              <w:right w:val="nil"/>
            </w:tcBorders>
            <w:shd w:val="clear" w:color="auto" w:fill="auto"/>
            <w:noWrap/>
            <w:vAlign w:val="center"/>
            <w:hideMark/>
          </w:tcPr>
          <w:p w14:paraId="4D89CCA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X3-&gt;X1</w:t>
            </w:r>
          </w:p>
        </w:tc>
        <w:tc>
          <w:tcPr>
            <w:tcW w:w="552" w:type="pct"/>
            <w:tcBorders>
              <w:top w:val="single" w:sz="4" w:space="0" w:color="auto"/>
              <w:left w:val="nil"/>
              <w:bottom w:val="single" w:sz="4" w:space="0" w:color="auto"/>
              <w:right w:val="nil"/>
            </w:tcBorders>
            <w:shd w:val="clear" w:color="auto" w:fill="auto"/>
            <w:noWrap/>
            <w:vAlign w:val="center"/>
            <w:hideMark/>
          </w:tcPr>
          <w:p w14:paraId="3A7D35C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X2-&gt;X3</w:t>
            </w:r>
          </w:p>
        </w:tc>
        <w:tc>
          <w:tcPr>
            <w:tcW w:w="552" w:type="pct"/>
            <w:tcBorders>
              <w:top w:val="single" w:sz="4" w:space="0" w:color="auto"/>
              <w:left w:val="nil"/>
              <w:bottom w:val="single" w:sz="4" w:space="0" w:color="auto"/>
              <w:right w:val="nil"/>
            </w:tcBorders>
            <w:shd w:val="clear" w:color="auto" w:fill="auto"/>
            <w:noWrap/>
            <w:vAlign w:val="center"/>
            <w:hideMark/>
          </w:tcPr>
          <w:p w14:paraId="7083F61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X3-&gt;X2</w:t>
            </w:r>
          </w:p>
        </w:tc>
      </w:tr>
      <w:tr w:rsidR="00C30160" w:rsidRPr="00CE0DE7" w14:paraId="2B00B758" w14:textId="77777777" w:rsidTr="00C24E43">
        <w:trPr>
          <w:trHeight w:val="300"/>
        </w:trPr>
        <w:tc>
          <w:tcPr>
            <w:tcW w:w="1688" w:type="pct"/>
            <w:tcBorders>
              <w:top w:val="single" w:sz="4" w:space="0" w:color="auto"/>
              <w:left w:val="nil"/>
              <w:bottom w:val="nil"/>
              <w:right w:val="single" w:sz="4" w:space="0" w:color="auto"/>
            </w:tcBorders>
            <w:shd w:val="clear" w:color="auto" w:fill="auto"/>
            <w:noWrap/>
            <w:vAlign w:val="bottom"/>
            <w:hideMark/>
          </w:tcPr>
          <w:p w14:paraId="2EC91521"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552" w:type="pct"/>
            <w:tcBorders>
              <w:top w:val="single" w:sz="4" w:space="0" w:color="auto"/>
              <w:left w:val="single" w:sz="4" w:space="0" w:color="auto"/>
              <w:bottom w:val="nil"/>
              <w:right w:val="nil"/>
            </w:tcBorders>
            <w:shd w:val="clear" w:color="auto" w:fill="auto"/>
            <w:noWrap/>
            <w:vAlign w:val="center"/>
            <w:hideMark/>
          </w:tcPr>
          <w:p w14:paraId="733C609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0.9159</w:t>
            </w:r>
          </w:p>
        </w:tc>
        <w:tc>
          <w:tcPr>
            <w:tcW w:w="552" w:type="pct"/>
            <w:tcBorders>
              <w:top w:val="single" w:sz="4" w:space="0" w:color="auto"/>
              <w:left w:val="nil"/>
              <w:bottom w:val="nil"/>
              <w:right w:val="nil"/>
            </w:tcBorders>
            <w:shd w:val="clear" w:color="auto" w:fill="auto"/>
            <w:noWrap/>
            <w:vAlign w:val="center"/>
            <w:hideMark/>
          </w:tcPr>
          <w:p w14:paraId="6E5347C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0.0002</w:t>
            </w:r>
          </w:p>
        </w:tc>
        <w:tc>
          <w:tcPr>
            <w:tcW w:w="552" w:type="pct"/>
            <w:tcBorders>
              <w:top w:val="single" w:sz="4" w:space="0" w:color="auto"/>
              <w:left w:val="nil"/>
              <w:bottom w:val="nil"/>
              <w:right w:val="nil"/>
            </w:tcBorders>
            <w:shd w:val="clear" w:color="auto" w:fill="auto"/>
            <w:noWrap/>
            <w:vAlign w:val="center"/>
            <w:hideMark/>
          </w:tcPr>
          <w:p w14:paraId="0BF5173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single" w:sz="4" w:space="0" w:color="auto"/>
              <w:left w:val="nil"/>
              <w:bottom w:val="nil"/>
              <w:right w:val="nil"/>
            </w:tcBorders>
            <w:shd w:val="clear" w:color="auto" w:fill="auto"/>
            <w:noWrap/>
            <w:vAlign w:val="center"/>
            <w:hideMark/>
          </w:tcPr>
          <w:p w14:paraId="5488CAA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0.8083</w:t>
            </w:r>
          </w:p>
        </w:tc>
        <w:tc>
          <w:tcPr>
            <w:tcW w:w="552" w:type="pct"/>
            <w:tcBorders>
              <w:top w:val="single" w:sz="4" w:space="0" w:color="auto"/>
              <w:left w:val="nil"/>
              <w:bottom w:val="nil"/>
              <w:right w:val="nil"/>
            </w:tcBorders>
            <w:shd w:val="clear" w:color="auto" w:fill="auto"/>
            <w:noWrap/>
            <w:vAlign w:val="center"/>
            <w:hideMark/>
          </w:tcPr>
          <w:p w14:paraId="1ED29C6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0.7285</w:t>
            </w:r>
          </w:p>
        </w:tc>
        <w:tc>
          <w:tcPr>
            <w:tcW w:w="552" w:type="pct"/>
            <w:tcBorders>
              <w:top w:val="single" w:sz="4" w:space="0" w:color="auto"/>
              <w:left w:val="nil"/>
              <w:bottom w:val="nil"/>
              <w:right w:val="nil"/>
            </w:tcBorders>
            <w:shd w:val="clear" w:color="auto" w:fill="auto"/>
            <w:noWrap/>
            <w:vAlign w:val="center"/>
            <w:hideMark/>
          </w:tcPr>
          <w:p w14:paraId="10C6859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0.6834</w:t>
            </w:r>
          </w:p>
        </w:tc>
      </w:tr>
      <w:tr w:rsidR="00C30160" w:rsidRPr="00CE0DE7" w14:paraId="78ED299D" w14:textId="77777777" w:rsidTr="00C24E43">
        <w:trPr>
          <w:trHeight w:val="300"/>
        </w:trPr>
        <w:tc>
          <w:tcPr>
            <w:tcW w:w="1688" w:type="pct"/>
            <w:tcBorders>
              <w:top w:val="nil"/>
              <w:left w:val="nil"/>
              <w:bottom w:val="nil"/>
              <w:right w:val="single" w:sz="4" w:space="0" w:color="auto"/>
            </w:tcBorders>
            <w:shd w:val="clear" w:color="auto" w:fill="auto"/>
            <w:noWrap/>
            <w:vAlign w:val="bottom"/>
            <w:hideMark/>
          </w:tcPr>
          <w:p w14:paraId="5586869B"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552" w:type="pct"/>
            <w:tcBorders>
              <w:top w:val="nil"/>
              <w:left w:val="single" w:sz="4" w:space="0" w:color="auto"/>
              <w:bottom w:val="nil"/>
              <w:right w:val="nil"/>
            </w:tcBorders>
            <w:shd w:val="clear" w:color="auto" w:fill="auto"/>
            <w:noWrap/>
            <w:vAlign w:val="center"/>
            <w:hideMark/>
          </w:tcPr>
          <w:p w14:paraId="24E6C7C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0.9292</w:t>
            </w:r>
          </w:p>
        </w:tc>
        <w:tc>
          <w:tcPr>
            <w:tcW w:w="552" w:type="pct"/>
            <w:tcBorders>
              <w:top w:val="nil"/>
              <w:left w:val="nil"/>
              <w:bottom w:val="nil"/>
              <w:right w:val="nil"/>
            </w:tcBorders>
            <w:shd w:val="clear" w:color="auto" w:fill="auto"/>
            <w:noWrap/>
            <w:vAlign w:val="center"/>
            <w:hideMark/>
          </w:tcPr>
          <w:p w14:paraId="448A93C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0.0003</w:t>
            </w:r>
          </w:p>
        </w:tc>
        <w:tc>
          <w:tcPr>
            <w:tcW w:w="552" w:type="pct"/>
            <w:tcBorders>
              <w:top w:val="nil"/>
              <w:left w:val="nil"/>
              <w:bottom w:val="nil"/>
              <w:right w:val="nil"/>
            </w:tcBorders>
            <w:shd w:val="clear" w:color="auto" w:fill="auto"/>
            <w:noWrap/>
            <w:vAlign w:val="center"/>
            <w:hideMark/>
          </w:tcPr>
          <w:p w14:paraId="1354108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1B0A358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0.7938</w:t>
            </w:r>
          </w:p>
        </w:tc>
        <w:tc>
          <w:tcPr>
            <w:tcW w:w="552" w:type="pct"/>
            <w:tcBorders>
              <w:top w:val="nil"/>
              <w:left w:val="nil"/>
              <w:bottom w:val="nil"/>
              <w:right w:val="nil"/>
            </w:tcBorders>
            <w:shd w:val="clear" w:color="auto" w:fill="auto"/>
            <w:noWrap/>
            <w:vAlign w:val="center"/>
            <w:hideMark/>
          </w:tcPr>
          <w:p w14:paraId="71B5326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0.1858</w:t>
            </w:r>
          </w:p>
        </w:tc>
        <w:tc>
          <w:tcPr>
            <w:tcW w:w="552" w:type="pct"/>
            <w:tcBorders>
              <w:top w:val="nil"/>
              <w:left w:val="nil"/>
              <w:bottom w:val="nil"/>
              <w:right w:val="nil"/>
            </w:tcBorders>
            <w:shd w:val="clear" w:color="auto" w:fill="auto"/>
            <w:noWrap/>
            <w:vAlign w:val="center"/>
            <w:hideMark/>
          </w:tcPr>
          <w:p w14:paraId="4F5B342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0.7895</w:t>
            </w:r>
          </w:p>
        </w:tc>
      </w:tr>
      <w:tr w:rsidR="00C30160" w:rsidRPr="00CE0DE7" w14:paraId="5BC3C18B" w14:textId="77777777" w:rsidTr="00C24E43">
        <w:trPr>
          <w:trHeight w:val="300"/>
        </w:trPr>
        <w:tc>
          <w:tcPr>
            <w:tcW w:w="1688" w:type="pct"/>
            <w:tcBorders>
              <w:top w:val="nil"/>
              <w:left w:val="nil"/>
              <w:bottom w:val="nil"/>
              <w:right w:val="single" w:sz="4" w:space="0" w:color="auto"/>
            </w:tcBorders>
            <w:shd w:val="clear" w:color="auto" w:fill="auto"/>
            <w:noWrap/>
            <w:vAlign w:val="bottom"/>
            <w:hideMark/>
          </w:tcPr>
          <w:p w14:paraId="3D625DA0"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552" w:type="pct"/>
            <w:tcBorders>
              <w:top w:val="nil"/>
              <w:left w:val="single" w:sz="4" w:space="0" w:color="auto"/>
              <w:bottom w:val="nil"/>
              <w:right w:val="nil"/>
            </w:tcBorders>
            <w:shd w:val="clear" w:color="auto" w:fill="auto"/>
            <w:noWrap/>
            <w:vAlign w:val="center"/>
            <w:hideMark/>
          </w:tcPr>
          <w:p w14:paraId="01AEAB0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0.3669</w:t>
            </w:r>
          </w:p>
        </w:tc>
        <w:tc>
          <w:tcPr>
            <w:tcW w:w="552" w:type="pct"/>
            <w:tcBorders>
              <w:top w:val="nil"/>
              <w:left w:val="nil"/>
              <w:bottom w:val="nil"/>
              <w:right w:val="nil"/>
            </w:tcBorders>
            <w:shd w:val="clear" w:color="auto" w:fill="auto"/>
            <w:noWrap/>
            <w:vAlign w:val="center"/>
            <w:hideMark/>
          </w:tcPr>
          <w:p w14:paraId="24E4E91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7CCEE94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28D7418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0.9954</w:t>
            </w:r>
          </w:p>
        </w:tc>
        <w:tc>
          <w:tcPr>
            <w:tcW w:w="552" w:type="pct"/>
            <w:tcBorders>
              <w:top w:val="nil"/>
              <w:left w:val="nil"/>
              <w:bottom w:val="nil"/>
              <w:right w:val="nil"/>
            </w:tcBorders>
            <w:shd w:val="clear" w:color="auto" w:fill="auto"/>
            <w:noWrap/>
            <w:vAlign w:val="center"/>
            <w:hideMark/>
          </w:tcPr>
          <w:p w14:paraId="64FA771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77B7A86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0.2999</w:t>
            </w:r>
          </w:p>
        </w:tc>
      </w:tr>
      <w:tr w:rsidR="00C30160" w:rsidRPr="00CE0DE7" w14:paraId="4A118B9F" w14:textId="77777777" w:rsidTr="00C24E43">
        <w:trPr>
          <w:trHeight w:val="300"/>
        </w:trPr>
        <w:tc>
          <w:tcPr>
            <w:tcW w:w="1688" w:type="pct"/>
            <w:tcBorders>
              <w:top w:val="nil"/>
              <w:left w:val="nil"/>
              <w:bottom w:val="nil"/>
              <w:right w:val="single" w:sz="4" w:space="0" w:color="auto"/>
            </w:tcBorders>
            <w:shd w:val="clear" w:color="auto" w:fill="auto"/>
            <w:noWrap/>
            <w:vAlign w:val="bottom"/>
            <w:hideMark/>
          </w:tcPr>
          <w:p w14:paraId="7FE4DAC4"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552" w:type="pct"/>
            <w:tcBorders>
              <w:top w:val="nil"/>
              <w:left w:val="single" w:sz="4" w:space="0" w:color="auto"/>
              <w:bottom w:val="nil"/>
              <w:right w:val="nil"/>
            </w:tcBorders>
            <w:shd w:val="clear" w:color="auto" w:fill="auto"/>
            <w:noWrap/>
            <w:vAlign w:val="center"/>
            <w:hideMark/>
          </w:tcPr>
          <w:p w14:paraId="09A9994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0.2779</w:t>
            </w:r>
          </w:p>
        </w:tc>
        <w:tc>
          <w:tcPr>
            <w:tcW w:w="552" w:type="pct"/>
            <w:tcBorders>
              <w:top w:val="nil"/>
              <w:left w:val="nil"/>
              <w:bottom w:val="nil"/>
              <w:right w:val="nil"/>
            </w:tcBorders>
            <w:shd w:val="clear" w:color="auto" w:fill="auto"/>
            <w:noWrap/>
            <w:vAlign w:val="center"/>
            <w:hideMark/>
          </w:tcPr>
          <w:p w14:paraId="4A69E6E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5BCAEE0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131B37E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0.9711</w:t>
            </w:r>
          </w:p>
        </w:tc>
        <w:tc>
          <w:tcPr>
            <w:tcW w:w="552" w:type="pct"/>
            <w:tcBorders>
              <w:top w:val="nil"/>
              <w:left w:val="nil"/>
              <w:bottom w:val="nil"/>
              <w:right w:val="nil"/>
            </w:tcBorders>
            <w:shd w:val="clear" w:color="auto" w:fill="auto"/>
            <w:noWrap/>
            <w:vAlign w:val="center"/>
            <w:hideMark/>
          </w:tcPr>
          <w:p w14:paraId="163D325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44C1637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0.5768</w:t>
            </w:r>
          </w:p>
        </w:tc>
      </w:tr>
      <w:tr w:rsidR="00C30160" w:rsidRPr="00CE0DE7" w14:paraId="396C9E1D" w14:textId="77777777" w:rsidTr="00C24E43">
        <w:trPr>
          <w:trHeight w:val="300"/>
        </w:trPr>
        <w:tc>
          <w:tcPr>
            <w:tcW w:w="1688" w:type="pct"/>
            <w:tcBorders>
              <w:top w:val="nil"/>
              <w:left w:val="nil"/>
              <w:bottom w:val="nil"/>
              <w:right w:val="single" w:sz="4" w:space="0" w:color="auto"/>
            </w:tcBorders>
            <w:shd w:val="clear" w:color="auto" w:fill="auto"/>
            <w:noWrap/>
            <w:vAlign w:val="bottom"/>
            <w:hideMark/>
          </w:tcPr>
          <w:p w14:paraId="1E261FDE"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552" w:type="pct"/>
            <w:tcBorders>
              <w:top w:val="nil"/>
              <w:left w:val="single" w:sz="4" w:space="0" w:color="auto"/>
              <w:bottom w:val="nil"/>
              <w:right w:val="nil"/>
            </w:tcBorders>
            <w:shd w:val="clear" w:color="auto" w:fill="auto"/>
            <w:noWrap/>
            <w:vAlign w:val="center"/>
            <w:hideMark/>
          </w:tcPr>
          <w:p w14:paraId="37A1379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0.1115</w:t>
            </w:r>
          </w:p>
        </w:tc>
        <w:tc>
          <w:tcPr>
            <w:tcW w:w="552" w:type="pct"/>
            <w:tcBorders>
              <w:top w:val="nil"/>
              <w:left w:val="nil"/>
              <w:bottom w:val="nil"/>
              <w:right w:val="nil"/>
            </w:tcBorders>
            <w:shd w:val="clear" w:color="auto" w:fill="auto"/>
            <w:noWrap/>
            <w:vAlign w:val="center"/>
            <w:hideMark/>
          </w:tcPr>
          <w:p w14:paraId="3EDEF26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0.0004</w:t>
            </w:r>
          </w:p>
        </w:tc>
        <w:tc>
          <w:tcPr>
            <w:tcW w:w="552" w:type="pct"/>
            <w:tcBorders>
              <w:top w:val="nil"/>
              <w:left w:val="nil"/>
              <w:bottom w:val="nil"/>
              <w:right w:val="nil"/>
            </w:tcBorders>
            <w:shd w:val="clear" w:color="auto" w:fill="auto"/>
            <w:noWrap/>
            <w:vAlign w:val="center"/>
            <w:hideMark/>
          </w:tcPr>
          <w:p w14:paraId="0A05282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02E1A9B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0.4605</w:t>
            </w:r>
          </w:p>
        </w:tc>
        <w:tc>
          <w:tcPr>
            <w:tcW w:w="552" w:type="pct"/>
            <w:tcBorders>
              <w:top w:val="nil"/>
              <w:left w:val="nil"/>
              <w:bottom w:val="nil"/>
              <w:right w:val="nil"/>
            </w:tcBorders>
            <w:shd w:val="clear" w:color="auto" w:fill="auto"/>
            <w:noWrap/>
            <w:vAlign w:val="center"/>
            <w:hideMark/>
          </w:tcPr>
          <w:p w14:paraId="2637E97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0.0012</w:t>
            </w:r>
          </w:p>
        </w:tc>
        <w:tc>
          <w:tcPr>
            <w:tcW w:w="552" w:type="pct"/>
            <w:tcBorders>
              <w:top w:val="nil"/>
              <w:left w:val="nil"/>
              <w:bottom w:val="nil"/>
              <w:right w:val="nil"/>
            </w:tcBorders>
            <w:shd w:val="clear" w:color="auto" w:fill="auto"/>
            <w:noWrap/>
            <w:vAlign w:val="center"/>
            <w:hideMark/>
          </w:tcPr>
          <w:p w14:paraId="4A04E90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0.8218</w:t>
            </w:r>
          </w:p>
        </w:tc>
      </w:tr>
      <w:tr w:rsidR="00C30160" w:rsidRPr="00CE0DE7" w14:paraId="3046409C" w14:textId="77777777" w:rsidTr="00C24E43">
        <w:trPr>
          <w:trHeight w:val="300"/>
        </w:trPr>
        <w:tc>
          <w:tcPr>
            <w:tcW w:w="1688" w:type="pct"/>
            <w:tcBorders>
              <w:top w:val="nil"/>
              <w:left w:val="nil"/>
              <w:bottom w:val="double" w:sz="4" w:space="0" w:color="auto"/>
              <w:right w:val="single" w:sz="4" w:space="0" w:color="auto"/>
            </w:tcBorders>
            <w:shd w:val="clear" w:color="auto" w:fill="auto"/>
            <w:noWrap/>
            <w:vAlign w:val="bottom"/>
            <w:hideMark/>
          </w:tcPr>
          <w:p w14:paraId="16FA9FF2"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552" w:type="pct"/>
            <w:tcBorders>
              <w:top w:val="nil"/>
              <w:left w:val="single" w:sz="4" w:space="0" w:color="auto"/>
              <w:bottom w:val="double" w:sz="4" w:space="0" w:color="auto"/>
              <w:right w:val="nil"/>
            </w:tcBorders>
            <w:shd w:val="clear" w:color="auto" w:fill="auto"/>
            <w:noWrap/>
            <w:vAlign w:val="center"/>
            <w:hideMark/>
          </w:tcPr>
          <w:p w14:paraId="27D6BF7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0.1475</w:t>
            </w:r>
          </w:p>
        </w:tc>
        <w:tc>
          <w:tcPr>
            <w:tcW w:w="552" w:type="pct"/>
            <w:tcBorders>
              <w:top w:val="nil"/>
              <w:left w:val="nil"/>
              <w:bottom w:val="double" w:sz="4" w:space="0" w:color="auto"/>
              <w:right w:val="nil"/>
            </w:tcBorders>
            <w:shd w:val="clear" w:color="auto" w:fill="auto"/>
            <w:noWrap/>
            <w:vAlign w:val="center"/>
            <w:hideMark/>
          </w:tcPr>
          <w:p w14:paraId="747CD73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0.0001</w:t>
            </w:r>
          </w:p>
        </w:tc>
        <w:tc>
          <w:tcPr>
            <w:tcW w:w="552" w:type="pct"/>
            <w:tcBorders>
              <w:top w:val="nil"/>
              <w:left w:val="nil"/>
              <w:bottom w:val="double" w:sz="4" w:space="0" w:color="auto"/>
              <w:right w:val="nil"/>
            </w:tcBorders>
            <w:shd w:val="clear" w:color="auto" w:fill="auto"/>
            <w:noWrap/>
            <w:vAlign w:val="center"/>
            <w:hideMark/>
          </w:tcPr>
          <w:p w14:paraId="7458D9F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0.0002</w:t>
            </w:r>
          </w:p>
        </w:tc>
        <w:tc>
          <w:tcPr>
            <w:tcW w:w="552" w:type="pct"/>
            <w:tcBorders>
              <w:top w:val="nil"/>
              <w:left w:val="nil"/>
              <w:bottom w:val="double" w:sz="4" w:space="0" w:color="auto"/>
              <w:right w:val="nil"/>
            </w:tcBorders>
            <w:shd w:val="clear" w:color="auto" w:fill="auto"/>
            <w:noWrap/>
            <w:vAlign w:val="center"/>
            <w:hideMark/>
          </w:tcPr>
          <w:p w14:paraId="0FAE4D6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0.1999</w:t>
            </w:r>
          </w:p>
        </w:tc>
        <w:tc>
          <w:tcPr>
            <w:tcW w:w="552" w:type="pct"/>
            <w:tcBorders>
              <w:top w:val="nil"/>
              <w:left w:val="nil"/>
              <w:bottom w:val="double" w:sz="4" w:space="0" w:color="auto"/>
              <w:right w:val="nil"/>
            </w:tcBorders>
            <w:shd w:val="clear" w:color="auto" w:fill="auto"/>
            <w:noWrap/>
            <w:vAlign w:val="center"/>
            <w:hideMark/>
          </w:tcPr>
          <w:p w14:paraId="2CDCCB6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double" w:sz="4" w:space="0" w:color="auto"/>
              <w:right w:val="nil"/>
            </w:tcBorders>
            <w:shd w:val="clear" w:color="auto" w:fill="auto"/>
            <w:noWrap/>
            <w:vAlign w:val="center"/>
            <w:hideMark/>
          </w:tcPr>
          <w:p w14:paraId="2D7302F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0.9988</w:t>
            </w:r>
          </w:p>
        </w:tc>
      </w:tr>
    </w:tbl>
    <w:p w14:paraId="5DCABB59" w14:textId="327164DE" w:rsidR="00C30160" w:rsidRPr="00CE0DE7" w:rsidRDefault="00C30160" w:rsidP="00C30160">
      <w:pPr>
        <w:adjustRightInd w:val="0"/>
        <w:snapToGrid w:val="0"/>
        <w:jc w:val="both"/>
        <w:rPr>
          <w:sz w:val="20"/>
          <w:szCs w:val="20"/>
        </w:rPr>
      </w:pPr>
      <w:r w:rsidRPr="00CE0DE7">
        <w:rPr>
          <w:sz w:val="20"/>
          <w:szCs w:val="20"/>
        </w:rPr>
        <w:t xml:space="preserve">This table </w:t>
      </w:r>
      <w:r w:rsidRPr="00CE0DE7">
        <w:rPr>
          <w:rFonts w:hint="eastAsia"/>
          <w:sz w:val="20"/>
          <w:szCs w:val="20"/>
          <w:lang w:eastAsia="zh-CN"/>
        </w:rPr>
        <w:t>summarizes</w:t>
      </w:r>
      <w:r w:rsidRPr="00CE0DE7">
        <w:rPr>
          <w:sz w:val="20"/>
          <w:szCs w:val="20"/>
        </w:rPr>
        <w:t xml:space="preserve"> the </w:t>
      </w:r>
      <w:r w:rsidRPr="00CE0DE7">
        <w:rPr>
          <w:i/>
          <w:sz w:val="20"/>
          <w:szCs w:val="20"/>
        </w:rPr>
        <w:t>p</w:t>
      </w:r>
      <w:r w:rsidRPr="00CE0DE7">
        <w:rPr>
          <w:sz w:val="20"/>
          <w:szCs w:val="20"/>
        </w:rPr>
        <w:t xml:space="preserve">-value of the chi-square statistics for the Toda-Yamamoto Granger non-causality tests based on tri-variate VAR models. It tests the </w:t>
      </w:r>
      <w:r w:rsidRPr="00CE0DE7">
        <w:rPr>
          <w:rFonts w:hint="eastAsia"/>
          <w:sz w:val="20"/>
          <w:szCs w:val="20"/>
          <w:lang w:eastAsia="zh-CN"/>
        </w:rPr>
        <w:t>relation between</w:t>
      </w:r>
      <w:r w:rsidRPr="00CE0DE7">
        <w:rPr>
          <w:sz w:val="20"/>
          <w:szCs w:val="20"/>
        </w:rPr>
        <w:t xml:space="preserve"> the VRP, stock returns and illiquidity. The analysis uses monthly data from full sample period January 1990 to December 2018.</w:t>
      </w:r>
    </w:p>
    <w:p w14:paraId="45821C2D" w14:textId="77777777" w:rsidR="00C30160" w:rsidRPr="00CE0DE7" w:rsidRDefault="00C30160" w:rsidP="00C30160">
      <w:pPr>
        <w:adjustRightInd w:val="0"/>
        <w:snapToGrid w:val="0"/>
      </w:pPr>
    </w:p>
    <w:p w14:paraId="2B7FB1D5" w14:textId="77777777" w:rsidR="00C30160" w:rsidRPr="00CE0DE7" w:rsidRDefault="00C30160" w:rsidP="00C30160">
      <w:pPr>
        <w:adjustRightInd w:val="0"/>
        <w:snapToGrid w:val="0"/>
      </w:pPr>
    </w:p>
    <w:p w14:paraId="5CD5F6CB" w14:textId="77777777" w:rsidR="00C30160" w:rsidRPr="00CE0DE7" w:rsidRDefault="00C30160" w:rsidP="00C30160">
      <w:pPr>
        <w:adjustRightInd w:val="0"/>
        <w:snapToGrid w:val="0"/>
        <w:rPr>
          <w:lang w:eastAsia="zh-CN"/>
        </w:rPr>
      </w:pPr>
    </w:p>
    <w:p w14:paraId="1769AF5A" w14:textId="77777777" w:rsidR="00C30160" w:rsidRPr="00CE0DE7" w:rsidRDefault="00C30160" w:rsidP="00C30160">
      <w:pPr>
        <w:adjustRightInd w:val="0"/>
        <w:snapToGrid w:val="0"/>
        <w:rPr>
          <w:lang w:eastAsia="zh-CN"/>
        </w:rPr>
      </w:pPr>
    </w:p>
    <w:p w14:paraId="4C78CEDC" w14:textId="77777777" w:rsidR="00C30160" w:rsidRPr="00CE0DE7" w:rsidRDefault="00C30160" w:rsidP="00C30160">
      <w:pPr>
        <w:adjustRightInd w:val="0"/>
        <w:snapToGrid w:val="0"/>
        <w:rPr>
          <w:lang w:eastAsia="zh-CN"/>
        </w:rPr>
      </w:pPr>
    </w:p>
    <w:p w14:paraId="51A4AC7B" w14:textId="77777777" w:rsidR="00C30160" w:rsidRPr="00CE0DE7" w:rsidRDefault="00C30160" w:rsidP="00C30160">
      <w:pPr>
        <w:adjustRightInd w:val="0"/>
        <w:snapToGrid w:val="0"/>
        <w:rPr>
          <w:lang w:eastAsia="zh-CN"/>
        </w:rPr>
      </w:pPr>
    </w:p>
    <w:p w14:paraId="3579CD5D" w14:textId="77777777" w:rsidR="00C30160" w:rsidRPr="00CE0DE7" w:rsidRDefault="00C30160" w:rsidP="00C30160">
      <w:pPr>
        <w:adjustRightInd w:val="0"/>
        <w:snapToGrid w:val="0"/>
        <w:rPr>
          <w:lang w:eastAsia="zh-CN"/>
        </w:rPr>
      </w:pPr>
    </w:p>
    <w:p w14:paraId="1CC84B18" w14:textId="77777777" w:rsidR="00C30160" w:rsidRPr="00CE0DE7" w:rsidRDefault="00C30160" w:rsidP="00C30160">
      <w:pPr>
        <w:adjustRightInd w:val="0"/>
        <w:snapToGrid w:val="0"/>
        <w:rPr>
          <w:lang w:eastAsia="zh-CN"/>
        </w:rPr>
      </w:pPr>
    </w:p>
    <w:p w14:paraId="4AF5972F" w14:textId="77777777" w:rsidR="00C30160" w:rsidRPr="00CE0DE7" w:rsidRDefault="00C30160" w:rsidP="00C30160">
      <w:pPr>
        <w:adjustRightInd w:val="0"/>
        <w:snapToGrid w:val="0"/>
        <w:rPr>
          <w:lang w:eastAsia="zh-CN"/>
        </w:rPr>
      </w:pPr>
    </w:p>
    <w:p w14:paraId="4AB5BA25" w14:textId="77777777" w:rsidR="00C30160" w:rsidRPr="00CE0DE7" w:rsidRDefault="00C30160" w:rsidP="00C30160">
      <w:pPr>
        <w:adjustRightInd w:val="0"/>
        <w:snapToGrid w:val="0"/>
        <w:rPr>
          <w:lang w:eastAsia="zh-CN"/>
        </w:rPr>
      </w:pPr>
    </w:p>
    <w:p w14:paraId="38B2EFA3" w14:textId="77777777" w:rsidR="00C30160" w:rsidRPr="00CE0DE7" w:rsidRDefault="00C30160" w:rsidP="00C30160">
      <w:pPr>
        <w:adjustRightInd w:val="0"/>
        <w:snapToGrid w:val="0"/>
        <w:rPr>
          <w:lang w:eastAsia="zh-CN"/>
        </w:rPr>
      </w:pPr>
    </w:p>
    <w:p w14:paraId="43A02405" w14:textId="77777777" w:rsidR="00C30160" w:rsidRPr="00CE0DE7" w:rsidRDefault="00C30160" w:rsidP="00C30160">
      <w:pPr>
        <w:adjustRightInd w:val="0"/>
        <w:snapToGrid w:val="0"/>
        <w:rPr>
          <w:lang w:eastAsia="zh-CN"/>
        </w:rPr>
      </w:pPr>
    </w:p>
    <w:p w14:paraId="7192AB8E" w14:textId="77777777" w:rsidR="00C30160" w:rsidRPr="00CE0DE7" w:rsidRDefault="00C30160" w:rsidP="00C30160">
      <w:pPr>
        <w:adjustRightInd w:val="0"/>
        <w:snapToGrid w:val="0"/>
        <w:rPr>
          <w:lang w:eastAsia="zh-CN"/>
        </w:rPr>
      </w:pPr>
    </w:p>
    <w:p w14:paraId="22CC5B54" w14:textId="77777777" w:rsidR="00C30160" w:rsidRPr="00CE0DE7" w:rsidRDefault="00C30160" w:rsidP="00C30160">
      <w:pPr>
        <w:adjustRightInd w:val="0"/>
        <w:snapToGrid w:val="0"/>
        <w:rPr>
          <w:lang w:eastAsia="zh-CN"/>
        </w:rPr>
      </w:pPr>
    </w:p>
    <w:p w14:paraId="14D858FF" w14:textId="77777777" w:rsidR="00C30160" w:rsidRPr="00CE0DE7" w:rsidRDefault="00C30160" w:rsidP="00C30160">
      <w:pPr>
        <w:adjustRightInd w:val="0"/>
        <w:snapToGrid w:val="0"/>
        <w:rPr>
          <w:lang w:eastAsia="zh-CN"/>
        </w:rPr>
      </w:pPr>
    </w:p>
    <w:p w14:paraId="4ADAD9F2" w14:textId="77777777" w:rsidR="00C30160" w:rsidRPr="00CE0DE7" w:rsidRDefault="00C30160" w:rsidP="00C30160">
      <w:pPr>
        <w:adjustRightInd w:val="0"/>
        <w:snapToGrid w:val="0"/>
        <w:rPr>
          <w:lang w:eastAsia="zh-CN"/>
        </w:rPr>
      </w:pPr>
    </w:p>
    <w:p w14:paraId="48E7F24E" w14:textId="77777777" w:rsidR="00C30160" w:rsidRPr="00CE0DE7" w:rsidRDefault="00C30160" w:rsidP="00C30160">
      <w:pPr>
        <w:adjustRightInd w:val="0"/>
        <w:snapToGrid w:val="0"/>
        <w:rPr>
          <w:lang w:eastAsia="zh-CN"/>
        </w:rPr>
      </w:pPr>
    </w:p>
    <w:p w14:paraId="05476891" w14:textId="77777777" w:rsidR="00C30160" w:rsidRPr="00CE0DE7" w:rsidRDefault="00C30160" w:rsidP="00C30160">
      <w:pPr>
        <w:adjustRightInd w:val="0"/>
        <w:snapToGrid w:val="0"/>
        <w:rPr>
          <w:lang w:eastAsia="zh-CN"/>
        </w:rPr>
      </w:pPr>
    </w:p>
    <w:p w14:paraId="1F832811" w14:textId="77777777" w:rsidR="00C30160" w:rsidRPr="00CE0DE7" w:rsidRDefault="00C30160" w:rsidP="00C30160">
      <w:pPr>
        <w:adjustRightInd w:val="0"/>
        <w:snapToGrid w:val="0"/>
        <w:rPr>
          <w:lang w:eastAsia="zh-CN"/>
        </w:rPr>
      </w:pPr>
    </w:p>
    <w:p w14:paraId="05A4E028" w14:textId="77777777" w:rsidR="00C30160" w:rsidRPr="00CE0DE7" w:rsidRDefault="00C30160" w:rsidP="00C30160">
      <w:pPr>
        <w:adjustRightInd w:val="0"/>
        <w:snapToGrid w:val="0"/>
        <w:rPr>
          <w:lang w:eastAsia="zh-CN"/>
        </w:rPr>
      </w:pPr>
    </w:p>
    <w:p w14:paraId="2138190D" w14:textId="77777777" w:rsidR="00C30160" w:rsidRPr="00CE0DE7" w:rsidRDefault="00C30160" w:rsidP="00C30160">
      <w:pPr>
        <w:adjustRightInd w:val="0"/>
        <w:snapToGrid w:val="0"/>
        <w:rPr>
          <w:lang w:eastAsia="zh-CN"/>
        </w:rPr>
      </w:pPr>
    </w:p>
    <w:p w14:paraId="0025DC3F" w14:textId="0069C074" w:rsidR="00C30160" w:rsidRDefault="00C30160" w:rsidP="00C30160">
      <w:pPr>
        <w:adjustRightInd w:val="0"/>
        <w:snapToGrid w:val="0"/>
        <w:rPr>
          <w:lang w:eastAsia="zh-CN"/>
        </w:rPr>
      </w:pPr>
    </w:p>
    <w:p w14:paraId="7408D4A4" w14:textId="77777777" w:rsidR="004C1F68" w:rsidRPr="00CE0DE7" w:rsidRDefault="004C1F68" w:rsidP="00C30160">
      <w:pPr>
        <w:adjustRightInd w:val="0"/>
        <w:snapToGrid w:val="0"/>
        <w:rPr>
          <w:lang w:eastAsia="zh-CN"/>
        </w:rPr>
      </w:pPr>
    </w:p>
    <w:p w14:paraId="415F345E" w14:textId="019EC5CC" w:rsidR="00421FB8" w:rsidRPr="00CE0DE7" w:rsidRDefault="00421FB8" w:rsidP="00C30160">
      <w:pPr>
        <w:adjustRightInd w:val="0"/>
        <w:snapToGrid w:val="0"/>
        <w:rPr>
          <w:lang w:eastAsia="zh-CN"/>
        </w:rPr>
      </w:pPr>
    </w:p>
    <w:p w14:paraId="4316E618" w14:textId="77777777" w:rsidR="00421FB8" w:rsidRPr="00CE0DE7" w:rsidRDefault="00421FB8" w:rsidP="00C30160">
      <w:pPr>
        <w:adjustRightInd w:val="0"/>
        <w:snapToGrid w:val="0"/>
        <w:rPr>
          <w:lang w:eastAsia="zh-CN"/>
        </w:rPr>
      </w:pPr>
    </w:p>
    <w:p w14:paraId="34262924" w14:textId="77777777" w:rsidR="00272A52" w:rsidRPr="00CE0DE7" w:rsidRDefault="00272A52" w:rsidP="00C30160">
      <w:pPr>
        <w:adjustRightInd w:val="0"/>
        <w:snapToGrid w:val="0"/>
        <w:rPr>
          <w:lang w:eastAsia="zh-CN"/>
        </w:rPr>
      </w:pPr>
    </w:p>
    <w:p w14:paraId="477F0C2B" w14:textId="77777777" w:rsidR="00C30160" w:rsidRPr="00CE0DE7" w:rsidRDefault="00C30160" w:rsidP="00C30160">
      <w:pPr>
        <w:adjustRightInd w:val="0"/>
        <w:snapToGrid w:val="0"/>
        <w:rPr>
          <w:lang w:eastAsia="zh-CN"/>
        </w:rPr>
      </w:pPr>
    </w:p>
    <w:p w14:paraId="700298B3" w14:textId="77777777" w:rsidR="00C30160" w:rsidRPr="00CE0DE7" w:rsidRDefault="00C30160" w:rsidP="00C30160">
      <w:pPr>
        <w:adjustRightInd w:val="0"/>
        <w:snapToGrid w:val="0"/>
        <w:rPr>
          <w:b/>
          <w:bCs/>
          <w:sz w:val="20"/>
          <w:szCs w:val="20"/>
          <w:lang w:eastAsia="zh-CN"/>
        </w:rPr>
      </w:pPr>
      <w:r w:rsidRPr="00CE0DE7">
        <w:rPr>
          <w:b/>
          <w:bCs/>
          <w:sz w:val="20"/>
          <w:szCs w:val="20"/>
        </w:rPr>
        <w:lastRenderedPageBreak/>
        <w:t xml:space="preserve">Table 4. </w:t>
      </w:r>
      <w:r w:rsidRPr="00CE0DE7">
        <w:rPr>
          <w:rFonts w:hint="eastAsia"/>
          <w:b/>
          <w:bCs/>
          <w:sz w:val="20"/>
          <w:szCs w:val="20"/>
          <w:lang w:eastAsia="zh-CN"/>
        </w:rPr>
        <w:t>The t</w:t>
      </w:r>
      <w:r w:rsidRPr="00CE0DE7">
        <w:rPr>
          <w:b/>
          <w:bCs/>
          <w:sz w:val="20"/>
          <w:szCs w:val="20"/>
        </w:rPr>
        <w:t xml:space="preserve">ri-variate Toda–Yamamoto Granger non-causality test </w:t>
      </w:r>
      <w:r w:rsidRPr="00CE0DE7">
        <w:rPr>
          <w:rFonts w:hint="eastAsia"/>
          <w:b/>
          <w:bCs/>
          <w:sz w:val="20"/>
          <w:szCs w:val="20"/>
          <w:lang w:eastAsia="zh-CN"/>
        </w:rPr>
        <w:t xml:space="preserve">results </w:t>
      </w:r>
      <w:r w:rsidRPr="00CE0DE7">
        <w:rPr>
          <w:b/>
          <w:bCs/>
          <w:sz w:val="20"/>
          <w:szCs w:val="20"/>
        </w:rPr>
        <w:t>with control variables</w:t>
      </w:r>
    </w:p>
    <w:p w14:paraId="2EA8F367" w14:textId="77777777" w:rsidR="00C30160" w:rsidRPr="00CE0DE7" w:rsidRDefault="00C30160" w:rsidP="00C30160">
      <w:pPr>
        <w:adjustRightInd w:val="0"/>
        <w:snapToGrid w:val="0"/>
        <w:rPr>
          <w:bCs/>
          <w:sz w:val="20"/>
          <w:szCs w:val="20"/>
          <w:lang w:eastAsia="zh-CN"/>
        </w:rPr>
      </w:pPr>
    </w:p>
    <w:tbl>
      <w:tblPr>
        <w:tblW w:w="5000" w:type="pct"/>
        <w:tblLook w:val="04A0" w:firstRow="1" w:lastRow="0" w:firstColumn="1" w:lastColumn="0" w:noHBand="0" w:noVBand="1"/>
      </w:tblPr>
      <w:tblGrid>
        <w:gridCol w:w="3047"/>
        <w:gridCol w:w="996"/>
        <w:gridCol w:w="996"/>
        <w:gridCol w:w="997"/>
        <w:gridCol w:w="997"/>
        <w:gridCol w:w="997"/>
        <w:gridCol w:w="997"/>
      </w:tblGrid>
      <w:tr w:rsidR="00C30160" w:rsidRPr="00CE0DE7" w14:paraId="2B5C552A" w14:textId="77777777" w:rsidTr="00C24E43">
        <w:trPr>
          <w:trHeight w:val="300"/>
        </w:trPr>
        <w:tc>
          <w:tcPr>
            <w:tcW w:w="1688" w:type="pct"/>
            <w:tcBorders>
              <w:top w:val="double" w:sz="4" w:space="0" w:color="auto"/>
              <w:left w:val="nil"/>
              <w:bottom w:val="nil"/>
              <w:right w:val="single" w:sz="4" w:space="0" w:color="auto"/>
            </w:tcBorders>
            <w:shd w:val="clear" w:color="auto" w:fill="auto"/>
            <w:noWrap/>
            <w:vAlign w:val="bottom"/>
            <w:hideMark/>
          </w:tcPr>
          <w:p w14:paraId="228E914F" w14:textId="77777777" w:rsidR="00C30160" w:rsidRPr="00CE0DE7" w:rsidRDefault="00C30160" w:rsidP="00C24E43">
            <w:pPr>
              <w:rPr>
                <w:rFonts w:eastAsia="Times New Roman"/>
                <w:sz w:val="20"/>
                <w:szCs w:val="20"/>
                <w:lang w:val="en-GB" w:eastAsia="zh-CN"/>
              </w:rPr>
            </w:pPr>
          </w:p>
        </w:tc>
        <w:tc>
          <w:tcPr>
            <w:tcW w:w="3312" w:type="pct"/>
            <w:gridSpan w:val="6"/>
            <w:tcBorders>
              <w:top w:val="double" w:sz="4" w:space="0" w:color="auto"/>
              <w:left w:val="single" w:sz="4" w:space="0" w:color="auto"/>
              <w:bottom w:val="single" w:sz="4" w:space="0" w:color="auto"/>
              <w:right w:val="nil"/>
            </w:tcBorders>
            <w:shd w:val="clear" w:color="auto" w:fill="auto"/>
            <w:noWrap/>
            <w:vAlign w:val="center"/>
            <w:hideMark/>
          </w:tcPr>
          <w:p w14:paraId="526943D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 xml:space="preserve">X1: </w:t>
            </w:r>
            <w:r w:rsidRPr="00CE0DE7">
              <w:rPr>
                <w:rFonts w:eastAsia="Times New Roman"/>
                <w:i/>
                <w:iCs/>
                <w:color w:val="000000"/>
                <w:sz w:val="20"/>
                <w:szCs w:val="20"/>
                <w:lang w:val="en-GB" w:eastAsia="zh-CN"/>
              </w:rPr>
              <w:t>VW</w:t>
            </w:r>
          </w:p>
        </w:tc>
      </w:tr>
      <w:tr w:rsidR="00C30160" w:rsidRPr="00CE0DE7" w14:paraId="560CD9F0" w14:textId="77777777" w:rsidTr="00C24E43">
        <w:trPr>
          <w:trHeight w:val="300"/>
        </w:trPr>
        <w:tc>
          <w:tcPr>
            <w:tcW w:w="1688" w:type="pct"/>
            <w:tcBorders>
              <w:top w:val="nil"/>
              <w:left w:val="nil"/>
              <w:bottom w:val="single" w:sz="4" w:space="0" w:color="auto"/>
              <w:right w:val="single" w:sz="4" w:space="0" w:color="auto"/>
            </w:tcBorders>
            <w:shd w:val="clear" w:color="auto" w:fill="auto"/>
            <w:noWrap/>
            <w:vAlign w:val="bottom"/>
            <w:hideMark/>
          </w:tcPr>
          <w:p w14:paraId="103BFFBB" w14:textId="77777777" w:rsidR="00C30160" w:rsidRPr="00CE0DE7" w:rsidRDefault="00C30160" w:rsidP="00C24E43">
            <w:pPr>
              <w:jc w:val="center"/>
              <w:rPr>
                <w:rFonts w:eastAsia="Times New Roman"/>
                <w:color w:val="000000"/>
                <w:sz w:val="20"/>
                <w:szCs w:val="20"/>
                <w:lang w:val="en-GB" w:eastAsia="zh-CN"/>
              </w:rPr>
            </w:pPr>
          </w:p>
        </w:tc>
        <w:tc>
          <w:tcPr>
            <w:tcW w:w="552" w:type="pct"/>
            <w:tcBorders>
              <w:top w:val="single" w:sz="4" w:space="0" w:color="auto"/>
              <w:left w:val="single" w:sz="4" w:space="0" w:color="auto"/>
              <w:bottom w:val="single" w:sz="4" w:space="0" w:color="auto"/>
              <w:right w:val="nil"/>
            </w:tcBorders>
            <w:shd w:val="clear" w:color="auto" w:fill="auto"/>
            <w:noWrap/>
            <w:vAlign w:val="center"/>
            <w:hideMark/>
          </w:tcPr>
          <w:p w14:paraId="68CE69B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552" w:type="pct"/>
            <w:tcBorders>
              <w:top w:val="single" w:sz="4" w:space="0" w:color="auto"/>
              <w:left w:val="nil"/>
              <w:bottom w:val="single" w:sz="4" w:space="0" w:color="auto"/>
              <w:right w:val="nil"/>
            </w:tcBorders>
            <w:shd w:val="clear" w:color="auto" w:fill="auto"/>
            <w:noWrap/>
            <w:vAlign w:val="center"/>
            <w:hideMark/>
          </w:tcPr>
          <w:p w14:paraId="51BBA2C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c>
          <w:tcPr>
            <w:tcW w:w="552" w:type="pct"/>
            <w:tcBorders>
              <w:top w:val="single" w:sz="4" w:space="0" w:color="auto"/>
              <w:left w:val="nil"/>
              <w:bottom w:val="single" w:sz="4" w:space="0" w:color="auto"/>
              <w:right w:val="nil"/>
            </w:tcBorders>
            <w:shd w:val="clear" w:color="auto" w:fill="auto"/>
            <w:noWrap/>
            <w:vAlign w:val="center"/>
            <w:hideMark/>
          </w:tcPr>
          <w:p w14:paraId="266140D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X1-&gt;X3</w:t>
            </w:r>
          </w:p>
        </w:tc>
        <w:tc>
          <w:tcPr>
            <w:tcW w:w="552" w:type="pct"/>
            <w:tcBorders>
              <w:top w:val="single" w:sz="4" w:space="0" w:color="auto"/>
              <w:left w:val="nil"/>
              <w:bottom w:val="single" w:sz="4" w:space="0" w:color="auto"/>
              <w:right w:val="nil"/>
            </w:tcBorders>
            <w:shd w:val="clear" w:color="auto" w:fill="auto"/>
            <w:noWrap/>
            <w:vAlign w:val="center"/>
            <w:hideMark/>
          </w:tcPr>
          <w:p w14:paraId="7C01D5B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X3-&gt;X1</w:t>
            </w:r>
          </w:p>
        </w:tc>
        <w:tc>
          <w:tcPr>
            <w:tcW w:w="552" w:type="pct"/>
            <w:tcBorders>
              <w:top w:val="single" w:sz="4" w:space="0" w:color="auto"/>
              <w:left w:val="nil"/>
              <w:bottom w:val="single" w:sz="4" w:space="0" w:color="auto"/>
              <w:right w:val="nil"/>
            </w:tcBorders>
            <w:shd w:val="clear" w:color="auto" w:fill="auto"/>
            <w:noWrap/>
            <w:vAlign w:val="center"/>
            <w:hideMark/>
          </w:tcPr>
          <w:p w14:paraId="6D71BF1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X2-&gt;X3</w:t>
            </w:r>
          </w:p>
        </w:tc>
        <w:tc>
          <w:tcPr>
            <w:tcW w:w="552" w:type="pct"/>
            <w:tcBorders>
              <w:top w:val="single" w:sz="4" w:space="0" w:color="auto"/>
              <w:left w:val="nil"/>
              <w:bottom w:val="single" w:sz="4" w:space="0" w:color="auto"/>
              <w:right w:val="nil"/>
            </w:tcBorders>
            <w:shd w:val="clear" w:color="auto" w:fill="auto"/>
            <w:noWrap/>
            <w:vAlign w:val="center"/>
            <w:hideMark/>
          </w:tcPr>
          <w:p w14:paraId="3FBD23A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X3-&gt;X2</w:t>
            </w:r>
          </w:p>
        </w:tc>
      </w:tr>
      <w:tr w:rsidR="00C30160" w:rsidRPr="00CE0DE7" w14:paraId="66FE6CD9" w14:textId="77777777" w:rsidTr="00C24E43">
        <w:trPr>
          <w:trHeight w:val="300"/>
        </w:trPr>
        <w:tc>
          <w:tcPr>
            <w:tcW w:w="1688" w:type="pct"/>
            <w:tcBorders>
              <w:top w:val="single" w:sz="4" w:space="0" w:color="auto"/>
              <w:left w:val="nil"/>
              <w:bottom w:val="nil"/>
              <w:right w:val="single" w:sz="4" w:space="0" w:color="auto"/>
            </w:tcBorders>
            <w:shd w:val="clear" w:color="auto" w:fill="auto"/>
            <w:noWrap/>
            <w:vAlign w:val="bottom"/>
            <w:hideMark/>
          </w:tcPr>
          <w:p w14:paraId="4611AF18"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552" w:type="pct"/>
            <w:tcBorders>
              <w:top w:val="single" w:sz="4" w:space="0" w:color="auto"/>
              <w:left w:val="single" w:sz="4" w:space="0" w:color="auto"/>
              <w:bottom w:val="nil"/>
              <w:right w:val="nil"/>
            </w:tcBorders>
            <w:shd w:val="clear" w:color="auto" w:fill="auto"/>
            <w:noWrap/>
            <w:vAlign w:val="center"/>
            <w:hideMark/>
          </w:tcPr>
          <w:p w14:paraId="2F76FC9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0.3855</w:t>
            </w:r>
          </w:p>
        </w:tc>
        <w:tc>
          <w:tcPr>
            <w:tcW w:w="552" w:type="pct"/>
            <w:tcBorders>
              <w:top w:val="single" w:sz="4" w:space="0" w:color="auto"/>
              <w:left w:val="nil"/>
              <w:bottom w:val="nil"/>
              <w:right w:val="nil"/>
            </w:tcBorders>
            <w:shd w:val="clear" w:color="auto" w:fill="auto"/>
            <w:noWrap/>
            <w:vAlign w:val="center"/>
            <w:hideMark/>
          </w:tcPr>
          <w:p w14:paraId="02C4202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single" w:sz="4" w:space="0" w:color="auto"/>
              <w:left w:val="nil"/>
              <w:bottom w:val="nil"/>
              <w:right w:val="nil"/>
            </w:tcBorders>
            <w:shd w:val="clear" w:color="auto" w:fill="auto"/>
            <w:noWrap/>
            <w:vAlign w:val="center"/>
            <w:hideMark/>
          </w:tcPr>
          <w:p w14:paraId="3911DA4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single" w:sz="4" w:space="0" w:color="auto"/>
              <w:left w:val="nil"/>
              <w:bottom w:val="nil"/>
              <w:right w:val="nil"/>
            </w:tcBorders>
            <w:shd w:val="clear" w:color="auto" w:fill="auto"/>
            <w:noWrap/>
            <w:vAlign w:val="center"/>
            <w:hideMark/>
          </w:tcPr>
          <w:p w14:paraId="7CEF770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0.7565</w:t>
            </w:r>
          </w:p>
        </w:tc>
        <w:tc>
          <w:tcPr>
            <w:tcW w:w="552" w:type="pct"/>
            <w:tcBorders>
              <w:top w:val="single" w:sz="4" w:space="0" w:color="auto"/>
              <w:left w:val="nil"/>
              <w:bottom w:val="nil"/>
              <w:right w:val="nil"/>
            </w:tcBorders>
            <w:shd w:val="clear" w:color="auto" w:fill="auto"/>
            <w:noWrap/>
            <w:vAlign w:val="center"/>
            <w:hideMark/>
          </w:tcPr>
          <w:p w14:paraId="09B7842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0.3215</w:t>
            </w:r>
          </w:p>
        </w:tc>
        <w:tc>
          <w:tcPr>
            <w:tcW w:w="552" w:type="pct"/>
            <w:tcBorders>
              <w:top w:val="single" w:sz="4" w:space="0" w:color="auto"/>
              <w:left w:val="nil"/>
              <w:bottom w:val="nil"/>
              <w:right w:val="nil"/>
            </w:tcBorders>
            <w:shd w:val="clear" w:color="auto" w:fill="auto"/>
            <w:noWrap/>
            <w:vAlign w:val="center"/>
            <w:hideMark/>
          </w:tcPr>
          <w:p w14:paraId="60563A1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0.4706</w:t>
            </w:r>
          </w:p>
        </w:tc>
      </w:tr>
      <w:tr w:rsidR="00C30160" w:rsidRPr="00CE0DE7" w14:paraId="652E0D50" w14:textId="77777777" w:rsidTr="00C24E43">
        <w:trPr>
          <w:trHeight w:val="300"/>
        </w:trPr>
        <w:tc>
          <w:tcPr>
            <w:tcW w:w="1688" w:type="pct"/>
            <w:tcBorders>
              <w:top w:val="nil"/>
              <w:left w:val="nil"/>
              <w:bottom w:val="nil"/>
              <w:right w:val="single" w:sz="4" w:space="0" w:color="auto"/>
            </w:tcBorders>
            <w:shd w:val="clear" w:color="auto" w:fill="auto"/>
            <w:noWrap/>
            <w:vAlign w:val="bottom"/>
            <w:hideMark/>
          </w:tcPr>
          <w:p w14:paraId="49A2B665"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552" w:type="pct"/>
            <w:tcBorders>
              <w:top w:val="nil"/>
              <w:left w:val="single" w:sz="4" w:space="0" w:color="auto"/>
              <w:bottom w:val="nil"/>
              <w:right w:val="nil"/>
            </w:tcBorders>
            <w:shd w:val="clear" w:color="auto" w:fill="auto"/>
            <w:noWrap/>
            <w:vAlign w:val="center"/>
            <w:hideMark/>
          </w:tcPr>
          <w:p w14:paraId="023C1A4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0.3646</w:t>
            </w:r>
          </w:p>
        </w:tc>
        <w:tc>
          <w:tcPr>
            <w:tcW w:w="552" w:type="pct"/>
            <w:tcBorders>
              <w:top w:val="nil"/>
              <w:left w:val="nil"/>
              <w:bottom w:val="nil"/>
              <w:right w:val="nil"/>
            </w:tcBorders>
            <w:shd w:val="clear" w:color="auto" w:fill="auto"/>
            <w:noWrap/>
            <w:vAlign w:val="center"/>
            <w:hideMark/>
          </w:tcPr>
          <w:p w14:paraId="56CA057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1F408BF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0A4726A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0.2413</w:t>
            </w:r>
          </w:p>
        </w:tc>
        <w:tc>
          <w:tcPr>
            <w:tcW w:w="552" w:type="pct"/>
            <w:tcBorders>
              <w:top w:val="nil"/>
              <w:left w:val="nil"/>
              <w:bottom w:val="nil"/>
              <w:right w:val="nil"/>
            </w:tcBorders>
            <w:shd w:val="clear" w:color="auto" w:fill="auto"/>
            <w:noWrap/>
            <w:vAlign w:val="center"/>
            <w:hideMark/>
          </w:tcPr>
          <w:p w14:paraId="66A2A1E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0.1142</w:t>
            </w:r>
          </w:p>
        </w:tc>
        <w:tc>
          <w:tcPr>
            <w:tcW w:w="552" w:type="pct"/>
            <w:tcBorders>
              <w:top w:val="nil"/>
              <w:left w:val="nil"/>
              <w:bottom w:val="nil"/>
              <w:right w:val="nil"/>
            </w:tcBorders>
            <w:shd w:val="clear" w:color="auto" w:fill="auto"/>
            <w:noWrap/>
            <w:vAlign w:val="center"/>
            <w:hideMark/>
          </w:tcPr>
          <w:p w14:paraId="082A98A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0.4146</w:t>
            </w:r>
          </w:p>
        </w:tc>
      </w:tr>
      <w:tr w:rsidR="00C30160" w:rsidRPr="00CE0DE7" w14:paraId="35CC2B54" w14:textId="77777777" w:rsidTr="00C24E43">
        <w:trPr>
          <w:trHeight w:val="300"/>
        </w:trPr>
        <w:tc>
          <w:tcPr>
            <w:tcW w:w="1688" w:type="pct"/>
            <w:tcBorders>
              <w:top w:val="nil"/>
              <w:left w:val="nil"/>
              <w:bottom w:val="nil"/>
              <w:right w:val="single" w:sz="4" w:space="0" w:color="auto"/>
            </w:tcBorders>
            <w:shd w:val="clear" w:color="auto" w:fill="auto"/>
            <w:noWrap/>
            <w:vAlign w:val="bottom"/>
            <w:hideMark/>
          </w:tcPr>
          <w:p w14:paraId="32C19213"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552" w:type="pct"/>
            <w:tcBorders>
              <w:top w:val="nil"/>
              <w:left w:val="single" w:sz="4" w:space="0" w:color="auto"/>
              <w:bottom w:val="nil"/>
              <w:right w:val="nil"/>
            </w:tcBorders>
            <w:shd w:val="clear" w:color="auto" w:fill="auto"/>
            <w:noWrap/>
            <w:vAlign w:val="center"/>
            <w:hideMark/>
          </w:tcPr>
          <w:p w14:paraId="470DBED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0.7397</w:t>
            </w:r>
          </w:p>
        </w:tc>
        <w:tc>
          <w:tcPr>
            <w:tcW w:w="552" w:type="pct"/>
            <w:tcBorders>
              <w:top w:val="nil"/>
              <w:left w:val="nil"/>
              <w:bottom w:val="nil"/>
              <w:right w:val="nil"/>
            </w:tcBorders>
            <w:shd w:val="clear" w:color="auto" w:fill="auto"/>
            <w:noWrap/>
            <w:vAlign w:val="center"/>
            <w:hideMark/>
          </w:tcPr>
          <w:p w14:paraId="755F131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5B6B98F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49D9211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0.6769</w:t>
            </w:r>
          </w:p>
        </w:tc>
        <w:tc>
          <w:tcPr>
            <w:tcW w:w="552" w:type="pct"/>
            <w:tcBorders>
              <w:top w:val="nil"/>
              <w:left w:val="nil"/>
              <w:bottom w:val="nil"/>
              <w:right w:val="nil"/>
            </w:tcBorders>
            <w:shd w:val="clear" w:color="auto" w:fill="auto"/>
            <w:noWrap/>
            <w:vAlign w:val="center"/>
            <w:hideMark/>
          </w:tcPr>
          <w:p w14:paraId="29D6460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1C48F42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0.2527</w:t>
            </w:r>
          </w:p>
        </w:tc>
      </w:tr>
      <w:tr w:rsidR="00C30160" w:rsidRPr="00CE0DE7" w14:paraId="6CC19E65" w14:textId="77777777" w:rsidTr="00C24E43">
        <w:trPr>
          <w:trHeight w:val="300"/>
        </w:trPr>
        <w:tc>
          <w:tcPr>
            <w:tcW w:w="1688" w:type="pct"/>
            <w:tcBorders>
              <w:top w:val="nil"/>
              <w:left w:val="nil"/>
              <w:bottom w:val="nil"/>
              <w:right w:val="single" w:sz="4" w:space="0" w:color="auto"/>
            </w:tcBorders>
            <w:shd w:val="clear" w:color="auto" w:fill="auto"/>
            <w:noWrap/>
            <w:vAlign w:val="bottom"/>
            <w:hideMark/>
          </w:tcPr>
          <w:p w14:paraId="74A70C34"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552" w:type="pct"/>
            <w:tcBorders>
              <w:top w:val="nil"/>
              <w:left w:val="single" w:sz="4" w:space="0" w:color="auto"/>
              <w:bottom w:val="nil"/>
              <w:right w:val="nil"/>
            </w:tcBorders>
            <w:shd w:val="clear" w:color="auto" w:fill="auto"/>
            <w:noWrap/>
            <w:vAlign w:val="center"/>
            <w:hideMark/>
          </w:tcPr>
          <w:p w14:paraId="478C2D2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0.6265</w:t>
            </w:r>
          </w:p>
        </w:tc>
        <w:tc>
          <w:tcPr>
            <w:tcW w:w="552" w:type="pct"/>
            <w:tcBorders>
              <w:top w:val="nil"/>
              <w:left w:val="nil"/>
              <w:bottom w:val="nil"/>
              <w:right w:val="nil"/>
            </w:tcBorders>
            <w:shd w:val="clear" w:color="auto" w:fill="auto"/>
            <w:noWrap/>
            <w:vAlign w:val="center"/>
            <w:hideMark/>
          </w:tcPr>
          <w:p w14:paraId="67AD6AE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02EB77D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1E621F7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0.3958</w:t>
            </w:r>
          </w:p>
        </w:tc>
        <w:tc>
          <w:tcPr>
            <w:tcW w:w="552" w:type="pct"/>
            <w:tcBorders>
              <w:top w:val="nil"/>
              <w:left w:val="nil"/>
              <w:bottom w:val="nil"/>
              <w:right w:val="nil"/>
            </w:tcBorders>
            <w:shd w:val="clear" w:color="auto" w:fill="auto"/>
            <w:noWrap/>
            <w:vAlign w:val="center"/>
            <w:hideMark/>
          </w:tcPr>
          <w:p w14:paraId="355F062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197D08A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0.4125</w:t>
            </w:r>
          </w:p>
        </w:tc>
      </w:tr>
      <w:tr w:rsidR="00C30160" w:rsidRPr="00CE0DE7" w14:paraId="4FA56401" w14:textId="77777777" w:rsidTr="00C24E43">
        <w:trPr>
          <w:trHeight w:val="300"/>
        </w:trPr>
        <w:tc>
          <w:tcPr>
            <w:tcW w:w="1688" w:type="pct"/>
            <w:tcBorders>
              <w:top w:val="nil"/>
              <w:left w:val="nil"/>
              <w:bottom w:val="nil"/>
              <w:right w:val="single" w:sz="4" w:space="0" w:color="auto"/>
            </w:tcBorders>
            <w:shd w:val="clear" w:color="auto" w:fill="auto"/>
            <w:noWrap/>
            <w:vAlign w:val="bottom"/>
            <w:hideMark/>
          </w:tcPr>
          <w:p w14:paraId="5AE67D94"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552" w:type="pct"/>
            <w:tcBorders>
              <w:top w:val="nil"/>
              <w:left w:val="single" w:sz="4" w:space="0" w:color="auto"/>
              <w:bottom w:val="nil"/>
              <w:right w:val="nil"/>
            </w:tcBorders>
            <w:shd w:val="clear" w:color="auto" w:fill="auto"/>
            <w:noWrap/>
            <w:vAlign w:val="center"/>
            <w:hideMark/>
          </w:tcPr>
          <w:p w14:paraId="576C7E6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0.1319</w:t>
            </w:r>
          </w:p>
        </w:tc>
        <w:tc>
          <w:tcPr>
            <w:tcW w:w="552" w:type="pct"/>
            <w:tcBorders>
              <w:top w:val="nil"/>
              <w:left w:val="nil"/>
              <w:bottom w:val="nil"/>
              <w:right w:val="nil"/>
            </w:tcBorders>
            <w:shd w:val="clear" w:color="auto" w:fill="auto"/>
            <w:noWrap/>
            <w:vAlign w:val="center"/>
            <w:hideMark/>
          </w:tcPr>
          <w:p w14:paraId="7839A42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565C817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35DF2C0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0.6803</w:t>
            </w:r>
          </w:p>
        </w:tc>
        <w:tc>
          <w:tcPr>
            <w:tcW w:w="552" w:type="pct"/>
            <w:tcBorders>
              <w:top w:val="nil"/>
              <w:left w:val="nil"/>
              <w:bottom w:val="nil"/>
              <w:right w:val="nil"/>
            </w:tcBorders>
            <w:shd w:val="clear" w:color="auto" w:fill="auto"/>
            <w:noWrap/>
            <w:vAlign w:val="center"/>
            <w:hideMark/>
          </w:tcPr>
          <w:p w14:paraId="4DA8460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0.0036</w:t>
            </w:r>
          </w:p>
        </w:tc>
        <w:tc>
          <w:tcPr>
            <w:tcW w:w="552" w:type="pct"/>
            <w:tcBorders>
              <w:top w:val="nil"/>
              <w:left w:val="nil"/>
              <w:bottom w:val="nil"/>
              <w:right w:val="nil"/>
            </w:tcBorders>
            <w:shd w:val="clear" w:color="auto" w:fill="auto"/>
            <w:noWrap/>
            <w:vAlign w:val="center"/>
            <w:hideMark/>
          </w:tcPr>
          <w:p w14:paraId="4B92892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0.1814</w:t>
            </w:r>
          </w:p>
        </w:tc>
      </w:tr>
      <w:tr w:rsidR="00C30160" w:rsidRPr="00CE0DE7" w14:paraId="6A608F36" w14:textId="77777777" w:rsidTr="00C24E43">
        <w:trPr>
          <w:trHeight w:val="300"/>
        </w:trPr>
        <w:tc>
          <w:tcPr>
            <w:tcW w:w="1688" w:type="pct"/>
            <w:tcBorders>
              <w:top w:val="nil"/>
              <w:left w:val="nil"/>
              <w:bottom w:val="single" w:sz="12" w:space="0" w:color="auto"/>
              <w:right w:val="single" w:sz="4" w:space="0" w:color="auto"/>
            </w:tcBorders>
            <w:shd w:val="clear" w:color="auto" w:fill="auto"/>
            <w:noWrap/>
            <w:vAlign w:val="bottom"/>
            <w:hideMark/>
          </w:tcPr>
          <w:p w14:paraId="16FA6058"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552" w:type="pct"/>
            <w:tcBorders>
              <w:top w:val="nil"/>
              <w:left w:val="single" w:sz="4" w:space="0" w:color="auto"/>
              <w:bottom w:val="single" w:sz="12" w:space="0" w:color="auto"/>
              <w:right w:val="nil"/>
            </w:tcBorders>
            <w:shd w:val="clear" w:color="auto" w:fill="auto"/>
            <w:noWrap/>
            <w:vAlign w:val="center"/>
            <w:hideMark/>
          </w:tcPr>
          <w:p w14:paraId="1E4ECB9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0.1038</w:t>
            </w:r>
          </w:p>
        </w:tc>
        <w:tc>
          <w:tcPr>
            <w:tcW w:w="552" w:type="pct"/>
            <w:tcBorders>
              <w:top w:val="nil"/>
              <w:left w:val="nil"/>
              <w:bottom w:val="single" w:sz="12" w:space="0" w:color="auto"/>
              <w:right w:val="nil"/>
            </w:tcBorders>
            <w:shd w:val="clear" w:color="auto" w:fill="auto"/>
            <w:noWrap/>
            <w:vAlign w:val="center"/>
            <w:hideMark/>
          </w:tcPr>
          <w:p w14:paraId="4FE60FF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single" w:sz="12" w:space="0" w:color="auto"/>
              <w:right w:val="nil"/>
            </w:tcBorders>
            <w:shd w:val="clear" w:color="auto" w:fill="auto"/>
            <w:noWrap/>
            <w:vAlign w:val="center"/>
            <w:hideMark/>
          </w:tcPr>
          <w:p w14:paraId="4800417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0.0001</w:t>
            </w:r>
          </w:p>
        </w:tc>
        <w:tc>
          <w:tcPr>
            <w:tcW w:w="552" w:type="pct"/>
            <w:tcBorders>
              <w:top w:val="nil"/>
              <w:left w:val="nil"/>
              <w:bottom w:val="single" w:sz="12" w:space="0" w:color="auto"/>
              <w:right w:val="nil"/>
            </w:tcBorders>
            <w:shd w:val="clear" w:color="auto" w:fill="auto"/>
            <w:noWrap/>
            <w:vAlign w:val="center"/>
            <w:hideMark/>
          </w:tcPr>
          <w:p w14:paraId="4CDC42E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0.1203</w:t>
            </w:r>
          </w:p>
        </w:tc>
        <w:tc>
          <w:tcPr>
            <w:tcW w:w="552" w:type="pct"/>
            <w:tcBorders>
              <w:top w:val="nil"/>
              <w:left w:val="nil"/>
              <w:bottom w:val="single" w:sz="12" w:space="0" w:color="auto"/>
              <w:right w:val="nil"/>
            </w:tcBorders>
            <w:shd w:val="clear" w:color="auto" w:fill="auto"/>
            <w:noWrap/>
            <w:vAlign w:val="center"/>
            <w:hideMark/>
          </w:tcPr>
          <w:p w14:paraId="39006FF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0.0001</w:t>
            </w:r>
          </w:p>
        </w:tc>
        <w:tc>
          <w:tcPr>
            <w:tcW w:w="552" w:type="pct"/>
            <w:tcBorders>
              <w:top w:val="nil"/>
              <w:left w:val="nil"/>
              <w:bottom w:val="single" w:sz="12" w:space="0" w:color="auto"/>
              <w:right w:val="nil"/>
            </w:tcBorders>
            <w:shd w:val="clear" w:color="auto" w:fill="auto"/>
            <w:noWrap/>
            <w:vAlign w:val="center"/>
            <w:hideMark/>
          </w:tcPr>
          <w:p w14:paraId="60D51A5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0.3950</w:t>
            </w:r>
          </w:p>
        </w:tc>
      </w:tr>
      <w:tr w:rsidR="00C30160" w:rsidRPr="00CE0DE7" w14:paraId="12ABB716" w14:textId="77777777" w:rsidTr="00C24E43">
        <w:trPr>
          <w:trHeight w:val="300"/>
        </w:trPr>
        <w:tc>
          <w:tcPr>
            <w:tcW w:w="5000" w:type="pct"/>
            <w:gridSpan w:val="7"/>
            <w:tcBorders>
              <w:top w:val="single" w:sz="12" w:space="0" w:color="auto"/>
              <w:left w:val="nil"/>
              <w:bottom w:val="single" w:sz="12" w:space="0" w:color="auto"/>
              <w:right w:val="nil"/>
            </w:tcBorders>
            <w:shd w:val="clear" w:color="auto" w:fill="auto"/>
            <w:noWrap/>
            <w:vAlign w:val="center"/>
            <w:hideMark/>
          </w:tcPr>
          <w:p w14:paraId="15630461" w14:textId="77777777" w:rsidR="00C30160" w:rsidRPr="00CE0DE7" w:rsidRDefault="00C30160" w:rsidP="00C24E43">
            <w:pPr>
              <w:jc w:val="center"/>
              <w:rPr>
                <w:rFonts w:eastAsia="Times New Roman"/>
                <w:color w:val="000000"/>
                <w:sz w:val="20"/>
                <w:szCs w:val="20"/>
                <w:lang w:val="en-GB" w:eastAsia="zh-CN"/>
              </w:rPr>
            </w:pPr>
          </w:p>
        </w:tc>
      </w:tr>
      <w:tr w:rsidR="00C30160" w:rsidRPr="00CE0DE7" w14:paraId="28C24869" w14:textId="77777777" w:rsidTr="00C24E43">
        <w:trPr>
          <w:trHeight w:val="300"/>
        </w:trPr>
        <w:tc>
          <w:tcPr>
            <w:tcW w:w="1688" w:type="pct"/>
            <w:tcBorders>
              <w:top w:val="single" w:sz="12" w:space="0" w:color="auto"/>
              <w:left w:val="nil"/>
              <w:bottom w:val="nil"/>
              <w:right w:val="single" w:sz="4" w:space="0" w:color="auto"/>
            </w:tcBorders>
            <w:shd w:val="clear" w:color="auto" w:fill="auto"/>
            <w:noWrap/>
            <w:vAlign w:val="bottom"/>
            <w:hideMark/>
          </w:tcPr>
          <w:p w14:paraId="609B8328" w14:textId="77777777" w:rsidR="00C30160" w:rsidRPr="00CE0DE7" w:rsidRDefault="00C30160" w:rsidP="00C24E43">
            <w:pPr>
              <w:jc w:val="center"/>
              <w:rPr>
                <w:rFonts w:eastAsia="Times New Roman"/>
                <w:sz w:val="20"/>
                <w:szCs w:val="20"/>
                <w:lang w:val="en-GB" w:eastAsia="zh-CN"/>
              </w:rPr>
            </w:pPr>
          </w:p>
        </w:tc>
        <w:tc>
          <w:tcPr>
            <w:tcW w:w="3312" w:type="pct"/>
            <w:gridSpan w:val="6"/>
            <w:tcBorders>
              <w:top w:val="single" w:sz="12" w:space="0" w:color="auto"/>
              <w:left w:val="single" w:sz="4" w:space="0" w:color="auto"/>
              <w:bottom w:val="single" w:sz="4" w:space="0" w:color="auto"/>
              <w:right w:val="nil"/>
            </w:tcBorders>
            <w:shd w:val="clear" w:color="auto" w:fill="auto"/>
            <w:noWrap/>
            <w:vAlign w:val="center"/>
            <w:hideMark/>
          </w:tcPr>
          <w:p w14:paraId="4903904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 xml:space="preserve">X1: </w:t>
            </w:r>
            <w:r w:rsidRPr="00CE0DE7">
              <w:rPr>
                <w:rFonts w:eastAsia="Times New Roman"/>
                <w:i/>
                <w:iCs/>
                <w:color w:val="000000"/>
                <w:sz w:val="20"/>
                <w:szCs w:val="20"/>
                <w:lang w:val="en-GB" w:eastAsia="zh-CN"/>
              </w:rPr>
              <w:t>INDEX</w:t>
            </w:r>
          </w:p>
        </w:tc>
      </w:tr>
      <w:tr w:rsidR="00C30160" w:rsidRPr="00CE0DE7" w14:paraId="45BF7CDC" w14:textId="77777777" w:rsidTr="00C24E43">
        <w:trPr>
          <w:trHeight w:val="300"/>
        </w:trPr>
        <w:tc>
          <w:tcPr>
            <w:tcW w:w="1688" w:type="pct"/>
            <w:tcBorders>
              <w:top w:val="nil"/>
              <w:left w:val="nil"/>
              <w:bottom w:val="single" w:sz="4" w:space="0" w:color="auto"/>
              <w:right w:val="single" w:sz="4" w:space="0" w:color="auto"/>
            </w:tcBorders>
            <w:shd w:val="clear" w:color="auto" w:fill="auto"/>
            <w:noWrap/>
            <w:vAlign w:val="bottom"/>
            <w:hideMark/>
          </w:tcPr>
          <w:p w14:paraId="4060B777" w14:textId="77777777" w:rsidR="00C30160" w:rsidRPr="00CE0DE7" w:rsidRDefault="00C30160" w:rsidP="00C24E43">
            <w:pPr>
              <w:jc w:val="center"/>
              <w:rPr>
                <w:rFonts w:eastAsia="Times New Roman"/>
                <w:color w:val="000000"/>
                <w:sz w:val="20"/>
                <w:szCs w:val="20"/>
                <w:lang w:val="en-GB" w:eastAsia="zh-CN"/>
              </w:rPr>
            </w:pPr>
          </w:p>
        </w:tc>
        <w:tc>
          <w:tcPr>
            <w:tcW w:w="552" w:type="pct"/>
            <w:tcBorders>
              <w:top w:val="single" w:sz="4" w:space="0" w:color="auto"/>
              <w:left w:val="single" w:sz="4" w:space="0" w:color="auto"/>
              <w:bottom w:val="single" w:sz="4" w:space="0" w:color="auto"/>
              <w:right w:val="nil"/>
            </w:tcBorders>
            <w:shd w:val="clear" w:color="auto" w:fill="auto"/>
            <w:noWrap/>
            <w:vAlign w:val="center"/>
            <w:hideMark/>
          </w:tcPr>
          <w:p w14:paraId="596B297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552" w:type="pct"/>
            <w:tcBorders>
              <w:top w:val="single" w:sz="4" w:space="0" w:color="auto"/>
              <w:left w:val="nil"/>
              <w:bottom w:val="single" w:sz="4" w:space="0" w:color="auto"/>
              <w:right w:val="nil"/>
            </w:tcBorders>
            <w:shd w:val="clear" w:color="auto" w:fill="auto"/>
            <w:noWrap/>
            <w:vAlign w:val="center"/>
            <w:hideMark/>
          </w:tcPr>
          <w:p w14:paraId="7F22C73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c>
          <w:tcPr>
            <w:tcW w:w="552" w:type="pct"/>
            <w:tcBorders>
              <w:top w:val="single" w:sz="4" w:space="0" w:color="auto"/>
              <w:left w:val="nil"/>
              <w:bottom w:val="single" w:sz="4" w:space="0" w:color="auto"/>
              <w:right w:val="nil"/>
            </w:tcBorders>
            <w:shd w:val="clear" w:color="auto" w:fill="auto"/>
            <w:noWrap/>
            <w:vAlign w:val="center"/>
            <w:hideMark/>
          </w:tcPr>
          <w:p w14:paraId="74428FE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X1-&gt;X3</w:t>
            </w:r>
          </w:p>
        </w:tc>
        <w:tc>
          <w:tcPr>
            <w:tcW w:w="552" w:type="pct"/>
            <w:tcBorders>
              <w:top w:val="single" w:sz="4" w:space="0" w:color="auto"/>
              <w:left w:val="nil"/>
              <w:bottom w:val="single" w:sz="4" w:space="0" w:color="auto"/>
              <w:right w:val="nil"/>
            </w:tcBorders>
            <w:shd w:val="clear" w:color="auto" w:fill="auto"/>
            <w:noWrap/>
            <w:vAlign w:val="center"/>
            <w:hideMark/>
          </w:tcPr>
          <w:p w14:paraId="38969C6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X3-&gt;X1</w:t>
            </w:r>
          </w:p>
        </w:tc>
        <w:tc>
          <w:tcPr>
            <w:tcW w:w="552" w:type="pct"/>
            <w:tcBorders>
              <w:top w:val="single" w:sz="4" w:space="0" w:color="auto"/>
              <w:left w:val="nil"/>
              <w:bottom w:val="single" w:sz="4" w:space="0" w:color="auto"/>
              <w:right w:val="nil"/>
            </w:tcBorders>
            <w:shd w:val="clear" w:color="auto" w:fill="auto"/>
            <w:noWrap/>
            <w:vAlign w:val="center"/>
            <w:hideMark/>
          </w:tcPr>
          <w:p w14:paraId="04FB0A6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X2-&gt;X3</w:t>
            </w:r>
          </w:p>
        </w:tc>
        <w:tc>
          <w:tcPr>
            <w:tcW w:w="552" w:type="pct"/>
            <w:tcBorders>
              <w:top w:val="single" w:sz="4" w:space="0" w:color="auto"/>
              <w:left w:val="nil"/>
              <w:bottom w:val="single" w:sz="4" w:space="0" w:color="auto"/>
              <w:right w:val="nil"/>
            </w:tcBorders>
            <w:shd w:val="clear" w:color="auto" w:fill="auto"/>
            <w:noWrap/>
            <w:vAlign w:val="center"/>
            <w:hideMark/>
          </w:tcPr>
          <w:p w14:paraId="2DCA522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X3-&gt;X2</w:t>
            </w:r>
          </w:p>
        </w:tc>
      </w:tr>
      <w:tr w:rsidR="00C30160" w:rsidRPr="00CE0DE7" w14:paraId="1D6BE4D8" w14:textId="77777777" w:rsidTr="00C24E43">
        <w:trPr>
          <w:trHeight w:val="300"/>
        </w:trPr>
        <w:tc>
          <w:tcPr>
            <w:tcW w:w="1688" w:type="pct"/>
            <w:tcBorders>
              <w:top w:val="single" w:sz="4" w:space="0" w:color="auto"/>
              <w:left w:val="nil"/>
              <w:bottom w:val="nil"/>
              <w:right w:val="single" w:sz="4" w:space="0" w:color="auto"/>
            </w:tcBorders>
            <w:shd w:val="clear" w:color="auto" w:fill="auto"/>
            <w:noWrap/>
            <w:vAlign w:val="bottom"/>
            <w:hideMark/>
          </w:tcPr>
          <w:p w14:paraId="5E25EF11"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552" w:type="pct"/>
            <w:tcBorders>
              <w:top w:val="single" w:sz="4" w:space="0" w:color="auto"/>
              <w:left w:val="single" w:sz="4" w:space="0" w:color="auto"/>
              <w:bottom w:val="nil"/>
              <w:right w:val="nil"/>
            </w:tcBorders>
            <w:shd w:val="clear" w:color="auto" w:fill="auto"/>
            <w:noWrap/>
            <w:vAlign w:val="center"/>
            <w:hideMark/>
          </w:tcPr>
          <w:p w14:paraId="705155A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0.4161</w:t>
            </w:r>
          </w:p>
        </w:tc>
        <w:tc>
          <w:tcPr>
            <w:tcW w:w="552" w:type="pct"/>
            <w:tcBorders>
              <w:top w:val="single" w:sz="4" w:space="0" w:color="auto"/>
              <w:left w:val="nil"/>
              <w:bottom w:val="nil"/>
              <w:right w:val="nil"/>
            </w:tcBorders>
            <w:shd w:val="clear" w:color="auto" w:fill="auto"/>
            <w:noWrap/>
            <w:vAlign w:val="center"/>
            <w:hideMark/>
          </w:tcPr>
          <w:p w14:paraId="7B4F2EB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single" w:sz="4" w:space="0" w:color="auto"/>
              <w:left w:val="nil"/>
              <w:bottom w:val="nil"/>
              <w:right w:val="nil"/>
            </w:tcBorders>
            <w:shd w:val="clear" w:color="auto" w:fill="auto"/>
            <w:noWrap/>
            <w:vAlign w:val="center"/>
            <w:hideMark/>
          </w:tcPr>
          <w:p w14:paraId="27C0474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single" w:sz="4" w:space="0" w:color="auto"/>
              <w:left w:val="nil"/>
              <w:bottom w:val="nil"/>
              <w:right w:val="nil"/>
            </w:tcBorders>
            <w:shd w:val="clear" w:color="auto" w:fill="auto"/>
            <w:noWrap/>
            <w:vAlign w:val="center"/>
            <w:hideMark/>
          </w:tcPr>
          <w:p w14:paraId="167A263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0.6286</w:t>
            </w:r>
          </w:p>
        </w:tc>
        <w:tc>
          <w:tcPr>
            <w:tcW w:w="552" w:type="pct"/>
            <w:tcBorders>
              <w:top w:val="single" w:sz="4" w:space="0" w:color="auto"/>
              <w:left w:val="nil"/>
              <w:bottom w:val="nil"/>
              <w:right w:val="nil"/>
            </w:tcBorders>
            <w:shd w:val="clear" w:color="auto" w:fill="auto"/>
            <w:noWrap/>
            <w:vAlign w:val="center"/>
            <w:hideMark/>
          </w:tcPr>
          <w:p w14:paraId="6718B5C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0.4863</w:t>
            </w:r>
          </w:p>
        </w:tc>
        <w:tc>
          <w:tcPr>
            <w:tcW w:w="552" w:type="pct"/>
            <w:tcBorders>
              <w:top w:val="single" w:sz="4" w:space="0" w:color="auto"/>
              <w:left w:val="nil"/>
              <w:bottom w:val="nil"/>
              <w:right w:val="nil"/>
            </w:tcBorders>
            <w:shd w:val="clear" w:color="auto" w:fill="auto"/>
            <w:noWrap/>
            <w:vAlign w:val="center"/>
            <w:hideMark/>
          </w:tcPr>
          <w:p w14:paraId="3A02EDD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0.4656</w:t>
            </w:r>
          </w:p>
        </w:tc>
      </w:tr>
      <w:tr w:rsidR="00C30160" w:rsidRPr="00CE0DE7" w14:paraId="331E0709" w14:textId="77777777" w:rsidTr="00C24E43">
        <w:trPr>
          <w:trHeight w:val="300"/>
        </w:trPr>
        <w:tc>
          <w:tcPr>
            <w:tcW w:w="1688" w:type="pct"/>
            <w:tcBorders>
              <w:top w:val="nil"/>
              <w:left w:val="nil"/>
              <w:bottom w:val="nil"/>
              <w:right w:val="single" w:sz="4" w:space="0" w:color="auto"/>
            </w:tcBorders>
            <w:shd w:val="clear" w:color="auto" w:fill="auto"/>
            <w:noWrap/>
            <w:vAlign w:val="bottom"/>
            <w:hideMark/>
          </w:tcPr>
          <w:p w14:paraId="4F36F6BA"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552" w:type="pct"/>
            <w:tcBorders>
              <w:top w:val="nil"/>
              <w:left w:val="single" w:sz="4" w:space="0" w:color="auto"/>
              <w:bottom w:val="nil"/>
              <w:right w:val="nil"/>
            </w:tcBorders>
            <w:shd w:val="clear" w:color="auto" w:fill="auto"/>
            <w:noWrap/>
            <w:vAlign w:val="center"/>
            <w:hideMark/>
          </w:tcPr>
          <w:p w14:paraId="0AA4299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0.3945</w:t>
            </w:r>
          </w:p>
        </w:tc>
        <w:tc>
          <w:tcPr>
            <w:tcW w:w="552" w:type="pct"/>
            <w:tcBorders>
              <w:top w:val="nil"/>
              <w:left w:val="nil"/>
              <w:bottom w:val="nil"/>
              <w:right w:val="nil"/>
            </w:tcBorders>
            <w:shd w:val="clear" w:color="auto" w:fill="auto"/>
            <w:noWrap/>
            <w:vAlign w:val="center"/>
            <w:hideMark/>
          </w:tcPr>
          <w:p w14:paraId="56DD696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0720F6C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16A6D9E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0.2937</w:t>
            </w:r>
          </w:p>
        </w:tc>
        <w:tc>
          <w:tcPr>
            <w:tcW w:w="552" w:type="pct"/>
            <w:tcBorders>
              <w:top w:val="nil"/>
              <w:left w:val="nil"/>
              <w:bottom w:val="nil"/>
              <w:right w:val="nil"/>
            </w:tcBorders>
            <w:shd w:val="clear" w:color="auto" w:fill="auto"/>
            <w:noWrap/>
            <w:vAlign w:val="center"/>
            <w:hideMark/>
          </w:tcPr>
          <w:p w14:paraId="1A03191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0.1673</w:t>
            </w:r>
          </w:p>
        </w:tc>
        <w:tc>
          <w:tcPr>
            <w:tcW w:w="552" w:type="pct"/>
            <w:tcBorders>
              <w:top w:val="nil"/>
              <w:left w:val="nil"/>
              <w:bottom w:val="nil"/>
              <w:right w:val="nil"/>
            </w:tcBorders>
            <w:shd w:val="clear" w:color="auto" w:fill="auto"/>
            <w:noWrap/>
            <w:vAlign w:val="center"/>
            <w:hideMark/>
          </w:tcPr>
          <w:p w14:paraId="03E63F7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0.4129</w:t>
            </w:r>
          </w:p>
        </w:tc>
      </w:tr>
      <w:tr w:rsidR="00C30160" w:rsidRPr="00CE0DE7" w14:paraId="0B9A0C3C" w14:textId="77777777" w:rsidTr="00C24E43">
        <w:trPr>
          <w:trHeight w:val="300"/>
        </w:trPr>
        <w:tc>
          <w:tcPr>
            <w:tcW w:w="1688" w:type="pct"/>
            <w:tcBorders>
              <w:top w:val="nil"/>
              <w:left w:val="nil"/>
              <w:bottom w:val="nil"/>
              <w:right w:val="single" w:sz="4" w:space="0" w:color="auto"/>
            </w:tcBorders>
            <w:shd w:val="clear" w:color="auto" w:fill="auto"/>
            <w:noWrap/>
            <w:vAlign w:val="bottom"/>
            <w:hideMark/>
          </w:tcPr>
          <w:p w14:paraId="2200A456"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552" w:type="pct"/>
            <w:tcBorders>
              <w:top w:val="nil"/>
              <w:left w:val="single" w:sz="4" w:space="0" w:color="auto"/>
              <w:bottom w:val="nil"/>
              <w:right w:val="nil"/>
            </w:tcBorders>
            <w:shd w:val="clear" w:color="auto" w:fill="auto"/>
            <w:noWrap/>
            <w:vAlign w:val="center"/>
            <w:hideMark/>
          </w:tcPr>
          <w:p w14:paraId="0DAD365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0.7992</w:t>
            </w:r>
          </w:p>
        </w:tc>
        <w:tc>
          <w:tcPr>
            <w:tcW w:w="552" w:type="pct"/>
            <w:tcBorders>
              <w:top w:val="nil"/>
              <w:left w:val="nil"/>
              <w:bottom w:val="nil"/>
              <w:right w:val="nil"/>
            </w:tcBorders>
            <w:shd w:val="clear" w:color="auto" w:fill="auto"/>
            <w:noWrap/>
            <w:vAlign w:val="center"/>
            <w:hideMark/>
          </w:tcPr>
          <w:p w14:paraId="490A327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273F0C6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38CB60A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0.6862</w:t>
            </w:r>
          </w:p>
        </w:tc>
        <w:tc>
          <w:tcPr>
            <w:tcW w:w="552" w:type="pct"/>
            <w:tcBorders>
              <w:top w:val="nil"/>
              <w:left w:val="nil"/>
              <w:bottom w:val="nil"/>
              <w:right w:val="nil"/>
            </w:tcBorders>
            <w:shd w:val="clear" w:color="auto" w:fill="auto"/>
            <w:noWrap/>
            <w:vAlign w:val="center"/>
            <w:hideMark/>
          </w:tcPr>
          <w:p w14:paraId="6D469D1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490623D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0.2229</w:t>
            </w:r>
          </w:p>
        </w:tc>
      </w:tr>
      <w:tr w:rsidR="00C30160" w:rsidRPr="00CE0DE7" w14:paraId="2AB7A501" w14:textId="77777777" w:rsidTr="00C24E43">
        <w:trPr>
          <w:trHeight w:val="300"/>
        </w:trPr>
        <w:tc>
          <w:tcPr>
            <w:tcW w:w="1688" w:type="pct"/>
            <w:tcBorders>
              <w:top w:val="nil"/>
              <w:left w:val="nil"/>
              <w:bottom w:val="nil"/>
              <w:right w:val="single" w:sz="4" w:space="0" w:color="auto"/>
            </w:tcBorders>
            <w:shd w:val="clear" w:color="auto" w:fill="auto"/>
            <w:noWrap/>
            <w:vAlign w:val="bottom"/>
            <w:hideMark/>
          </w:tcPr>
          <w:p w14:paraId="2FD40974"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552" w:type="pct"/>
            <w:tcBorders>
              <w:top w:val="nil"/>
              <w:left w:val="single" w:sz="4" w:space="0" w:color="auto"/>
              <w:bottom w:val="nil"/>
              <w:right w:val="nil"/>
            </w:tcBorders>
            <w:shd w:val="clear" w:color="auto" w:fill="auto"/>
            <w:noWrap/>
            <w:vAlign w:val="center"/>
            <w:hideMark/>
          </w:tcPr>
          <w:p w14:paraId="747B6EB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0.6975</w:t>
            </w:r>
          </w:p>
        </w:tc>
        <w:tc>
          <w:tcPr>
            <w:tcW w:w="552" w:type="pct"/>
            <w:tcBorders>
              <w:top w:val="nil"/>
              <w:left w:val="nil"/>
              <w:bottom w:val="nil"/>
              <w:right w:val="nil"/>
            </w:tcBorders>
            <w:shd w:val="clear" w:color="auto" w:fill="auto"/>
            <w:noWrap/>
            <w:vAlign w:val="center"/>
            <w:hideMark/>
          </w:tcPr>
          <w:p w14:paraId="3E528E6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002E33C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078526C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0.3688</w:t>
            </w:r>
          </w:p>
        </w:tc>
        <w:tc>
          <w:tcPr>
            <w:tcW w:w="552" w:type="pct"/>
            <w:tcBorders>
              <w:top w:val="nil"/>
              <w:left w:val="nil"/>
              <w:bottom w:val="nil"/>
              <w:right w:val="nil"/>
            </w:tcBorders>
            <w:shd w:val="clear" w:color="auto" w:fill="auto"/>
            <w:noWrap/>
            <w:vAlign w:val="center"/>
            <w:hideMark/>
          </w:tcPr>
          <w:p w14:paraId="1A2D265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51259AF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0.3655</w:t>
            </w:r>
          </w:p>
        </w:tc>
      </w:tr>
      <w:tr w:rsidR="00C30160" w:rsidRPr="00CE0DE7" w14:paraId="120B9C0D" w14:textId="77777777" w:rsidTr="00C24E43">
        <w:trPr>
          <w:trHeight w:val="300"/>
        </w:trPr>
        <w:tc>
          <w:tcPr>
            <w:tcW w:w="1688" w:type="pct"/>
            <w:tcBorders>
              <w:top w:val="nil"/>
              <w:left w:val="nil"/>
              <w:bottom w:val="nil"/>
              <w:right w:val="single" w:sz="4" w:space="0" w:color="auto"/>
            </w:tcBorders>
            <w:shd w:val="clear" w:color="auto" w:fill="auto"/>
            <w:noWrap/>
            <w:vAlign w:val="bottom"/>
            <w:hideMark/>
          </w:tcPr>
          <w:p w14:paraId="6241E549"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552" w:type="pct"/>
            <w:tcBorders>
              <w:top w:val="nil"/>
              <w:left w:val="single" w:sz="4" w:space="0" w:color="auto"/>
              <w:bottom w:val="nil"/>
              <w:right w:val="nil"/>
            </w:tcBorders>
            <w:shd w:val="clear" w:color="auto" w:fill="auto"/>
            <w:noWrap/>
            <w:vAlign w:val="center"/>
            <w:hideMark/>
          </w:tcPr>
          <w:p w14:paraId="15061E2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0.1335</w:t>
            </w:r>
          </w:p>
        </w:tc>
        <w:tc>
          <w:tcPr>
            <w:tcW w:w="552" w:type="pct"/>
            <w:tcBorders>
              <w:top w:val="nil"/>
              <w:left w:val="nil"/>
              <w:bottom w:val="nil"/>
              <w:right w:val="nil"/>
            </w:tcBorders>
            <w:shd w:val="clear" w:color="auto" w:fill="auto"/>
            <w:noWrap/>
            <w:vAlign w:val="center"/>
            <w:hideMark/>
          </w:tcPr>
          <w:p w14:paraId="26BE8E1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775DC15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62D0627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0.2085</w:t>
            </w:r>
          </w:p>
        </w:tc>
        <w:tc>
          <w:tcPr>
            <w:tcW w:w="552" w:type="pct"/>
            <w:tcBorders>
              <w:top w:val="nil"/>
              <w:left w:val="nil"/>
              <w:bottom w:val="nil"/>
              <w:right w:val="nil"/>
            </w:tcBorders>
            <w:shd w:val="clear" w:color="auto" w:fill="auto"/>
            <w:noWrap/>
            <w:vAlign w:val="center"/>
            <w:hideMark/>
          </w:tcPr>
          <w:p w14:paraId="6F5EE40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0.0023</w:t>
            </w:r>
          </w:p>
        </w:tc>
        <w:tc>
          <w:tcPr>
            <w:tcW w:w="552" w:type="pct"/>
            <w:tcBorders>
              <w:top w:val="nil"/>
              <w:left w:val="nil"/>
              <w:bottom w:val="nil"/>
              <w:right w:val="nil"/>
            </w:tcBorders>
            <w:shd w:val="clear" w:color="auto" w:fill="auto"/>
            <w:noWrap/>
            <w:vAlign w:val="center"/>
            <w:hideMark/>
          </w:tcPr>
          <w:p w14:paraId="265E7DC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0.7006</w:t>
            </w:r>
          </w:p>
        </w:tc>
      </w:tr>
      <w:tr w:rsidR="00C30160" w:rsidRPr="00CE0DE7" w14:paraId="25E30563" w14:textId="77777777" w:rsidTr="00C24E43">
        <w:trPr>
          <w:trHeight w:val="300"/>
        </w:trPr>
        <w:tc>
          <w:tcPr>
            <w:tcW w:w="1688" w:type="pct"/>
            <w:tcBorders>
              <w:top w:val="nil"/>
              <w:left w:val="nil"/>
              <w:bottom w:val="double" w:sz="4" w:space="0" w:color="auto"/>
              <w:right w:val="single" w:sz="4" w:space="0" w:color="auto"/>
            </w:tcBorders>
            <w:shd w:val="clear" w:color="auto" w:fill="auto"/>
            <w:noWrap/>
            <w:vAlign w:val="bottom"/>
            <w:hideMark/>
          </w:tcPr>
          <w:p w14:paraId="626E5C03"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552" w:type="pct"/>
            <w:tcBorders>
              <w:top w:val="nil"/>
              <w:left w:val="single" w:sz="4" w:space="0" w:color="auto"/>
              <w:bottom w:val="double" w:sz="4" w:space="0" w:color="auto"/>
              <w:right w:val="nil"/>
            </w:tcBorders>
            <w:shd w:val="clear" w:color="auto" w:fill="auto"/>
            <w:noWrap/>
            <w:vAlign w:val="center"/>
            <w:hideMark/>
          </w:tcPr>
          <w:p w14:paraId="3ECCCF4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0.1047</w:t>
            </w:r>
          </w:p>
        </w:tc>
        <w:tc>
          <w:tcPr>
            <w:tcW w:w="552" w:type="pct"/>
            <w:tcBorders>
              <w:top w:val="nil"/>
              <w:left w:val="nil"/>
              <w:bottom w:val="double" w:sz="4" w:space="0" w:color="auto"/>
              <w:right w:val="nil"/>
            </w:tcBorders>
            <w:shd w:val="clear" w:color="auto" w:fill="auto"/>
            <w:noWrap/>
            <w:vAlign w:val="center"/>
            <w:hideMark/>
          </w:tcPr>
          <w:p w14:paraId="5237ED9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double" w:sz="4" w:space="0" w:color="auto"/>
              <w:right w:val="nil"/>
            </w:tcBorders>
            <w:shd w:val="clear" w:color="auto" w:fill="auto"/>
            <w:noWrap/>
            <w:vAlign w:val="center"/>
            <w:hideMark/>
          </w:tcPr>
          <w:p w14:paraId="46A2B92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0.0004</w:t>
            </w:r>
          </w:p>
        </w:tc>
        <w:tc>
          <w:tcPr>
            <w:tcW w:w="552" w:type="pct"/>
            <w:tcBorders>
              <w:top w:val="nil"/>
              <w:left w:val="nil"/>
              <w:bottom w:val="double" w:sz="4" w:space="0" w:color="auto"/>
              <w:right w:val="nil"/>
            </w:tcBorders>
            <w:shd w:val="clear" w:color="auto" w:fill="auto"/>
            <w:noWrap/>
            <w:vAlign w:val="center"/>
            <w:hideMark/>
          </w:tcPr>
          <w:p w14:paraId="6BA624A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0.1802</w:t>
            </w:r>
          </w:p>
        </w:tc>
        <w:tc>
          <w:tcPr>
            <w:tcW w:w="552" w:type="pct"/>
            <w:tcBorders>
              <w:top w:val="nil"/>
              <w:left w:val="nil"/>
              <w:bottom w:val="double" w:sz="4" w:space="0" w:color="auto"/>
              <w:right w:val="nil"/>
            </w:tcBorders>
            <w:shd w:val="clear" w:color="auto" w:fill="auto"/>
            <w:noWrap/>
            <w:vAlign w:val="center"/>
            <w:hideMark/>
          </w:tcPr>
          <w:p w14:paraId="5FD9BEF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0.0001</w:t>
            </w:r>
          </w:p>
        </w:tc>
        <w:tc>
          <w:tcPr>
            <w:tcW w:w="552" w:type="pct"/>
            <w:tcBorders>
              <w:top w:val="nil"/>
              <w:left w:val="nil"/>
              <w:bottom w:val="double" w:sz="4" w:space="0" w:color="auto"/>
              <w:right w:val="nil"/>
            </w:tcBorders>
            <w:shd w:val="clear" w:color="auto" w:fill="auto"/>
            <w:noWrap/>
            <w:vAlign w:val="center"/>
            <w:hideMark/>
          </w:tcPr>
          <w:p w14:paraId="3F7FD38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0.3841</w:t>
            </w:r>
          </w:p>
        </w:tc>
      </w:tr>
    </w:tbl>
    <w:p w14:paraId="4D18CDED" w14:textId="2E2D9DBC" w:rsidR="00C30160" w:rsidRPr="00CE0DE7" w:rsidRDefault="00C30160" w:rsidP="00C30160">
      <w:pPr>
        <w:adjustRightInd w:val="0"/>
        <w:snapToGrid w:val="0"/>
        <w:jc w:val="both"/>
        <w:rPr>
          <w:sz w:val="20"/>
          <w:szCs w:val="20"/>
        </w:rPr>
      </w:pPr>
      <w:r w:rsidRPr="00CE0DE7">
        <w:rPr>
          <w:sz w:val="20"/>
          <w:szCs w:val="20"/>
        </w:rPr>
        <w:t xml:space="preserve">This table </w:t>
      </w:r>
      <w:r w:rsidRPr="00CE0DE7">
        <w:rPr>
          <w:rFonts w:hint="eastAsia"/>
          <w:sz w:val="20"/>
          <w:szCs w:val="20"/>
          <w:lang w:eastAsia="zh-CN"/>
        </w:rPr>
        <w:t>summarizes</w:t>
      </w:r>
      <w:r w:rsidRPr="00CE0DE7">
        <w:rPr>
          <w:sz w:val="20"/>
          <w:szCs w:val="20"/>
        </w:rPr>
        <w:t xml:space="preserve"> the </w:t>
      </w:r>
      <w:r w:rsidRPr="00CE0DE7">
        <w:rPr>
          <w:i/>
          <w:sz w:val="20"/>
          <w:szCs w:val="20"/>
        </w:rPr>
        <w:t>p</w:t>
      </w:r>
      <w:r w:rsidRPr="00CE0DE7">
        <w:rPr>
          <w:sz w:val="20"/>
          <w:szCs w:val="20"/>
        </w:rPr>
        <w:t>-value of the chi-square statistics for the Toda-Yamamoto Granger non-causality tests based on tri-variate VAR models</w:t>
      </w:r>
      <w:r w:rsidRPr="00CE0DE7">
        <w:rPr>
          <w:rFonts w:hint="eastAsia"/>
          <w:sz w:val="20"/>
          <w:szCs w:val="20"/>
          <w:lang w:eastAsia="zh-CN"/>
        </w:rPr>
        <w:t xml:space="preserve"> with control variables </w:t>
      </w:r>
      <w:r w:rsidRPr="00CE0DE7">
        <w:rPr>
          <w:sz w:val="20"/>
          <w:szCs w:val="20"/>
        </w:rPr>
        <w:t>(</w:t>
      </w:r>
      <w:r w:rsidRPr="00CE0DE7">
        <w:rPr>
          <w:i/>
          <w:sz w:val="20"/>
          <w:szCs w:val="20"/>
        </w:rPr>
        <w:t>PD, PE, DFSP, TMSP,</w:t>
      </w:r>
      <w:r w:rsidRPr="00CE0DE7">
        <w:rPr>
          <w:sz w:val="20"/>
          <w:szCs w:val="20"/>
        </w:rPr>
        <w:t xml:space="preserve"> </w:t>
      </w:r>
      <w:r w:rsidRPr="00CE0DE7">
        <w:rPr>
          <w:i/>
          <w:sz w:val="20"/>
          <w:szCs w:val="20"/>
        </w:rPr>
        <w:t xml:space="preserve">RREL </w:t>
      </w:r>
      <w:r w:rsidRPr="00CE0DE7">
        <w:rPr>
          <w:sz w:val="20"/>
          <w:szCs w:val="20"/>
        </w:rPr>
        <w:t xml:space="preserve">and </w:t>
      </w:r>
      <w:r w:rsidRPr="00CE0DE7">
        <w:rPr>
          <w:i/>
          <w:sz w:val="20"/>
          <w:szCs w:val="20"/>
        </w:rPr>
        <w:t>CAY</w:t>
      </w:r>
      <w:r w:rsidRPr="00CE0DE7">
        <w:rPr>
          <w:sz w:val="20"/>
          <w:szCs w:val="20"/>
        </w:rPr>
        <w:t xml:space="preserve">). It tests the </w:t>
      </w:r>
      <w:r w:rsidRPr="00CE0DE7">
        <w:rPr>
          <w:rFonts w:hint="eastAsia"/>
          <w:sz w:val="20"/>
          <w:szCs w:val="20"/>
          <w:lang w:eastAsia="zh-CN"/>
        </w:rPr>
        <w:t>relation between</w:t>
      </w:r>
      <w:r w:rsidRPr="00CE0DE7">
        <w:rPr>
          <w:sz w:val="20"/>
          <w:szCs w:val="20"/>
        </w:rPr>
        <w:t xml:space="preserve"> the VRP, stock returns and illiquidity. The analysis uses monthly data from full sample period January 1990 to December 2018.</w:t>
      </w:r>
    </w:p>
    <w:p w14:paraId="4BA0ED31" w14:textId="77777777" w:rsidR="00C30160" w:rsidRPr="00CE0DE7" w:rsidRDefault="00C30160" w:rsidP="00C30160">
      <w:pPr>
        <w:adjustRightInd w:val="0"/>
        <w:snapToGrid w:val="0"/>
        <w:rPr>
          <w:lang w:eastAsia="zh-CN"/>
        </w:rPr>
      </w:pPr>
    </w:p>
    <w:p w14:paraId="77B84072" w14:textId="77777777" w:rsidR="00C30160" w:rsidRPr="00CE0DE7" w:rsidRDefault="00C30160" w:rsidP="00C30160">
      <w:pPr>
        <w:adjustRightInd w:val="0"/>
        <w:snapToGrid w:val="0"/>
        <w:rPr>
          <w:lang w:eastAsia="zh-CN"/>
        </w:rPr>
      </w:pPr>
    </w:p>
    <w:p w14:paraId="728D58D6" w14:textId="77777777" w:rsidR="00C30160" w:rsidRPr="00CE0DE7" w:rsidRDefault="00C30160" w:rsidP="00C30160">
      <w:pPr>
        <w:adjustRightInd w:val="0"/>
        <w:snapToGrid w:val="0"/>
        <w:rPr>
          <w:lang w:eastAsia="zh-CN"/>
        </w:rPr>
      </w:pPr>
    </w:p>
    <w:p w14:paraId="3395FAA9" w14:textId="77777777" w:rsidR="00C30160" w:rsidRPr="00CE0DE7" w:rsidRDefault="00C30160" w:rsidP="00C30160">
      <w:pPr>
        <w:adjustRightInd w:val="0"/>
        <w:snapToGrid w:val="0"/>
        <w:rPr>
          <w:lang w:eastAsia="zh-CN"/>
        </w:rPr>
      </w:pPr>
    </w:p>
    <w:p w14:paraId="1BBDF50C" w14:textId="77777777" w:rsidR="00C30160" w:rsidRPr="00CE0DE7" w:rsidRDefault="00C30160" w:rsidP="00C30160">
      <w:pPr>
        <w:adjustRightInd w:val="0"/>
        <w:snapToGrid w:val="0"/>
        <w:rPr>
          <w:lang w:eastAsia="zh-CN"/>
        </w:rPr>
      </w:pPr>
    </w:p>
    <w:p w14:paraId="616E840E" w14:textId="77777777" w:rsidR="00C30160" w:rsidRPr="00CE0DE7" w:rsidRDefault="00C30160" w:rsidP="00C30160">
      <w:pPr>
        <w:adjustRightInd w:val="0"/>
        <w:snapToGrid w:val="0"/>
        <w:rPr>
          <w:lang w:eastAsia="zh-CN"/>
        </w:rPr>
      </w:pPr>
    </w:p>
    <w:p w14:paraId="67CCFDDA" w14:textId="77777777" w:rsidR="00C30160" w:rsidRPr="00CE0DE7" w:rsidRDefault="00C30160" w:rsidP="00C30160">
      <w:pPr>
        <w:adjustRightInd w:val="0"/>
        <w:snapToGrid w:val="0"/>
        <w:rPr>
          <w:lang w:eastAsia="zh-CN"/>
        </w:rPr>
      </w:pPr>
    </w:p>
    <w:p w14:paraId="3E337C32" w14:textId="77777777" w:rsidR="00C30160" w:rsidRPr="00CE0DE7" w:rsidRDefault="00C30160" w:rsidP="00C30160">
      <w:pPr>
        <w:adjustRightInd w:val="0"/>
        <w:snapToGrid w:val="0"/>
        <w:rPr>
          <w:lang w:eastAsia="zh-CN"/>
        </w:rPr>
      </w:pPr>
    </w:p>
    <w:p w14:paraId="5830687F" w14:textId="77777777" w:rsidR="00C30160" w:rsidRPr="00CE0DE7" w:rsidRDefault="00C30160" w:rsidP="00C30160">
      <w:pPr>
        <w:adjustRightInd w:val="0"/>
        <w:snapToGrid w:val="0"/>
        <w:rPr>
          <w:lang w:eastAsia="zh-CN"/>
        </w:rPr>
      </w:pPr>
    </w:p>
    <w:p w14:paraId="5425C446" w14:textId="77777777" w:rsidR="00C30160" w:rsidRPr="00CE0DE7" w:rsidRDefault="00C30160" w:rsidP="00C30160">
      <w:pPr>
        <w:adjustRightInd w:val="0"/>
        <w:snapToGrid w:val="0"/>
        <w:rPr>
          <w:lang w:eastAsia="zh-CN"/>
        </w:rPr>
      </w:pPr>
    </w:p>
    <w:p w14:paraId="47E7A019" w14:textId="77777777" w:rsidR="00C30160" w:rsidRPr="00CE0DE7" w:rsidRDefault="00C30160" w:rsidP="00C30160">
      <w:pPr>
        <w:adjustRightInd w:val="0"/>
        <w:snapToGrid w:val="0"/>
        <w:rPr>
          <w:lang w:eastAsia="zh-CN"/>
        </w:rPr>
      </w:pPr>
    </w:p>
    <w:p w14:paraId="1BF5C3CA" w14:textId="77777777" w:rsidR="00C30160" w:rsidRPr="00CE0DE7" w:rsidRDefault="00C30160" w:rsidP="00C30160">
      <w:pPr>
        <w:adjustRightInd w:val="0"/>
        <w:snapToGrid w:val="0"/>
        <w:rPr>
          <w:lang w:eastAsia="zh-CN"/>
        </w:rPr>
      </w:pPr>
    </w:p>
    <w:p w14:paraId="3E64D4A8" w14:textId="77777777" w:rsidR="00C30160" w:rsidRPr="00CE0DE7" w:rsidRDefault="00C30160" w:rsidP="00C30160">
      <w:pPr>
        <w:adjustRightInd w:val="0"/>
        <w:snapToGrid w:val="0"/>
        <w:rPr>
          <w:lang w:eastAsia="zh-CN"/>
        </w:rPr>
      </w:pPr>
    </w:p>
    <w:p w14:paraId="3D3EF451" w14:textId="77777777" w:rsidR="00C30160" w:rsidRPr="00CE0DE7" w:rsidRDefault="00C30160" w:rsidP="00C30160">
      <w:pPr>
        <w:adjustRightInd w:val="0"/>
        <w:snapToGrid w:val="0"/>
        <w:rPr>
          <w:lang w:eastAsia="zh-CN"/>
        </w:rPr>
      </w:pPr>
    </w:p>
    <w:p w14:paraId="332FA59D" w14:textId="77777777" w:rsidR="00C30160" w:rsidRPr="00CE0DE7" w:rsidRDefault="00C30160" w:rsidP="00C30160">
      <w:pPr>
        <w:adjustRightInd w:val="0"/>
        <w:snapToGrid w:val="0"/>
        <w:rPr>
          <w:lang w:eastAsia="zh-CN"/>
        </w:rPr>
      </w:pPr>
    </w:p>
    <w:p w14:paraId="45F137E0" w14:textId="77777777" w:rsidR="00C30160" w:rsidRPr="00CE0DE7" w:rsidRDefault="00C30160" w:rsidP="00C30160">
      <w:pPr>
        <w:adjustRightInd w:val="0"/>
        <w:snapToGrid w:val="0"/>
        <w:rPr>
          <w:lang w:eastAsia="zh-CN"/>
        </w:rPr>
      </w:pPr>
    </w:p>
    <w:p w14:paraId="51F95CEC" w14:textId="4446E59C" w:rsidR="00C30160" w:rsidRDefault="00C30160" w:rsidP="00C30160">
      <w:pPr>
        <w:adjustRightInd w:val="0"/>
        <w:snapToGrid w:val="0"/>
        <w:rPr>
          <w:lang w:eastAsia="zh-CN"/>
        </w:rPr>
      </w:pPr>
    </w:p>
    <w:p w14:paraId="6EE37A32" w14:textId="77777777" w:rsidR="004C1F68" w:rsidRPr="00CE0DE7" w:rsidRDefault="004C1F68" w:rsidP="00C30160">
      <w:pPr>
        <w:adjustRightInd w:val="0"/>
        <w:snapToGrid w:val="0"/>
        <w:rPr>
          <w:lang w:eastAsia="zh-CN"/>
        </w:rPr>
      </w:pPr>
    </w:p>
    <w:p w14:paraId="666EADB0" w14:textId="77777777" w:rsidR="00C30160" w:rsidRPr="00CE0DE7" w:rsidRDefault="00C30160" w:rsidP="00C30160">
      <w:pPr>
        <w:adjustRightInd w:val="0"/>
        <w:snapToGrid w:val="0"/>
        <w:rPr>
          <w:lang w:eastAsia="zh-CN"/>
        </w:rPr>
      </w:pPr>
    </w:p>
    <w:p w14:paraId="3F0A1E9E" w14:textId="77777777" w:rsidR="00C30160" w:rsidRPr="00CE0DE7" w:rsidRDefault="00C30160" w:rsidP="00C30160">
      <w:pPr>
        <w:adjustRightInd w:val="0"/>
        <w:snapToGrid w:val="0"/>
        <w:rPr>
          <w:lang w:eastAsia="zh-CN"/>
        </w:rPr>
      </w:pPr>
    </w:p>
    <w:p w14:paraId="02455989" w14:textId="77777777" w:rsidR="00C30160" w:rsidRPr="00CE0DE7" w:rsidRDefault="00C30160" w:rsidP="00C30160">
      <w:pPr>
        <w:adjustRightInd w:val="0"/>
        <w:snapToGrid w:val="0"/>
        <w:rPr>
          <w:lang w:eastAsia="zh-CN"/>
        </w:rPr>
      </w:pPr>
    </w:p>
    <w:p w14:paraId="398890D8" w14:textId="77777777" w:rsidR="00C30160" w:rsidRPr="00CE0DE7" w:rsidRDefault="00C30160" w:rsidP="00C30160">
      <w:pPr>
        <w:adjustRightInd w:val="0"/>
        <w:snapToGrid w:val="0"/>
        <w:rPr>
          <w:lang w:eastAsia="zh-CN"/>
        </w:rPr>
      </w:pPr>
    </w:p>
    <w:p w14:paraId="47299187" w14:textId="77777777" w:rsidR="00C30160" w:rsidRPr="00CE0DE7" w:rsidRDefault="00C30160" w:rsidP="00C30160">
      <w:pPr>
        <w:adjustRightInd w:val="0"/>
        <w:snapToGrid w:val="0"/>
        <w:rPr>
          <w:lang w:eastAsia="zh-CN"/>
        </w:rPr>
      </w:pPr>
    </w:p>
    <w:p w14:paraId="20C0B778" w14:textId="77777777" w:rsidR="00C30160" w:rsidRPr="00CE0DE7" w:rsidRDefault="00C30160" w:rsidP="00C30160">
      <w:pPr>
        <w:adjustRightInd w:val="0"/>
        <w:snapToGrid w:val="0"/>
        <w:rPr>
          <w:lang w:eastAsia="zh-CN"/>
        </w:rPr>
      </w:pPr>
    </w:p>
    <w:p w14:paraId="2708F85C" w14:textId="77777777" w:rsidR="00B26548" w:rsidRPr="00CE0DE7" w:rsidRDefault="00B26548" w:rsidP="00C30160">
      <w:pPr>
        <w:adjustRightInd w:val="0"/>
        <w:snapToGrid w:val="0"/>
        <w:rPr>
          <w:lang w:eastAsia="zh-CN"/>
        </w:rPr>
      </w:pPr>
    </w:p>
    <w:p w14:paraId="52A02A12" w14:textId="77777777" w:rsidR="00272A52" w:rsidRPr="00CE0DE7" w:rsidRDefault="00272A52" w:rsidP="00C30160">
      <w:pPr>
        <w:adjustRightInd w:val="0"/>
        <w:snapToGrid w:val="0"/>
        <w:rPr>
          <w:lang w:eastAsia="zh-CN"/>
        </w:rPr>
      </w:pPr>
    </w:p>
    <w:p w14:paraId="1C4B3EC1" w14:textId="77777777" w:rsidR="00C30160" w:rsidRPr="00CE0DE7" w:rsidRDefault="00C30160" w:rsidP="00C30160">
      <w:pPr>
        <w:adjustRightInd w:val="0"/>
        <w:snapToGrid w:val="0"/>
        <w:rPr>
          <w:b/>
          <w:bCs/>
          <w:sz w:val="20"/>
          <w:szCs w:val="20"/>
          <w:lang w:eastAsia="zh-CN"/>
        </w:rPr>
      </w:pPr>
      <w:r w:rsidRPr="00CE0DE7">
        <w:rPr>
          <w:b/>
          <w:bCs/>
          <w:sz w:val="20"/>
          <w:szCs w:val="20"/>
        </w:rPr>
        <w:lastRenderedPageBreak/>
        <w:t xml:space="preserve">Table 5. </w:t>
      </w:r>
      <w:r w:rsidRPr="00CE0DE7">
        <w:rPr>
          <w:rFonts w:hint="eastAsia"/>
          <w:b/>
          <w:bCs/>
          <w:sz w:val="20"/>
          <w:szCs w:val="20"/>
          <w:lang w:eastAsia="zh-CN"/>
        </w:rPr>
        <w:t xml:space="preserve">The </w:t>
      </w:r>
      <w:r w:rsidRPr="00CE0DE7">
        <w:rPr>
          <w:b/>
          <w:bCs/>
          <w:sz w:val="20"/>
          <w:szCs w:val="20"/>
        </w:rPr>
        <w:t>Toda-Yamamoto Granger non-causality test</w:t>
      </w:r>
      <w:r w:rsidRPr="00CE0DE7">
        <w:rPr>
          <w:rFonts w:hint="eastAsia"/>
          <w:b/>
          <w:bCs/>
          <w:sz w:val="20"/>
          <w:szCs w:val="20"/>
          <w:lang w:eastAsia="zh-CN"/>
        </w:rPr>
        <w:t xml:space="preserve"> results</w:t>
      </w:r>
    </w:p>
    <w:p w14:paraId="0DB32285" w14:textId="77777777" w:rsidR="00C30160" w:rsidRPr="00CE0DE7" w:rsidRDefault="00C30160" w:rsidP="00C30160">
      <w:pPr>
        <w:adjustRightInd w:val="0"/>
        <w:snapToGrid w:val="0"/>
        <w:rPr>
          <w:b/>
          <w:sz w:val="20"/>
          <w:szCs w:val="20"/>
        </w:rPr>
      </w:pPr>
    </w:p>
    <w:p w14:paraId="2C4008D5" w14:textId="77777777" w:rsidR="00C30160" w:rsidRPr="00CE0DE7" w:rsidRDefault="00C30160" w:rsidP="00C30160">
      <w:pPr>
        <w:adjustRightInd w:val="0"/>
        <w:snapToGrid w:val="0"/>
        <w:rPr>
          <w:sz w:val="20"/>
          <w:szCs w:val="20"/>
        </w:rPr>
      </w:pPr>
      <w:r w:rsidRPr="00CE0DE7">
        <w:rPr>
          <w:sz w:val="20"/>
          <w:szCs w:val="20"/>
        </w:rPr>
        <w:t xml:space="preserve">Panel A. </w:t>
      </w:r>
      <w:r w:rsidRPr="00CE0DE7">
        <w:rPr>
          <w:rFonts w:eastAsia="Times New Roman"/>
          <w:i/>
          <w:iCs/>
          <w:color w:val="000000"/>
          <w:sz w:val="20"/>
          <w:szCs w:val="20"/>
          <w:lang w:eastAsia="zh-CN"/>
        </w:rPr>
        <w:t xml:space="preserve">VRP </w:t>
      </w:r>
      <w:r w:rsidRPr="00CE0DE7">
        <w:rPr>
          <w:sz w:val="20"/>
          <w:szCs w:val="20"/>
        </w:rPr>
        <w:t xml:space="preserve">&amp; Stock Returns, </w:t>
      </w:r>
      <w:r w:rsidRPr="00CE0DE7">
        <w:rPr>
          <w:rFonts w:eastAsia="Times New Roman"/>
          <w:i/>
          <w:iCs/>
          <w:color w:val="000000"/>
          <w:sz w:val="20"/>
          <w:szCs w:val="20"/>
          <w:lang w:eastAsia="zh-CN"/>
        </w:rPr>
        <w:t xml:space="preserve">ILLIQ </w:t>
      </w:r>
      <w:r w:rsidRPr="00CE0DE7">
        <w:rPr>
          <w:sz w:val="20"/>
          <w:szCs w:val="20"/>
        </w:rPr>
        <w:t>&amp; Stock Returns</w:t>
      </w:r>
    </w:p>
    <w:tbl>
      <w:tblPr>
        <w:tblW w:w="4991" w:type="pct"/>
        <w:tblLook w:val="04A0" w:firstRow="1" w:lastRow="0" w:firstColumn="1" w:lastColumn="0" w:noHBand="0" w:noVBand="1"/>
      </w:tblPr>
      <w:tblGrid>
        <w:gridCol w:w="1600"/>
        <w:gridCol w:w="2288"/>
        <w:gridCol w:w="1281"/>
        <w:gridCol w:w="1281"/>
        <w:gridCol w:w="1281"/>
        <w:gridCol w:w="1280"/>
      </w:tblGrid>
      <w:tr w:rsidR="00C30160" w:rsidRPr="00CE0DE7" w14:paraId="35FC9DBC" w14:textId="77777777" w:rsidTr="00C24E43">
        <w:trPr>
          <w:trHeight w:val="254"/>
        </w:trPr>
        <w:tc>
          <w:tcPr>
            <w:tcW w:w="887" w:type="pct"/>
            <w:tcBorders>
              <w:top w:val="double" w:sz="4" w:space="0" w:color="auto"/>
              <w:left w:val="nil"/>
              <w:bottom w:val="single" w:sz="4" w:space="0" w:color="auto"/>
              <w:right w:val="single" w:sz="4" w:space="0" w:color="auto"/>
            </w:tcBorders>
            <w:shd w:val="clear" w:color="auto" w:fill="auto"/>
            <w:noWrap/>
            <w:vAlign w:val="bottom"/>
            <w:hideMark/>
          </w:tcPr>
          <w:p w14:paraId="2F9F95EB" w14:textId="77777777" w:rsidR="00C30160" w:rsidRPr="00CE0DE7" w:rsidRDefault="00C30160" w:rsidP="00C24E43">
            <w:pPr>
              <w:rPr>
                <w:rFonts w:eastAsia="Times New Roman"/>
                <w:sz w:val="20"/>
                <w:szCs w:val="20"/>
                <w:lang w:eastAsia="zh-CN"/>
              </w:rPr>
            </w:pPr>
          </w:p>
        </w:tc>
        <w:tc>
          <w:tcPr>
            <w:tcW w:w="1269"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847173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w:t>
            </w:r>
          </w:p>
        </w:tc>
        <w:tc>
          <w:tcPr>
            <w:tcW w:w="1422" w:type="pct"/>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A5341D8"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VW</w:t>
            </w:r>
          </w:p>
        </w:tc>
        <w:tc>
          <w:tcPr>
            <w:tcW w:w="1421" w:type="pct"/>
            <w:gridSpan w:val="2"/>
            <w:tcBorders>
              <w:top w:val="double" w:sz="4" w:space="0" w:color="auto"/>
              <w:left w:val="single" w:sz="4" w:space="0" w:color="auto"/>
              <w:bottom w:val="single" w:sz="4" w:space="0" w:color="auto"/>
              <w:right w:val="nil"/>
            </w:tcBorders>
            <w:shd w:val="clear" w:color="auto" w:fill="auto"/>
            <w:noWrap/>
            <w:vAlign w:val="center"/>
            <w:hideMark/>
          </w:tcPr>
          <w:p w14:paraId="6711EEA2"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INDEX</w:t>
            </w:r>
          </w:p>
        </w:tc>
      </w:tr>
      <w:tr w:rsidR="00C30160" w:rsidRPr="00CE0DE7" w14:paraId="69B11196" w14:textId="77777777" w:rsidTr="00C24E43">
        <w:trPr>
          <w:trHeight w:val="254"/>
        </w:trPr>
        <w:tc>
          <w:tcPr>
            <w:tcW w:w="887" w:type="pct"/>
            <w:tcBorders>
              <w:top w:val="single" w:sz="4" w:space="0" w:color="auto"/>
              <w:left w:val="nil"/>
              <w:bottom w:val="single" w:sz="4" w:space="0" w:color="auto"/>
              <w:right w:val="single" w:sz="4" w:space="0" w:color="auto"/>
            </w:tcBorders>
            <w:shd w:val="clear" w:color="auto" w:fill="auto"/>
            <w:noWrap/>
            <w:vAlign w:val="center"/>
            <w:hideMark/>
          </w:tcPr>
          <w:p w14:paraId="373C09D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16C9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Sample period</w:t>
            </w:r>
          </w:p>
        </w:tc>
        <w:tc>
          <w:tcPr>
            <w:tcW w:w="711" w:type="pct"/>
            <w:tcBorders>
              <w:top w:val="single" w:sz="4" w:space="0" w:color="auto"/>
              <w:left w:val="single" w:sz="4" w:space="0" w:color="auto"/>
              <w:bottom w:val="single" w:sz="4" w:space="0" w:color="auto"/>
              <w:right w:val="nil"/>
            </w:tcBorders>
            <w:shd w:val="clear" w:color="auto" w:fill="auto"/>
            <w:noWrap/>
            <w:vAlign w:val="center"/>
            <w:hideMark/>
          </w:tcPr>
          <w:p w14:paraId="6FBEE81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14:paraId="09DBA0E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c>
          <w:tcPr>
            <w:tcW w:w="711" w:type="pct"/>
            <w:tcBorders>
              <w:top w:val="single" w:sz="4" w:space="0" w:color="auto"/>
              <w:left w:val="single" w:sz="4" w:space="0" w:color="auto"/>
              <w:bottom w:val="single" w:sz="4" w:space="0" w:color="auto"/>
              <w:right w:val="nil"/>
            </w:tcBorders>
            <w:shd w:val="clear" w:color="auto" w:fill="auto"/>
            <w:noWrap/>
            <w:vAlign w:val="center"/>
            <w:hideMark/>
          </w:tcPr>
          <w:p w14:paraId="49B8042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710" w:type="pct"/>
            <w:tcBorders>
              <w:top w:val="single" w:sz="4" w:space="0" w:color="auto"/>
              <w:left w:val="nil"/>
              <w:bottom w:val="single" w:sz="4" w:space="0" w:color="auto"/>
              <w:right w:val="nil"/>
            </w:tcBorders>
            <w:shd w:val="clear" w:color="auto" w:fill="auto"/>
            <w:noWrap/>
            <w:vAlign w:val="center"/>
            <w:hideMark/>
          </w:tcPr>
          <w:p w14:paraId="3383FDE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r>
      <w:tr w:rsidR="00C30160" w:rsidRPr="00CE0DE7" w14:paraId="4D0C87BC" w14:textId="77777777" w:rsidTr="00C24E43">
        <w:trPr>
          <w:trHeight w:val="254"/>
        </w:trPr>
        <w:tc>
          <w:tcPr>
            <w:tcW w:w="887" w:type="pct"/>
            <w:vMerge w:val="restart"/>
            <w:tcBorders>
              <w:top w:val="single" w:sz="4" w:space="0" w:color="auto"/>
              <w:left w:val="nil"/>
              <w:bottom w:val="nil"/>
              <w:right w:val="single" w:sz="4" w:space="0" w:color="auto"/>
            </w:tcBorders>
            <w:shd w:val="clear" w:color="auto" w:fill="auto"/>
            <w:noWrap/>
            <w:vAlign w:val="center"/>
            <w:hideMark/>
          </w:tcPr>
          <w:p w14:paraId="48FC92F0"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p>
        </w:tc>
        <w:tc>
          <w:tcPr>
            <w:tcW w:w="1269" w:type="pct"/>
            <w:tcBorders>
              <w:top w:val="single" w:sz="4" w:space="0" w:color="auto"/>
              <w:left w:val="single" w:sz="4" w:space="0" w:color="auto"/>
              <w:bottom w:val="nil"/>
              <w:right w:val="single" w:sz="4" w:space="0" w:color="auto"/>
            </w:tcBorders>
            <w:shd w:val="clear" w:color="auto" w:fill="auto"/>
            <w:noWrap/>
            <w:vAlign w:val="center"/>
            <w:hideMark/>
          </w:tcPr>
          <w:p w14:paraId="1C9DED2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11" w:type="pct"/>
            <w:tcBorders>
              <w:top w:val="single" w:sz="4" w:space="0" w:color="auto"/>
              <w:left w:val="single" w:sz="4" w:space="0" w:color="auto"/>
              <w:bottom w:val="nil"/>
              <w:right w:val="nil"/>
            </w:tcBorders>
            <w:shd w:val="clear" w:color="auto" w:fill="auto"/>
            <w:noWrap/>
            <w:vAlign w:val="center"/>
            <w:hideMark/>
          </w:tcPr>
          <w:p w14:paraId="71A00DE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0.8191</w:t>
            </w:r>
          </w:p>
        </w:tc>
        <w:tc>
          <w:tcPr>
            <w:tcW w:w="711" w:type="pct"/>
            <w:tcBorders>
              <w:top w:val="single" w:sz="4" w:space="0" w:color="auto"/>
              <w:left w:val="nil"/>
              <w:bottom w:val="nil"/>
              <w:right w:val="single" w:sz="4" w:space="0" w:color="auto"/>
            </w:tcBorders>
            <w:shd w:val="clear" w:color="auto" w:fill="auto"/>
            <w:noWrap/>
            <w:vAlign w:val="center"/>
            <w:hideMark/>
          </w:tcPr>
          <w:p w14:paraId="2442C9E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single" w:sz="4" w:space="0" w:color="auto"/>
              <w:left w:val="single" w:sz="4" w:space="0" w:color="auto"/>
              <w:bottom w:val="nil"/>
              <w:right w:val="nil"/>
            </w:tcBorders>
            <w:shd w:val="clear" w:color="auto" w:fill="auto"/>
            <w:noWrap/>
            <w:vAlign w:val="center"/>
            <w:hideMark/>
          </w:tcPr>
          <w:p w14:paraId="3148CBE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0.8907</w:t>
            </w:r>
          </w:p>
        </w:tc>
        <w:tc>
          <w:tcPr>
            <w:tcW w:w="710" w:type="pct"/>
            <w:tcBorders>
              <w:top w:val="single" w:sz="4" w:space="0" w:color="auto"/>
              <w:left w:val="nil"/>
              <w:bottom w:val="nil"/>
              <w:right w:val="nil"/>
            </w:tcBorders>
            <w:shd w:val="clear" w:color="auto" w:fill="auto"/>
            <w:noWrap/>
            <w:vAlign w:val="center"/>
            <w:hideMark/>
          </w:tcPr>
          <w:p w14:paraId="50C2679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36487075" w14:textId="77777777" w:rsidTr="00C24E43">
        <w:trPr>
          <w:trHeight w:val="254"/>
        </w:trPr>
        <w:tc>
          <w:tcPr>
            <w:tcW w:w="887" w:type="pct"/>
            <w:vMerge/>
            <w:tcBorders>
              <w:top w:val="nil"/>
              <w:left w:val="nil"/>
              <w:bottom w:val="nil"/>
              <w:right w:val="single" w:sz="4" w:space="0" w:color="auto"/>
            </w:tcBorders>
            <w:vAlign w:val="center"/>
            <w:hideMark/>
          </w:tcPr>
          <w:p w14:paraId="74C01182"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076C9CB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11" w:type="pct"/>
            <w:tcBorders>
              <w:top w:val="nil"/>
              <w:left w:val="single" w:sz="4" w:space="0" w:color="auto"/>
              <w:bottom w:val="nil"/>
              <w:right w:val="nil"/>
            </w:tcBorders>
            <w:shd w:val="clear" w:color="auto" w:fill="auto"/>
            <w:noWrap/>
            <w:vAlign w:val="center"/>
            <w:hideMark/>
          </w:tcPr>
          <w:p w14:paraId="6CC5E9E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0.9270</w:t>
            </w:r>
          </w:p>
        </w:tc>
        <w:tc>
          <w:tcPr>
            <w:tcW w:w="711" w:type="pct"/>
            <w:tcBorders>
              <w:top w:val="nil"/>
              <w:left w:val="nil"/>
              <w:bottom w:val="nil"/>
              <w:right w:val="single" w:sz="4" w:space="0" w:color="auto"/>
            </w:tcBorders>
            <w:shd w:val="clear" w:color="auto" w:fill="auto"/>
            <w:noWrap/>
            <w:vAlign w:val="center"/>
            <w:hideMark/>
          </w:tcPr>
          <w:p w14:paraId="7FAA5A2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nil"/>
              <w:right w:val="nil"/>
            </w:tcBorders>
            <w:shd w:val="clear" w:color="auto" w:fill="auto"/>
            <w:noWrap/>
            <w:vAlign w:val="center"/>
            <w:hideMark/>
          </w:tcPr>
          <w:p w14:paraId="4552002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0.8227</w:t>
            </w:r>
          </w:p>
        </w:tc>
        <w:tc>
          <w:tcPr>
            <w:tcW w:w="710" w:type="pct"/>
            <w:tcBorders>
              <w:top w:val="nil"/>
              <w:left w:val="nil"/>
              <w:bottom w:val="nil"/>
              <w:right w:val="nil"/>
            </w:tcBorders>
            <w:shd w:val="clear" w:color="auto" w:fill="auto"/>
            <w:noWrap/>
            <w:vAlign w:val="center"/>
            <w:hideMark/>
          </w:tcPr>
          <w:p w14:paraId="75DCE4F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11A64E85" w14:textId="77777777" w:rsidTr="00C24E43">
        <w:trPr>
          <w:trHeight w:val="254"/>
        </w:trPr>
        <w:tc>
          <w:tcPr>
            <w:tcW w:w="887" w:type="pct"/>
            <w:vMerge/>
            <w:tcBorders>
              <w:top w:val="nil"/>
              <w:left w:val="nil"/>
              <w:bottom w:val="nil"/>
              <w:right w:val="single" w:sz="4" w:space="0" w:color="auto"/>
            </w:tcBorders>
            <w:vAlign w:val="center"/>
            <w:hideMark/>
          </w:tcPr>
          <w:p w14:paraId="140F103F"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20EF0F4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11" w:type="pct"/>
            <w:tcBorders>
              <w:top w:val="nil"/>
              <w:left w:val="single" w:sz="4" w:space="0" w:color="auto"/>
              <w:bottom w:val="nil"/>
              <w:right w:val="nil"/>
            </w:tcBorders>
            <w:shd w:val="clear" w:color="auto" w:fill="auto"/>
            <w:noWrap/>
            <w:vAlign w:val="center"/>
            <w:hideMark/>
          </w:tcPr>
          <w:p w14:paraId="0E29570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0.8939</w:t>
            </w:r>
          </w:p>
        </w:tc>
        <w:tc>
          <w:tcPr>
            <w:tcW w:w="711" w:type="pct"/>
            <w:tcBorders>
              <w:top w:val="nil"/>
              <w:left w:val="nil"/>
              <w:bottom w:val="nil"/>
              <w:right w:val="single" w:sz="4" w:space="0" w:color="auto"/>
            </w:tcBorders>
            <w:shd w:val="clear" w:color="auto" w:fill="auto"/>
            <w:noWrap/>
            <w:vAlign w:val="center"/>
            <w:hideMark/>
          </w:tcPr>
          <w:p w14:paraId="62FC91A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nil"/>
              <w:right w:val="nil"/>
            </w:tcBorders>
            <w:shd w:val="clear" w:color="auto" w:fill="auto"/>
            <w:noWrap/>
            <w:vAlign w:val="center"/>
            <w:hideMark/>
          </w:tcPr>
          <w:p w14:paraId="0E6C223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0.7530</w:t>
            </w:r>
          </w:p>
        </w:tc>
        <w:tc>
          <w:tcPr>
            <w:tcW w:w="710" w:type="pct"/>
            <w:tcBorders>
              <w:top w:val="nil"/>
              <w:left w:val="nil"/>
              <w:bottom w:val="nil"/>
              <w:right w:val="nil"/>
            </w:tcBorders>
            <w:shd w:val="clear" w:color="auto" w:fill="auto"/>
            <w:noWrap/>
            <w:vAlign w:val="center"/>
            <w:hideMark/>
          </w:tcPr>
          <w:p w14:paraId="65693F1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3FBAD45D" w14:textId="77777777" w:rsidTr="00C24E43">
        <w:trPr>
          <w:trHeight w:val="254"/>
        </w:trPr>
        <w:tc>
          <w:tcPr>
            <w:tcW w:w="887" w:type="pct"/>
            <w:vMerge/>
            <w:tcBorders>
              <w:top w:val="nil"/>
              <w:left w:val="nil"/>
              <w:bottom w:val="nil"/>
              <w:right w:val="single" w:sz="4" w:space="0" w:color="auto"/>
            </w:tcBorders>
            <w:vAlign w:val="center"/>
            <w:hideMark/>
          </w:tcPr>
          <w:p w14:paraId="341EECC7"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216E6B6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11" w:type="pct"/>
            <w:tcBorders>
              <w:top w:val="nil"/>
              <w:left w:val="single" w:sz="4" w:space="0" w:color="auto"/>
              <w:bottom w:val="nil"/>
              <w:right w:val="nil"/>
            </w:tcBorders>
            <w:shd w:val="clear" w:color="auto" w:fill="auto"/>
            <w:noWrap/>
            <w:vAlign w:val="center"/>
            <w:hideMark/>
          </w:tcPr>
          <w:p w14:paraId="241C2C5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0.6635</w:t>
            </w:r>
          </w:p>
        </w:tc>
        <w:tc>
          <w:tcPr>
            <w:tcW w:w="711" w:type="pct"/>
            <w:tcBorders>
              <w:top w:val="nil"/>
              <w:left w:val="nil"/>
              <w:bottom w:val="nil"/>
              <w:right w:val="single" w:sz="4" w:space="0" w:color="auto"/>
            </w:tcBorders>
            <w:shd w:val="clear" w:color="auto" w:fill="auto"/>
            <w:noWrap/>
            <w:vAlign w:val="center"/>
            <w:hideMark/>
          </w:tcPr>
          <w:p w14:paraId="67DD9CC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nil"/>
              <w:right w:val="nil"/>
            </w:tcBorders>
            <w:shd w:val="clear" w:color="auto" w:fill="auto"/>
            <w:noWrap/>
            <w:vAlign w:val="center"/>
            <w:hideMark/>
          </w:tcPr>
          <w:p w14:paraId="3BD39D3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0.6370</w:t>
            </w:r>
          </w:p>
        </w:tc>
        <w:tc>
          <w:tcPr>
            <w:tcW w:w="710" w:type="pct"/>
            <w:tcBorders>
              <w:top w:val="nil"/>
              <w:left w:val="nil"/>
              <w:bottom w:val="nil"/>
              <w:right w:val="nil"/>
            </w:tcBorders>
            <w:shd w:val="clear" w:color="auto" w:fill="auto"/>
            <w:noWrap/>
            <w:vAlign w:val="center"/>
            <w:hideMark/>
          </w:tcPr>
          <w:p w14:paraId="404204B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72E9B720" w14:textId="77777777" w:rsidTr="00C24E43">
        <w:trPr>
          <w:trHeight w:val="254"/>
        </w:trPr>
        <w:tc>
          <w:tcPr>
            <w:tcW w:w="887" w:type="pct"/>
            <w:vMerge/>
            <w:tcBorders>
              <w:top w:val="nil"/>
              <w:left w:val="nil"/>
              <w:bottom w:val="single" w:sz="4" w:space="0" w:color="auto"/>
              <w:right w:val="single" w:sz="4" w:space="0" w:color="auto"/>
            </w:tcBorders>
            <w:vAlign w:val="center"/>
            <w:hideMark/>
          </w:tcPr>
          <w:p w14:paraId="7D71DA5C"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single" w:sz="4" w:space="0" w:color="auto"/>
              <w:right w:val="single" w:sz="4" w:space="0" w:color="auto"/>
            </w:tcBorders>
            <w:shd w:val="clear" w:color="auto" w:fill="auto"/>
            <w:noWrap/>
            <w:vAlign w:val="center"/>
            <w:hideMark/>
          </w:tcPr>
          <w:p w14:paraId="13D2EED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11" w:type="pct"/>
            <w:tcBorders>
              <w:top w:val="nil"/>
              <w:left w:val="single" w:sz="4" w:space="0" w:color="auto"/>
              <w:bottom w:val="single" w:sz="4" w:space="0" w:color="auto"/>
              <w:right w:val="nil"/>
            </w:tcBorders>
            <w:shd w:val="clear" w:color="auto" w:fill="auto"/>
            <w:noWrap/>
            <w:vAlign w:val="center"/>
            <w:hideMark/>
          </w:tcPr>
          <w:p w14:paraId="1E2070E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0.7318</w:t>
            </w:r>
          </w:p>
        </w:tc>
        <w:tc>
          <w:tcPr>
            <w:tcW w:w="711" w:type="pct"/>
            <w:tcBorders>
              <w:top w:val="nil"/>
              <w:left w:val="nil"/>
              <w:bottom w:val="single" w:sz="4" w:space="0" w:color="auto"/>
              <w:right w:val="single" w:sz="4" w:space="0" w:color="auto"/>
            </w:tcBorders>
            <w:shd w:val="clear" w:color="auto" w:fill="auto"/>
            <w:noWrap/>
            <w:vAlign w:val="center"/>
            <w:hideMark/>
          </w:tcPr>
          <w:p w14:paraId="5D98823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single" w:sz="4" w:space="0" w:color="auto"/>
              <w:right w:val="nil"/>
            </w:tcBorders>
            <w:shd w:val="clear" w:color="auto" w:fill="auto"/>
            <w:noWrap/>
            <w:vAlign w:val="center"/>
            <w:hideMark/>
          </w:tcPr>
          <w:p w14:paraId="3EC7930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0.7993</w:t>
            </w:r>
          </w:p>
        </w:tc>
        <w:tc>
          <w:tcPr>
            <w:tcW w:w="710" w:type="pct"/>
            <w:tcBorders>
              <w:top w:val="nil"/>
              <w:left w:val="nil"/>
              <w:bottom w:val="single" w:sz="4" w:space="0" w:color="auto"/>
              <w:right w:val="nil"/>
            </w:tcBorders>
            <w:shd w:val="clear" w:color="auto" w:fill="auto"/>
            <w:noWrap/>
            <w:vAlign w:val="center"/>
            <w:hideMark/>
          </w:tcPr>
          <w:p w14:paraId="0961403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49245586" w14:textId="77777777" w:rsidTr="00C24E43">
        <w:trPr>
          <w:trHeight w:val="254"/>
        </w:trPr>
        <w:tc>
          <w:tcPr>
            <w:tcW w:w="887" w:type="pct"/>
            <w:vMerge w:val="restart"/>
            <w:tcBorders>
              <w:top w:val="single" w:sz="4" w:space="0" w:color="auto"/>
              <w:left w:val="nil"/>
              <w:bottom w:val="nil"/>
              <w:right w:val="single" w:sz="4" w:space="0" w:color="auto"/>
            </w:tcBorders>
            <w:shd w:val="clear" w:color="auto" w:fill="auto"/>
            <w:noWrap/>
            <w:vAlign w:val="center"/>
            <w:hideMark/>
          </w:tcPr>
          <w:p w14:paraId="0B234076"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p>
        </w:tc>
        <w:tc>
          <w:tcPr>
            <w:tcW w:w="1269" w:type="pct"/>
            <w:tcBorders>
              <w:top w:val="single" w:sz="4" w:space="0" w:color="auto"/>
              <w:left w:val="single" w:sz="4" w:space="0" w:color="auto"/>
              <w:bottom w:val="nil"/>
              <w:right w:val="single" w:sz="4" w:space="0" w:color="auto"/>
            </w:tcBorders>
            <w:shd w:val="clear" w:color="auto" w:fill="auto"/>
            <w:noWrap/>
            <w:vAlign w:val="center"/>
            <w:hideMark/>
          </w:tcPr>
          <w:p w14:paraId="626CAFD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11" w:type="pct"/>
            <w:tcBorders>
              <w:top w:val="single" w:sz="4" w:space="0" w:color="auto"/>
              <w:left w:val="single" w:sz="4" w:space="0" w:color="auto"/>
              <w:bottom w:val="nil"/>
              <w:right w:val="nil"/>
            </w:tcBorders>
            <w:shd w:val="clear" w:color="auto" w:fill="auto"/>
            <w:noWrap/>
            <w:vAlign w:val="center"/>
            <w:hideMark/>
          </w:tcPr>
          <w:p w14:paraId="7EA2445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0.1960</w:t>
            </w:r>
          </w:p>
        </w:tc>
        <w:tc>
          <w:tcPr>
            <w:tcW w:w="711" w:type="pct"/>
            <w:tcBorders>
              <w:top w:val="single" w:sz="4" w:space="0" w:color="auto"/>
              <w:left w:val="nil"/>
              <w:bottom w:val="nil"/>
              <w:right w:val="single" w:sz="4" w:space="0" w:color="auto"/>
            </w:tcBorders>
            <w:shd w:val="clear" w:color="auto" w:fill="auto"/>
            <w:noWrap/>
            <w:vAlign w:val="center"/>
            <w:hideMark/>
          </w:tcPr>
          <w:p w14:paraId="3225704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single" w:sz="4" w:space="0" w:color="auto"/>
              <w:left w:val="single" w:sz="4" w:space="0" w:color="auto"/>
              <w:bottom w:val="nil"/>
              <w:right w:val="nil"/>
            </w:tcBorders>
            <w:shd w:val="clear" w:color="auto" w:fill="auto"/>
            <w:noWrap/>
            <w:vAlign w:val="center"/>
            <w:hideMark/>
          </w:tcPr>
          <w:p w14:paraId="61518BE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0.2216</w:t>
            </w:r>
          </w:p>
        </w:tc>
        <w:tc>
          <w:tcPr>
            <w:tcW w:w="710" w:type="pct"/>
            <w:tcBorders>
              <w:top w:val="single" w:sz="4" w:space="0" w:color="auto"/>
              <w:left w:val="nil"/>
              <w:bottom w:val="nil"/>
              <w:right w:val="nil"/>
            </w:tcBorders>
            <w:shd w:val="clear" w:color="auto" w:fill="auto"/>
            <w:noWrap/>
            <w:vAlign w:val="center"/>
            <w:hideMark/>
          </w:tcPr>
          <w:p w14:paraId="10708ED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4BB104BC" w14:textId="77777777" w:rsidTr="00C24E43">
        <w:trPr>
          <w:trHeight w:val="254"/>
        </w:trPr>
        <w:tc>
          <w:tcPr>
            <w:tcW w:w="887" w:type="pct"/>
            <w:vMerge/>
            <w:tcBorders>
              <w:top w:val="nil"/>
              <w:left w:val="nil"/>
              <w:bottom w:val="nil"/>
              <w:right w:val="single" w:sz="4" w:space="0" w:color="auto"/>
            </w:tcBorders>
            <w:vAlign w:val="center"/>
            <w:hideMark/>
          </w:tcPr>
          <w:p w14:paraId="11F1CED9"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0499142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11" w:type="pct"/>
            <w:tcBorders>
              <w:top w:val="nil"/>
              <w:left w:val="single" w:sz="4" w:space="0" w:color="auto"/>
              <w:bottom w:val="nil"/>
              <w:right w:val="nil"/>
            </w:tcBorders>
            <w:shd w:val="clear" w:color="auto" w:fill="auto"/>
            <w:noWrap/>
            <w:vAlign w:val="center"/>
            <w:hideMark/>
          </w:tcPr>
          <w:p w14:paraId="7FA6F44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0.2890</w:t>
            </w:r>
          </w:p>
        </w:tc>
        <w:tc>
          <w:tcPr>
            <w:tcW w:w="711" w:type="pct"/>
            <w:tcBorders>
              <w:top w:val="nil"/>
              <w:left w:val="nil"/>
              <w:bottom w:val="nil"/>
              <w:right w:val="single" w:sz="4" w:space="0" w:color="auto"/>
            </w:tcBorders>
            <w:shd w:val="clear" w:color="auto" w:fill="auto"/>
            <w:noWrap/>
            <w:vAlign w:val="center"/>
            <w:hideMark/>
          </w:tcPr>
          <w:p w14:paraId="42F65F6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nil"/>
              <w:right w:val="nil"/>
            </w:tcBorders>
            <w:shd w:val="clear" w:color="auto" w:fill="auto"/>
            <w:noWrap/>
            <w:vAlign w:val="center"/>
            <w:hideMark/>
          </w:tcPr>
          <w:p w14:paraId="00B5AB0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0.5339</w:t>
            </w:r>
          </w:p>
        </w:tc>
        <w:tc>
          <w:tcPr>
            <w:tcW w:w="710" w:type="pct"/>
            <w:tcBorders>
              <w:top w:val="nil"/>
              <w:left w:val="nil"/>
              <w:bottom w:val="nil"/>
              <w:right w:val="nil"/>
            </w:tcBorders>
            <w:shd w:val="clear" w:color="auto" w:fill="auto"/>
            <w:noWrap/>
            <w:vAlign w:val="center"/>
            <w:hideMark/>
          </w:tcPr>
          <w:p w14:paraId="546F44D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1C3CFD74" w14:textId="77777777" w:rsidTr="00C24E43">
        <w:trPr>
          <w:trHeight w:val="254"/>
        </w:trPr>
        <w:tc>
          <w:tcPr>
            <w:tcW w:w="887" w:type="pct"/>
            <w:vMerge/>
            <w:tcBorders>
              <w:top w:val="nil"/>
              <w:left w:val="nil"/>
              <w:bottom w:val="nil"/>
              <w:right w:val="single" w:sz="4" w:space="0" w:color="auto"/>
            </w:tcBorders>
            <w:vAlign w:val="center"/>
            <w:hideMark/>
          </w:tcPr>
          <w:p w14:paraId="610F85AC"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2B880E7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11" w:type="pct"/>
            <w:tcBorders>
              <w:top w:val="nil"/>
              <w:left w:val="single" w:sz="4" w:space="0" w:color="auto"/>
              <w:bottom w:val="nil"/>
              <w:right w:val="nil"/>
            </w:tcBorders>
            <w:shd w:val="clear" w:color="auto" w:fill="auto"/>
            <w:noWrap/>
            <w:vAlign w:val="center"/>
            <w:hideMark/>
          </w:tcPr>
          <w:p w14:paraId="1D9FFC8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0.1895</w:t>
            </w:r>
          </w:p>
        </w:tc>
        <w:tc>
          <w:tcPr>
            <w:tcW w:w="711" w:type="pct"/>
            <w:tcBorders>
              <w:top w:val="nil"/>
              <w:left w:val="nil"/>
              <w:bottom w:val="nil"/>
              <w:right w:val="single" w:sz="4" w:space="0" w:color="auto"/>
            </w:tcBorders>
            <w:shd w:val="clear" w:color="auto" w:fill="auto"/>
            <w:noWrap/>
            <w:vAlign w:val="center"/>
            <w:hideMark/>
          </w:tcPr>
          <w:p w14:paraId="1DA7358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nil"/>
              <w:right w:val="nil"/>
            </w:tcBorders>
            <w:shd w:val="clear" w:color="auto" w:fill="auto"/>
            <w:noWrap/>
            <w:vAlign w:val="center"/>
            <w:hideMark/>
          </w:tcPr>
          <w:p w14:paraId="32BCA91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0.4700</w:t>
            </w:r>
          </w:p>
        </w:tc>
        <w:tc>
          <w:tcPr>
            <w:tcW w:w="710" w:type="pct"/>
            <w:tcBorders>
              <w:top w:val="nil"/>
              <w:left w:val="nil"/>
              <w:bottom w:val="nil"/>
              <w:right w:val="nil"/>
            </w:tcBorders>
            <w:shd w:val="clear" w:color="auto" w:fill="auto"/>
            <w:noWrap/>
            <w:vAlign w:val="center"/>
            <w:hideMark/>
          </w:tcPr>
          <w:p w14:paraId="0AAFFB0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50814AF8" w14:textId="77777777" w:rsidTr="00C24E43">
        <w:trPr>
          <w:trHeight w:val="254"/>
        </w:trPr>
        <w:tc>
          <w:tcPr>
            <w:tcW w:w="887" w:type="pct"/>
            <w:vMerge/>
            <w:tcBorders>
              <w:top w:val="nil"/>
              <w:left w:val="nil"/>
              <w:bottom w:val="nil"/>
              <w:right w:val="single" w:sz="4" w:space="0" w:color="auto"/>
            </w:tcBorders>
            <w:vAlign w:val="center"/>
            <w:hideMark/>
          </w:tcPr>
          <w:p w14:paraId="6AD4056F"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62E1594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11" w:type="pct"/>
            <w:tcBorders>
              <w:top w:val="nil"/>
              <w:left w:val="single" w:sz="4" w:space="0" w:color="auto"/>
              <w:bottom w:val="nil"/>
              <w:right w:val="nil"/>
            </w:tcBorders>
            <w:shd w:val="clear" w:color="auto" w:fill="auto"/>
            <w:noWrap/>
            <w:vAlign w:val="center"/>
            <w:hideMark/>
          </w:tcPr>
          <w:p w14:paraId="7A2BC10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0.1789</w:t>
            </w:r>
          </w:p>
        </w:tc>
        <w:tc>
          <w:tcPr>
            <w:tcW w:w="711" w:type="pct"/>
            <w:tcBorders>
              <w:top w:val="nil"/>
              <w:left w:val="nil"/>
              <w:bottom w:val="nil"/>
              <w:right w:val="single" w:sz="4" w:space="0" w:color="auto"/>
            </w:tcBorders>
            <w:shd w:val="clear" w:color="auto" w:fill="auto"/>
            <w:noWrap/>
            <w:vAlign w:val="center"/>
            <w:hideMark/>
          </w:tcPr>
          <w:p w14:paraId="7B9A070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nil"/>
              <w:right w:val="nil"/>
            </w:tcBorders>
            <w:shd w:val="clear" w:color="auto" w:fill="auto"/>
            <w:noWrap/>
            <w:vAlign w:val="center"/>
            <w:hideMark/>
          </w:tcPr>
          <w:p w14:paraId="5F0BB82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0.4669</w:t>
            </w:r>
          </w:p>
        </w:tc>
        <w:tc>
          <w:tcPr>
            <w:tcW w:w="710" w:type="pct"/>
            <w:tcBorders>
              <w:top w:val="nil"/>
              <w:left w:val="nil"/>
              <w:bottom w:val="nil"/>
              <w:right w:val="nil"/>
            </w:tcBorders>
            <w:shd w:val="clear" w:color="auto" w:fill="auto"/>
            <w:noWrap/>
            <w:vAlign w:val="center"/>
            <w:hideMark/>
          </w:tcPr>
          <w:p w14:paraId="5FA4CE0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0B28501D" w14:textId="77777777" w:rsidTr="00C24E43">
        <w:trPr>
          <w:trHeight w:val="254"/>
        </w:trPr>
        <w:tc>
          <w:tcPr>
            <w:tcW w:w="887" w:type="pct"/>
            <w:vMerge/>
            <w:tcBorders>
              <w:top w:val="nil"/>
              <w:left w:val="nil"/>
              <w:bottom w:val="single" w:sz="4" w:space="0" w:color="auto"/>
              <w:right w:val="single" w:sz="4" w:space="0" w:color="auto"/>
            </w:tcBorders>
            <w:vAlign w:val="center"/>
            <w:hideMark/>
          </w:tcPr>
          <w:p w14:paraId="0B25F72B"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single" w:sz="4" w:space="0" w:color="auto"/>
              <w:right w:val="single" w:sz="4" w:space="0" w:color="auto"/>
            </w:tcBorders>
            <w:shd w:val="clear" w:color="auto" w:fill="auto"/>
            <w:noWrap/>
            <w:vAlign w:val="center"/>
            <w:hideMark/>
          </w:tcPr>
          <w:p w14:paraId="4A87F5C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11" w:type="pct"/>
            <w:tcBorders>
              <w:top w:val="nil"/>
              <w:left w:val="single" w:sz="4" w:space="0" w:color="auto"/>
              <w:bottom w:val="single" w:sz="4" w:space="0" w:color="auto"/>
              <w:right w:val="nil"/>
            </w:tcBorders>
            <w:shd w:val="clear" w:color="auto" w:fill="auto"/>
            <w:noWrap/>
            <w:vAlign w:val="center"/>
            <w:hideMark/>
          </w:tcPr>
          <w:p w14:paraId="5CEBAB6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0.1244</w:t>
            </w:r>
          </w:p>
        </w:tc>
        <w:tc>
          <w:tcPr>
            <w:tcW w:w="711" w:type="pct"/>
            <w:tcBorders>
              <w:top w:val="nil"/>
              <w:left w:val="nil"/>
              <w:bottom w:val="single" w:sz="4" w:space="0" w:color="auto"/>
              <w:right w:val="single" w:sz="4" w:space="0" w:color="auto"/>
            </w:tcBorders>
            <w:shd w:val="clear" w:color="auto" w:fill="auto"/>
            <w:noWrap/>
            <w:vAlign w:val="center"/>
            <w:hideMark/>
          </w:tcPr>
          <w:p w14:paraId="581A7FE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single" w:sz="4" w:space="0" w:color="auto"/>
              <w:right w:val="nil"/>
            </w:tcBorders>
            <w:shd w:val="clear" w:color="auto" w:fill="auto"/>
            <w:noWrap/>
            <w:vAlign w:val="center"/>
            <w:hideMark/>
          </w:tcPr>
          <w:p w14:paraId="0BA9AEB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0.1588</w:t>
            </w:r>
          </w:p>
        </w:tc>
        <w:tc>
          <w:tcPr>
            <w:tcW w:w="710" w:type="pct"/>
            <w:tcBorders>
              <w:top w:val="nil"/>
              <w:left w:val="nil"/>
              <w:bottom w:val="single" w:sz="4" w:space="0" w:color="auto"/>
              <w:right w:val="nil"/>
            </w:tcBorders>
            <w:shd w:val="clear" w:color="auto" w:fill="auto"/>
            <w:noWrap/>
            <w:vAlign w:val="center"/>
            <w:hideMark/>
          </w:tcPr>
          <w:p w14:paraId="079F73C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40104B9A" w14:textId="77777777" w:rsidTr="00C24E43">
        <w:trPr>
          <w:trHeight w:val="254"/>
        </w:trPr>
        <w:tc>
          <w:tcPr>
            <w:tcW w:w="887" w:type="pct"/>
            <w:vMerge w:val="restart"/>
            <w:tcBorders>
              <w:top w:val="single" w:sz="4" w:space="0" w:color="auto"/>
              <w:left w:val="nil"/>
              <w:bottom w:val="nil"/>
              <w:right w:val="single" w:sz="4" w:space="0" w:color="auto"/>
            </w:tcBorders>
            <w:shd w:val="clear" w:color="auto" w:fill="auto"/>
            <w:noWrap/>
            <w:vAlign w:val="center"/>
            <w:hideMark/>
          </w:tcPr>
          <w:p w14:paraId="24962754"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p>
        </w:tc>
        <w:tc>
          <w:tcPr>
            <w:tcW w:w="1269" w:type="pct"/>
            <w:tcBorders>
              <w:top w:val="single" w:sz="4" w:space="0" w:color="auto"/>
              <w:left w:val="single" w:sz="4" w:space="0" w:color="auto"/>
              <w:bottom w:val="nil"/>
              <w:right w:val="single" w:sz="4" w:space="0" w:color="auto"/>
            </w:tcBorders>
            <w:shd w:val="clear" w:color="auto" w:fill="auto"/>
            <w:noWrap/>
            <w:vAlign w:val="center"/>
            <w:hideMark/>
          </w:tcPr>
          <w:p w14:paraId="2F6F7D3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11" w:type="pct"/>
            <w:tcBorders>
              <w:top w:val="single" w:sz="4" w:space="0" w:color="auto"/>
              <w:left w:val="single" w:sz="4" w:space="0" w:color="auto"/>
              <w:bottom w:val="nil"/>
              <w:right w:val="nil"/>
            </w:tcBorders>
            <w:shd w:val="clear" w:color="auto" w:fill="auto"/>
            <w:noWrap/>
            <w:vAlign w:val="center"/>
            <w:hideMark/>
          </w:tcPr>
          <w:p w14:paraId="632437B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0.2341</w:t>
            </w:r>
          </w:p>
        </w:tc>
        <w:tc>
          <w:tcPr>
            <w:tcW w:w="711" w:type="pct"/>
            <w:tcBorders>
              <w:top w:val="single" w:sz="4" w:space="0" w:color="auto"/>
              <w:left w:val="nil"/>
              <w:bottom w:val="nil"/>
              <w:right w:val="single" w:sz="4" w:space="0" w:color="auto"/>
            </w:tcBorders>
            <w:shd w:val="clear" w:color="auto" w:fill="auto"/>
            <w:noWrap/>
            <w:vAlign w:val="center"/>
            <w:hideMark/>
          </w:tcPr>
          <w:p w14:paraId="7F7A6E4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0.0003</w:t>
            </w:r>
          </w:p>
        </w:tc>
        <w:tc>
          <w:tcPr>
            <w:tcW w:w="711" w:type="pct"/>
            <w:tcBorders>
              <w:top w:val="single" w:sz="4" w:space="0" w:color="auto"/>
              <w:left w:val="single" w:sz="4" w:space="0" w:color="auto"/>
              <w:bottom w:val="nil"/>
              <w:right w:val="nil"/>
            </w:tcBorders>
            <w:shd w:val="clear" w:color="auto" w:fill="auto"/>
            <w:noWrap/>
            <w:vAlign w:val="center"/>
            <w:hideMark/>
          </w:tcPr>
          <w:p w14:paraId="16E56AD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0.2217</w:t>
            </w:r>
          </w:p>
        </w:tc>
        <w:tc>
          <w:tcPr>
            <w:tcW w:w="710" w:type="pct"/>
            <w:tcBorders>
              <w:top w:val="single" w:sz="4" w:space="0" w:color="auto"/>
              <w:left w:val="nil"/>
              <w:bottom w:val="nil"/>
              <w:right w:val="nil"/>
            </w:tcBorders>
            <w:shd w:val="clear" w:color="auto" w:fill="auto"/>
            <w:noWrap/>
            <w:vAlign w:val="center"/>
            <w:hideMark/>
          </w:tcPr>
          <w:p w14:paraId="7A418EC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0.0006</w:t>
            </w:r>
          </w:p>
        </w:tc>
      </w:tr>
      <w:tr w:rsidR="00C30160" w:rsidRPr="00CE0DE7" w14:paraId="1FB4D310" w14:textId="77777777" w:rsidTr="00C24E43">
        <w:trPr>
          <w:trHeight w:val="254"/>
        </w:trPr>
        <w:tc>
          <w:tcPr>
            <w:tcW w:w="887" w:type="pct"/>
            <w:vMerge/>
            <w:tcBorders>
              <w:top w:val="nil"/>
              <w:left w:val="nil"/>
              <w:bottom w:val="nil"/>
              <w:right w:val="single" w:sz="4" w:space="0" w:color="auto"/>
            </w:tcBorders>
            <w:vAlign w:val="center"/>
            <w:hideMark/>
          </w:tcPr>
          <w:p w14:paraId="4C3139F9"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1789D5E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11" w:type="pct"/>
            <w:tcBorders>
              <w:top w:val="nil"/>
              <w:left w:val="single" w:sz="4" w:space="0" w:color="auto"/>
              <w:bottom w:val="nil"/>
              <w:right w:val="nil"/>
            </w:tcBorders>
            <w:shd w:val="clear" w:color="auto" w:fill="auto"/>
            <w:noWrap/>
            <w:vAlign w:val="center"/>
            <w:hideMark/>
          </w:tcPr>
          <w:p w14:paraId="1DE0E87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0.2820</w:t>
            </w:r>
          </w:p>
        </w:tc>
        <w:tc>
          <w:tcPr>
            <w:tcW w:w="711" w:type="pct"/>
            <w:tcBorders>
              <w:top w:val="nil"/>
              <w:left w:val="nil"/>
              <w:bottom w:val="nil"/>
              <w:right w:val="single" w:sz="4" w:space="0" w:color="auto"/>
            </w:tcBorders>
            <w:shd w:val="clear" w:color="auto" w:fill="auto"/>
            <w:noWrap/>
            <w:vAlign w:val="center"/>
            <w:hideMark/>
          </w:tcPr>
          <w:p w14:paraId="5842473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0.0003</w:t>
            </w:r>
          </w:p>
        </w:tc>
        <w:tc>
          <w:tcPr>
            <w:tcW w:w="711" w:type="pct"/>
            <w:tcBorders>
              <w:top w:val="nil"/>
              <w:left w:val="single" w:sz="4" w:space="0" w:color="auto"/>
              <w:bottom w:val="nil"/>
              <w:right w:val="nil"/>
            </w:tcBorders>
            <w:shd w:val="clear" w:color="auto" w:fill="auto"/>
            <w:noWrap/>
            <w:vAlign w:val="center"/>
            <w:hideMark/>
          </w:tcPr>
          <w:p w14:paraId="01B2CEB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0.3415</w:t>
            </w:r>
          </w:p>
        </w:tc>
        <w:tc>
          <w:tcPr>
            <w:tcW w:w="710" w:type="pct"/>
            <w:tcBorders>
              <w:top w:val="nil"/>
              <w:left w:val="nil"/>
              <w:bottom w:val="nil"/>
              <w:right w:val="nil"/>
            </w:tcBorders>
            <w:shd w:val="clear" w:color="auto" w:fill="auto"/>
            <w:noWrap/>
            <w:vAlign w:val="center"/>
            <w:hideMark/>
          </w:tcPr>
          <w:p w14:paraId="43B2069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0.0017</w:t>
            </w:r>
          </w:p>
        </w:tc>
      </w:tr>
      <w:tr w:rsidR="00C30160" w:rsidRPr="00CE0DE7" w14:paraId="3324D079" w14:textId="77777777" w:rsidTr="00C24E43">
        <w:trPr>
          <w:trHeight w:val="254"/>
        </w:trPr>
        <w:tc>
          <w:tcPr>
            <w:tcW w:w="887" w:type="pct"/>
            <w:vMerge/>
            <w:tcBorders>
              <w:top w:val="nil"/>
              <w:left w:val="nil"/>
              <w:bottom w:val="nil"/>
              <w:right w:val="single" w:sz="4" w:space="0" w:color="auto"/>
            </w:tcBorders>
            <w:vAlign w:val="center"/>
            <w:hideMark/>
          </w:tcPr>
          <w:p w14:paraId="7711DA5C"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02F2FB8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11" w:type="pct"/>
            <w:tcBorders>
              <w:top w:val="nil"/>
              <w:left w:val="single" w:sz="4" w:space="0" w:color="auto"/>
              <w:bottom w:val="nil"/>
              <w:right w:val="nil"/>
            </w:tcBorders>
            <w:shd w:val="clear" w:color="auto" w:fill="auto"/>
            <w:noWrap/>
            <w:vAlign w:val="center"/>
            <w:hideMark/>
          </w:tcPr>
          <w:p w14:paraId="3EA91B1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0.1711</w:t>
            </w:r>
          </w:p>
        </w:tc>
        <w:tc>
          <w:tcPr>
            <w:tcW w:w="711" w:type="pct"/>
            <w:tcBorders>
              <w:top w:val="nil"/>
              <w:left w:val="nil"/>
              <w:bottom w:val="nil"/>
              <w:right w:val="single" w:sz="4" w:space="0" w:color="auto"/>
            </w:tcBorders>
            <w:shd w:val="clear" w:color="auto" w:fill="auto"/>
            <w:noWrap/>
            <w:vAlign w:val="center"/>
            <w:hideMark/>
          </w:tcPr>
          <w:p w14:paraId="7880935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0.0005</w:t>
            </w:r>
          </w:p>
        </w:tc>
        <w:tc>
          <w:tcPr>
            <w:tcW w:w="711" w:type="pct"/>
            <w:tcBorders>
              <w:top w:val="nil"/>
              <w:left w:val="single" w:sz="4" w:space="0" w:color="auto"/>
              <w:bottom w:val="nil"/>
              <w:right w:val="nil"/>
            </w:tcBorders>
            <w:shd w:val="clear" w:color="auto" w:fill="auto"/>
            <w:noWrap/>
            <w:vAlign w:val="center"/>
            <w:hideMark/>
          </w:tcPr>
          <w:p w14:paraId="77A1C04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0.2857</w:t>
            </w:r>
          </w:p>
        </w:tc>
        <w:tc>
          <w:tcPr>
            <w:tcW w:w="710" w:type="pct"/>
            <w:tcBorders>
              <w:top w:val="nil"/>
              <w:left w:val="nil"/>
              <w:bottom w:val="nil"/>
              <w:right w:val="nil"/>
            </w:tcBorders>
            <w:shd w:val="clear" w:color="auto" w:fill="auto"/>
            <w:noWrap/>
            <w:vAlign w:val="center"/>
            <w:hideMark/>
          </w:tcPr>
          <w:p w14:paraId="135B5DA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0.0043</w:t>
            </w:r>
          </w:p>
        </w:tc>
      </w:tr>
      <w:tr w:rsidR="00C30160" w:rsidRPr="00CE0DE7" w14:paraId="555EDD20" w14:textId="77777777" w:rsidTr="00C24E43">
        <w:trPr>
          <w:trHeight w:val="254"/>
        </w:trPr>
        <w:tc>
          <w:tcPr>
            <w:tcW w:w="887" w:type="pct"/>
            <w:vMerge/>
            <w:tcBorders>
              <w:top w:val="nil"/>
              <w:left w:val="nil"/>
              <w:bottom w:val="nil"/>
              <w:right w:val="single" w:sz="4" w:space="0" w:color="auto"/>
            </w:tcBorders>
            <w:vAlign w:val="center"/>
            <w:hideMark/>
          </w:tcPr>
          <w:p w14:paraId="265E6EA7"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0FC7B51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11" w:type="pct"/>
            <w:tcBorders>
              <w:top w:val="nil"/>
              <w:left w:val="single" w:sz="4" w:space="0" w:color="auto"/>
              <w:bottom w:val="nil"/>
              <w:right w:val="nil"/>
            </w:tcBorders>
            <w:shd w:val="clear" w:color="auto" w:fill="auto"/>
            <w:noWrap/>
            <w:vAlign w:val="center"/>
            <w:hideMark/>
          </w:tcPr>
          <w:p w14:paraId="7B7B049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0.2060</w:t>
            </w:r>
          </w:p>
        </w:tc>
        <w:tc>
          <w:tcPr>
            <w:tcW w:w="711" w:type="pct"/>
            <w:tcBorders>
              <w:top w:val="nil"/>
              <w:left w:val="nil"/>
              <w:bottom w:val="nil"/>
              <w:right w:val="single" w:sz="4" w:space="0" w:color="auto"/>
            </w:tcBorders>
            <w:shd w:val="clear" w:color="auto" w:fill="auto"/>
            <w:noWrap/>
            <w:vAlign w:val="center"/>
            <w:hideMark/>
          </w:tcPr>
          <w:p w14:paraId="396B77B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0.0003</w:t>
            </w:r>
          </w:p>
        </w:tc>
        <w:tc>
          <w:tcPr>
            <w:tcW w:w="711" w:type="pct"/>
            <w:tcBorders>
              <w:top w:val="nil"/>
              <w:left w:val="single" w:sz="4" w:space="0" w:color="auto"/>
              <w:bottom w:val="nil"/>
              <w:right w:val="nil"/>
            </w:tcBorders>
            <w:shd w:val="clear" w:color="auto" w:fill="auto"/>
            <w:noWrap/>
            <w:vAlign w:val="center"/>
            <w:hideMark/>
          </w:tcPr>
          <w:p w14:paraId="6ADC41C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0.1800</w:t>
            </w:r>
          </w:p>
        </w:tc>
        <w:tc>
          <w:tcPr>
            <w:tcW w:w="710" w:type="pct"/>
            <w:tcBorders>
              <w:top w:val="nil"/>
              <w:left w:val="nil"/>
              <w:bottom w:val="nil"/>
              <w:right w:val="nil"/>
            </w:tcBorders>
            <w:shd w:val="clear" w:color="auto" w:fill="auto"/>
            <w:noWrap/>
            <w:vAlign w:val="center"/>
            <w:hideMark/>
          </w:tcPr>
          <w:p w14:paraId="1ED4662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0.0021</w:t>
            </w:r>
          </w:p>
        </w:tc>
      </w:tr>
      <w:tr w:rsidR="00C30160" w:rsidRPr="00CE0DE7" w14:paraId="03DAAEAC" w14:textId="77777777" w:rsidTr="00C24E43">
        <w:trPr>
          <w:trHeight w:val="254"/>
        </w:trPr>
        <w:tc>
          <w:tcPr>
            <w:tcW w:w="887" w:type="pct"/>
            <w:vMerge/>
            <w:tcBorders>
              <w:top w:val="nil"/>
              <w:left w:val="nil"/>
              <w:bottom w:val="single" w:sz="12" w:space="0" w:color="auto"/>
              <w:right w:val="single" w:sz="4" w:space="0" w:color="auto"/>
            </w:tcBorders>
            <w:vAlign w:val="center"/>
            <w:hideMark/>
          </w:tcPr>
          <w:p w14:paraId="3355E600"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single" w:sz="12" w:space="0" w:color="auto"/>
              <w:right w:val="single" w:sz="4" w:space="0" w:color="auto"/>
            </w:tcBorders>
            <w:shd w:val="clear" w:color="auto" w:fill="auto"/>
            <w:noWrap/>
            <w:vAlign w:val="center"/>
            <w:hideMark/>
          </w:tcPr>
          <w:p w14:paraId="01654B8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11" w:type="pct"/>
            <w:tcBorders>
              <w:top w:val="nil"/>
              <w:left w:val="single" w:sz="4" w:space="0" w:color="auto"/>
              <w:bottom w:val="single" w:sz="12" w:space="0" w:color="auto"/>
              <w:right w:val="nil"/>
            </w:tcBorders>
            <w:shd w:val="clear" w:color="auto" w:fill="auto"/>
            <w:noWrap/>
            <w:vAlign w:val="center"/>
            <w:hideMark/>
          </w:tcPr>
          <w:p w14:paraId="260EE5A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0.2109</w:t>
            </w:r>
          </w:p>
        </w:tc>
        <w:tc>
          <w:tcPr>
            <w:tcW w:w="711" w:type="pct"/>
            <w:tcBorders>
              <w:top w:val="nil"/>
              <w:left w:val="nil"/>
              <w:bottom w:val="single" w:sz="12" w:space="0" w:color="auto"/>
              <w:right w:val="single" w:sz="4" w:space="0" w:color="auto"/>
            </w:tcBorders>
            <w:shd w:val="clear" w:color="auto" w:fill="auto"/>
            <w:noWrap/>
            <w:vAlign w:val="center"/>
            <w:hideMark/>
          </w:tcPr>
          <w:p w14:paraId="248D750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0.0017</w:t>
            </w:r>
          </w:p>
        </w:tc>
        <w:tc>
          <w:tcPr>
            <w:tcW w:w="711" w:type="pct"/>
            <w:tcBorders>
              <w:top w:val="nil"/>
              <w:left w:val="single" w:sz="4" w:space="0" w:color="auto"/>
              <w:bottom w:val="single" w:sz="12" w:space="0" w:color="auto"/>
              <w:right w:val="nil"/>
            </w:tcBorders>
            <w:shd w:val="clear" w:color="auto" w:fill="auto"/>
            <w:noWrap/>
            <w:vAlign w:val="center"/>
            <w:hideMark/>
          </w:tcPr>
          <w:p w14:paraId="61CED9A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0.1809</w:t>
            </w:r>
          </w:p>
        </w:tc>
        <w:tc>
          <w:tcPr>
            <w:tcW w:w="710" w:type="pct"/>
            <w:tcBorders>
              <w:top w:val="nil"/>
              <w:left w:val="nil"/>
              <w:bottom w:val="single" w:sz="12" w:space="0" w:color="auto"/>
              <w:right w:val="nil"/>
            </w:tcBorders>
            <w:shd w:val="clear" w:color="auto" w:fill="auto"/>
            <w:noWrap/>
            <w:vAlign w:val="center"/>
            <w:hideMark/>
          </w:tcPr>
          <w:p w14:paraId="5780D0E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0.0032</w:t>
            </w:r>
          </w:p>
        </w:tc>
      </w:tr>
      <w:tr w:rsidR="00C30160" w:rsidRPr="00CE0DE7" w14:paraId="18CAD8F5" w14:textId="77777777" w:rsidTr="00C24E43">
        <w:trPr>
          <w:trHeight w:val="254"/>
        </w:trPr>
        <w:tc>
          <w:tcPr>
            <w:tcW w:w="887" w:type="pct"/>
            <w:vMerge w:val="restart"/>
            <w:tcBorders>
              <w:top w:val="single" w:sz="12" w:space="0" w:color="auto"/>
              <w:left w:val="nil"/>
              <w:bottom w:val="nil"/>
              <w:right w:val="single" w:sz="4" w:space="0" w:color="auto"/>
            </w:tcBorders>
            <w:shd w:val="clear" w:color="auto" w:fill="auto"/>
            <w:noWrap/>
            <w:vAlign w:val="center"/>
            <w:hideMark/>
          </w:tcPr>
          <w:p w14:paraId="776BA8EA"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1269" w:type="pct"/>
            <w:tcBorders>
              <w:top w:val="single" w:sz="12" w:space="0" w:color="auto"/>
              <w:left w:val="single" w:sz="4" w:space="0" w:color="auto"/>
              <w:bottom w:val="nil"/>
              <w:right w:val="single" w:sz="4" w:space="0" w:color="auto"/>
            </w:tcBorders>
            <w:shd w:val="clear" w:color="auto" w:fill="auto"/>
            <w:noWrap/>
            <w:vAlign w:val="center"/>
            <w:hideMark/>
          </w:tcPr>
          <w:p w14:paraId="783C0E3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11" w:type="pct"/>
            <w:tcBorders>
              <w:top w:val="single" w:sz="12" w:space="0" w:color="auto"/>
              <w:left w:val="single" w:sz="4" w:space="0" w:color="auto"/>
              <w:bottom w:val="nil"/>
              <w:right w:val="nil"/>
            </w:tcBorders>
            <w:shd w:val="clear" w:color="auto" w:fill="auto"/>
            <w:noWrap/>
            <w:vAlign w:val="center"/>
            <w:hideMark/>
          </w:tcPr>
          <w:p w14:paraId="32F9714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single" w:sz="12" w:space="0" w:color="auto"/>
              <w:left w:val="nil"/>
              <w:bottom w:val="nil"/>
              <w:right w:val="single" w:sz="4" w:space="0" w:color="auto"/>
            </w:tcBorders>
            <w:shd w:val="clear" w:color="auto" w:fill="auto"/>
            <w:noWrap/>
            <w:vAlign w:val="center"/>
            <w:hideMark/>
          </w:tcPr>
          <w:p w14:paraId="267C686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0.4202</w:t>
            </w:r>
          </w:p>
        </w:tc>
        <w:tc>
          <w:tcPr>
            <w:tcW w:w="711" w:type="pct"/>
            <w:tcBorders>
              <w:top w:val="single" w:sz="12" w:space="0" w:color="auto"/>
              <w:left w:val="single" w:sz="4" w:space="0" w:color="auto"/>
              <w:bottom w:val="nil"/>
              <w:right w:val="nil"/>
            </w:tcBorders>
            <w:shd w:val="clear" w:color="auto" w:fill="auto"/>
            <w:noWrap/>
            <w:vAlign w:val="center"/>
            <w:hideMark/>
          </w:tcPr>
          <w:p w14:paraId="0DBEBBB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single" w:sz="12" w:space="0" w:color="auto"/>
              <w:left w:val="nil"/>
              <w:bottom w:val="nil"/>
              <w:right w:val="nil"/>
            </w:tcBorders>
            <w:shd w:val="clear" w:color="auto" w:fill="auto"/>
            <w:noWrap/>
            <w:vAlign w:val="center"/>
            <w:hideMark/>
          </w:tcPr>
          <w:p w14:paraId="69345C6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0.4901</w:t>
            </w:r>
          </w:p>
        </w:tc>
      </w:tr>
      <w:tr w:rsidR="00C30160" w:rsidRPr="00CE0DE7" w14:paraId="49CC0F76" w14:textId="77777777" w:rsidTr="00C24E43">
        <w:trPr>
          <w:trHeight w:val="254"/>
        </w:trPr>
        <w:tc>
          <w:tcPr>
            <w:tcW w:w="887" w:type="pct"/>
            <w:vMerge/>
            <w:tcBorders>
              <w:top w:val="nil"/>
              <w:left w:val="nil"/>
              <w:bottom w:val="nil"/>
              <w:right w:val="single" w:sz="4" w:space="0" w:color="auto"/>
            </w:tcBorders>
            <w:vAlign w:val="center"/>
            <w:hideMark/>
          </w:tcPr>
          <w:p w14:paraId="38F1DF2F"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320BE00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11" w:type="pct"/>
            <w:tcBorders>
              <w:top w:val="nil"/>
              <w:left w:val="single" w:sz="4" w:space="0" w:color="auto"/>
              <w:bottom w:val="nil"/>
              <w:right w:val="nil"/>
            </w:tcBorders>
            <w:shd w:val="clear" w:color="auto" w:fill="auto"/>
            <w:noWrap/>
            <w:vAlign w:val="center"/>
            <w:hideMark/>
          </w:tcPr>
          <w:p w14:paraId="0C9EFB4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nil"/>
              <w:bottom w:val="nil"/>
              <w:right w:val="single" w:sz="4" w:space="0" w:color="auto"/>
            </w:tcBorders>
            <w:shd w:val="clear" w:color="auto" w:fill="auto"/>
            <w:noWrap/>
            <w:vAlign w:val="center"/>
            <w:hideMark/>
          </w:tcPr>
          <w:p w14:paraId="4A19F71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0.8875</w:t>
            </w:r>
          </w:p>
        </w:tc>
        <w:tc>
          <w:tcPr>
            <w:tcW w:w="711" w:type="pct"/>
            <w:tcBorders>
              <w:top w:val="nil"/>
              <w:left w:val="single" w:sz="4" w:space="0" w:color="auto"/>
              <w:bottom w:val="nil"/>
              <w:right w:val="nil"/>
            </w:tcBorders>
            <w:shd w:val="clear" w:color="auto" w:fill="auto"/>
            <w:noWrap/>
            <w:vAlign w:val="center"/>
            <w:hideMark/>
          </w:tcPr>
          <w:p w14:paraId="6128ADE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nil"/>
              <w:left w:val="nil"/>
              <w:bottom w:val="nil"/>
              <w:right w:val="nil"/>
            </w:tcBorders>
            <w:shd w:val="clear" w:color="auto" w:fill="auto"/>
            <w:noWrap/>
            <w:vAlign w:val="center"/>
            <w:hideMark/>
          </w:tcPr>
          <w:p w14:paraId="70A374F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0.9109</w:t>
            </w:r>
          </w:p>
        </w:tc>
      </w:tr>
      <w:tr w:rsidR="00C30160" w:rsidRPr="00CE0DE7" w14:paraId="55BA116D" w14:textId="77777777" w:rsidTr="00C24E43">
        <w:trPr>
          <w:trHeight w:val="254"/>
        </w:trPr>
        <w:tc>
          <w:tcPr>
            <w:tcW w:w="887" w:type="pct"/>
            <w:vMerge/>
            <w:tcBorders>
              <w:top w:val="nil"/>
              <w:left w:val="nil"/>
              <w:bottom w:val="nil"/>
              <w:right w:val="single" w:sz="4" w:space="0" w:color="auto"/>
            </w:tcBorders>
            <w:vAlign w:val="center"/>
            <w:hideMark/>
          </w:tcPr>
          <w:p w14:paraId="3479FDF5"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47105C8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11" w:type="pct"/>
            <w:tcBorders>
              <w:top w:val="nil"/>
              <w:left w:val="single" w:sz="4" w:space="0" w:color="auto"/>
              <w:bottom w:val="nil"/>
              <w:right w:val="nil"/>
            </w:tcBorders>
            <w:shd w:val="clear" w:color="auto" w:fill="auto"/>
            <w:noWrap/>
            <w:vAlign w:val="center"/>
            <w:hideMark/>
          </w:tcPr>
          <w:p w14:paraId="59BB37B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nil"/>
              <w:bottom w:val="nil"/>
              <w:right w:val="single" w:sz="4" w:space="0" w:color="auto"/>
            </w:tcBorders>
            <w:shd w:val="clear" w:color="auto" w:fill="auto"/>
            <w:noWrap/>
            <w:vAlign w:val="center"/>
            <w:hideMark/>
          </w:tcPr>
          <w:p w14:paraId="7E54F43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0.5548</w:t>
            </w:r>
          </w:p>
        </w:tc>
        <w:tc>
          <w:tcPr>
            <w:tcW w:w="711" w:type="pct"/>
            <w:tcBorders>
              <w:top w:val="nil"/>
              <w:left w:val="single" w:sz="4" w:space="0" w:color="auto"/>
              <w:bottom w:val="nil"/>
              <w:right w:val="nil"/>
            </w:tcBorders>
            <w:shd w:val="clear" w:color="auto" w:fill="auto"/>
            <w:noWrap/>
            <w:vAlign w:val="center"/>
            <w:hideMark/>
          </w:tcPr>
          <w:p w14:paraId="1C29DD8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nil"/>
              <w:left w:val="nil"/>
              <w:bottom w:val="nil"/>
              <w:right w:val="nil"/>
            </w:tcBorders>
            <w:shd w:val="clear" w:color="auto" w:fill="auto"/>
            <w:noWrap/>
            <w:vAlign w:val="center"/>
            <w:hideMark/>
          </w:tcPr>
          <w:p w14:paraId="0D24BED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0.3135</w:t>
            </w:r>
          </w:p>
        </w:tc>
      </w:tr>
      <w:tr w:rsidR="00C30160" w:rsidRPr="00CE0DE7" w14:paraId="08440DF4" w14:textId="77777777" w:rsidTr="00C24E43">
        <w:trPr>
          <w:trHeight w:val="254"/>
        </w:trPr>
        <w:tc>
          <w:tcPr>
            <w:tcW w:w="887" w:type="pct"/>
            <w:vMerge/>
            <w:tcBorders>
              <w:top w:val="nil"/>
              <w:left w:val="nil"/>
              <w:bottom w:val="nil"/>
              <w:right w:val="single" w:sz="4" w:space="0" w:color="auto"/>
            </w:tcBorders>
            <w:vAlign w:val="center"/>
            <w:hideMark/>
          </w:tcPr>
          <w:p w14:paraId="5E3B5BD6"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263F076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11" w:type="pct"/>
            <w:tcBorders>
              <w:top w:val="nil"/>
              <w:left w:val="single" w:sz="4" w:space="0" w:color="auto"/>
              <w:bottom w:val="nil"/>
              <w:right w:val="nil"/>
            </w:tcBorders>
            <w:shd w:val="clear" w:color="auto" w:fill="auto"/>
            <w:noWrap/>
            <w:vAlign w:val="center"/>
            <w:hideMark/>
          </w:tcPr>
          <w:p w14:paraId="5B0B81A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nil"/>
              <w:bottom w:val="nil"/>
              <w:right w:val="single" w:sz="4" w:space="0" w:color="auto"/>
            </w:tcBorders>
            <w:shd w:val="clear" w:color="auto" w:fill="auto"/>
            <w:noWrap/>
            <w:vAlign w:val="center"/>
            <w:hideMark/>
          </w:tcPr>
          <w:p w14:paraId="637B082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0.5679</w:t>
            </w:r>
          </w:p>
        </w:tc>
        <w:tc>
          <w:tcPr>
            <w:tcW w:w="711" w:type="pct"/>
            <w:tcBorders>
              <w:top w:val="nil"/>
              <w:left w:val="single" w:sz="4" w:space="0" w:color="auto"/>
              <w:bottom w:val="nil"/>
              <w:right w:val="nil"/>
            </w:tcBorders>
            <w:shd w:val="clear" w:color="auto" w:fill="auto"/>
            <w:noWrap/>
            <w:vAlign w:val="center"/>
            <w:hideMark/>
          </w:tcPr>
          <w:p w14:paraId="01F51B3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nil"/>
              <w:left w:val="nil"/>
              <w:bottom w:val="nil"/>
              <w:right w:val="nil"/>
            </w:tcBorders>
            <w:shd w:val="clear" w:color="auto" w:fill="auto"/>
            <w:noWrap/>
            <w:vAlign w:val="center"/>
            <w:hideMark/>
          </w:tcPr>
          <w:p w14:paraId="3320B17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0.2129</w:t>
            </w:r>
          </w:p>
        </w:tc>
      </w:tr>
      <w:tr w:rsidR="00C30160" w:rsidRPr="00CE0DE7" w14:paraId="05AC2AAF" w14:textId="77777777" w:rsidTr="00C24E43">
        <w:trPr>
          <w:trHeight w:val="254"/>
        </w:trPr>
        <w:tc>
          <w:tcPr>
            <w:tcW w:w="887" w:type="pct"/>
            <w:vMerge/>
            <w:tcBorders>
              <w:top w:val="nil"/>
              <w:left w:val="nil"/>
              <w:bottom w:val="single" w:sz="4" w:space="0" w:color="auto"/>
              <w:right w:val="single" w:sz="4" w:space="0" w:color="auto"/>
            </w:tcBorders>
            <w:vAlign w:val="center"/>
            <w:hideMark/>
          </w:tcPr>
          <w:p w14:paraId="35D80236"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single" w:sz="4" w:space="0" w:color="auto"/>
              <w:right w:val="single" w:sz="4" w:space="0" w:color="auto"/>
            </w:tcBorders>
            <w:shd w:val="clear" w:color="auto" w:fill="auto"/>
            <w:noWrap/>
            <w:vAlign w:val="center"/>
            <w:hideMark/>
          </w:tcPr>
          <w:p w14:paraId="3AD9B0C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11" w:type="pct"/>
            <w:tcBorders>
              <w:top w:val="nil"/>
              <w:left w:val="single" w:sz="4" w:space="0" w:color="auto"/>
              <w:bottom w:val="single" w:sz="4" w:space="0" w:color="auto"/>
              <w:right w:val="nil"/>
            </w:tcBorders>
            <w:shd w:val="clear" w:color="auto" w:fill="auto"/>
            <w:noWrap/>
            <w:vAlign w:val="center"/>
            <w:hideMark/>
          </w:tcPr>
          <w:p w14:paraId="4C5F8FF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nil"/>
              <w:bottom w:val="single" w:sz="4" w:space="0" w:color="auto"/>
              <w:right w:val="single" w:sz="4" w:space="0" w:color="auto"/>
            </w:tcBorders>
            <w:shd w:val="clear" w:color="auto" w:fill="auto"/>
            <w:noWrap/>
            <w:vAlign w:val="center"/>
            <w:hideMark/>
          </w:tcPr>
          <w:p w14:paraId="0923EAF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0.3667</w:t>
            </w:r>
          </w:p>
        </w:tc>
        <w:tc>
          <w:tcPr>
            <w:tcW w:w="711" w:type="pct"/>
            <w:tcBorders>
              <w:top w:val="nil"/>
              <w:left w:val="single" w:sz="4" w:space="0" w:color="auto"/>
              <w:bottom w:val="single" w:sz="4" w:space="0" w:color="auto"/>
              <w:right w:val="nil"/>
            </w:tcBorders>
            <w:shd w:val="clear" w:color="auto" w:fill="auto"/>
            <w:noWrap/>
            <w:vAlign w:val="center"/>
            <w:hideMark/>
          </w:tcPr>
          <w:p w14:paraId="41FA3B4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nil"/>
              <w:left w:val="nil"/>
              <w:bottom w:val="single" w:sz="4" w:space="0" w:color="auto"/>
              <w:right w:val="nil"/>
            </w:tcBorders>
            <w:shd w:val="clear" w:color="auto" w:fill="auto"/>
            <w:noWrap/>
            <w:vAlign w:val="center"/>
            <w:hideMark/>
          </w:tcPr>
          <w:p w14:paraId="37C1176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0.1900</w:t>
            </w:r>
          </w:p>
        </w:tc>
      </w:tr>
      <w:tr w:rsidR="00C30160" w:rsidRPr="00CE0DE7" w14:paraId="7F8ED4F0" w14:textId="77777777" w:rsidTr="00C24E43">
        <w:trPr>
          <w:trHeight w:val="254"/>
        </w:trPr>
        <w:tc>
          <w:tcPr>
            <w:tcW w:w="887" w:type="pct"/>
            <w:vMerge w:val="restart"/>
            <w:tcBorders>
              <w:top w:val="single" w:sz="4" w:space="0" w:color="auto"/>
              <w:left w:val="nil"/>
              <w:bottom w:val="nil"/>
              <w:right w:val="single" w:sz="4" w:space="0" w:color="auto"/>
            </w:tcBorders>
            <w:shd w:val="clear" w:color="auto" w:fill="auto"/>
            <w:noWrap/>
            <w:vAlign w:val="center"/>
            <w:hideMark/>
          </w:tcPr>
          <w:p w14:paraId="38EE21A3"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1269" w:type="pct"/>
            <w:tcBorders>
              <w:top w:val="single" w:sz="4" w:space="0" w:color="auto"/>
              <w:left w:val="single" w:sz="4" w:space="0" w:color="auto"/>
              <w:bottom w:val="nil"/>
              <w:right w:val="single" w:sz="4" w:space="0" w:color="auto"/>
            </w:tcBorders>
            <w:shd w:val="clear" w:color="auto" w:fill="auto"/>
            <w:noWrap/>
            <w:vAlign w:val="center"/>
            <w:hideMark/>
          </w:tcPr>
          <w:p w14:paraId="228D4E8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11" w:type="pct"/>
            <w:tcBorders>
              <w:top w:val="single" w:sz="4" w:space="0" w:color="auto"/>
              <w:left w:val="single" w:sz="4" w:space="0" w:color="auto"/>
              <w:bottom w:val="nil"/>
              <w:right w:val="nil"/>
            </w:tcBorders>
            <w:shd w:val="clear" w:color="auto" w:fill="auto"/>
            <w:noWrap/>
            <w:vAlign w:val="center"/>
            <w:hideMark/>
          </w:tcPr>
          <w:p w14:paraId="220B0CA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single" w:sz="4" w:space="0" w:color="auto"/>
              <w:left w:val="nil"/>
              <w:bottom w:val="nil"/>
              <w:right w:val="single" w:sz="4" w:space="0" w:color="auto"/>
            </w:tcBorders>
            <w:shd w:val="clear" w:color="auto" w:fill="auto"/>
            <w:noWrap/>
            <w:vAlign w:val="center"/>
            <w:hideMark/>
          </w:tcPr>
          <w:p w14:paraId="1CF13A9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0.2658</w:t>
            </w:r>
          </w:p>
        </w:tc>
        <w:tc>
          <w:tcPr>
            <w:tcW w:w="711" w:type="pct"/>
            <w:tcBorders>
              <w:top w:val="single" w:sz="4" w:space="0" w:color="auto"/>
              <w:left w:val="single" w:sz="4" w:space="0" w:color="auto"/>
              <w:bottom w:val="nil"/>
              <w:right w:val="nil"/>
            </w:tcBorders>
            <w:shd w:val="clear" w:color="auto" w:fill="auto"/>
            <w:noWrap/>
            <w:vAlign w:val="center"/>
            <w:hideMark/>
          </w:tcPr>
          <w:p w14:paraId="6D605C4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single" w:sz="4" w:space="0" w:color="auto"/>
              <w:left w:val="nil"/>
              <w:bottom w:val="nil"/>
              <w:right w:val="nil"/>
            </w:tcBorders>
            <w:shd w:val="clear" w:color="auto" w:fill="auto"/>
            <w:noWrap/>
            <w:vAlign w:val="center"/>
            <w:hideMark/>
          </w:tcPr>
          <w:p w14:paraId="24C047C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0.3422</w:t>
            </w:r>
          </w:p>
        </w:tc>
      </w:tr>
      <w:tr w:rsidR="00C30160" w:rsidRPr="00CE0DE7" w14:paraId="73D9C1BC" w14:textId="77777777" w:rsidTr="00C24E43">
        <w:trPr>
          <w:trHeight w:val="254"/>
        </w:trPr>
        <w:tc>
          <w:tcPr>
            <w:tcW w:w="887" w:type="pct"/>
            <w:vMerge/>
            <w:tcBorders>
              <w:top w:val="nil"/>
              <w:left w:val="nil"/>
              <w:bottom w:val="nil"/>
              <w:right w:val="single" w:sz="4" w:space="0" w:color="auto"/>
            </w:tcBorders>
            <w:vAlign w:val="center"/>
            <w:hideMark/>
          </w:tcPr>
          <w:p w14:paraId="258C031C"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07600FD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11" w:type="pct"/>
            <w:tcBorders>
              <w:top w:val="nil"/>
              <w:left w:val="single" w:sz="4" w:space="0" w:color="auto"/>
              <w:bottom w:val="nil"/>
              <w:right w:val="nil"/>
            </w:tcBorders>
            <w:shd w:val="clear" w:color="auto" w:fill="auto"/>
            <w:noWrap/>
            <w:vAlign w:val="center"/>
            <w:hideMark/>
          </w:tcPr>
          <w:p w14:paraId="0B4C1CD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nil"/>
              <w:bottom w:val="nil"/>
              <w:right w:val="single" w:sz="4" w:space="0" w:color="auto"/>
            </w:tcBorders>
            <w:shd w:val="clear" w:color="auto" w:fill="auto"/>
            <w:noWrap/>
            <w:vAlign w:val="center"/>
            <w:hideMark/>
          </w:tcPr>
          <w:p w14:paraId="01FC5D3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0.2063</w:t>
            </w:r>
          </w:p>
        </w:tc>
        <w:tc>
          <w:tcPr>
            <w:tcW w:w="711" w:type="pct"/>
            <w:tcBorders>
              <w:top w:val="nil"/>
              <w:left w:val="single" w:sz="4" w:space="0" w:color="auto"/>
              <w:bottom w:val="nil"/>
              <w:right w:val="nil"/>
            </w:tcBorders>
            <w:shd w:val="clear" w:color="auto" w:fill="auto"/>
            <w:noWrap/>
            <w:vAlign w:val="center"/>
            <w:hideMark/>
          </w:tcPr>
          <w:p w14:paraId="49910EC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nil"/>
              <w:left w:val="nil"/>
              <w:bottom w:val="nil"/>
              <w:right w:val="nil"/>
            </w:tcBorders>
            <w:shd w:val="clear" w:color="auto" w:fill="auto"/>
            <w:noWrap/>
            <w:vAlign w:val="center"/>
            <w:hideMark/>
          </w:tcPr>
          <w:p w14:paraId="5CEFBAA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0.3203</w:t>
            </w:r>
          </w:p>
        </w:tc>
      </w:tr>
      <w:tr w:rsidR="00C30160" w:rsidRPr="00CE0DE7" w14:paraId="08FBCA0A" w14:textId="77777777" w:rsidTr="00C24E43">
        <w:trPr>
          <w:trHeight w:val="254"/>
        </w:trPr>
        <w:tc>
          <w:tcPr>
            <w:tcW w:w="887" w:type="pct"/>
            <w:vMerge/>
            <w:tcBorders>
              <w:top w:val="nil"/>
              <w:left w:val="nil"/>
              <w:bottom w:val="nil"/>
              <w:right w:val="single" w:sz="4" w:space="0" w:color="auto"/>
            </w:tcBorders>
            <w:vAlign w:val="center"/>
            <w:hideMark/>
          </w:tcPr>
          <w:p w14:paraId="03EA344C"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4AE509C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11" w:type="pct"/>
            <w:tcBorders>
              <w:top w:val="nil"/>
              <w:left w:val="single" w:sz="4" w:space="0" w:color="auto"/>
              <w:bottom w:val="nil"/>
              <w:right w:val="nil"/>
            </w:tcBorders>
            <w:shd w:val="clear" w:color="auto" w:fill="auto"/>
            <w:noWrap/>
            <w:vAlign w:val="center"/>
            <w:hideMark/>
          </w:tcPr>
          <w:p w14:paraId="4FB4B35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nil"/>
              <w:bottom w:val="nil"/>
              <w:right w:val="single" w:sz="4" w:space="0" w:color="auto"/>
            </w:tcBorders>
            <w:shd w:val="clear" w:color="auto" w:fill="auto"/>
            <w:noWrap/>
            <w:vAlign w:val="center"/>
            <w:hideMark/>
          </w:tcPr>
          <w:p w14:paraId="625001B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0.7191</w:t>
            </w:r>
          </w:p>
        </w:tc>
        <w:tc>
          <w:tcPr>
            <w:tcW w:w="711" w:type="pct"/>
            <w:tcBorders>
              <w:top w:val="nil"/>
              <w:left w:val="single" w:sz="4" w:space="0" w:color="auto"/>
              <w:bottom w:val="nil"/>
              <w:right w:val="nil"/>
            </w:tcBorders>
            <w:shd w:val="clear" w:color="auto" w:fill="auto"/>
            <w:noWrap/>
            <w:vAlign w:val="center"/>
            <w:hideMark/>
          </w:tcPr>
          <w:p w14:paraId="325EBAC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nil"/>
              <w:left w:val="nil"/>
              <w:bottom w:val="nil"/>
              <w:right w:val="nil"/>
            </w:tcBorders>
            <w:shd w:val="clear" w:color="auto" w:fill="auto"/>
            <w:noWrap/>
            <w:vAlign w:val="center"/>
            <w:hideMark/>
          </w:tcPr>
          <w:p w14:paraId="773009F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0.9070</w:t>
            </w:r>
          </w:p>
        </w:tc>
      </w:tr>
      <w:tr w:rsidR="00C30160" w:rsidRPr="00CE0DE7" w14:paraId="093944D5" w14:textId="77777777" w:rsidTr="00C24E43">
        <w:trPr>
          <w:trHeight w:val="254"/>
        </w:trPr>
        <w:tc>
          <w:tcPr>
            <w:tcW w:w="887" w:type="pct"/>
            <w:vMerge/>
            <w:tcBorders>
              <w:top w:val="nil"/>
              <w:left w:val="nil"/>
              <w:bottom w:val="nil"/>
              <w:right w:val="single" w:sz="4" w:space="0" w:color="auto"/>
            </w:tcBorders>
            <w:vAlign w:val="center"/>
            <w:hideMark/>
          </w:tcPr>
          <w:p w14:paraId="3E828BD1"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313AB4E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11" w:type="pct"/>
            <w:tcBorders>
              <w:top w:val="nil"/>
              <w:left w:val="single" w:sz="4" w:space="0" w:color="auto"/>
              <w:bottom w:val="nil"/>
              <w:right w:val="nil"/>
            </w:tcBorders>
            <w:shd w:val="clear" w:color="auto" w:fill="auto"/>
            <w:noWrap/>
            <w:vAlign w:val="center"/>
            <w:hideMark/>
          </w:tcPr>
          <w:p w14:paraId="343A016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nil"/>
              <w:bottom w:val="nil"/>
              <w:right w:val="single" w:sz="4" w:space="0" w:color="auto"/>
            </w:tcBorders>
            <w:shd w:val="clear" w:color="auto" w:fill="auto"/>
            <w:noWrap/>
            <w:vAlign w:val="center"/>
            <w:hideMark/>
          </w:tcPr>
          <w:p w14:paraId="30552C0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0.5546</w:t>
            </w:r>
          </w:p>
        </w:tc>
        <w:tc>
          <w:tcPr>
            <w:tcW w:w="711" w:type="pct"/>
            <w:tcBorders>
              <w:top w:val="nil"/>
              <w:left w:val="single" w:sz="4" w:space="0" w:color="auto"/>
              <w:bottom w:val="nil"/>
              <w:right w:val="nil"/>
            </w:tcBorders>
            <w:shd w:val="clear" w:color="auto" w:fill="auto"/>
            <w:noWrap/>
            <w:vAlign w:val="center"/>
            <w:hideMark/>
          </w:tcPr>
          <w:p w14:paraId="4E85FCC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nil"/>
              <w:left w:val="nil"/>
              <w:bottom w:val="nil"/>
              <w:right w:val="nil"/>
            </w:tcBorders>
            <w:shd w:val="clear" w:color="auto" w:fill="auto"/>
            <w:noWrap/>
            <w:vAlign w:val="center"/>
            <w:hideMark/>
          </w:tcPr>
          <w:p w14:paraId="0540278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0.9131</w:t>
            </w:r>
          </w:p>
        </w:tc>
      </w:tr>
      <w:tr w:rsidR="00C30160" w:rsidRPr="00CE0DE7" w14:paraId="4A04953D" w14:textId="77777777" w:rsidTr="00C24E43">
        <w:trPr>
          <w:trHeight w:val="254"/>
        </w:trPr>
        <w:tc>
          <w:tcPr>
            <w:tcW w:w="887" w:type="pct"/>
            <w:vMerge/>
            <w:tcBorders>
              <w:top w:val="nil"/>
              <w:left w:val="nil"/>
              <w:bottom w:val="double" w:sz="4" w:space="0" w:color="auto"/>
              <w:right w:val="single" w:sz="4" w:space="0" w:color="auto"/>
            </w:tcBorders>
            <w:vAlign w:val="center"/>
            <w:hideMark/>
          </w:tcPr>
          <w:p w14:paraId="75124A3C"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double" w:sz="4" w:space="0" w:color="auto"/>
              <w:right w:val="single" w:sz="4" w:space="0" w:color="auto"/>
            </w:tcBorders>
            <w:shd w:val="clear" w:color="auto" w:fill="auto"/>
            <w:noWrap/>
            <w:vAlign w:val="center"/>
            <w:hideMark/>
          </w:tcPr>
          <w:p w14:paraId="59B6DC1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11" w:type="pct"/>
            <w:tcBorders>
              <w:top w:val="nil"/>
              <w:left w:val="single" w:sz="4" w:space="0" w:color="auto"/>
              <w:bottom w:val="double" w:sz="4" w:space="0" w:color="auto"/>
              <w:right w:val="nil"/>
            </w:tcBorders>
            <w:shd w:val="clear" w:color="auto" w:fill="auto"/>
            <w:noWrap/>
            <w:vAlign w:val="center"/>
            <w:hideMark/>
          </w:tcPr>
          <w:p w14:paraId="5726B87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nil"/>
              <w:bottom w:val="double" w:sz="4" w:space="0" w:color="auto"/>
              <w:right w:val="nil"/>
            </w:tcBorders>
            <w:shd w:val="clear" w:color="auto" w:fill="auto"/>
            <w:noWrap/>
            <w:vAlign w:val="center"/>
            <w:hideMark/>
          </w:tcPr>
          <w:p w14:paraId="037FCA6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0.5375</w:t>
            </w:r>
          </w:p>
        </w:tc>
        <w:tc>
          <w:tcPr>
            <w:tcW w:w="711" w:type="pct"/>
            <w:tcBorders>
              <w:top w:val="nil"/>
              <w:left w:val="nil"/>
              <w:bottom w:val="double" w:sz="4" w:space="0" w:color="auto"/>
              <w:right w:val="nil"/>
            </w:tcBorders>
            <w:shd w:val="clear" w:color="auto" w:fill="auto"/>
            <w:noWrap/>
            <w:vAlign w:val="center"/>
            <w:hideMark/>
          </w:tcPr>
          <w:p w14:paraId="5885BAF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nil"/>
              <w:left w:val="nil"/>
              <w:bottom w:val="double" w:sz="4" w:space="0" w:color="auto"/>
              <w:right w:val="nil"/>
            </w:tcBorders>
            <w:shd w:val="clear" w:color="auto" w:fill="auto"/>
            <w:noWrap/>
            <w:vAlign w:val="center"/>
            <w:hideMark/>
          </w:tcPr>
          <w:p w14:paraId="1D61BFB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0.6293</w:t>
            </w:r>
          </w:p>
        </w:tc>
      </w:tr>
    </w:tbl>
    <w:p w14:paraId="2CDE231F" w14:textId="77777777" w:rsidR="00C30160" w:rsidRPr="00CE0DE7" w:rsidRDefault="00C30160" w:rsidP="00C30160">
      <w:pPr>
        <w:adjustRightInd w:val="0"/>
        <w:snapToGrid w:val="0"/>
        <w:rPr>
          <w:sz w:val="20"/>
          <w:szCs w:val="20"/>
        </w:rPr>
      </w:pPr>
    </w:p>
    <w:p w14:paraId="60F62D8F" w14:textId="77777777" w:rsidR="00C30160" w:rsidRPr="00CE0DE7" w:rsidRDefault="00C30160" w:rsidP="00C30160">
      <w:pPr>
        <w:adjustRightInd w:val="0"/>
        <w:snapToGrid w:val="0"/>
        <w:rPr>
          <w:b/>
          <w:sz w:val="20"/>
          <w:szCs w:val="20"/>
        </w:rPr>
      </w:pPr>
    </w:p>
    <w:p w14:paraId="5F3EA3DC" w14:textId="77777777" w:rsidR="00C30160" w:rsidRPr="00CE0DE7" w:rsidRDefault="00C30160" w:rsidP="00C30160">
      <w:pPr>
        <w:adjustRightInd w:val="0"/>
        <w:snapToGrid w:val="0"/>
        <w:rPr>
          <w:rFonts w:eastAsiaTheme="minorEastAsia"/>
          <w:i/>
          <w:iCs/>
          <w:color w:val="000000"/>
          <w:sz w:val="20"/>
          <w:szCs w:val="20"/>
          <w:lang w:eastAsia="zh-CN"/>
        </w:rPr>
      </w:pPr>
      <w:r w:rsidRPr="00CE0DE7">
        <w:rPr>
          <w:sz w:val="20"/>
          <w:szCs w:val="20"/>
        </w:rPr>
        <w:t>Panel B.</w:t>
      </w:r>
      <w:r w:rsidRPr="00CE0DE7">
        <w:rPr>
          <w:b/>
          <w:sz w:val="20"/>
          <w:szCs w:val="20"/>
        </w:rPr>
        <w:t xml:space="preserve"> </w:t>
      </w:r>
      <w:r w:rsidRPr="00CE0DE7">
        <w:rPr>
          <w:rFonts w:eastAsia="Times New Roman"/>
          <w:i/>
          <w:iCs/>
          <w:color w:val="000000"/>
          <w:sz w:val="20"/>
          <w:szCs w:val="20"/>
          <w:lang w:eastAsia="zh-CN"/>
        </w:rPr>
        <w:t xml:space="preserve">VRP </w:t>
      </w:r>
      <w:r w:rsidRPr="00CE0DE7">
        <w:rPr>
          <w:sz w:val="20"/>
          <w:szCs w:val="20"/>
        </w:rPr>
        <w:t>&amp;</w:t>
      </w:r>
      <w:r w:rsidRPr="00CE0DE7">
        <w:rPr>
          <w:sz w:val="20"/>
          <w:szCs w:val="20"/>
          <w:lang w:eastAsia="zh-CN"/>
        </w:rPr>
        <w:t xml:space="preserve"> </w:t>
      </w:r>
      <w:r w:rsidRPr="00CE0DE7">
        <w:rPr>
          <w:rFonts w:eastAsia="Times New Roman"/>
          <w:i/>
          <w:iCs/>
          <w:color w:val="000000"/>
          <w:sz w:val="20"/>
          <w:szCs w:val="20"/>
          <w:lang w:eastAsia="zh-CN"/>
        </w:rPr>
        <w:t>ILLIQ</w:t>
      </w:r>
    </w:p>
    <w:tbl>
      <w:tblPr>
        <w:tblW w:w="4990" w:type="pct"/>
        <w:tblLook w:val="04A0" w:firstRow="1" w:lastRow="0" w:firstColumn="1" w:lastColumn="0" w:noHBand="0" w:noVBand="1"/>
      </w:tblPr>
      <w:tblGrid>
        <w:gridCol w:w="1248"/>
        <w:gridCol w:w="1782"/>
        <w:gridCol w:w="996"/>
        <w:gridCol w:w="998"/>
        <w:gridCol w:w="996"/>
        <w:gridCol w:w="998"/>
        <w:gridCol w:w="996"/>
        <w:gridCol w:w="995"/>
      </w:tblGrid>
      <w:tr w:rsidR="00C30160" w:rsidRPr="00CE0DE7" w14:paraId="577BBF5B" w14:textId="77777777" w:rsidTr="00C24E43">
        <w:trPr>
          <w:trHeight w:val="271"/>
        </w:trPr>
        <w:tc>
          <w:tcPr>
            <w:tcW w:w="692" w:type="pct"/>
            <w:tcBorders>
              <w:top w:val="double" w:sz="4" w:space="0" w:color="auto"/>
              <w:left w:val="nil"/>
              <w:bottom w:val="single" w:sz="4" w:space="0" w:color="auto"/>
              <w:right w:val="single" w:sz="4" w:space="0" w:color="auto"/>
            </w:tcBorders>
            <w:shd w:val="clear" w:color="auto" w:fill="auto"/>
            <w:noWrap/>
            <w:vAlign w:val="bottom"/>
            <w:hideMark/>
          </w:tcPr>
          <w:p w14:paraId="012111C2" w14:textId="77777777" w:rsidR="00C30160" w:rsidRPr="00CE0DE7" w:rsidRDefault="00C30160" w:rsidP="00C24E43">
            <w:pPr>
              <w:rPr>
                <w:rFonts w:eastAsia="Times New Roman"/>
                <w:sz w:val="20"/>
                <w:szCs w:val="20"/>
                <w:lang w:val="en-GB" w:eastAsia="zh-CN"/>
              </w:rPr>
            </w:pPr>
          </w:p>
        </w:tc>
        <w:tc>
          <w:tcPr>
            <w:tcW w:w="989"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CB2E2F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w:t>
            </w:r>
          </w:p>
        </w:tc>
        <w:tc>
          <w:tcPr>
            <w:tcW w:w="1107" w:type="pct"/>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25BB07DD"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p>
        </w:tc>
        <w:tc>
          <w:tcPr>
            <w:tcW w:w="1107" w:type="pct"/>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1329635C"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p>
        </w:tc>
        <w:tc>
          <w:tcPr>
            <w:tcW w:w="1106" w:type="pct"/>
            <w:gridSpan w:val="2"/>
            <w:tcBorders>
              <w:top w:val="double" w:sz="4" w:space="0" w:color="auto"/>
              <w:left w:val="single" w:sz="4" w:space="0" w:color="auto"/>
              <w:bottom w:val="single" w:sz="4" w:space="0" w:color="auto"/>
              <w:right w:val="nil"/>
            </w:tcBorders>
            <w:shd w:val="clear" w:color="auto" w:fill="auto"/>
            <w:noWrap/>
            <w:vAlign w:val="bottom"/>
            <w:hideMark/>
          </w:tcPr>
          <w:p w14:paraId="35D56B22"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p>
        </w:tc>
      </w:tr>
      <w:tr w:rsidR="00C30160" w:rsidRPr="00CE0DE7" w14:paraId="75BBB581" w14:textId="77777777" w:rsidTr="00C24E43">
        <w:trPr>
          <w:trHeight w:val="271"/>
        </w:trPr>
        <w:tc>
          <w:tcPr>
            <w:tcW w:w="692" w:type="pct"/>
            <w:tcBorders>
              <w:top w:val="single" w:sz="4" w:space="0" w:color="auto"/>
              <w:left w:val="nil"/>
              <w:bottom w:val="single" w:sz="4" w:space="0" w:color="auto"/>
              <w:right w:val="single" w:sz="4" w:space="0" w:color="auto"/>
            </w:tcBorders>
            <w:shd w:val="clear" w:color="auto" w:fill="auto"/>
            <w:noWrap/>
            <w:vAlign w:val="center"/>
            <w:hideMark/>
          </w:tcPr>
          <w:p w14:paraId="4168F54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w:t>
            </w:r>
          </w:p>
        </w:tc>
        <w:tc>
          <w:tcPr>
            <w:tcW w:w="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5875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Sample period</w:t>
            </w:r>
          </w:p>
        </w:tc>
        <w:tc>
          <w:tcPr>
            <w:tcW w:w="553" w:type="pct"/>
            <w:tcBorders>
              <w:top w:val="single" w:sz="4" w:space="0" w:color="auto"/>
              <w:left w:val="single" w:sz="4" w:space="0" w:color="auto"/>
              <w:bottom w:val="single" w:sz="4" w:space="0" w:color="auto"/>
              <w:right w:val="nil"/>
            </w:tcBorders>
            <w:shd w:val="clear" w:color="auto" w:fill="auto"/>
            <w:noWrap/>
            <w:vAlign w:val="center"/>
            <w:hideMark/>
          </w:tcPr>
          <w:p w14:paraId="6D77094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14:paraId="0AAC950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c>
          <w:tcPr>
            <w:tcW w:w="553" w:type="pct"/>
            <w:tcBorders>
              <w:top w:val="single" w:sz="4" w:space="0" w:color="auto"/>
              <w:left w:val="single" w:sz="4" w:space="0" w:color="auto"/>
              <w:bottom w:val="single" w:sz="4" w:space="0" w:color="auto"/>
            </w:tcBorders>
            <w:shd w:val="clear" w:color="auto" w:fill="auto"/>
            <w:noWrap/>
            <w:vAlign w:val="center"/>
            <w:hideMark/>
          </w:tcPr>
          <w:p w14:paraId="19DE277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554" w:type="pct"/>
            <w:tcBorders>
              <w:top w:val="single" w:sz="4" w:space="0" w:color="auto"/>
              <w:bottom w:val="single" w:sz="4" w:space="0" w:color="auto"/>
              <w:right w:val="single" w:sz="4" w:space="0" w:color="auto"/>
            </w:tcBorders>
            <w:shd w:val="clear" w:color="auto" w:fill="auto"/>
            <w:noWrap/>
            <w:vAlign w:val="center"/>
            <w:hideMark/>
          </w:tcPr>
          <w:p w14:paraId="7A9C54E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c>
          <w:tcPr>
            <w:tcW w:w="553" w:type="pct"/>
            <w:tcBorders>
              <w:top w:val="single" w:sz="4" w:space="0" w:color="auto"/>
              <w:left w:val="single" w:sz="4" w:space="0" w:color="auto"/>
              <w:bottom w:val="single" w:sz="4" w:space="0" w:color="auto"/>
            </w:tcBorders>
            <w:shd w:val="clear" w:color="auto" w:fill="auto"/>
            <w:noWrap/>
            <w:vAlign w:val="center"/>
            <w:hideMark/>
          </w:tcPr>
          <w:p w14:paraId="5A72BC0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553" w:type="pct"/>
            <w:tcBorders>
              <w:top w:val="single" w:sz="4" w:space="0" w:color="auto"/>
              <w:bottom w:val="single" w:sz="4" w:space="0" w:color="auto"/>
              <w:right w:val="nil"/>
            </w:tcBorders>
            <w:shd w:val="clear" w:color="auto" w:fill="auto"/>
            <w:noWrap/>
            <w:vAlign w:val="center"/>
            <w:hideMark/>
          </w:tcPr>
          <w:p w14:paraId="7EA4075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r>
      <w:tr w:rsidR="00C30160" w:rsidRPr="00CE0DE7" w14:paraId="07ED166F" w14:textId="77777777" w:rsidTr="00C24E43">
        <w:trPr>
          <w:trHeight w:val="271"/>
        </w:trPr>
        <w:tc>
          <w:tcPr>
            <w:tcW w:w="692" w:type="pct"/>
            <w:vMerge w:val="restart"/>
            <w:tcBorders>
              <w:top w:val="single" w:sz="4" w:space="0" w:color="auto"/>
              <w:left w:val="nil"/>
              <w:bottom w:val="nil"/>
              <w:right w:val="single" w:sz="4" w:space="0" w:color="auto"/>
            </w:tcBorders>
            <w:shd w:val="clear" w:color="auto" w:fill="auto"/>
            <w:noWrap/>
            <w:vAlign w:val="center"/>
            <w:hideMark/>
          </w:tcPr>
          <w:p w14:paraId="3D2F0894"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989" w:type="pct"/>
            <w:tcBorders>
              <w:top w:val="single" w:sz="4" w:space="0" w:color="auto"/>
              <w:left w:val="single" w:sz="4" w:space="0" w:color="auto"/>
              <w:bottom w:val="nil"/>
              <w:right w:val="single" w:sz="4" w:space="0" w:color="auto"/>
            </w:tcBorders>
            <w:shd w:val="clear" w:color="auto" w:fill="auto"/>
            <w:noWrap/>
            <w:vAlign w:val="center"/>
            <w:hideMark/>
          </w:tcPr>
          <w:p w14:paraId="5068F33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553" w:type="pct"/>
            <w:tcBorders>
              <w:top w:val="single" w:sz="4" w:space="0" w:color="auto"/>
              <w:left w:val="single" w:sz="4" w:space="0" w:color="auto"/>
              <w:bottom w:val="nil"/>
              <w:right w:val="nil"/>
            </w:tcBorders>
            <w:shd w:val="clear" w:color="auto" w:fill="auto"/>
            <w:noWrap/>
            <w:vAlign w:val="center"/>
            <w:hideMark/>
          </w:tcPr>
          <w:p w14:paraId="6546D8C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0.0523</w:t>
            </w:r>
          </w:p>
        </w:tc>
        <w:tc>
          <w:tcPr>
            <w:tcW w:w="554" w:type="pct"/>
            <w:tcBorders>
              <w:top w:val="single" w:sz="4" w:space="0" w:color="auto"/>
              <w:left w:val="nil"/>
              <w:bottom w:val="nil"/>
              <w:right w:val="single" w:sz="4" w:space="0" w:color="auto"/>
            </w:tcBorders>
            <w:shd w:val="clear" w:color="auto" w:fill="auto"/>
            <w:noWrap/>
            <w:vAlign w:val="center"/>
            <w:hideMark/>
          </w:tcPr>
          <w:p w14:paraId="69F6F75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0.4152</w:t>
            </w:r>
          </w:p>
        </w:tc>
        <w:tc>
          <w:tcPr>
            <w:tcW w:w="553" w:type="pct"/>
            <w:tcBorders>
              <w:top w:val="single" w:sz="4" w:space="0" w:color="auto"/>
              <w:left w:val="single" w:sz="4" w:space="0" w:color="auto"/>
              <w:bottom w:val="nil"/>
            </w:tcBorders>
            <w:shd w:val="clear" w:color="auto" w:fill="auto"/>
            <w:noWrap/>
            <w:vAlign w:val="center"/>
            <w:hideMark/>
          </w:tcPr>
          <w:p w14:paraId="427B0B5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single" w:sz="4" w:space="0" w:color="auto"/>
              <w:bottom w:val="nil"/>
              <w:right w:val="single" w:sz="4" w:space="0" w:color="auto"/>
            </w:tcBorders>
            <w:shd w:val="clear" w:color="auto" w:fill="auto"/>
            <w:noWrap/>
            <w:vAlign w:val="center"/>
            <w:hideMark/>
          </w:tcPr>
          <w:p w14:paraId="056FAAF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0.1506</w:t>
            </w:r>
          </w:p>
        </w:tc>
        <w:tc>
          <w:tcPr>
            <w:tcW w:w="553" w:type="pct"/>
            <w:tcBorders>
              <w:top w:val="single" w:sz="4" w:space="0" w:color="auto"/>
              <w:left w:val="single" w:sz="4" w:space="0" w:color="auto"/>
              <w:bottom w:val="nil"/>
            </w:tcBorders>
            <w:shd w:val="clear" w:color="auto" w:fill="auto"/>
            <w:noWrap/>
            <w:vAlign w:val="center"/>
            <w:hideMark/>
          </w:tcPr>
          <w:p w14:paraId="27FE270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3" w:type="pct"/>
            <w:tcBorders>
              <w:top w:val="single" w:sz="4" w:space="0" w:color="auto"/>
              <w:bottom w:val="nil"/>
              <w:right w:val="nil"/>
            </w:tcBorders>
            <w:shd w:val="clear" w:color="auto" w:fill="auto"/>
            <w:noWrap/>
            <w:vAlign w:val="center"/>
            <w:hideMark/>
          </w:tcPr>
          <w:p w14:paraId="5C2B65C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0.6424</w:t>
            </w:r>
          </w:p>
        </w:tc>
      </w:tr>
      <w:tr w:rsidR="00C30160" w:rsidRPr="00CE0DE7" w14:paraId="7E7A84DF" w14:textId="77777777" w:rsidTr="00C24E43">
        <w:trPr>
          <w:trHeight w:val="271"/>
        </w:trPr>
        <w:tc>
          <w:tcPr>
            <w:tcW w:w="692" w:type="pct"/>
            <w:vMerge/>
            <w:tcBorders>
              <w:top w:val="nil"/>
              <w:left w:val="nil"/>
              <w:bottom w:val="nil"/>
              <w:right w:val="single" w:sz="4" w:space="0" w:color="auto"/>
            </w:tcBorders>
            <w:vAlign w:val="center"/>
            <w:hideMark/>
          </w:tcPr>
          <w:p w14:paraId="2D825334" w14:textId="77777777" w:rsidR="00C30160" w:rsidRPr="00CE0DE7" w:rsidRDefault="00C30160" w:rsidP="00C24E43">
            <w:pPr>
              <w:rPr>
                <w:rFonts w:eastAsia="Times New Roman"/>
                <w:i/>
                <w:iCs/>
                <w:color w:val="000000"/>
                <w:sz w:val="20"/>
                <w:szCs w:val="20"/>
                <w:lang w:val="en-GB" w:eastAsia="zh-CN"/>
              </w:rPr>
            </w:pPr>
          </w:p>
        </w:tc>
        <w:tc>
          <w:tcPr>
            <w:tcW w:w="989" w:type="pct"/>
            <w:tcBorders>
              <w:top w:val="nil"/>
              <w:left w:val="single" w:sz="4" w:space="0" w:color="auto"/>
              <w:bottom w:val="nil"/>
              <w:right w:val="single" w:sz="4" w:space="0" w:color="auto"/>
            </w:tcBorders>
            <w:shd w:val="clear" w:color="auto" w:fill="auto"/>
            <w:noWrap/>
            <w:vAlign w:val="center"/>
            <w:hideMark/>
          </w:tcPr>
          <w:p w14:paraId="7BBEB22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553" w:type="pct"/>
            <w:tcBorders>
              <w:top w:val="nil"/>
              <w:left w:val="single" w:sz="4" w:space="0" w:color="auto"/>
              <w:bottom w:val="nil"/>
              <w:right w:val="nil"/>
            </w:tcBorders>
            <w:shd w:val="clear" w:color="auto" w:fill="auto"/>
            <w:noWrap/>
            <w:vAlign w:val="center"/>
            <w:hideMark/>
          </w:tcPr>
          <w:p w14:paraId="5DC662B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0.0773</w:t>
            </w:r>
          </w:p>
        </w:tc>
        <w:tc>
          <w:tcPr>
            <w:tcW w:w="554" w:type="pct"/>
            <w:tcBorders>
              <w:top w:val="nil"/>
              <w:left w:val="nil"/>
              <w:bottom w:val="nil"/>
              <w:right w:val="single" w:sz="4" w:space="0" w:color="auto"/>
            </w:tcBorders>
            <w:shd w:val="clear" w:color="auto" w:fill="auto"/>
            <w:noWrap/>
            <w:vAlign w:val="center"/>
            <w:hideMark/>
          </w:tcPr>
          <w:p w14:paraId="1EC5850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0.4937</w:t>
            </w:r>
          </w:p>
        </w:tc>
        <w:tc>
          <w:tcPr>
            <w:tcW w:w="553" w:type="pct"/>
            <w:tcBorders>
              <w:top w:val="nil"/>
              <w:left w:val="single" w:sz="4" w:space="0" w:color="auto"/>
              <w:bottom w:val="nil"/>
            </w:tcBorders>
            <w:shd w:val="clear" w:color="auto" w:fill="auto"/>
            <w:noWrap/>
            <w:vAlign w:val="center"/>
            <w:hideMark/>
          </w:tcPr>
          <w:p w14:paraId="1A8E58F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nil"/>
              <w:bottom w:val="nil"/>
              <w:right w:val="single" w:sz="4" w:space="0" w:color="auto"/>
            </w:tcBorders>
            <w:shd w:val="clear" w:color="auto" w:fill="auto"/>
            <w:noWrap/>
            <w:vAlign w:val="center"/>
            <w:hideMark/>
          </w:tcPr>
          <w:p w14:paraId="61F8686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0.1975</w:t>
            </w:r>
          </w:p>
        </w:tc>
        <w:tc>
          <w:tcPr>
            <w:tcW w:w="553" w:type="pct"/>
            <w:tcBorders>
              <w:top w:val="nil"/>
              <w:left w:val="single" w:sz="4" w:space="0" w:color="auto"/>
              <w:bottom w:val="nil"/>
            </w:tcBorders>
            <w:shd w:val="clear" w:color="auto" w:fill="auto"/>
            <w:noWrap/>
            <w:vAlign w:val="center"/>
            <w:hideMark/>
          </w:tcPr>
          <w:p w14:paraId="11CB163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3" w:type="pct"/>
            <w:tcBorders>
              <w:top w:val="nil"/>
              <w:bottom w:val="nil"/>
              <w:right w:val="nil"/>
            </w:tcBorders>
            <w:shd w:val="clear" w:color="auto" w:fill="auto"/>
            <w:noWrap/>
            <w:vAlign w:val="center"/>
            <w:hideMark/>
          </w:tcPr>
          <w:p w14:paraId="3720C03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0.7214</w:t>
            </w:r>
          </w:p>
        </w:tc>
      </w:tr>
      <w:tr w:rsidR="00C30160" w:rsidRPr="00CE0DE7" w14:paraId="015EE0DD" w14:textId="77777777" w:rsidTr="00C24E43">
        <w:trPr>
          <w:trHeight w:val="271"/>
        </w:trPr>
        <w:tc>
          <w:tcPr>
            <w:tcW w:w="692" w:type="pct"/>
            <w:vMerge/>
            <w:tcBorders>
              <w:top w:val="nil"/>
              <w:left w:val="nil"/>
              <w:bottom w:val="nil"/>
              <w:right w:val="single" w:sz="4" w:space="0" w:color="auto"/>
            </w:tcBorders>
            <w:vAlign w:val="center"/>
            <w:hideMark/>
          </w:tcPr>
          <w:p w14:paraId="3D485420" w14:textId="77777777" w:rsidR="00C30160" w:rsidRPr="00CE0DE7" w:rsidRDefault="00C30160" w:rsidP="00C24E43">
            <w:pPr>
              <w:rPr>
                <w:rFonts w:eastAsia="Times New Roman"/>
                <w:i/>
                <w:iCs/>
                <w:color w:val="000000"/>
                <w:sz w:val="20"/>
                <w:szCs w:val="20"/>
                <w:lang w:val="en-GB" w:eastAsia="zh-CN"/>
              </w:rPr>
            </w:pPr>
          </w:p>
        </w:tc>
        <w:tc>
          <w:tcPr>
            <w:tcW w:w="989" w:type="pct"/>
            <w:tcBorders>
              <w:top w:val="nil"/>
              <w:left w:val="single" w:sz="4" w:space="0" w:color="auto"/>
              <w:bottom w:val="nil"/>
              <w:right w:val="single" w:sz="4" w:space="0" w:color="auto"/>
            </w:tcBorders>
            <w:shd w:val="clear" w:color="auto" w:fill="auto"/>
            <w:noWrap/>
            <w:vAlign w:val="center"/>
            <w:hideMark/>
          </w:tcPr>
          <w:p w14:paraId="1AD025D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553" w:type="pct"/>
            <w:tcBorders>
              <w:top w:val="nil"/>
              <w:left w:val="single" w:sz="4" w:space="0" w:color="auto"/>
              <w:bottom w:val="nil"/>
              <w:right w:val="nil"/>
            </w:tcBorders>
            <w:shd w:val="clear" w:color="auto" w:fill="auto"/>
            <w:noWrap/>
            <w:vAlign w:val="center"/>
            <w:hideMark/>
          </w:tcPr>
          <w:p w14:paraId="3E49921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0.0756</w:t>
            </w:r>
          </w:p>
        </w:tc>
        <w:tc>
          <w:tcPr>
            <w:tcW w:w="554" w:type="pct"/>
            <w:tcBorders>
              <w:top w:val="nil"/>
              <w:left w:val="nil"/>
              <w:bottom w:val="nil"/>
              <w:right w:val="single" w:sz="4" w:space="0" w:color="auto"/>
            </w:tcBorders>
            <w:shd w:val="clear" w:color="auto" w:fill="auto"/>
            <w:noWrap/>
            <w:vAlign w:val="center"/>
            <w:hideMark/>
          </w:tcPr>
          <w:p w14:paraId="27771B8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0.4784</w:t>
            </w:r>
          </w:p>
        </w:tc>
        <w:tc>
          <w:tcPr>
            <w:tcW w:w="553" w:type="pct"/>
            <w:tcBorders>
              <w:top w:val="nil"/>
              <w:left w:val="single" w:sz="4" w:space="0" w:color="auto"/>
              <w:bottom w:val="nil"/>
            </w:tcBorders>
            <w:shd w:val="clear" w:color="auto" w:fill="auto"/>
            <w:noWrap/>
            <w:vAlign w:val="center"/>
            <w:hideMark/>
          </w:tcPr>
          <w:p w14:paraId="1F68F93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nil"/>
              <w:bottom w:val="nil"/>
              <w:right w:val="single" w:sz="4" w:space="0" w:color="auto"/>
            </w:tcBorders>
            <w:shd w:val="clear" w:color="auto" w:fill="auto"/>
            <w:noWrap/>
            <w:vAlign w:val="center"/>
            <w:hideMark/>
          </w:tcPr>
          <w:p w14:paraId="192CA82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0.3404</w:t>
            </w:r>
          </w:p>
        </w:tc>
        <w:tc>
          <w:tcPr>
            <w:tcW w:w="553" w:type="pct"/>
            <w:tcBorders>
              <w:top w:val="nil"/>
              <w:left w:val="single" w:sz="4" w:space="0" w:color="auto"/>
              <w:bottom w:val="nil"/>
            </w:tcBorders>
            <w:shd w:val="clear" w:color="auto" w:fill="auto"/>
            <w:noWrap/>
            <w:vAlign w:val="center"/>
            <w:hideMark/>
          </w:tcPr>
          <w:p w14:paraId="613B30A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3" w:type="pct"/>
            <w:tcBorders>
              <w:top w:val="nil"/>
              <w:bottom w:val="nil"/>
              <w:right w:val="nil"/>
            </w:tcBorders>
            <w:shd w:val="clear" w:color="auto" w:fill="auto"/>
            <w:noWrap/>
            <w:vAlign w:val="center"/>
            <w:hideMark/>
          </w:tcPr>
          <w:p w14:paraId="36C6BD7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0.7859</w:t>
            </w:r>
          </w:p>
        </w:tc>
      </w:tr>
      <w:tr w:rsidR="00C30160" w:rsidRPr="00CE0DE7" w14:paraId="3CDA091D" w14:textId="77777777" w:rsidTr="00C24E43">
        <w:trPr>
          <w:trHeight w:val="271"/>
        </w:trPr>
        <w:tc>
          <w:tcPr>
            <w:tcW w:w="692" w:type="pct"/>
            <w:vMerge/>
            <w:tcBorders>
              <w:top w:val="nil"/>
              <w:left w:val="nil"/>
              <w:bottom w:val="nil"/>
              <w:right w:val="single" w:sz="4" w:space="0" w:color="auto"/>
            </w:tcBorders>
            <w:vAlign w:val="center"/>
            <w:hideMark/>
          </w:tcPr>
          <w:p w14:paraId="2FE529F8" w14:textId="77777777" w:rsidR="00C30160" w:rsidRPr="00CE0DE7" w:rsidRDefault="00C30160" w:rsidP="00C24E43">
            <w:pPr>
              <w:rPr>
                <w:rFonts w:eastAsia="Times New Roman"/>
                <w:i/>
                <w:iCs/>
                <w:color w:val="000000"/>
                <w:sz w:val="20"/>
                <w:szCs w:val="20"/>
                <w:lang w:val="en-GB" w:eastAsia="zh-CN"/>
              </w:rPr>
            </w:pPr>
          </w:p>
        </w:tc>
        <w:tc>
          <w:tcPr>
            <w:tcW w:w="989" w:type="pct"/>
            <w:tcBorders>
              <w:top w:val="nil"/>
              <w:left w:val="single" w:sz="4" w:space="0" w:color="auto"/>
              <w:bottom w:val="nil"/>
              <w:right w:val="single" w:sz="4" w:space="0" w:color="auto"/>
            </w:tcBorders>
            <w:shd w:val="clear" w:color="auto" w:fill="auto"/>
            <w:noWrap/>
            <w:vAlign w:val="center"/>
            <w:hideMark/>
          </w:tcPr>
          <w:p w14:paraId="0587E4F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553" w:type="pct"/>
            <w:tcBorders>
              <w:top w:val="nil"/>
              <w:left w:val="single" w:sz="4" w:space="0" w:color="auto"/>
              <w:bottom w:val="nil"/>
              <w:right w:val="nil"/>
            </w:tcBorders>
            <w:shd w:val="clear" w:color="auto" w:fill="auto"/>
            <w:noWrap/>
            <w:vAlign w:val="center"/>
            <w:hideMark/>
          </w:tcPr>
          <w:p w14:paraId="49679CD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0.0721</w:t>
            </w:r>
          </w:p>
        </w:tc>
        <w:tc>
          <w:tcPr>
            <w:tcW w:w="554" w:type="pct"/>
            <w:tcBorders>
              <w:top w:val="nil"/>
              <w:left w:val="nil"/>
              <w:bottom w:val="nil"/>
              <w:right w:val="single" w:sz="4" w:space="0" w:color="auto"/>
            </w:tcBorders>
            <w:shd w:val="clear" w:color="auto" w:fill="auto"/>
            <w:noWrap/>
            <w:vAlign w:val="center"/>
            <w:hideMark/>
          </w:tcPr>
          <w:p w14:paraId="26F9337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0.6726</w:t>
            </w:r>
          </w:p>
        </w:tc>
        <w:tc>
          <w:tcPr>
            <w:tcW w:w="553" w:type="pct"/>
            <w:tcBorders>
              <w:top w:val="nil"/>
              <w:left w:val="single" w:sz="4" w:space="0" w:color="auto"/>
              <w:bottom w:val="nil"/>
            </w:tcBorders>
            <w:shd w:val="clear" w:color="auto" w:fill="auto"/>
            <w:noWrap/>
            <w:vAlign w:val="center"/>
            <w:hideMark/>
          </w:tcPr>
          <w:p w14:paraId="413863B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nil"/>
              <w:bottom w:val="nil"/>
              <w:right w:val="single" w:sz="4" w:space="0" w:color="auto"/>
            </w:tcBorders>
            <w:shd w:val="clear" w:color="auto" w:fill="auto"/>
            <w:noWrap/>
            <w:vAlign w:val="center"/>
            <w:hideMark/>
          </w:tcPr>
          <w:p w14:paraId="2B55B37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0.2507</w:t>
            </w:r>
          </w:p>
        </w:tc>
        <w:tc>
          <w:tcPr>
            <w:tcW w:w="553" w:type="pct"/>
            <w:tcBorders>
              <w:top w:val="nil"/>
              <w:left w:val="single" w:sz="4" w:space="0" w:color="auto"/>
              <w:bottom w:val="nil"/>
            </w:tcBorders>
            <w:shd w:val="clear" w:color="auto" w:fill="auto"/>
            <w:noWrap/>
            <w:vAlign w:val="center"/>
            <w:hideMark/>
          </w:tcPr>
          <w:p w14:paraId="11D2326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3" w:type="pct"/>
            <w:tcBorders>
              <w:top w:val="nil"/>
              <w:bottom w:val="nil"/>
              <w:right w:val="nil"/>
            </w:tcBorders>
            <w:shd w:val="clear" w:color="auto" w:fill="auto"/>
            <w:noWrap/>
            <w:vAlign w:val="center"/>
            <w:hideMark/>
          </w:tcPr>
          <w:p w14:paraId="47E5257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0.6875</w:t>
            </w:r>
          </w:p>
        </w:tc>
      </w:tr>
      <w:tr w:rsidR="00C30160" w:rsidRPr="00CE0DE7" w14:paraId="3B4D426B" w14:textId="77777777" w:rsidTr="00C24E43">
        <w:trPr>
          <w:trHeight w:val="271"/>
        </w:trPr>
        <w:tc>
          <w:tcPr>
            <w:tcW w:w="692" w:type="pct"/>
            <w:vMerge/>
            <w:tcBorders>
              <w:top w:val="nil"/>
              <w:left w:val="nil"/>
              <w:bottom w:val="single" w:sz="4" w:space="0" w:color="auto"/>
              <w:right w:val="single" w:sz="4" w:space="0" w:color="auto"/>
            </w:tcBorders>
            <w:vAlign w:val="center"/>
            <w:hideMark/>
          </w:tcPr>
          <w:p w14:paraId="139C65B2" w14:textId="77777777" w:rsidR="00C30160" w:rsidRPr="00CE0DE7" w:rsidRDefault="00C30160" w:rsidP="00C24E43">
            <w:pPr>
              <w:rPr>
                <w:rFonts w:eastAsia="Times New Roman"/>
                <w:i/>
                <w:iCs/>
                <w:color w:val="000000"/>
                <w:sz w:val="20"/>
                <w:szCs w:val="20"/>
                <w:lang w:val="en-GB" w:eastAsia="zh-CN"/>
              </w:rPr>
            </w:pPr>
          </w:p>
        </w:tc>
        <w:tc>
          <w:tcPr>
            <w:tcW w:w="989" w:type="pct"/>
            <w:tcBorders>
              <w:top w:val="nil"/>
              <w:left w:val="single" w:sz="4" w:space="0" w:color="auto"/>
              <w:bottom w:val="single" w:sz="4" w:space="0" w:color="auto"/>
              <w:right w:val="single" w:sz="4" w:space="0" w:color="auto"/>
            </w:tcBorders>
            <w:shd w:val="clear" w:color="auto" w:fill="auto"/>
            <w:noWrap/>
            <w:vAlign w:val="center"/>
            <w:hideMark/>
          </w:tcPr>
          <w:p w14:paraId="71F60E1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553" w:type="pct"/>
            <w:tcBorders>
              <w:top w:val="nil"/>
              <w:left w:val="single" w:sz="4" w:space="0" w:color="auto"/>
              <w:bottom w:val="single" w:sz="4" w:space="0" w:color="auto"/>
              <w:right w:val="nil"/>
            </w:tcBorders>
            <w:shd w:val="clear" w:color="auto" w:fill="auto"/>
            <w:noWrap/>
            <w:vAlign w:val="center"/>
            <w:hideMark/>
          </w:tcPr>
          <w:p w14:paraId="0786890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0.0754</w:t>
            </w:r>
          </w:p>
        </w:tc>
        <w:tc>
          <w:tcPr>
            <w:tcW w:w="554" w:type="pct"/>
            <w:tcBorders>
              <w:top w:val="nil"/>
              <w:left w:val="nil"/>
              <w:bottom w:val="single" w:sz="4" w:space="0" w:color="auto"/>
              <w:right w:val="single" w:sz="4" w:space="0" w:color="auto"/>
            </w:tcBorders>
            <w:shd w:val="clear" w:color="auto" w:fill="auto"/>
            <w:noWrap/>
            <w:vAlign w:val="center"/>
            <w:hideMark/>
          </w:tcPr>
          <w:p w14:paraId="4F44A0B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0.5022</w:t>
            </w:r>
          </w:p>
        </w:tc>
        <w:tc>
          <w:tcPr>
            <w:tcW w:w="553" w:type="pct"/>
            <w:tcBorders>
              <w:top w:val="nil"/>
              <w:left w:val="single" w:sz="4" w:space="0" w:color="auto"/>
              <w:bottom w:val="single" w:sz="4" w:space="0" w:color="auto"/>
            </w:tcBorders>
            <w:shd w:val="clear" w:color="auto" w:fill="auto"/>
            <w:noWrap/>
            <w:vAlign w:val="center"/>
            <w:hideMark/>
          </w:tcPr>
          <w:p w14:paraId="16D5B8D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nil"/>
              <w:bottom w:val="single" w:sz="4" w:space="0" w:color="auto"/>
              <w:right w:val="single" w:sz="4" w:space="0" w:color="auto"/>
            </w:tcBorders>
            <w:shd w:val="clear" w:color="auto" w:fill="auto"/>
            <w:noWrap/>
            <w:vAlign w:val="center"/>
            <w:hideMark/>
          </w:tcPr>
          <w:p w14:paraId="2021B4D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0.2945</w:t>
            </w:r>
          </w:p>
        </w:tc>
        <w:tc>
          <w:tcPr>
            <w:tcW w:w="553" w:type="pct"/>
            <w:tcBorders>
              <w:top w:val="nil"/>
              <w:left w:val="single" w:sz="4" w:space="0" w:color="auto"/>
              <w:bottom w:val="single" w:sz="4" w:space="0" w:color="auto"/>
            </w:tcBorders>
            <w:shd w:val="clear" w:color="auto" w:fill="auto"/>
            <w:noWrap/>
            <w:vAlign w:val="center"/>
            <w:hideMark/>
          </w:tcPr>
          <w:p w14:paraId="4823DC5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3" w:type="pct"/>
            <w:tcBorders>
              <w:top w:val="nil"/>
              <w:bottom w:val="single" w:sz="4" w:space="0" w:color="auto"/>
              <w:right w:val="nil"/>
            </w:tcBorders>
            <w:shd w:val="clear" w:color="auto" w:fill="auto"/>
            <w:noWrap/>
            <w:vAlign w:val="center"/>
            <w:hideMark/>
          </w:tcPr>
          <w:p w14:paraId="22CA05C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0.5893</w:t>
            </w:r>
          </w:p>
        </w:tc>
      </w:tr>
      <w:tr w:rsidR="00C30160" w:rsidRPr="00CE0DE7" w14:paraId="2863AE09" w14:textId="77777777" w:rsidTr="00C24E43">
        <w:trPr>
          <w:trHeight w:val="271"/>
        </w:trPr>
        <w:tc>
          <w:tcPr>
            <w:tcW w:w="692" w:type="pct"/>
            <w:vMerge w:val="restart"/>
            <w:tcBorders>
              <w:top w:val="single" w:sz="4" w:space="0" w:color="auto"/>
              <w:left w:val="nil"/>
              <w:bottom w:val="nil"/>
              <w:right w:val="single" w:sz="4" w:space="0" w:color="auto"/>
            </w:tcBorders>
            <w:shd w:val="clear" w:color="auto" w:fill="auto"/>
            <w:noWrap/>
            <w:vAlign w:val="center"/>
            <w:hideMark/>
          </w:tcPr>
          <w:p w14:paraId="1DF9DE83"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989" w:type="pct"/>
            <w:tcBorders>
              <w:top w:val="single" w:sz="4" w:space="0" w:color="auto"/>
              <w:left w:val="single" w:sz="4" w:space="0" w:color="auto"/>
              <w:bottom w:val="nil"/>
              <w:right w:val="single" w:sz="4" w:space="0" w:color="auto"/>
            </w:tcBorders>
            <w:shd w:val="clear" w:color="auto" w:fill="auto"/>
            <w:noWrap/>
            <w:vAlign w:val="center"/>
            <w:hideMark/>
          </w:tcPr>
          <w:p w14:paraId="15DA00B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553" w:type="pct"/>
            <w:tcBorders>
              <w:top w:val="single" w:sz="4" w:space="0" w:color="auto"/>
              <w:left w:val="single" w:sz="4" w:space="0" w:color="auto"/>
              <w:bottom w:val="nil"/>
              <w:right w:val="nil"/>
            </w:tcBorders>
            <w:shd w:val="clear" w:color="auto" w:fill="auto"/>
            <w:noWrap/>
            <w:vAlign w:val="center"/>
            <w:hideMark/>
          </w:tcPr>
          <w:p w14:paraId="6759232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0.0847</w:t>
            </w:r>
          </w:p>
        </w:tc>
        <w:tc>
          <w:tcPr>
            <w:tcW w:w="554" w:type="pct"/>
            <w:tcBorders>
              <w:top w:val="single" w:sz="4" w:space="0" w:color="auto"/>
              <w:left w:val="nil"/>
              <w:bottom w:val="nil"/>
              <w:right w:val="single" w:sz="4" w:space="0" w:color="auto"/>
            </w:tcBorders>
            <w:shd w:val="clear" w:color="auto" w:fill="auto"/>
            <w:noWrap/>
            <w:vAlign w:val="center"/>
            <w:hideMark/>
          </w:tcPr>
          <w:p w14:paraId="61A6400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0.5096</w:t>
            </w:r>
          </w:p>
        </w:tc>
        <w:tc>
          <w:tcPr>
            <w:tcW w:w="553" w:type="pct"/>
            <w:tcBorders>
              <w:top w:val="single" w:sz="4" w:space="0" w:color="auto"/>
              <w:left w:val="single" w:sz="4" w:space="0" w:color="auto"/>
              <w:bottom w:val="nil"/>
            </w:tcBorders>
            <w:shd w:val="clear" w:color="auto" w:fill="auto"/>
            <w:noWrap/>
            <w:vAlign w:val="center"/>
            <w:hideMark/>
          </w:tcPr>
          <w:p w14:paraId="41F2EA2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single" w:sz="4" w:space="0" w:color="auto"/>
              <w:bottom w:val="nil"/>
              <w:right w:val="single" w:sz="4" w:space="0" w:color="auto"/>
            </w:tcBorders>
            <w:shd w:val="clear" w:color="auto" w:fill="auto"/>
            <w:noWrap/>
            <w:vAlign w:val="center"/>
            <w:hideMark/>
          </w:tcPr>
          <w:p w14:paraId="1F0D374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0.1727</w:t>
            </w:r>
          </w:p>
        </w:tc>
        <w:tc>
          <w:tcPr>
            <w:tcW w:w="553" w:type="pct"/>
            <w:tcBorders>
              <w:top w:val="single" w:sz="4" w:space="0" w:color="auto"/>
              <w:left w:val="single" w:sz="4" w:space="0" w:color="auto"/>
              <w:bottom w:val="nil"/>
            </w:tcBorders>
            <w:shd w:val="clear" w:color="auto" w:fill="auto"/>
            <w:noWrap/>
            <w:vAlign w:val="center"/>
            <w:hideMark/>
          </w:tcPr>
          <w:p w14:paraId="590D79B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3" w:type="pct"/>
            <w:tcBorders>
              <w:top w:val="single" w:sz="4" w:space="0" w:color="auto"/>
              <w:bottom w:val="nil"/>
              <w:right w:val="nil"/>
            </w:tcBorders>
            <w:shd w:val="clear" w:color="auto" w:fill="auto"/>
            <w:noWrap/>
            <w:vAlign w:val="center"/>
            <w:hideMark/>
          </w:tcPr>
          <w:p w14:paraId="7503A87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0.2958</w:t>
            </w:r>
          </w:p>
        </w:tc>
      </w:tr>
      <w:tr w:rsidR="00C30160" w:rsidRPr="00CE0DE7" w14:paraId="768FED36" w14:textId="77777777" w:rsidTr="00C24E43">
        <w:trPr>
          <w:trHeight w:val="271"/>
        </w:trPr>
        <w:tc>
          <w:tcPr>
            <w:tcW w:w="692" w:type="pct"/>
            <w:vMerge/>
            <w:tcBorders>
              <w:top w:val="nil"/>
              <w:left w:val="nil"/>
              <w:bottom w:val="nil"/>
              <w:right w:val="single" w:sz="4" w:space="0" w:color="auto"/>
            </w:tcBorders>
            <w:vAlign w:val="center"/>
            <w:hideMark/>
          </w:tcPr>
          <w:p w14:paraId="13185508" w14:textId="77777777" w:rsidR="00C30160" w:rsidRPr="00CE0DE7" w:rsidRDefault="00C30160" w:rsidP="00C24E43">
            <w:pPr>
              <w:rPr>
                <w:rFonts w:eastAsia="Times New Roman"/>
                <w:i/>
                <w:iCs/>
                <w:color w:val="000000"/>
                <w:sz w:val="20"/>
                <w:szCs w:val="20"/>
                <w:lang w:val="en-GB" w:eastAsia="zh-CN"/>
              </w:rPr>
            </w:pPr>
          </w:p>
        </w:tc>
        <w:tc>
          <w:tcPr>
            <w:tcW w:w="989" w:type="pct"/>
            <w:tcBorders>
              <w:top w:val="nil"/>
              <w:left w:val="single" w:sz="4" w:space="0" w:color="auto"/>
              <w:bottom w:val="nil"/>
              <w:right w:val="single" w:sz="4" w:space="0" w:color="auto"/>
            </w:tcBorders>
            <w:shd w:val="clear" w:color="auto" w:fill="auto"/>
            <w:noWrap/>
            <w:vAlign w:val="center"/>
            <w:hideMark/>
          </w:tcPr>
          <w:p w14:paraId="2782CB8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553" w:type="pct"/>
            <w:tcBorders>
              <w:top w:val="nil"/>
              <w:left w:val="single" w:sz="4" w:space="0" w:color="auto"/>
              <w:bottom w:val="nil"/>
              <w:right w:val="nil"/>
            </w:tcBorders>
            <w:shd w:val="clear" w:color="auto" w:fill="auto"/>
            <w:noWrap/>
            <w:vAlign w:val="center"/>
            <w:hideMark/>
          </w:tcPr>
          <w:p w14:paraId="5FC5E52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0.0700</w:t>
            </w:r>
          </w:p>
        </w:tc>
        <w:tc>
          <w:tcPr>
            <w:tcW w:w="554" w:type="pct"/>
            <w:tcBorders>
              <w:top w:val="nil"/>
              <w:left w:val="nil"/>
              <w:bottom w:val="nil"/>
              <w:right w:val="single" w:sz="4" w:space="0" w:color="auto"/>
            </w:tcBorders>
            <w:shd w:val="clear" w:color="auto" w:fill="auto"/>
            <w:noWrap/>
            <w:vAlign w:val="center"/>
            <w:hideMark/>
          </w:tcPr>
          <w:p w14:paraId="45F532C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0.4817</w:t>
            </w:r>
          </w:p>
        </w:tc>
        <w:tc>
          <w:tcPr>
            <w:tcW w:w="553" w:type="pct"/>
            <w:tcBorders>
              <w:top w:val="nil"/>
              <w:left w:val="single" w:sz="4" w:space="0" w:color="auto"/>
              <w:bottom w:val="nil"/>
            </w:tcBorders>
            <w:shd w:val="clear" w:color="auto" w:fill="auto"/>
            <w:noWrap/>
            <w:vAlign w:val="center"/>
            <w:hideMark/>
          </w:tcPr>
          <w:p w14:paraId="6AAAEBA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nil"/>
              <w:bottom w:val="nil"/>
              <w:right w:val="single" w:sz="4" w:space="0" w:color="auto"/>
            </w:tcBorders>
            <w:shd w:val="clear" w:color="auto" w:fill="auto"/>
            <w:noWrap/>
            <w:vAlign w:val="center"/>
            <w:hideMark/>
          </w:tcPr>
          <w:p w14:paraId="3A1FC90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0.1694</w:t>
            </w:r>
          </w:p>
        </w:tc>
        <w:tc>
          <w:tcPr>
            <w:tcW w:w="553" w:type="pct"/>
            <w:tcBorders>
              <w:top w:val="nil"/>
              <w:left w:val="single" w:sz="4" w:space="0" w:color="auto"/>
              <w:bottom w:val="nil"/>
            </w:tcBorders>
            <w:shd w:val="clear" w:color="auto" w:fill="auto"/>
            <w:noWrap/>
            <w:vAlign w:val="center"/>
            <w:hideMark/>
          </w:tcPr>
          <w:p w14:paraId="706EE29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3" w:type="pct"/>
            <w:tcBorders>
              <w:top w:val="nil"/>
              <w:bottom w:val="nil"/>
              <w:right w:val="nil"/>
            </w:tcBorders>
            <w:shd w:val="clear" w:color="auto" w:fill="auto"/>
            <w:noWrap/>
            <w:vAlign w:val="center"/>
            <w:hideMark/>
          </w:tcPr>
          <w:p w14:paraId="68F7694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0.5266</w:t>
            </w:r>
          </w:p>
        </w:tc>
      </w:tr>
      <w:tr w:rsidR="00C30160" w:rsidRPr="00CE0DE7" w14:paraId="610154A2" w14:textId="77777777" w:rsidTr="00C24E43">
        <w:trPr>
          <w:trHeight w:val="271"/>
        </w:trPr>
        <w:tc>
          <w:tcPr>
            <w:tcW w:w="692" w:type="pct"/>
            <w:vMerge/>
            <w:tcBorders>
              <w:top w:val="nil"/>
              <w:left w:val="nil"/>
              <w:bottom w:val="nil"/>
              <w:right w:val="single" w:sz="4" w:space="0" w:color="auto"/>
            </w:tcBorders>
            <w:vAlign w:val="center"/>
            <w:hideMark/>
          </w:tcPr>
          <w:p w14:paraId="0A8C37F1" w14:textId="77777777" w:rsidR="00C30160" w:rsidRPr="00CE0DE7" w:rsidRDefault="00C30160" w:rsidP="00C24E43">
            <w:pPr>
              <w:rPr>
                <w:rFonts w:eastAsia="Times New Roman"/>
                <w:i/>
                <w:iCs/>
                <w:color w:val="000000"/>
                <w:sz w:val="20"/>
                <w:szCs w:val="20"/>
                <w:lang w:val="en-GB" w:eastAsia="zh-CN"/>
              </w:rPr>
            </w:pPr>
          </w:p>
        </w:tc>
        <w:tc>
          <w:tcPr>
            <w:tcW w:w="989" w:type="pct"/>
            <w:tcBorders>
              <w:top w:val="nil"/>
              <w:left w:val="single" w:sz="4" w:space="0" w:color="auto"/>
              <w:bottom w:val="nil"/>
              <w:right w:val="single" w:sz="4" w:space="0" w:color="auto"/>
            </w:tcBorders>
            <w:shd w:val="clear" w:color="auto" w:fill="auto"/>
            <w:noWrap/>
            <w:vAlign w:val="center"/>
            <w:hideMark/>
          </w:tcPr>
          <w:p w14:paraId="404ACDD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553" w:type="pct"/>
            <w:tcBorders>
              <w:top w:val="nil"/>
              <w:left w:val="single" w:sz="4" w:space="0" w:color="auto"/>
              <w:bottom w:val="nil"/>
              <w:right w:val="nil"/>
            </w:tcBorders>
            <w:shd w:val="clear" w:color="auto" w:fill="auto"/>
            <w:noWrap/>
            <w:vAlign w:val="center"/>
            <w:hideMark/>
          </w:tcPr>
          <w:p w14:paraId="10C6F71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0.1249</w:t>
            </w:r>
          </w:p>
        </w:tc>
        <w:tc>
          <w:tcPr>
            <w:tcW w:w="554" w:type="pct"/>
            <w:tcBorders>
              <w:top w:val="nil"/>
              <w:left w:val="nil"/>
              <w:bottom w:val="nil"/>
              <w:right w:val="single" w:sz="4" w:space="0" w:color="auto"/>
            </w:tcBorders>
            <w:shd w:val="clear" w:color="auto" w:fill="auto"/>
            <w:noWrap/>
            <w:vAlign w:val="center"/>
            <w:hideMark/>
          </w:tcPr>
          <w:p w14:paraId="3C02D6B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0.6360</w:t>
            </w:r>
          </w:p>
        </w:tc>
        <w:tc>
          <w:tcPr>
            <w:tcW w:w="553" w:type="pct"/>
            <w:tcBorders>
              <w:top w:val="nil"/>
              <w:left w:val="single" w:sz="4" w:space="0" w:color="auto"/>
              <w:bottom w:val="nil"/>
            </w:tcBorders>
            <w:shd w:val="clear" w:color="auto" w:fill="auto"/>
            <w:noWrap/>
            <w:vAlign w:val="center"/>
            <w:hideMark/>
          </w:tcPr>
          <w:p w14:paraId="53F5349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nil"/>
              <w:bottom w:val="nil"/>
              <w:right w:val="single" w:sz="4" w:space="0" w:color="auto"/>
            </w:tcBorders>
            <w:shd w:val="clear" w:color="auto" w:fill="auto"/>
            <w:noWrap/>
            <w:vAlign w:val="center"/>
            <w:hideMark/>
          </w:tcPr>
          <w:p w14:paraId="00EFE24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0.3618</w:t>
            </w:r>
          </w:p>
        </w:tc>
        <w:tc>
          <w:tcPr>
            <w:tcW w:w="553" w:type="pct"/>
            <w:tcBorders>
              <w:top w:val="nil"/>
              <w:left w:val="single" w:sz="4" w:space="0" w:color="auto"/>
              <w:bottom w:val="nil"/>
            </w:tcBorders>
            <w:shd w:val="clear" w:color="auto" w:fill="auto"/>
            <w:noWrap/>
            <w:vAlign w:val="center"/>
            <w:hideMark/>
          </w:tcPr>
          <w:p w14:paraId="0DC8413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3" w:type="pct"/>
            <w:tcBorders>
              <w:top w:val="nil"/>
              <w:bottom w:val="nil"/>
              <w:right w:val="nil"/>
            </w:tcBorders>
            <w:shd w:val="clear" w:color="auto" w:fill="auto"/>
            <w:noWrap/>
            <w:vAlign w:val="center"/>
            <w:hideMark/>
          </w:tcPr>
          <w:p w14:paraId="567BA8A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0.3581</w:t>
            </w:r>
          </w:p>
        </w:tc>
      </w:tr>
      <w:tr w:rsidR="00C30160" w:rsidRPr="00CE0DE7" w14:paraId="325B36EC" w14:textId="77777777" w:rsidTr="00C24E43">
        <w:trPr>
          <w:trHeight w:val="271"/>
        </w:trPr>
        <w:tc>
          <w:tcPr>
            <w:tcW w:w="692" w:type="pct"/>
            <w:vMerge/>
            <w:tcBorders>
              <w:top w:val="nil"/>
              <w:left w:val="nil"/>
              <w:bottom w:val="nil"/>
              <w:right w:val="single" w:sz="4" w:space="0" w:color="auto"/>
            </w:tcBorders>
            <w:vAlign w:val="center"/>
            <w:hideMark/>
          </w:tcPr>
          <w:p w14:paraId="0B18C417" w14:textId="77777777" w:rsidR="00C30160" w:rsidRPr="00CE0DE7" w:rsidRDefault="00C30160" w:rsidP="00C24E43">
            <w:pPr>
              <w:rPr>
                <w:rFonts w:eastAsia="Times New Roman"/>
                <w:i/>
                <w:iCs/>
                <w:color w:val="000000"/>
                <w:sz w:val="20"/>
                <w:szCs w:val="20"/>
                <w:lang w:val="en-GB" w:eastAsia="zh-CN"/>
              </w:rPr>
            </w:pPr>
          </w:p>
        </w:tc>
        <w:tc>
          <w:tcPr>
            <w:tcW w:w="989" w:type="pct"/>
            <w:tcBorders>
              <w:top w:val="nil"/>
              <w:left w:val="single" w:sz="4" w:space="0" w:color="auto"/>
              <w:bottom w:val="nil"/>
              <w:right w:val="single" w:sz="4" w:space="0" w:color="auto"/>
            </w:tcBorders>
            <w:shd w:val="clear" w:color="auto" w:fill="auto"/>
            <w:noWrap/>
            <w:vAlign w:val="center"/>
            <w:hideMark/>
          </w:tcPr>
          <w:p w14:paraId="502755C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553" w:type="pct"/>
            <w:tcBorders>
              <w:top w:val="nil"/>
              <w:left w:val="single" w:sz="4" w:space="0" w:color="auto"/>
              <w:bottom w:val="nil"/>
              <w:right w:val="nil"/>
            </w:tcBorders>
            <w:shd w:val="clear" w:color="auto" w:fill="auto"/>
            <w:noWrap/>
            <w:vAlign w:val="center"/>
            <w:hideMark/>
          </w:tcPr>
          <w:p w14:paraId="1012D90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0.2057</w:t>
            </w:r>
          </w:p>
        </w:tc>
        <w:tc>
          <w:tcPr>
            <w:tcW w:w="554" w:type="pct"/>
            <w:tcBorders>
              <w:top w:val="nil"/>
              <w:left w:val="nil"/>
              <w:bottom w:val="nil"/>
              <w:right w:val="single" w:sz="4" w:space="0" w:color="auto"/>
            </w:tcBorders>
            <w:shd w:val="clear" w:color="auto" w:fill="auto"/>
            <w:noWrap/>
            <w:vAlign w:val="center"/>
            <w:hideMark/>
          </w:tcPr>
          <w:p w14:paraId="3E1D000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0.6987</w:t>
            </w:r>
          </w:p>
        </w:tc>
        <w:tc>
          <w:tcPr>
            <w:tcW w:w="553" w:type="pct"/>
            <w:tcBorders>
              <w:top w:val="nil"/>
              <w:left w:val="single" w:sz="4" w:space="0" w:color="auto"/>
              <w:bottom w:val="nil"/>
            </w:tcBorders>
            <w:shd w:val="clear" w:color="auto" w:fill="auto"/>
            <w:noWrap/>
            <w:vAlign w:val="center"/>
            <w:hideMark/>
          </w:tcPr>
          <w:p w14:paraId="799679C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nil"/>
              <w:bottom w:val="nil"/>
              <w:right w:val="single" w:sz="4" w:space="0" w:color="auto"/>
            </w:tcBorders>
            <w:shd w:val="clear" w:color="auto" w:fill="auto"/>
            <w:noWrap/>
            <w:vAlign w:val="center"/>
            <w:hideMark/>
          </w:tcPr>
          <w:p w14:paraId="1CCBEAA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0.3670</w:t>
            </w:r>
          </w:p>
        </w:tc>
        <w:tc>
          <w:tcPr>
            <w:tcW w:w="553" w:type="pct"/>
            <w:tcBorders>
              <w:top w:val="nil"/>
              <w:left w:val="single" w:sz="4" w:space="0" w:color="auto"/>
              <w:bottom w:val="nil"/>
            </w:tcBorders>
            <w:shd w:val="clear" w:color="auto" w:fill="auto"/>
            <w:noWrap/>
            <w:vAlign w:val="center"/>
            <w:hideMark/>
          </w:tcPr>
          <w:p w14:paraId="55F66E5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3" w:type="pct"/>
            <w:tcBorders>
              <w:top w:val="nil"/>
              <w:bottom w:val="nil"/>
              <w:right w:val="nil"/>
            </w:tcBorders>
            <w:shd w:val="clear" w:color="auto" w:fill="auto"/>
            <w:noWrap/>
            <w:vAlign w:val="center"/>
            <w:hideMark/>
          </w:tcPr>
          <w:p w14:paraId="69F3359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0.3564</w:t>
            </w:r>
          </w:p>
        </w:tc>
      </w:tr>
      <w:tr w:rsidR="00C30160" w:rsidRPr="00CE0DE7" w14:paraId="7A2A1050" w14:textId="77777777" w:rsidTr="00C24E43">
        <w:trPr>
          <w:trHeight w:val="271"/>
        </w:trPr>
        <w:tc>
          <w:tcPr>
            <w:tcW w:w="692" w:type="pct"/>
            <w:vMerge/>
            <w:tcBorders>
              <w:top w:val="nil"/>
              <w:left w:val="nil"/>
              <w:bottom w:val="double" w:sz="4" w:space="0" w:color="auto"/>
              <w:right w:val="single" w:sz="4" w:space="0" w:color="auto"/>
            </w:tcBorders>
            <w:vAlign w:val="center"/>
            <w:hideMark/>
          </w:tcPr>
          <w:p w14:paraId="7056D280" w14:textId="77777777" w:rsidR="00C30160" w:rsidRPr="00CE0DE7" w:rsidRDefault="00C30160" w:rsidP="00C24E43">
            <w:pPr>
              <w:rPr>
                <w:rFonts w:eastAsia="Times New Roman"/>
                <w:i/>
                <w:iCs/>
                <w:color w:val="000000"/>
                <w:sz w:val="20"/>
                <w:szCs w:val="20"/>
                <w:lang w:val="en-GB" w:eastAsia="zh-CN"/>
              </w:rPr>
            </w:pPr>
          </w:p>
        </w:tc>
        <w:tc>
          <w:tcPr>
            <w:tcW w:w="989" w:type="pct"/>
            <w:tcBorders>
              <w:top w:val="nil"/>
              <w:left w:val="single" w:sz="4" w:space="0" w:color="auto"/>
              <w:bottom w:val="double" w:sz="4" w:space="0" w:color="auto"/>
              <w:right w:val="single" w:sz="4" w:space="0" w:color="auto"/>
            </w:tcBorders>
            <w:shd w:val="clear" w:color="auto" w:fill="auto"/>
            <w:noWrap/>
            <w:vAlign w:val="center"/>
            <w:hideMark/>
          </w:tcPr>
          <w:p w14:paraId="4DD65F6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553" w:type="pct"/>
            <w:tcBorders>
              <w:top w:val="nil"/>
              <w:left w:val="single" w:sz="4" w:space="0" w:color="auto"/>
              <w:bottom w:val="double" w:sz="4" w:space="0" w:color="auto"/>
              <w:right w:val="nil"/>
            </w:tcBorders>
            <w:shd w:val="clear" w:color="auto" w:fill="auto"/>
            <w:noWrap/>
            <w:vAlign w:val="center"/>
            <w:hideMark/>
          </w:tcPr>
          <w:p w14:paraId="3415CED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0.2271</w:t>
            </w:r>
          </w:p>
        </w:tc>
        <w:tc>
          <w:tcPr>
            <w:tcW w:w="554" w:type="pct"/>
            <w:tcBorders>
              <w:top w:val="nil"/>
              <w:left w:val="nil"/>
              <w:bottom w:val="double" w:sz="4" w:space="0" w:color="auto"/>
              <w:right w:val="single" w:sz="4" w:space="0" w:color="auto"/>
            </w:tcBorders>
            <w:shd w:val="clear" w:color="auto" w:fill="auto"/>
            <w:noWrap/>
            <w:vAlign w:val="center"/>
            <w:hideMark/>
          </w:tcPr>
          <w:p w14:paraId="43AD470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0.6518</w:t>
            </w:r>
          </w:p>
        </w:tc>
        <w:tc>
          <w:tcPr>
            <w:tcW w:w="553" w:type="pct"/>
            <w:tcBorders>
              <w:top w:val="nil"/>
              <w:left w:val="single" w:sz="4" w:space="0" w:color="auto"/>
              <w:bottom w:val="double" w:sz="4" w:space="0" w:color="auto"/>
            </w:tcBorders>
            <w:shd w:val="clear" w:color="auto" w:fill="auto"/>
            <w:noWrap/>
            <w:vAlign w:val="center"/>
            <w:hideMark/>
          </w:tcPr>
          <w:p w14:paraId="698ABC7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nil"/>
              <w:bottom w:val="double" w:sz="4" w:space="0" w:color="auto"/>
              <w:right w:val="single" w:sz="4" w:space="0" w:color="auto"/>
            </w:tcBorders>
            <w:shd w:val="clear" w:color="auto" w:fill="auto"/>
            <w:noWrap/>
            <w:vAlign w:val="center"/>
            <w:hideMark/>
          </w:tcPr>
          <w:p w14:paraId="0A6D3B2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0.4963</w:t>
            </w:r>
          </w:p>
        </w:tc>
        <w:tc>
          <w:tcPr>
            <w:tcW w:w="553" w:type="pct"/>
            <w:tcBorders>
              <w:top w:val="nil"/>
              <w:left w:val="single" w:sz="4" w:space="0" w:color="auto"/>
              <w:bottom w:val="double" w:sz="4" w:space="0" w:color="auto"/>
            </w:tcBorders>
            <w:shd w:val="clear" w:color="auto" w:fill="auto"/>
            <w:noWrap/>
            <w:vAlign w:val="center"/>
            <w:hideMark/>
          </w:tcPr>
          <w:p w14:paraId="1B8264A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3" w:type="pct"/>
            <w:tcBorders>
              <w:top w:val="nil"/>
              <w:bottom w:val="double" w:sz="4" w:space="0" w:color="auto"/>
              <w:right w:val="nil"/>
            </w:tcBorders>
            <w:shd w:val="clear" w:color="auto" w:fill="auto"/>
            <w:noWrap/>
            <w:vAlign w:val="center"/>
            <w:hideMark/>
          </w:tcPr>
          <w:p w14:paraId="745BA08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0.3910</w:t>
            </w:r>
          </w:p>
        </w:tc>
      </w:tr>
    </w:tbl>
    <w:p w14:paraId="1269F1A0" w14:textId="30EBEE21" w:rsidR="00C30160" w:rsidRPr="00CE0DE7" w:rsidRDefault="00C30160" w:rsidP="00C30160">
      <w:pPr>
        <w:adjustRightInd w:val="0"/>
        <w:snapToGrid w:val="0"/>
        <w:jc w:val="both"/>
        <w:rPr>
          <w:sz w:val="20"/>
          <w:szCs w:val="20"/>
        </w:rPr>
      </w:pPr>
      <w:r w:rsidRPr="00CE0DE7">
        <w:rPr>
          <w:sz w:val="20"/>
          <w:szCs w:val="20"/>
        </w:rPr>
        <w:t xml:space="preserve">This table </w:t>
      </w:r>
      <w:r w:rsidRPr="00CE0DE7">
        <w:rPr>
          <w:rFonts w:hint="eastAsia"/>
          <w:sz w:val="20"/>
          <w:szCs w:val="20"/>
          <w:lang w:eastAsia="zh-CN"/>
        </w:rPr>
        <w:t>summarizes</w:t>
      </w:r>
      <w:r w:rsidRPr="00CE0DE7">
        <w:rPr>
          <w:sz w:val="20"/>
          <w:szCs w:val="20"/>
        </w:rPr>
        <w:t xml:space="preserve"> the </w:t>
      </w:r>
      <w:r w:rsidRPr="00CE0DE7">
        <w:rPr>
          <w:i/>
          <w:sz w:val="20"/>
          <w:szCs w:val="20"/>
        </w:rPr>
        <w:t>p</w:t>
      </w:r>
      <w:r w:rsidRPr="00CE0DE7">
        <w:rPr>
          <w:sz w:val="20"/>
          <w:szCs w:val="20"/>
        </w:rPr>
        <w:t xml:space="preserve">-value of the chi-square statistics for the Toda-Yamamoto Granger non-causality test between the VRP and stock returns (Panel A), between illiquidity and stock returns (Panel A), and between the VRP and illiquidity (Panel B). The analysis uses monthly data </w:t>
      </w:r>
      <w:r w:rsidRPr="00CE0DE7">
        <w:rPr>
          <w:rFonts w:hint="eastAsia"/>
          <w:sz w:val="20"/>
          <w:szCs w:val="20"/>
          <w:lang w:eastAsia="zh-CN"/>
        </w:rPr>
        <w:t>for</w:t>
      </w:r>
      <w:r w:rsidRPr="00CE0DE7">
        <w:rPr>
          <w:sz w:val="20"/>
          <w:szCs w:val="20"/>
        </w:rPr>
        <w:t xml:space="preserve"> the full sample period </w:t>
      </w:r>
      <w:r w:rsidRPr="00CE0DE7">
        <w:rPr>
          <w:rFonts w:hint="eastAsia"/>
          <w:sz w:val="20"/>
          <w:szCs w:val="20"/>
          <w:lang w:eastAsia="zh-CN"/>
        </w:rPr>
        <w:t xml:space="preserve">from </w:t>
      </w:r>
      <w:r w:rsidRPr="00CE0DE7">
        <w:rPr>
          <w:sz w:val="20"/>
          <w:szCs w:val="20"/>
        </w:rPr>
        <w:t xml:space="preserve">January 1990 to December 2018, </w:t>
      </w:r>
      <w:r w:rsidRPr="00CE0DE7">
        <w:rPr>
          <w:rFonts w:hint="eastAsia"/>
          <w:sz w:val="20"/>
          <w:szCs w:val="20"/>
          <w:lang w:eastAsia="zh-CN"/>
        </w:rPr>
        <w:t xml:space="preserve">and </w:t>
      </w:r>
      <w:r w:rsidRPr="00CE0DE7">
        <w:rPr>
          <w:sz w:val="20"/>
          <w:szCs w:val="20"/>
          <w:lang w:eastAsia="zh-CN"/>
        </w:rPr>
        <w:t>four</w:t>
      </w:r>
      <w:r w:rsidRPr="00CE0DE7">
        <w:rPr>
          <w:rFonts w:hint="eastAsia"/>
          <w:sz w:val="20"/>
          <w:szCs w:val="20"/>
          <w:lang w:eastAsia="zh-CN"/>
        </w:rPr>
        <w:t xml:space="preserve"> </w:t>
      </w:r>
      <w:r w:rsidRPr="00CE0DE7">
        <w:rPr>
          <w:sz w:val="20"/>
          <w:szCs w:val="20"/>
        </w:rPr>
        <w:t>sub-</w:t>
      </w:r>
      <w:r w:rsidRPr="00CE0DE7">
        <w:rPr>
          <w:rFonts w:hint="eastAsia"/>
          <w:sz w:val="20"/>
          <w:szCs w:val="20"/>
          <w:lang w:eastAsia="zh-CN"/>
        </w:rPr>
        <w:t>samples</w:t>
      </w:r>
      <w:r w:rsidRPr="00CE0DE7">
        <w:rPr>
          <w:sz w:val="20"/>
          <w:szCs w:val="20"/>
        </w:rPr>
        <w:t xml:space="preserve"> </w:t>
      </w:r>
      <w:r w:rsidRPr="00CE0DE7">
        <w:rPr>
          <w:rFonts w:hint="eastAsia"/>
          <w:sz w:val="20"/>
          <w:szCs w:val="20"/>
          <w:lang w:eastAsia="zh-CN"/>
        </w:rPr>
        <w:t xml:space="preserve">from </w:t>
      </w:r>
      <w:r w:rsidRPr="00CE0DE7">
        <w:rPr>
          <w:sz w:val="20"/>
          <w:szCs w:val="20"/>
        </w:rPr>
        <w:t>January 1990</w:t>
      </w:r>
      <w:r w:rsidR="004F7745" w:rsidRPr="00CE0DE7">
        <w:rPr>
          <w:rFonts w:hint="eastAsia"/>
          <w:sz w:val="20"/>
          <w:szCs w:val="20"/>
          <w:lang w:eastAsia="zh-CN"/>
        </w:rPr>
        <w:t xml:space="preserve"> to </w:t>
      </w:r>
      <w:r w:rsidRPr="00CE0DE7">
        <w:rPr>
          <w:sz w:val="20"/>
          <w:szCs w:val="20"/>
        </w:rPr>
        <w:t>December 2012, January 1992</w:t>
      </w:r>
      <w:r w:rsidR="004F7745" w:rsidRPr="00CE0DE7">
        <w:rPr>
          <w:rFonts w:hint="eastAsia"/>
          <w:sz w:val="20"/>
          <w:szCs w:val="20"/>
          <w:lang w:eastAsia="zh-CN"/>
        </w:rPr>
        <w:t xml:space="preserve"> to </w:t>
      </w:r>
      <w:r w:rsidRPr="00CE0DE7">
        <w:rPr>
          <w:sz w:val="20"/>
          <w:szCs w:val="20"/>
        </w:rPr>
        <w:t>December 2014, January 1994</w:t>
      </w:r>
      <w:r w:rsidR="004F7745" w:rsidRPr="00CE0DE7">
        <w:rPr>
          <w:rFonts w:hint="eastAsia"/>
          <w:sz w:val="20"/>
          <w:szCs w:val="20"/>
          <w:lang w:eastAsia="zh-CN"/>
        </w:rPr>
        <w:t xml:space="preserve"> to </w:t>
      </w:r>
      <w:r w:rsidRPr="00CE0DE7">
        <w:rPr>
          <w:sz w:val="20"/>
          <w:szCs w:val="20"/>
        </w:rPr>
        <w:t>December 2016, and January 1996</w:t>
      </w:r>
      <w:r w:rsidR="004F7745" w:rsidRPr="00CE0DE7">
        <w:rPr>
          <w:rFonts w:hint="eastAsia"/>
          <w:sz w:val="20"/>
          <w:szCs w:val="20"/>
          <w:lang w:eastAsia="zh-CN"/>
        </w:rPr>
        <w:t xml:space="preserve"> to </w:t>
      </w:r>
      <w:r w:rsidRPr="00CE0DE7">
        <w:rPr>
          <w:sz w:val="20"/>
          <w:szCs w:val="20"/>
        </w:rPr>
        <w:t>December 2018.</w:t>
      </w:r>
    </w:p>
    <w:p w14:paraId="05673AD4" w14:textId="77777777" w:rsidR="00C30160" w:rsidRPr="00CE0DE7" w:rsidRDefault="00C30160" w:rsidP="00C30160">
      <w:pPr>
        <w:adjustRightInd w:val="0"/>
        <w:snapToGrid w:val="0"/>
        <w:jc w:val="both"/>
        <w:rPr>
          <w:sz w:val="20"/>
          <w:szCs w:val="20"/>
        </w:rPr>
      </w:pPr>
    </w:p>
    <w:p w14:paraId="2B19E9EB" w14:textId="77777777" w:rsidR="007750FF" w:rsidRDefault="007750FF" w:rsidP="00C30160">
      <w:pPr>
        <w:adjustRightInd w:val="0"/>
        <w:snapToGrid w:val="0"/>
        <w:rPr>
          <w:b/>
          <w:bCs/>
        </w:rPr>
      </w:pPr>
    </w:p>
    <w:p w14:paraId="722B4A25" w14:textId="77777777" w:rsidR="00EC499B" w:rsidRPr="00CE0DE7" w:rsidRDefault="00EC499B" w:rsidP="00C30160">
      <w:pPr>
        <w:adjustRightInd w:val="0"/>
        <w:snapToGrid w:val="0"/>
        <w:rPr>
          <w:b/>
          <w:bCs/>
        </w:rPr>
      </w:pPr>
    </w:p>
    <w:p w14:paraId="0C4BC581" w14:textId="77777777" w:rsidR="007750FF" w:rsidRPr="00CE0DE7" w:rsidRDefault="007750FF" w:rsidP="00C30160">
      <w:pPr>
        <w:adjustRightInd w:val="0"/>
        <w:snapToGrid w:val="0"/>
        <w:rPr>
          <w:b/>
          <w:bCs/>
        </w:rPr>
      </w:pPr>
    </w:p>
    <w:p w14:paraId="6448973A" w14:textId="3D309834" w:rsidR="00C30160" w:rsidRPr="00CE0DE7" w:rsidRDefault="00C30160" w:rsidP="00C30160">
      <w:pPr>
        <w:adjustRightInd w:val="0"/>
        <w:snapToGrid w:val="0"/>
        <w:rPr>
          <w:b/>
          <w:bCs/>
          <w:sz w:val="20"/>
          <w:szCs w:val="20"/>
          <w:lang w:eastAsia="zh-CN"/>
        </w:rPr>
      </w:pPr>
      <w:r w:rsidRPr="00CE0DE7">
        <w:rPr>
          <w:b/>
          <w:bCs/>
          <w:sz w:val="20"/>
          <w:szCs w:val="20"/>
        </w:rPr>
        <w:lastRenderedPageBreak/>
        <w:t xml:space="preserve">Table 6. </w:t>
      </w:r>
      <w:r w:rsidRPr="00CE0DE7">
        <w:rPr>
          <w:rFonts w:hint="eastAsia"/>
          <w:b/>
          <w:bCs/>
          <w:sz w:val="20"/>
          <w:szCs w:val="20"/>
          <w:lang w:eastAsia="zh-CN"/>
        </w:rPr>
        <w:t xml:space="preserve">The </w:t>
      </w:r>
      <w:r w:rsidRPr="00CE0DE7">
        <w:rPr>
          <w:b/>
          <w:bCs/>
          <w:sz w:val="20"/>
          <w:szCs w:val="20"/>
        </w:rPr>
        <w:t xml:space="preserve">Toda–Yamamoto Granger non-causality test </w:t>
      </w:r>
      <w:r w:rsidRPr="00CE0DE7">
        <w:rPr>
          <w:rFonts w:hint="eastAsia"/>
          <w:b/>
          <w:bCs/>
          <w:sz w:val="20"/>
          <w:szCs w:val="20"/>
          <w:lang w:eastAsia="zh-CN"/>
        </w:rPr>
        <w:t xml:space="preserve">results </w:t>
      </w:r>
      <w:r w:rsidRPr="00CE0DE7">
        <w:rPr>
          <w:b/>
          <w:bCs/>
          <w:sz w:val="20"/>
          <w:szCs w:val="20"/>
        </w:rPr>
        <w:t>with control variables</w:t>
      </w:r>
    </w:p>
    <w:p w14:paraId="4FDE7F76" w14:textId="77777777" w:rsidR="00C30160" w:rsidRPr="00CE0DE7" w:rsidRDefault="00C30160" w:rsidP="00C30160">
      <w:pPr>
        <w:adjustRightInd w:val="0"/>
        <w:snapToGrid w:val="0"/>
        <w:jc w:val="both"/>
        <w:rPr>
          <w:sz w:val="20"/>
          <w:szCs w:val="20"/>
        </w:rPr>
      </w:pPr>
    </w:p>
    <w:p w14:paraId="25CCA138" w14:textId="77777777" w:rsidR="00C30160" w:rsidRPr="00CE0DE7" w:rsidRDefault="00C30160" w:rsidP="00C30160">
      <w:pPr>
        <w:adjustRightInd w:val="0"/>
        <w:snapToGrid w:val="0"/>
        <w:rPr>
          <w:sz w:val="20"/>
          <w:szCs w:val="20"/>
        </w:rPr>
      </w:pPr>
      <w:r w:rsidRPr="00CE0DE7">
        <w:rPr>
          <w:sz w:val="20"/>
          <w:szCs w:val="20"/>
        </w:rPr>
        <w:t>Panel A.</w:t>
      </w:r>
      <w:r w:rsidRPr="00CE0DE7">
        <w:rPr>
          <w:b/>
          <w:sz w:val="20"/>
          <w:szCs w:val="20"/>
        </w:rPr>
        <w:t xml:space="preserve"> </w:t>
      </w:r>
      <w:r w:rsidRPr="00CE0DE7">
        <w:rPr>
          <w:rFonts w:eastAsia="Times New Roman"/>
          <w:i/>
          <w:iCs/>
          <w:color w:val="000000"/>
          <w:sz w:val="20"/>
          <w:szCs w:val="20"/>
          <w:lang w:eastAsia="zh-CN"/>
        </w:rPr>
        <w:t xml:space="preserve">VRP </w:t>
      </w:r>
      <w:r w:rsidRPr="00CE0DE7">
        <w:rPr>
          <w:sz w:val="20"/>
          <w:szCs w:val="20"/>
        </w:rPr>
        <w:t xml:space="preserve">&amp; Stock Returns, </w:t>
      </w:r>
      <w:r w:rsidRPr="00CE0DE7">
        <w:rPr>
          <w:rFonts w:eastAsia="Times New Roman"/>
          <w:i/>
          <w:iCs/>
          <w:color w:val="000000"/>
          <w:sz w:val="20"/>
          <w:szCs w:val="20"/>
          <w:lang w:eastAsia="zh-CN"/>
        </w:rPr>
        <w:t xml:space="preserve">ILLIQ </w:t>
      </w:r>
      <w:r w:rsidRPr="00CE0DE7">
        <w:rPr>
          <w:sz w:val="20"/>
          <w:szCs w:val="20"/>
        </w:rPr>
        <w:t>&amp; Stock Returns</w:t>
      </w:r>
    </w:p>
    <w:tbl>
      <w:tblPr>
        <w:tblW w:w="4982" w:type="pct"/>
        <w:tblLook w:val="04A0" w:firstRow="1" w:lastRow="0" w:firstColumn="1" w:lastColumn="0" w:noHBand="0" w:noVBand="1"/>
      </w:tblPr>
      <w:tblGrid>
        <w:gridCol w:w="1597"/>
        <w:gridCol w:w="2284"/>
        <w:gridCol w:w="1279"/>
        <w:gridCol w:w="1279"/>
        <w:gridCol w:w="1279"/>
        <w:gridCol w:w="1277"/>
      </w:tblGrid>
      <w:tr w:rsidR="00C30160" w:rsidRPr="00CE0DE7" w14:paraId="3C0940AB" w14:textId="77777777" w:rsidTr="00C24E43">
        <w:trPr>
          <w:trHeight w:val="268"/>
        </w:trPr>
        <w:tc>
          <w:tcPr>
            <w:tcW w:w="887" w:type="pct"/>
            <w:tcBorders>
              <w:top w:val="double" w:sz="4" w:space="0" w:color="auto"/>
              <w:left w:val="nil"/>
              <w:bottom w:val="single" w:sz="4" w:space="0" w:color="auto"/>
              <w:right w:val="single" w:sz="4" w:space="0" w:color="auto"/>
            </w:tcBorders>
            <w:shd w:val="clear" w:color="auto" w:fill="auto"/>
            <w:noWrap/>
            <w:vAlign w:val="bottom"/>
            <w:hideMark/>
          </w:tcPr>
          <w:p w14:paraId="3651A288" w14:textId="77777777" w:rsidR="00C30160" w:rsidRPr="00CE0DE7" w:rsidRDefault="00C30160" w:rsidP="00C24E43">
            <w:pPr>
              <w:rPr>
                <w:rFonts w:eastAsia="Times New Roman"/>
                <w:sz w:val="20"/>
                <w:szCs w:val="20"/>
                <w:lang w:eastAsia="zh-CN"/>
              </w:rPr>
            </w:pPr>
          </w:p>
        </w:tc>
        <w:tc>
          <w:tcPr>
            <w:tcW w:w="1269"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4D5164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w:t>
            </w:r>
          </w:p>
        </w:tc>
        <w:tc>
          <w:tcPr>
            <w:tcW w:w="1422" w:type="pct"/>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DC521C0"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VW</w:t>
            </w:r>
          </w:p>
        </w:tc>
        <w:tc>
          <w:tcPr>
            <w:tcW w:w="1421" w:type="pct"/>
            <w:gridSpan w:val="2"/>
            <w:tcBorders>
              <w:top w:val="double" w:sz="4" w:space="0" w:color="auto"/>
              <w:left w:val="single" w:sz="4" w:space="0" w:color="auto"/>
              <w:bottom w:val="single" w:sz="4" w:space="0" w:color="auto"/>
              <w:right w:val="nil"/>
            </w:tcBorders>
            <w:shd w:val="clear" w:color="auto" w:fill="auto"/>
            <w:noWrap/>
            <w:vAlign w:val="center"/>
            <w:hideMark/>
          </w:tcPr>
          <w:p w14:paraId="7EAC88CE"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INDEX</w:t>
            </w:r>
          </w:p>
        </w:tc>
      </w:tr>
      <w:tr w:rsidR="00C30160" w:rsidRPr="00CE0DE7" w14:paraId="4C942D12" w14:textId="77777777" w:rsidTr="00C24E43">
        <w:trPr>
          <w:trHeight w:val="268"/>
        </w:trPr>
        <w:tc>
          <w:tcPr>
            <w:tcW w:w="887" w:type="pct"/>
            <w:tcBorders>
              <w:top w:val="single" w:sz="4" w:space="0" w:color="auto"/>
              <w:left w:val="nil"/>
              <w:bottom w:val="single" w:sz="4" w:space="0" w:color="auto"/>
              <w:right w:val="single" w:sz="4" w:space="0" w:color="auto"/>
            </w:tcBorders>
            <w:shd w:val="clear" w:color="auto" w:fill="auto"/>
            <w:noWrap/>
            <w:vAlign w:val="center"/>
            <w:hideMark/>
          </w:tcPr>
          <w:p w14:paraId="4A02C77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A4CC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Sample period</w:t>
            </w:r>
          </w:p>
        </w:tc>
        <w:tc>
          <w:tcPr>
            <w:tcW w:w="711" w:type="pct"/>
            <w:tcBorders>
              <w:top w:val="single" w:sz="4" w:space="0" w:color="auto"/>
              <w:left w:val="single" w:sz="4" w:space="0" w:color="auto"/>
              <w:bottom w:val="single" w:sz="4" w:space="0" w:color="auto"/>
              <w:right w:val="nil"/>
            </w:tcBorders>
            <w:shd w:val="clear" w:color="auto" w:fill="auto"/>
            <w:noWrap/>
            <w:vAlign w:val="center"/>
            <w:hideMark/>
          </w:tcPr>
          <w:p w14:paraId="0B4FA15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14:paraId="08ED71E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c>
          <w:tcPr>
            <w:tcW w:w="711" w:type="pct"/>
            <w:tcBorders>
              <w:top w:val="single" w:sz="4" w:space="0" w:color="auto"/>
              <w:left w:val="single" w:sz="4" w:space="0" w:color="auto"/>
              <w:bottom w:val="single" w:sz="4" w:space="0" w:color="auto"/>
              <w:right w:val="nil"/>
            </w:tcBorders>
            <w:shd w:val="clear" w:color="auto" w:fill="auto"/>
            <w:noWrap/>
            <w:vAlign w:val="center"/>
            <w:hideMark/>
          </w:tcPr>
          <w:p w14:paraId="183788F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710" w:type="pct"/>
            <w:tcBorders>
              <w:top w:val="single" w:sz="4" w:space="0" w:color="auto"/>
              <w:left w:val="nil"/>
              <w:bottom w:val="single" w:sz="4" w:space="0" w:color="auto"/>
              <w:right w:val="nil"/>
            </w:tcBorders>
            <w:shd w:val="clear" w:color="auto" w:fill="auto"/>
            <w:noWrap/>
            <w:vAlign w:val="center"/>
            <w:hideMark/>
          </w:tcPr>
          <w:p w14:paraId="258DD0E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r>
      <w:tr w:rsidR="00C30160" w:rsidRPr="00CE0DE7" w14:paraId="4E98E965" w14:textId="77777777" w:rsidTr="00C24E43">
        <w:trPr>
          <w:trHeight w:val="268"/>
        </w:trPr>
        <w:tc>
          <w:tcPr>
            <w:tcW w:w="887" w:type="pct"/>
            <w:vMerge w:val="restart"/>
            <w:tcBorders>
              <w:top w:val="single" w:sz="4" w:space="0" w:color="auto"/>
              <w:left w:val="nil"/>
              <w:bottom w:val="nil"/>
              <w:right w:val="single" w:sz="4" w:space="0" w:color="auto"/>
            </w:tcBorders>
            <w:shd w:val="clear" w:color="auto" w:fill="auto"/>
            <w:noWrap/>
            <w:vAlign w:val="center"/>
            <w:hideMark/>
          </w:tcPr>
          <w:p w14:paraId="6B91EEBE"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p>
        </w:tc>
        <w:tc>
          <w:tcPr>
            <w:tcW w:w="1269" w:type="pct"/>
            <w:tcBorders>
              <w:top w:val="single" w:sz="4" w:space="0" w:color="auto"/>
              <w:left w:val="single" w:sz="4" w:space="0" w:color="auto"/>
              <w:bottom w:val="nil"/>
              <w:right w:val="single" w:sz="4" w:space="0" w:color="auto"/>
            </w:tcBorders>
            <w:shd w:val="clear" w:color="auto" w:fill="auto"/>
            <w:noWrap/>
            <w:vAlign w:val="center"/>
            <w:hideMark/>
          </w:tcPr>
          <w:p w14:paraId="5880DBB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11" w:type="pct"/>
            <w:tcBorders>
              <w:top w:val="single" w:sz="4" w:space="0" w:color="auto"/>
              <w:left w:val="single" w:sz="4" w:space="0" w:color="auto"/>
              <w:bottom w:val="nil"/>
              <w:right w:val="nil"/>
            </w:tcBorders>
            <w:shd w:val="clear" w:color="auto" w:fill="auto"/>
            <w:noWrap/>
            <w:vAlign w:val="center"/>
            <w:hideMark/>
          </w:tcPr>
          <w:p w14:paraId="627AF77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0.8096</w:t>
            </w:r>
          </w:p>
        </w:tc>
        <w:tc>
          <w:tcPr>
            <w:tcW w:w="711" w:type="pct"/>
            <w:tcBorders>
              <w:top w:val="single" w:sz="4" w:space="0" w:color="auto"/>
              <w:left w:val="nil"/>
              <w:bottom w:val="nil"/>
              <w:right w:val="single" w:sz="4" w:space="0" w:color="auto"/>
            </w:tcBorders>
            <w:shd w:val="clear" w:color="auto" w:fill="auto"/>
            <w:noWrap/>
            <w:vAlign w:val="center"/>
            <w:hideMark/>
          </w:tcPr>
          <w:p w14:paraId="227387B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single" w:sz="4" w:space="0" w:color="auto"/>
              <w:left w:val="single" w:sz="4" w:space="0" w:color="auto"/>
              <w:bottom w:val="nil"/>
              <w:right w:val="nil"/>
            </w:tcBorders>
            <w:shd w:val="clear" w:color="auto" w:fill="auto"/>
            <w:noWrap/>
            <w:vAlign w:val="center"/>
            <w:hideMark/>
          </w:tcPr>
          <w:p w14:paraId="452A2CE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0.8565</w:t>
            </w:r>
          </w:p>
        </w:tc>
        <w:tc>
          <w:tcPr>
            <w:tcW w:w="710" w:type="pct"/>
            <w:tcBorders>
              <w:top w:val="single" w:sz="4" w:space="0" w:color="auto"/>
              <w:left w:val="nil"/>
              <w:bottom w:val="nil"/>
              <w:right w:val="nil"/>
            </w:tcBorders>
            <w:shd w:val="clear" w:color="auto" w:fill="auto"/>
            <w:noWrap/>
            <w:vAlign w:val="center"/>
            <w:hideMark/>
          </w:tcPr>
          <w:p w14:paraId="7E09874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39E54AD2" w14:textId="77777777" w:rsidTr="00C24E43">
        <w:trPr>
          <w:trHeight w:val="268"/>
        </w:trPr>
        <w:tc>
          <w:tcPr>
            <w:tcW w:w="887" w:type="pct"/>
            <w:vMerge/>
            <w:tcBorders>
              <w:top w:val="nil"/>
              <w:left w:val="nil"/>
              <w:bottom w:val="nil"/>
              <w:right w:val="single" w:sz="4" w:space="0" w:color="auto"/>
            </w:tcBorders>
            <w:vAlign w:val="center"/>
            <w:hideMark/>
          </w:tcPr>
          <w:p w14:paraId="5B3E9FBB"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0C82B32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11" w:type="pct"/>
            <w:tcBorders>
              <w:top w:val="nil"/>
              <w:left w:val="single" w:sz="4" w:space="0" w:color="auto"/>
              <w:bottom w:val="nil"/>
              <w:right w:val="nil"/>
            </w:tcBorders>
            <w:shd w:val="clear" w:color="auto" w:fill="auto"/>
            <w:noWrap/>
            <w:vAlign w:val="center"/>
            <w:hideMark/>
          </w:tcPr>
          <w:p w14:paraId="0D20DB4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0.9511</w:t>
            </w:r>
          </w:p>
        </w:tc>
        <w:tc>
          <w:tcPr>
            <w:tcW w:w="711" w:type="pct"/>
            <w:tcBorders>
              <w:top w:val="nil"/>
              <w:left w:val="nil"/>
              <w:bottom w:val="nil"/>
              <w:right w:val="single" w:sz="4" w:space="0" w:color="auto"/>
            </w:tcBorders>
            <w:shd w:val="clear" w:color="auto" w:fill="auto"/>
            <w:noWrap/>
            <w:vAlign w:val="center"/>
            <w:hideMark/>
          </w:tcPr>
          <w:p w14:paraId="40891E6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nil"/>
              <w:right w:val="nil"/>
            </w:tcBorders>
            <w:shd w:val="clear" w:color="auto" w:fill="auto"/>
            <w:noWrap/>
            <w:vAlign w:val="center"/>
            <w:hideMark/>
          </w:tcPr>
          <w:p w14:paraId="675FB5D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0.8317</w:t>
            </w:r>
          </w:p>
        </w:tc>
        <w:tc>
          <w:tcPr>
            <w:tcW w:w="710" w:type="pct"/>
            <w:tcBorders>
              <w:top w:val="nil"/>
              <w:left w:val="nil"/>
              <w:bottom w:val="nil"/>
              <w:right w:val="nil"/>
            </w:tcBorders>
            <w:shd w:val="clear" w:color="auto" w:fill="auto"/>
            <w:noWrap/>
            <w:vAlign w:val="center"/>
            <w:hideMark/>
          </w:tcPr>
          <w:p w14:paraId="5DD11A2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27A67AA3" w14:textId="77777777" w:rsidTr="00C24E43">
        <w:trPr>
          <w:trHeight w:val="268"/>
        </w:trPr>
        <w:tc>
          <w:tcPr>
            <w:tcW w:w="887" w:type="pct"/>
            <w:vMerge/>
            <w:tcBorders>
              <w:top w:val="nil"/>
              <w:left w:val="nil"/>
              <w:bottom w:val="nil"/>
              <w:right w:val="single" w:sz="4" w:space="0" w:color="auto"/>
            </w:tcBorders>
            <w:vAlign w:val="center"/>
            <w:hideMark/>
          </w:tcPr>
          <w:p w14:paraId="2C742F69"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004B8FD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11" w:type="pct"/>
            <w:tcBorders>
              <w:top w:val="nil"/>
              <w:left w:val="single" w:sz="4" w:space="0" w:color="auto"/>
              <w:bottom w:val="nil"/>
              <w:right w:val="nil"/>
            </w:tcBorders>
            <w:shd w:val="clear" w:color="auto" w:fill="auto"/>
            <w:noWrap/>
            <w:vAlign w:val="center"/>
            <w:hideMark/>
          </w:tcPr>
          <w:p w14:paraId="6DD8C8A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0.2482</w:t>
            </w:r>
          </w:p>
        </w:tc>
        <w:tc>
          <w:tcPr>
            <w:tcW w:w="711" w:type="pct"/>
            <w:tcBorders>
              <w:top w:val="nil"/>
              <w:left w:val="nil"/>
              <w:bottom w:val="nil"/>
              <w:right w:val="single" w:sz="4" w:space="0" w:color="auto"/>
            </w:tcBorders>
            <w:shd w:val="clear" w:color="auto" w:fill="auto"/>
            <w:noWrap/>
            <w:vAlign w:val="center"/>
            <w:hideMark/>
          </w:tcPr>
          <w:p w14:paraId="30974B7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nil"/>
              <w:right w:val="nil"/>
            </w:tcBorders>
            <w:shd w:val="clear" w:color="auto" w:fill="auto"/>
            <w:noWrap/>
            <w:vAlign w:val="center"/>
            <w:hideMark/>
          </w:tcPr>
          <w:p w14:paraId="373732D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0.1402</w:t>
            </w:r>
          </w:p>
        </w:tc>
        <w:tc>
          <w:tcPr>
            <w:tcW w:w="710" w:type="pct"/>
            <w:tcBorders>
              <w:top w:val="nil"/>
              <w:left w:val="nil"/>
              <w:bottom w:val="nil"/>
              <w:right w:val="nil"/>
            </w:tcBorders>
            <w:shd w:val="clear" w:color="auto" w:fill="auto"/>
            <w:noWrap/>
            <w:vAlign w:val="center"/>
            <w:hideMark/>
          </w:tcPr>
          <w:p w14:paraId="5BA6C37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21C07FE5" w14:textId="77777777" w:rsidTr="00C24E43">
        <w:trPr>
          <w:trHeight w:val="268"/>
        </w:trPr>
        <w:tc>
          <w:tcPr>
            <w:tcW w:w="887" w:type="pct"/>
            <w:vMerge/>
            <w:tcBorders>
              <w:top w:val="nil"/>
              <w:left w:val="nil"/>
              <w:bottom w:val="nil"/>
              <w:right w:val="single" w:sz="4" w:space="0" w:color="auto"/>
            </w:tcBorders>
            <w:vAlign w:val="center"/>
            <w:hideMark/>
          </w:tcPr>
          <w:p w14:paraId="38BB8C18"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0DFA362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11" w:type="pct"/>
            <w:tcBorders>
              <w:top w:val="nil"/>
              <w:left w:val="single" w:sz="4" w:space="0" w:color="auto"/>
              <w:bottom w:val="nil"/>
              <w:right w:val="nil"/>
            </w:tcBorders>
            <w:shd w:val="clear" w:color="auto" w:fill="auto"/>
            <w:noWrap/>
            <w:vAlign w:val="center"/>
            <w:hideMark/>
          </w:tcPr>
          <w:p w14:paraId="52FB7FC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0.2574</w:t>
            </w:r>
          </w:p>
        </w:tc>
        <w:tc>
          <w:tcPr>
            <w:tcW w:w="711" w:type="pct"/>
            <w:tcBorders>
              <w:top w:val="nil"/>
              <w:left w:val="nil"/>
              <w:bottom w:val="nil"/>
              <w:right w:val="single" w:sz="4" w:space="0" w:color="auto"/>
            </w:tcBorders>
            <w:shd w:val="clear" w:color="auto" w:fill="auto"/>
            <w:noWrap/>
            <w:vAlign w:val="center"/>
            <w:hideMark/>
          </w:tcPr>
          <w:p w14:paraId="1561F5C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nil"/>
              <w:right w:val="nil"/>
            </w:tcBorders>
            <w:shd w:val="clear" w:color="auto" w:fill="auto"/>
            <w:noWrap/>
            <w:vAlign w:val="center"/>
            <w:hideMark/>
          </w:tcPr>
          <w:p w14:paraId="6A1F5A4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0.1547</w:t>
            </w:r>
          </w:p>
        </w:tc>
        <w:tc>
          <w:tcPr>
            <w:tcW w:w="710" w:type="pct"/>
            <w:tcBorders>
              <w:top w:val="nil"/>
              <w:left w:val="nil"/>
              <w:bottom w:val="nil"/>
              <w:right w:val="nil"/>
            </w:tcBorders>
            <w:shd w:val="clear" w:color="auto" w:fill="auto"/>
            <w:noWrap/>
            <w:vAlign w:val="center"/>
            <w:hideMark/>
          </w:tcPr>
          <w:p w14:paraId="4FD7B82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544F9BB0" w14:textId="77777777" w:rsidTr="00C24E43">
        <w:trPr>
          <w:trHeight w:val="268"/>
        </w:trPr>
        <w:tc>
          <w:tcPr>
            <w:tcW w:w="887" w:type="pct"/>
            <w:vMerge/>
            <w:tcBorders>
              <w:top w:val="nil"/>
              <w:left w:val="nil"/>
              <w:bottom w:val="single" w:sz="4" w:space="0" w:color="auto"/>
              <w:right w:val="single" w:sz="4" w:space="0" w:color="auto"/>
            </w:tcBorders>
            <w:vAlign w:val="center"/>
            <w:hideMark/>
          </w:tcPr>
          <w:p w14:paraId="70F731DB"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single" w:sz="4" w:space="0" w:color="auto"/>
              <w:right w:val="single" w:sz="4" w:space="0" w:color="auto"/>
            </w:tcBorders>
            <w:shd w:val="clear" w:color="auto" w:fill="auto"/>
            <w:noWrap/>
            <w:vAlign w:val="center"/>
            <w:hideMark/>
          </w:tcPr>
          <w:p w14:paraId="56408B3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11" w:type="pct"/>
            <w:tcBorders>
              <w:top w:val="nil"/>
              <w:left w:val="single" w:sz="4" w:space="0" w:color="auto"/>
              <w:bottom w:val="single" w:sz="4" w:space="0" w:color="auto"/>
              <w:right w:val="nil"/>
            </w:tcBorders>
            <w:shd w:val="clear" w:color="auto" w:fill="auto"/>
            <w:noWrap/>
            <w:vAlign w:val="center"/>
            <w:hideMark/>
          </w:tcPr>
          <w:p w14:paraId="0529326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0.1659</w:t>
            </w:r>
          </w:p>
        </w:tc>
        <w:tc>
          <w:tcPr>
            <w:tcW w:w="711" w:type="pct"/>
            <w:tcBorders>
              <w:top w:val="nil"/>
              <w:left w:val="nil"/>
              <w:bottom w:val="single" w:sz="4" w:space="0" w:color="auto"/>
              <w:right w:val="single" w:sz="4" w:space="0" w:color="auto"/>
            </w:tcBorders>
            <w:shd w:val="clear" w:color="auto" w:fill="auto"/>
            <w:noWrap/>
            <w:vAlign w:val="center"/>
            <w:hideMark/>
          </w:tcPr>
          <w:p w14:paraId="187FF54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single" w:sz="4" w:space="0" w:color="auto"/>
              <w:right w:val="nil"/>
            </w:tcBorders>
            <w:shd w:val="clear" w:color="auto" w:fill="auto"/>
            <w:noWrap/>
            <w:vAlign w:val="center"/>
            <w:hideMark/>
          </w:tcPr>
          <w:p w14:paraId="7FF0BC4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0.1856</w:t>
            </w:r>
          </w:p>
        </w:tc>
        <w:tc>
          <w:tcPr>
            <w:tcW w:w="710" w:type="pct"/>
            <w:tcBorders>
              <w:top w:val="nil"/>
              <w:left w:val="nil"/>
              <w:bottom w:val="single" w:sz="4" w:space="0" w:color="auto"/>
              <w:right w:val="nil"/>
            </w:tcBorders>
            <w:shd w:val="clear" w:color="auto" w:fill="auto"/>
            <w:noWrap/>
            <w:vAlign w:val="center"/>
            <w:hideMark/>
          </w:tcPr>
          <w:p w14:paraId="51736DF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2D817090" w14:textId="77777777" w:rsidTr="00C24E43">
        <w:trPr>
          <w:trHeight w:val="268"/>
        </w:trPr>
        <w:tc>
          <w:tcPr>
            <w:tcW w:w="887" w:type="pct"/>
            <w:vMerge w:val="restart"/>
            <w:tcBorders>
              <w:top w:val="single" w:sz="4" w:space="0" w:color="auto"/>
              <w:left w:val="nil"/>
              <w:bottom w:val="nil"/>
              <w:right w:val="single" w:sz="4" w:space="0" w:color="auto"/>
            </w:tcBorders>
            <w:shd w:val="clear" w:color="auto" w:fill="auto"/>
            <w:noWrap/>
            <w:vAlign w:val="center"/>
            <w:hideMark/>
          </w:tcPr>
          <w:p w14:paraId="0D1496CB"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p>
        </w:tc>
        <w:tc>
          <w:tcPr>
            <w:tcW w:w="1269" w:type="pct"/>
            <w:tcBorders>
              <w:top w:val="single" w:sz="4" w:space="0" w:color="auto"/>
              <w:left w:val="single" w:sz="4" w:space="0" w:color="auto"/>
              <w:bottom w:val="nil"/>
              <w:right w:val="single" w:sz="4" w:space="0" w:color="auto"/>
            </w:tcBorders>
            <w:shd w:val="clear" w:color="auto" w:fill="auto"/>
            <w:noWrap/>
            <w:vAlign w:val="center"/>
            <w:hideMark/>
          </w:tcPr>
          <w:p w14:paraId="69E993C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11" w:type="pct"/>
            <w:tcBorders>
              <w:top w:val="single" w:sz="4" w:space="0" w:color="auto"/>
              <w:left w:val="single" w:sz="4" w:space="0" w:color="auto"/>
              <w:bottom w:val="nil"/>
              <w:right w:val="nil"/>
            </w:tcBorders>
            <w:shd w:val="clear" w:color="auto" w:fill="auto"/>
            <w:noWrap/>
            <w:vAlign w:val="center"/>
            <w:hideMark/>
          </w:tcPr>
          <w:p w14:paraId="40D735A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0.2411</w:t>
            </w:r>
          </w:p>
        </w:tc>
        <w:tc>
          <w:tcPr>
            <w:tcW w:w="711" w:type="pct"/>
            <w:tcBorders>
              <w:top w:val="single" w:sz="4" w:space="0" w:color="auto"/>
              <w:left w:val="nil"/>
              <w:bottom w:val="nil"/>
              <w:right w:val="single" w:sz="4" w:space="0" w:color="auto"/>
            </w:tcBorders>
            <w:shd w:val="clear" w:color="auto" w:fill="auto"/>
            <w:noWrap/>
            <w:vAlign w:val="center"/>
            <w:hideMark/>
          </w:tcPr>
          <w:p w14:paraId="1B32F56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single" w:sz="4" w:space="0" w:color="auto"/>
              <w:left w:val="single" w:sz="4" w:space="0" w:color="auto"/>
              <w:bottom w:val="nil"/>
              <w:right w:val="nil"/>
            </w:tcBorders>
            <w:shd w:val="clear" w:color="auto" w:fill="auto"/>
            <w:noWrap/>
            <w:vAlign w:val="center"/>
            <w:hideMark/>
          </w:tcPr>
          <w:p w14:paraId="0CFD5C2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0.2292</w:t>
            </w:r>
          </w:p>
        </w:tc>
        <w:tc>
          <w:tcPr>
            <w:tcW w:w="710" w:type="pct"/>
            <w:tcBorders>
              <w:top w:val="single" w:sz="4" w:space="0" w:color="auto"/>
              <w:left w:val="nil"/>
              <w:bottom w:val="nil"/>
              <w:right w:val="nil"/>
            </w:tcBorders>
            <w:shd w:val="clear" w:color="auto" w:fill="auto"/>
            <w:noWrap/>
            <w:vAlign w:val="center"/>
            <w:hideMark/>
          </w:tcPr>
          <w:p w14:paraId="6EC598B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7BB8FCBA" w14:textId="77777777" w:rsidTr="00C24E43">
        <w:trPr>
          <w:trHeight w:val="268"/>
        </w:trPr>
        <w:tc>
          <w:tcPr>
            <w:tcW w:w="887" w:type="pct"/>
            <w:vMerge/>
            <w:tcBorders>
              <w:top w:val="nil"/>
              <w:left w:val="nil"/>
              <w:bottom w:val="nil"/>
              <w:right w:val="single" w:sz="4" w:space="0" w:color="auto"/>
            </w:tcBorders>
            <w:vAlign w:val="center"/>
            <w:hideMark/>
          </w:tcPr>
          <w:p w14:paraId="59C81F59"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6D678DC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11" w:type="pct"/>
            <w:tcBorders>
              <w:top w:val="nil"/>
              <w:left w:val="single" w:sz="4" w:space="0" w:color="auto"/>
              <w:bottom w:val="nil"/>
              <w:right w:val="nil"/>
            </w:tcBorders>
            <w:shd w:val="clear" w:color="auto" w:fill="auto"/>
            <w:noWrap/>
            <w:vAlign w:val="center"/>
            <w:hideMark/>
          </w:tcPr>
          <w:p w14:paraId="38B6A2B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0.3862</w:t>
            </w:r>
          </w:p>
        </w:tc>
        <w:tc>
          <w:tcPr>
            <w:tcW w:w="711" w:type="pct"/>
            <w:tcBorders>
              <w:top w:val="nil"/>
              <w:left w:val="nil"/>
              <w:bottom w:val="nil"/>
              <w:right w:val="single" w:sz="4" w:space="0" w:color="auto"/>
            </w:tcBorders>
            <w:shd w:val="clear" w:color="auto" w:fill="auto"/>
            <w:noWrap/>
            <w:vAlign w:val="center"/>
            <w:hideMark/>
          </w:tcPr>
          <w:p w14:paraId="518E4DA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nil"/>
              <w:right w:val="nil"/>
            </w:tcBorders>
            <w:shd w:val="clear" w:color="auto" w:fill="auto"/>
            <w:noWrap/>
            <w:vAlign w:val="center"/>
            <w:hideMark/>
          </w:tcPr>
          <w:p w14:paraId="5B46F35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0.5437</w:t>
            </w:r>
          </w:p>
        </w:tc>
        <w:tc>
          <w:tcPr>
            <w:tcW w:w="710" w:type="pct"/>
            <w:tcBorders>
              <w:top w:val="nil"/>
              <w:left w:val="nil"/>
              <w:bottom w:val="nil"/>
              <w:right w:val="nil"/>
            </w:tcBorders>
            <w:shd w:val="clear" w:color="auto" w:fill="auto"/>
            <w:noWrap/>
            <w:vAlign w:val="center"/>
            <w:hideMark/>
          </w:tcPr>
          <w:p w14:paraId="4BF11B8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31863254" w14:textId="77777777" w:rsidTr="00C24E43">
        <w:trPr>
          <w:trHeight w:val="268"/>
        </w:trPr>
        <w:tc>
          <w:tcPr>
            <w:tcW w:w="887" w:type="pct"/>
            <w:vMerge/>
            <w:tcBorders>
              <w:top w:val="nil"/>
              <w:left w:val="nil"/>
              <w:bottom w:val="nil"/>
              <w:right w:val="single" w:sz="4" w:space="0" w:color="auto"/>
            </w:tcBorders>
            <w:vAlign w:val="center"/>
            <w:hideMark/>
          </w:tcPr>
          <w:p w14:paraId="02C455BF"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411A42B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11" w:type="pct"/>
            <w:tcBorders>
              <w:top w:val="nil"/>
              <w:left w:val="single" w:sz="4" w:space="0" w:color="auto"/>
              <w:bottom w:val="nil"/>
              <w:right w:val="nil"/>
            </w:tcBorders>
            <w:shd w:val="clear" w:color="auto" w:fill="auto"/>
            <w:noWrap/>
            <w:vAlign w:val="center"/>
            <w:hideMark/>
          </w:tcPr>
          <w:p w14:paraId="277D9D5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0.3141</w:t>
            </w:r>
          </w:p>
        </w:tc>
        <w:tc>
          <w:tcPr>
            <w:tcW w:w="711" w:type="pct"/>
            <w:tcBorders>
              <w:top w:val="nil"/>
              <w:left w:val="nil"/>
              <w:bottom w:val="nil"/>
              <w:right w:val="single" w:sz="4" w:space="0" w:color="auto"/>
            </w:tcBorders>
            <w:shd w:val="clear" w:color="auto" w:fill="auto"/>
            <w:noWrap/>
            <w:vAlign w:val="center"/>
            <w:hideMark/>
          </w:tcPr>
          <w:p w14:paraId="190A6BC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nil"/>
              <w:right w:val="nil"/>
            </w:tcBorders>
            <w:shd w:val="clear" w:color="auto" w:fill="auto"/>
            <w:noWrap/>
            <w:vAlign w:val="center"/>
            <w:hideMark/>
          </w:tcPr>
          <w:p w14:paraId="3FD4675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0.4662</w:t>
            </w:r>
          </w:p>
        </w:tc>
        <w:tc>
          <w:tcPr>
            <w:tcW w:w="710" w:type="pct"/>
            <w:tcBorders>
              <w:top w:val="nil"/>
              <w:left w:val="nil"/>
              <w:bottom w:val="nil"/>
              <w:right w:val="nil"/>
            </w:tcBorders>
            <w:shd w:val="clear" w:color="auto" w:fill="auto"/>
            <w:noWrap/>
            <w:vAlign w:val="center"/>
            <w:hideMark/>
          </w:tcPr>
          <w:p w14:paraId="528E209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189D3108" w14:textId="77777777" w:rsidTr="00C24E43">
        <w:trPr>
          <w:trHeight w:val="268"/>
        </w:trPr>
        <w:tc>
          <w:tcPr>
            <w:tcW w:w="887" w:type="pct"/>
            <w:vMerge/>
            <w:tcBorders>
              <w:top w:val="nil"/>
              <w:left w:val="nil"/>
              <w:bottom w:val="nil"/>
              <w:right w:val="single" w:sz="4" w:space="0" w:color="auto"/>
            </w:tcBorders>
            <w:vAlign w:val="center"/>
            <w:hideMark/>
          </w:tcPr>
          <w:p w14:paraId="04458DB2"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7B599C9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11" w:type="pct"/>
            <w:tcBorders>
              <w:top w:val="nil"/>
              <w:left w:val="single" w:sz="4" w:space="0" w:color="auto"/>
              <w:bottom w:val="nil"/>
              <w:right w:val="nil"/>
            </w:tcBorders>
            <w:shd w:val="clear" w:color="auto" w:fill="auto"/>
            <w:noWrap/>
            <w:vAlign w:val="center"/>
            <w:hideMark/>
          </w:tcPr>
          <w:p w14:paraId="37D905C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0.3062</w:t>
            </w:r>
          </w:p>
        </w:tc>
        <w:tc>
          <w:tcPr>
            <w:tcW w:w="711" w:type="pct"/>
            <w:tcBorders>
              <w:top w:val="nil"/>
              <w:left w:val="nil"/>
              <w:bottom w:val="nil"/>
              <w:right w:val="single" w:sz="4" w:space="0" w:color="auto"/>
            </w:tcBorders>
            <w:shd w:val="clear" w:color="auto" w:fill="auto"/>
            <w:noWrap/>
            <w:vAlign w:val="center"/>
            <w:hideMark/>
          </w:tcPr>
          <w:p w14:paraId="1BC0651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nil"/>
              <w:right w:val="nil"/>
            </w:tcBorders>
            <w:shd w:val="clear" w:color="auto" w:fill="auto"/>
            <w:noWrap/>
            <w:vAlign w:val="center"/>
            <w:hideMark/>
          </w:tcPr>
          <w:p w14:paraId="3EF3C2A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0.4848</w:t>
            </w:r>
          </w:p>
        </w:tc>
        <w:tc>
          <w:tcPr>
            <w:tcW w:w="710" w:type="pct"/>
            <w:tcBorders>
              <w:top w:val="nil"/>
              <w:left w:val="nil"/>
              <w:bottom w:val="nil"/>
              <w:right w:val="nil"/>
            </w:tcBorders>
            <w:shd w:val="clear" w:color="auto" w:fill="auto"/>
            <w:noWrap/>
            <w:vAlign w:val="center"/>
            <w:hideMark/>
          </w:tcPr>
          <w:p w14:paraId="287E841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346DAA80" w14:textId="77777777" w:rsidTr="00C24E43">
        <w:trPr>
          <w:trHeight w:val="268"/>
        </w:trPr>
        <w:tc>
          <w:tcPr>
            <w:tcW w:w="887" w:type="pct"/>
            <w:vMerge/>
            <w:tcBorders>
              <w:top w:val="nil"/>
              <w:left w:val="nil"/>
              <w:bottom w:val="single" w:sz="4" w:space="0" w:color="auto"/>
              <w:right w:val="single" w:sz="4" w:space="0" w:color="auto"/>
            </w:tcBorders>
            <w:vAlign w:val="center"/>
            <w:hideMark/>
          </w:tcPr>
          <w:p w14:paraId="616EC3DD"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single" w:sz="4" w:space="0" w:color="auto"/>
              <w:right w:val="single" w:sz="4" w:space="0" w:color="auto"/>
            </w:tcBorders>
            <w:shd w:val="clear" w:color="auto" w:fill="auto"/>
            <w:noWrap/>
            <w:vAlign w:val="center"/>
            <w:hideMark/>
          </w:tcPr>
          <w:p w14:paraId="715CEBD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11" w:type="pct"/>
            <w:tcBorders>
              <w:top w:val="nil"/>
              <w:left w:val="single" w:sz="4" w:space="0" w:color="auto"/>
              <w:bottom w:val="single" w:sz="4" w:space="0" w:color="auto"/>
              <w:right w:val="nil"/>
            </w:tcBorders>
            <w:shd w:val="clear" w:color="auto" w:fill="auto"/>
            <w:noWrap/>
            <w:vAlign w:val="center"/>
            <w:hideMark/>
          </w:tcPr>
          <w:p w14:paraId="14CFBEC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0.5116</w:t>
            </w:r>
          </w:p>
        </w:tc>
        <w:tc>
          <w:tcPr>
            <w:tcW w:w="711" w:type="pct"/>
            <w:tcBorders>
              <w:top w:val="nil"/>
              <w:left w:val="nil"/>
              <w:bottom w:val="single" w:sz="4" w:space="0" w:color="auto"/>
              <w:right w:val="single" w:sz="4" w:space="0" w:color="auto"/>
            </w:tcBorders>
            <w:shd w:val="clear" w:color="auto" w:fill="auto"/>
            <w:noWrap/>
            <w:vAlign w:val="center"/>
            <w:hideMark/>
          </w:tcPr>
          <w:p w14:paraId="00D6393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single" w:sz="4" w:space="0" w:color="auto"/>
              <w:right w:val="nil"/>
            </w:tcBorders>
            <w:shd w:val="clear" w:color="auto" w:fill="auto"/>
            <w:noWrap/>
            <w:vAlign w:val="center"/>
            <w:hideMark/>
          </w:tcPr>
          <w:p w14:paraId="355D24C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0.4789</w:t>
            </w:r>
          </w:p>
        </w:tc>
        <w:tc>
          <w:tcPr>
            <w:tcW w:w="710" w:type="pct"/>
            <w:tcBorders>
              <w:top w:val="nil"/>
              <w:left w:val="nil"/>
              <w:bottom w:val="single" w:sz="4" w:space="0" w:color="auto"/>
              <w:right w:val="nil"/>
            </w:tcBorders>
            <w:shd w:val="clear" w:color="auto" w:fill="auto"/>
            <w:noWrap/>
            <w:vAlign w:val="center"/>
            <w:hideMark/>
          </w:tcPr>
          <w:p w14:paraId="5157E80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773A1FDB" w14:textId="77777777" w:rsidTr="00C24E43">
        <w:trPr>
          <w:trHeight w:val="268"/>
        </w:trPr>
        <w:tc>
          <w:tcPr>
            <w:tcW w:w="887" w:type="pct"/>
            <w:vMerge w:val="restart"/>
            <w:tcBorders>
              <w:top w:val="single" w:sz="4" w:space="0" w:color="auto"/>
              <w:left w:val="nil"/>
              <w:bottom w:val="nil"/>
              <w:right w:val="single" w:sz="4" w:space="0" w:color="auto"/>
            </w:tcBorders>
            <w:shd w:val="clear" w:color="auto" w:fill="auto"/>
            <w:noWrap/>
            <w:vAlign w:val="center"/>
            <w:hideMark/>
          </w:tcPr>
          <w:p w14:paraId="6E32D101"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p>
        </w:tc>
        <w:tc>
          <w:tcPr>
            <w:tcW w:w="1269" w:type="pct"/>
            <w:tcBorders>
              <w:top w:val="single" w:sz="4" w:space="0" w:color="auto"/>
              <w:left w:val="single" w:sz="4" w:space="0" w:color="auto"/>
              <w:bottom w:val="nil"/>
              <w:right w:val="single" w:sz="4" w:space="0" w:color="auto"/>
            </w:tcBorders>
            <w:shd w:val="clear" w:color="auto" w:fill="auto"/>
            <w:noWrap/>
            <w:vAlign w:val="center"/>
            <w:hideMark/>
          </w:tcPr>
          <w:p w14:paraId="2E8911C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11" w:type="pct"/>
            <w:tcBorders>
              <w:top w:val="single" w:sz="4" w:space="0" w:color="auto"/>
              <w:left w:val="single" w:sz="4" w:space="0" w:color="auto"/>
              <w:bottom w:val="nil"/>
              <w:right w:val="nil"/>
            </w:tcBorders>
            <w:shd w:val="clear" w:color="auto" w:fill="auto"/>
            <w:noWrap/>
            <w:vAlign w:val="center"/>
            <w:hideMark/>
          </w:tcPr>
          <w:p w14:paraId="5B7B768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0.1200</w:t>
            </w:r>
          </w:p>
        </w:tc>
        <w:tc>
          <w:tcPr>
            <w:tcW w:w="711" w:type="pct"/>
            <w:tcBorders>
              <w:top w:val="single" w:sz="4" w:space="0" w:color="auto"/>
              <w:left w:val="nil"/>
              <w:bottom w:val="nil"/>
              <w:right w:val="single" w:sz="4" w:space="0" w:color="auto"/>
            </w:tcBorders>
            <w:shd w:val="clear" w:color="auto" w:fill="auto"/>
            <w:noWrap/>
            <w:vAlign w:val="center"/>
            <w:hideMark/>
          </w:tcPr>
          <w:p w14:paraId="2A7EE93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single" w:sz="4" w:space="0" w:color="auto"/>
              <w:left w:val="single" w:sz="4" w:space="0" w:color="auto"/>
              <w:bottom w:val="nil"/>
              <w:right w:val="nil"/>
            </w:tcBorders>
            <w:shd w:val="clear" w:color="auto" w:fill="auto"/>
            <w:noWrap/>
            <w:vAlign w:val="center"/>
            <w:hideMark/>
          </w:tcPr>
          <w:p w14:paraId="61C5CA7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0.1174</w:t>
            </w:r>
          </w:p>
        </w:tc>
        <w:tc>
          <w:tcPr>
            <w:tcW w:w="710" w:type="pct"/>
            <w:tcBorders>
              <w:top w:val="single" w:sz="4" w:space="0" w:color="auto"/>
              <w:left w:val="nil"/>
              <w:bottom w:val="nil"/>
              <w:right w:val="nil"/>
            </w:tcBorders>
            <w:shd w:val="clear" w:color="auto" w:fill="auto"/>
            <w:noWrap/>
            <w:vAlign w:val="center"/>
            <w:hideMark/>
          </w:tcPr>
          <w:p w14:paraId="7BF4BE6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18A53935" w14:textId="77777777" w:rsidTr="00C24E43">
        <w:trPr>
          <w:trHeight w:val="268"/>
        </w:trPr>
        <w:tc>
          <w:tcPr>
            <w:tcW w:w="887" w:type="pct"/>
            <w:vMerge/>
            <w:tcBorders>
              <w:top w:val="nil"/>
              <w:left w:val="nil"/>
              <w:bottom w:val="nil"/>
              <w:right w:val="single" w:sz="4" w:space="0" w:color="auto"/>
            </w:tcBorders>
            <w:vAlign w:val="center"/>
            <w:hideMark/>
          </w:tcPr>
          <w:p w14:paraId="0BE500AF"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6B57F13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11" w:type="pct"/>
            <w:tcBorders>
              <w:top w:val="nil"/>
              <w:left w:val="single" w:sz="4" w:space="0" w:color="auto"/>
              <w:bottom w:val="nil"/>
              <w:right w:val="nil"/>
            </w:tcBorders>
            <w:shd w:val="clear" w:color="auto" w:fill="auto"/>
            <w:noWrap/>
            <w:vAlign w:val="center"/>
            <w:hideMark/>
          </w:tcPr>
          <w:p w14:paraId="27CED62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0.1814</w:t>
            </w:r>
          </w:p>
        </w:tc>
        <w:tc>
          <w:tcPr>
            <w:tcW w:w="711" w:type="pct"/>
            <w:tcBorders>
              <w:top w:val="nil"/>
              <w:left w:val="nil"/>
              <w:bottom w:val="nil"/>
              <w:right w:val="single" w:sz="4" w:space="0" w:color="auto"/>
            </w:tcBorders>
            <w:shd w:val="clear" w:color="auto" w:fill="auto"/>
            <w:noWrap/>
            <w:vAlign w:val="center"/>
            <w:hideMark/>
          </w:tcPr>
          <w:p w14:paraId="44FA6F1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nil"/>
              <w:right w:val="nil"/>
            </w:tcBorders>
            <w:shd w:val="clear" w:color="auto" w:fill="auto"/>
            <w:noWrap/>
            <w:vAlign w:val="center"/>
            <w:hideMark/>
          </w:tcPr>
          <w:p w14:paraId="56854FF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0.1847</w:t>
            </w:r>
          </w:p>
        </w:tc>
        <w:tc>
          <w:tcPr>
            <w:tcW w:w="710" w:type="pct"/>
            <w:tcBorders>
              <w:top w:val="nil"/>
              <w:left w:val="nil"/>
              <w:bottom w:val="nil"/>
              <w:right w:val="nil"/>
            </w:tcBorders>
            <w:shd w:val="clear" w:color="auto" w:fill="auto"/>
            <w:noWrap/>
            <w:vAlign w:val="center"/>
            <w:hideMark/>
          </w:tcPr>
          <w:p w14:paraId="535901C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7874F594" w14:textId="77777777" w:rsidTr="00C24E43">
        <w:trPr>
          <w:trHeight w:val="268"/>
        </w:trPr>
        <w:tc>
          <w:tcPr>
            <w:tcW w:w="887" w:type="pct"/>
            <w:vMerge/>
            <w:tcBorders>
              <w:top w:val="nil"/>
              <w:left w:val="nil"/>
              <w:bottom w:val="nil"/>
              <w:right w:val="single" w:sz="4" w:space="0" w:color="auto"/>
            </w:tcBorders>
            <w:vAlign w:val="center"/>
            <w:hideMark/>
          </w:tcPr>
          <w:p w14:paraId="159075E8"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6207FBF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11" w:type="pct"/>
            <w:tcBorders>
              <w:top w:val="nil"/>
              <w:left w:val="single" w:sz="4" w:space="0" w:color="auto"/>
              <w:bottom w:val="nil"/>
              <w:right w:val="nil"/>
            </w:tcBorders>
            <w:shd w:val="clear" w:color="auto" w:fill="auto"/>
            <w:noWrap/>
            <w:vAlign w:val="center"/>
            <w:hideMark/>
          </w:tcPr>
          <w:p w14:paraId="675A969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0.2122</w:t>
            </w:r>
          </w:p>
        </w:tc>
        <w:tc>
          <w:tcPr>
            <w:tcW w:w="711" w:type="pct"/>
            <w:tcBorders>
              <w:top w:val="nil"/>
              <w:left w:val="nil"/>
              <w:bottom w:val="nil"/>
              <w:right w:val="single" w:sz="4" w:space="0" w:color="auto"/>
            </w:tcBorders>
            <w:shd w:val="clear" w:color="auto" w:fill="auto"/>
            <w:noWrap/>
            <w:vAlign w:val="center"/>
            <w:hideMark/>
          </w:tcPr>
          <w:p w14:paraId="194FE07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nil"/>
              <w:right w:val="nil"/>
            </w:tcBorders>
            <w:shd w:val="clear" w:color="auto" w:fill="auto"/>
            <w:noWrap/>
            <w:vAlign w:val="center"/>
            <w:hideMark/>
          </w:tcPr>
          <w:p w14:paraId="2864201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0.2162</w:t>
            </w:r>
          </w:p>
        </w:tc>
        <w:tc>
          <w:tcPr>
            <w:tcW w:w="710" w:type="pct"/>
            <w:tcBorders>
              <w:top w:val="nil"/>
              <w:left w:val="nil"/>
              <w:bottom w:val="nil"/>
              <w:right w:val="nil"/>
            </w:tcBorders>
            <w:shd w:val="clear" w:color="auto" w:fill="auto"/>
            <w:noWrap/>
            <w:vAlign w:val="center"/>
            <w:hideMark/>
          </w:tcPr>
          <w:p w14:paraId="24309FF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0.0001</w:t>
            </w:r>
          </w:p>
        </w:tc>
      </w:tr>
      <w:tr w:rsidR="00C30160" w:rsidRPr="00CE0DE7" w14:paraId="1967F4DD" w14:textId="77777777" w:rsidTr="00C24E43">
        <w:trPr>
          <w:trHeight w:val="268"/>
        </w:trPr>
        <w:tc>
          <w:tcPr>
            <w:tcW w:w="887" w:type="pct"/>
            <w:vMerge/>
            <w:tcBorders>
              <w:top w:val="nil"/>
              <w:left w:val="nil"/>
              <w:bottom w:val="nil"/>
              <w:right w:val="single" w:sz="4" w:space="0" w:color="auto"/>
            </w:tcBorders>
            <w:vAlign w:val="center"/>
            <w:hideMark/>
          </w:tcPr>
          <w:p w14:paraId="39FE39D5"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68FD7F0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11" w:type="pct"/>
            <w:tcBorders>
              <w:top w:val="nil"/>
              <w:left w:val="single" w:sz="4" w:space="0" w:color="auto"/>
              <w:bottom w:val="nil"/>
              <w:right w:val="nil"/>
            </w:tcBorders>
            <w:shd w:val="clear" w:color="auto" w:fill="auto"/>
            <w:noWrap/>
            <w:vAlign w:val="center"/>
            <w:hideMark/>
          </w:tcPr>
          <w:p w14:paraId="5FFE7FB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0.1038</w:t>
            </w:r>
          </w:p>
        </w:tc>
        <w:tc>
          <w:tcPr>
            <w:tcW w:w="711" w:type="pct"/>
            <w:tcBorders>
              <w:top w:val="nil"/>
              <w:left w:val="nil"/>
              <w:bottom w:val="nil"/>
              <w:right w:val="single" w:sz="4" w:space="0" w:color="auto"/>
            </w:tcBorders>
            <w:shd w:val="clear" w:color="auto" w:fill="auto"/>
            <w:noWrap/>
            <w:vAlign w:val="center"/>
            <w:hideMark/>
          </w:tcPr>
          <w:p w14:paraId="417753D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nil"/>
              <w:right w:val="nil"/>
            </w:tcBorders>
            <w:shd w:val="clear" w:color="auto" w:fill="auto"/>
            <w:noWrap/>
            <w:vAlign w:val="center"/>
            <w:hideMark/>
          </w:tcPr>
          <w:p w14:paraId="19D86BA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0.1911</w:t>
            </w:r>
          </w:p>
        </w:tc>
        <w:tc>
          <w:tcPr>
            <w:tcW w:w="710" w:type="pct"/>
            <w:tcBorders>
              <w:top w:val="nil"/>
              <w:left w:val="nil"/>
              <w:bottom w:val="nil"/>
              <w:right w:val="nil"/>
            </w:tcBorders>
            <w:shd w:val="clear" w:color="auto" w:fill="auto"/>
            <w:noWrap/>
            <w:vAlign w:val="center"/>
            <w:hideMark/>
          </w:tcPr>
          <w:p w14:paraId="1EA7760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0.0002</w:t>
            </w:r>
          </w:p>
        </w:tc>
      </w:tr>
      <w:tr w:rsidR="00C30160" w:rsidRPr="00CE0DE7" w14:paraId="0CAB90B2" w14:textId="77777777" w:rsidTr="00C24E43">
        <w:trPr>
          <w:trHeight w:val="268"/>
        </w:trPr>
        <w:tc>
          <w:tcPr>
            <w:tcW w:w="887" w:type="pct"/>
            <w:vMerge/>
            <w:tcBorders>
              <w:top w:val="nil"/>
              <w:left w:val="nil"/>
              <w:bottom w:val="single" w:sz="12" w:space="0" w:color="auto"/>
              <w:right w:val="single" w:sz="4" w:space="0" w:color="auto"/>
            </w:tcBorders>
            <w:vAlign w:val="center"/>
            <w:hideMark/>
          </w:tcPr>
          <w:p w14:paraId="4429819A"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single" w:sz="12" w:space="0" w:color="auto"/>
              <w:right w:val="single" w:sz="4" w:space="0" w:color="auto"/>
            </w:tcBorders>
            <w:shd w:val="clear" w:color="auto" w:fill="auto"/>
            <w:noWrap/>
            <w:vAlign w:val="center"/>
            <w:hideMark/>
          </w:tcPr>
          <w:p w14:paraId="075DB71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11" w:type="pct"/>
            <w:tcBorders>
              <w:top w:val="nil"/>
              <w:left w:val="single" w:sz="4" w:space="0" w:color="auto"/>
              <w:bottom w:val="single" w:sz="12" w:space="0" w:color="auto"/>
              <w:right w:val="nil"/>
            </w:tcBorders>
            <w:shd w:val="clear" w:color="auto" w:fill="auto"/>
            <w:noWrap/>
            <w:vAlign w:val="center"/>
            <w:hideMark/>
          </w:tcPr>
          <w:p w14:paraId="314554B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0.1055</w:t>
            </w:r>
          </w:p>
        </w:tc>
        <w:tc>
          <w:tcPr>
            <w:tcW w:w="711" w:type="pct"/>
            <w:tcBorders>
              <w:top w:val="nil"/>
              <w:left w:val="nil"/>
              <w:bottom w:val="single" w:sz="12" w:space="0" w:color="auto"/>
              <w:right w:val="single" w:sz="4" w:space="0" w:color="auto"/>
            </w:tcBorders>
            <w:shd w:val="clear" w:color="auto" w:fill="auto"/>
            <w:noWrap/>
            <w:vAlign w:val="center"/>
            <w:hideMark/>
          </w:tcPr>
          <w:p w14:paraId="4BCF607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single" w:sz="4" w:space="0" w:color="auto"/>
              <w:bottom w:val="single" w:sz="12" w:space="0" w:color="auto"/>
              <w:right w:val="nil"/>
            </w:tcBorders>
            <w:shd w:val="clear" w:color="auto" w:fill="auto"/>
            <w:noWrap/>
            <w:vAlign w:val="center"/>
            <w:hideMark/>
          </w:tcPr>
          <w:p w14:paraId="6DB3D43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0.1027</w:t>
            </w:r>
          </w:p>
        </w:tc>
        <w:tc>
          <w:tcPr>
            <w:tcW w:w="710" w:type="pct"/>
            <w:tcBorders>
              <w:top w:val="nil"/>
              <w:left w:val="nil"/>
              <w:bottom w:val="single" w:sz="12" w:space="0" w:color="auto"/>
              <w:right w:val="nil"/>
            </w:tcBorders>
            <w:shd w:val="clear" w:color="auto" w:fill="auto"/>
            <w:noWrap/>
            <w:vAlign w:val="center"/>
            <w:hideMark/>
          </w:tcPr>
          <w:p w14:paraId="26E079C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15A14F17" w14:textId="77777777" w:rsidTr="00C24E43">
        <w:trPr>
          <w:trHeight w:val="268"/>
        </w:trPr>
        <w:tc>
          <w:tcPr>
            <w:tcW w:w="887" w:type="pct"/>
            <w:vMerge w:val="restart"/>
            <w:tcBorders>
              <w:top w:val="single" w:sz="12" w:space="0" w:color="auto"/>
              <w:left w:val="nil"/>
              <w:bottom w:val="nil"/>
              <w:right w:val="single" w:sz="4" w:space="0" w:color="auto"/>
            </w:tcBorders>
            <w:shd w:val="clear" w:color="auto" w:fill="auto"/>
            <w:noWrap/>
            <w:vAlign w:val="center"/>
            <w:hideMark/>
          </w:tcPr>
          <w:p w14:paraId="2CDABD41"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1269" w:type="pct"/>
            <w:tcBorders>
              <w:top w:val="single" w:sz="12" w:space="0" w:color="auto"/>
              <w:left w:val="single" w:sz="4" w:space="0" w:color="auto"/>
              <w:bottom w:val="nil"/>
              <w:right w:val="single" w:sz="4" w:space="0" w:color="auto"/>
            </w:tcBorders>
            <w:shd w:val="clear" w:color="auto" w:fill="auto"/>
            <w:noWrap/>
            <w:vAlign w:val="center"/>
            <w:hideMark/>
          </w:tcPr>
          <w:p w14:paraId="5E9B301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11" w:type="pct"/>
            <w:tcBorders>
              <w:top w:val="single" w:sz="12" w:space="0" w:color="auto"/>
              <w:left w:val="single" w:sz="4" w:space="0" w:color="auto"/>
              <w:bottom w:val="nil"/>
              <w:right w:val="nil"/>
            </w:tcBorders>
            <w:shd w:val="clear" w:color="auto" w:fill="auto"/>
            <w:noWrap/>
            <w:vAlign w:val="center"/>
            <w:hideMark/>
          </w:tcPr>
          <w:p w14:paraId="0291D00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single" w:sz="12" w:space="0" w:color="auto"/>
              <w:left w:val="nil"/>
              <w:bottom w:val="nil"/>
              <w:right w:val="single" w:sz="4" w:space="0" w:color="auto"/>
            </w:tcBorders>
            <w:shd w:val="clear" w:color="auto" w:fill="auto"/>
            <w:noWrap/>
            <w:vAlign w:val="center"/>
            <w:hideMark/>
          </w:tcPr>
          <w:p w14:paraId="2EE59FC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0.8620</w:t>
            </w:r>
          </w:p>
        </w:tc>
        <w:tc>
          <w:tcPr>
            <w:tcW w:w="711" w:type="pct"/>
            <w:tcBorders>
              <w:top w:val="single" w:sz="12" w:space="0" w:color="auto"/>
              <w:left w:val="single" w:sz="4" w:space="0" w:color="auto"/>
              <w:bottom w:val="nil"/>
              <w:right w:val="nil"/>
            </w:tcBorders>
            <w:shd w:val="clear" w:color="auto" w:fill="auto"/>
            <w:noWrap/>
            <w:vAlign w:val="center"/>
            <w:hideMark/>
          </w:tcPr>
          <w:p w14:paraId="3A2FD1A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single" w:sz="12" w:space="0" w:color="auto"/>
              <w:left w:val="nil"/>
              <w:bottom w:val="nil"/>
              <w:right w:val="nil"/>
            </w:tcBorders>
            <w:shd w:val="clear" w:color="auto" w:fill="auto"/>
            <w:noWrap/>
            <w:vAlign w:val="center"/>
            <w:hideMark/>
          </w:tcPr>
          <w:p w14:paraId="578B49F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0.8800</w:t>
            </w:r>
          </w:p>
        </w:tc>
      </w:tr>
      <w:tr w:rsidR="00C30160" w:rsidRPr="00CE0DE7" w14:paraId="5CACB173" w14:textId="77777777" w:rsidTr="00C24E43">
        <w:trPr>
          <w:trHeight w:val="268"/>
        </w:trPr>
        <w:tc>
          <w:tcPr>
            <w:tcW w:w="887" w:type="pct"/>
            <w:vMerge/>
            <w:tcBorders>
              <w:top w:val="nil"/>
              <w:left w:val="nil"/>
              <w:bottom w:val="nil"/>
              <w:right w:val="single" w:sz="4" w:space="0" w:color="auto"/>
            </w:tcBorders>
            <w:vAlign w:val="center"/>
            <w:hideMark/>
          </w:tcPr>
          <w:p w14:paraId="6863EE55"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5CBB2FE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11" w:type="pct"/>
            <w:tcBorders>
              <w:top w:val="nil"/>
              <w:left w:val="single" w:sz="4" w:space="0" w:color="auto"/>
              <w:bottom w:val="nil"/>
              <w:right w:val="nil"/>
            </w:tcBorders>
            <w:shd w:val="clear" w:color="auto" w:fill="auto"/>
            <w:noWrap/>
            <w:vAlign w:val="center"/>
            <w:hideMark/>
          </w:tcPr>
          <w:p w14:paraId="142AC3B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nil"/>
              <w:bottom w:val="nil"/>
              <w:right w:val="single" w:sz="4" w:space="0" w:color="auto"/>
            </w:tcBorders>
            <w:shd w:val="clear" w:color="auto" w:fill="auto"/>
            <w:noWrap/>
            <w:vAlign w:val="center"/>
            <w:hideMark/>
          </w:tcPr>
          <w:p w14:paraId="47A3C9F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0.7159</w:t>
            </w:r>
          </w:p>
        </w:tc>
        <w:tc>
          <w:tcPr>
            <w:tcW w:w="711" w:type="pct"/>
            <w:tcBorders>
              <w:top w:val="nil"/>
              <w:left w:val="single" w:sz="4" w:space="0" w:color="auto"/>
              <w:bottom w:val="nil"/>
              <w:right w:val="nil"/>
            </w:tcBorders>
            <w:shd w:val="clear" w:color="auto" w:fill="auto"/>
            <w:noWrap/>
            <w:vAlign w:val="center"/>
            <w:hideMark/>
          </w:tcPr>
          <w:p w14:paraId="71877A7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nil"/>
              <w:left w:val="nil"/>
              <w:bottom w:val="nil"/>
              <w:right w:val="nil"/>
            </w:tcBorders>
            <w:shd w:val="clear" w:color="auto" w:fill="auto"/>
            <w:noWrap/>
            <w:vAlign w:val="center"/>
            <w:hideMark/>
          </w:tcPr>
          <w:p w14:paraId="7573205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0.7729</w:t>
            </w:r>
          </w:p>
        </w:tc>
      </w:tr>
      <w:tr w:rsidR="00C30160" w:rsidRPr="00CE0DE7" w14:paraId="0AE4565A" w14:textId="77777777" w:rsidTr="00C24E43">
        <w:trPr>
          <w:trHeight w:val="268"/>
        </w:trPr>
        <w:tc>
          <w:tcPr>
            <w:tcW w:w="887" w:type="pct"/>
            <w:vMerge/>
            <w:tcBorders>
              <w:top w:val="nil"/>
              <w:left w:val="nil"/>
              <w:bottom w:val="nil"/>
              <w:right w:val="single" w:sz="4" w:space="0" w:color="auto"/>
            </w:tcBorders>
            <w:vAlign w:val="center"/>
            <w:hideMark/>
          </w:tcPr>
          <w:p w14:paraId="68206EC1"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3F45C41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11" w:type="pct"/>
            <w:tcBorders>
              <w:top w:val="nil"/>
              <w:left w:val="single" w:sz="4" w:space="0" w:color="auto"/>
              <w:bottom w:val="nil"/>
              <w:right w:val="nil"/>
            </w:tcBorders>
            <w:shd w:val="clear" w:color="auto" w:fill="auto"/>
            <w:noWrap/>
            <w:vAlign w:val="center"/>
            <w:hideMark/>
          </w:tcPr>
          <w:p w14:paraId="7281A33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nil"/>
              <w:bottom w:val="nil"/>
              <w:right w:val="single" w:sz="4" w:space="0" w:color="auto"/>
            </w:tcBorders>
            <w:shd w:val="clear" w:color="auto" w:fill="auto"/>
            <w:noWrap/>
            <w:vAlign w:val="center"/>
            <w:hideMark/>
          </w:tcPr>
          <w:p w14:paraId="725F598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0.2280</w:t>
            </w:r>
          </w:p>
        </w:tc>
        <w:tc>
          <w:tcPr>
            <w:tcW w:w="711" w:type="pct"/>
            <w:tcBorders>
              <w:top w:val="nil"/>
              <w:left w:val="single" w:sz="4" w:space="0" w:color="auto"/>
              <w:bottom w:val="nil"/>
              <w:right w:val="nil"/>
            </w:tcBorders>
            <w:shd w:val="clear" w:color="auto" w:fill="auto"/>
            <w:noWrap/>
            <w:vAlign w:val="center"/>
            <w:hideMark/>
          </w:tcPr>
          <w:p w14:paraId="4EFAAD9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nil"/>
              <w:left w:val="nil"/>
              <w:bottom w:val="nil"/>
              <w:right w:val="nil"/>
            </w:tcBorders>
            <w:shd w:val="clear" w:color="auto" w:fill="auto"/>
            <w:noWrap/>
            <w:vAlign w:val="center"/>
            <w:hideMark/>
          </w:tcPr>
          <w:p w14:paraId="01E35FF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0.2983</w:t>
            </w:r>
          </w:p>
        </w:tc>
      </w:tr>
      <w:tr w:rsidR="00C30160" w:rsidRPr="00CE0DE7" w14:paraId="5845F9E5" w14:textId="77777777" w:rsidTr="00C24E43">
        <w:trPr>
          <w:trHeight w:val="268"/>
        </w:trPr>
        <w:tc>
          <w:tcPr>
            <w:tcW w:w="887" w:type="pct"/>
            <w:vMerge/>
            <w:tcBorders>
              <w:top w:val="nil"/>
              <w:left w:val="nil"/>
              <w:bottom w:val="nil"/>
              <w:right w:val="single" w:sz="4" w:space="0" w:color="auto"/>
            </w:tcBorders>
            <w:vAlign w:val="center"/>
            <w:hideMark/>
          </w:tcPr>
          <w:p w14:paraId="74D17E35"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23E39AF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11" w:type="pct"/>
            <w:tcBorders>
              <w:top w:val="nil"/>
              <w:left w:val="single" w:sz="4" w:space="0" w:color="auto"/>
              <w:bottom w:val="nil"/>
              <w:right w:val="nil"/>
            </w:tcBorders>
            <w:shd w:val="clear" w:color="auto" w:fill="auto"/>
            <w:noWrap/>
            <w:vAlign w:val="center"/>
            <w:hideMark/>
          </w:tcPr>
          <w:p w14:paraId="6DBD2A6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nil"/>
              <w:bottom w:val="nil"/>
              <w:right w:val="single" w:sz="4" w:space="0" w:color="auto"/>
            </w:tcBorders>
            <w:shd w:val="clear" w:color="auto" w:fill="auto"/>
            <w:noWrap/>
            <w:vAlign w:val="center"/>
            <w:hideMark/>
          </w:tcPr>
          <w:p w14:paraId="0D0FC8F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0.2395</w:t>
            </w:r>
          </w:p>
        </w:tc>
        <w:tc>
          <w:tcPr>
            <w:tcW w:w="711" w:type="pct"/>
            <w:tcBorders>
              <w:top w:val="nil"/>
              <w:left w:val="single" w:sz="4" w:space="0" w:color="auto"/>
              <w:bottom w:val="nil"/>
              <w:right w:val="nil"/>
            </w:tcBorders>
            <w:shd w:val="clear" w:color="auto" w:fill="auto"/>
            <w:noWrap/>
            <w:vAlign w:val="center"/>
            <w:hideMark/>
          </w:tcPr>
          <w:p w14:paraId="319DA42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nil"/>
              <w:left w:val="nil"/>
              <w:bottom w:val="nil"/>
              <w:right w:val="nil"/>
            </w:tcBorders>
            <w:shd w:val="clear" w:color="auto" w:fill="auto"/>
            <w:noWrap/>
            <w:vAlign w:val="center"/>
            <w:hideMark/>
          </w:tcPr>
          <w:p w14:paraId="07AECEF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0.2483</w:t>
            </w:r>
          </w:p>
        </w:tc>
      </w:tr>
      <w:tr w:rsidR="00C30160" w:rsidRPr="00CE0DE7" w14:paraId="026B1EF0" w14:textId="77777777" w:rsidTr="00C24E43">
        <w:trPr>
          <w:trHeight w:val="268"/>
        </w:trPr>
        <w:tc>
          <w:tcPr>
            <w:tcW w:w="887" w:type="pct"/>
            <w:vMerge/>
            <w:tcBorders>
              <w:top w:val="nil"/>
              <w:left w:val="nil"/>
              <w:bottom w:val="single" w:sz="4" w:space="0" w:color="auto"/>
              <w:right w:val="single" w:sz="4" w:space="0" w:color="auto"/>
            </w:tcBorders>
            <w:vAlign w:val="center"/>
            <w:hideMark/>
          </w:tcPr>
          <w:p w14:paraId="0F90BA2F"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single" w:sz="4" w:space="0" w:color="auto"/>
              <w:right w:val="single" w:sz="4" w:space="0" w:color="auto"/>
            </w:tcBorders>
            <w:shd w:val="clear" w:color="auto" w:fill="auto"/>
            <w:noWrap/>
            <w:vAlign w:val="center"/>
            <w:hideMark/>
          </w:tcPr>
          <w:p w14:paraId="3E43577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11" w:type="pct"/>
            <w:tcBorders>
              <w:top w:val="nil"/>
              <w:left w:val="single" w:sz="4" w:space="0" w:color="auto"/>
              <w:bottom w:val="single" w:sz="4" w:space="0" w:color="auto"/>
              <w:right w:val="nil"/>
            </w:tcBorders>
            <w:shd w:val="clear" w:color="auto" w:fill="auto"/>
            <w:noWrap/>
            <w:vAlign w:val="center"/>
            <w:hideMark/>
          </w:tcPr>
          <w:p w14:paraId="387E76F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nil"/>
              <w:bottom w:val="single" w:sz="4" w:space="0" w:color="auto"/>
              <w:right w:val="single" w:sz="4" w:space="0" w:color="auto"/>
            </w:tcBorders>
            <w:shd w:val="clear" w:color="auto" w:fill="auto"/>
            <w:noWrap/>
            <w:vAlign w:val="center"/>
            <w:hideMark/>
          </w:tcPr>
          <w:p w14:paraId="66A7F28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0.7489</w:t>
            </w:r>
          </w:p>
        </w:tc>
        <w:tc>
          <w:tcPr>
            <w:tcW w:w="711" w:type="pct"/>
            <w:tcBorders>
              <w:top w:val="nil"/>
              <w:left w:val="single" w:sz="4" w:space="0" w:color="auto"/>
              <w:bottom w:val="single" w:sz="4" w:space="0" w:color="auto"/>
              <w:right w:val="nil"/>
            </w:tcBorders>
            <w:shd w:val="clear" w:color="auto" w:fill="auto"/>
            <w:noWrap/>
            <w:vAlign w:val="center"/>
            <w:hideMark/>
          </w:tcPr>
          <w:p w14:paraId="540FC90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nil"/>
              <w:left w:val="nil"/>
              <w:bottom w:val="single" w:sz="4" w:space="0" w:color="auto"/>
              <w:right w:val="nil"/>
            </w:tcBorders>
            <w:shd w:val="clear" w:color="auto" w:fill="auto"/>
            <w:noWrap/>
            <w:vAlign w:val="center"/>
            <w:hideMark/>
          </w:tcPr>
          <w:p w14:paraId="7C9F32C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0.3281</w:t>
            </w:r>
          </w:p>
        </w:tc>
      </w:tr>
      <w:tr w:rsidR="00C30160" w:rsidRPr="00CE0DE7" w14:paraId="5B3275CC" w14:textId="77777777" w:rsidTr="00C24E43">
        <w:trPr>
          <w:trHeight w:val="268"/>
        </w:trPr>
        <w:tc>
          <w:tcPr>
            <w:tcW w:w="887" w:type="pct"/>
            <w:vMerge w:val="restart"/>
            <w:tcBorders>
              <w:top w:val="single" w:sz="4" w:space="0" w:color="auto"/>
              <w:left w:val="nil"/>
              <w:bottom w:val="nil"/>
              <w:right w:val="single" w:sz="4" w:space="0" w:color="auto"/>
            </w:tcBorders>
            <w:shd w:val="clear" w:color="auto" w:fill="auto"/>
            <w:noWrap/>
            <w:vAlign w:val="center"/>
            <w:hideMark/>
          </w:tcPr>
          <w:p w14:paraId="628E8460"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1269" w:type="pct"/>
            <w:tcBorders>
              <w:top w:val="single" w:sz="4" w:space="0" w:color="auto"/>
              <w:left w:val="single" w:sz="4" w:space="0" w:color="auto"/>
              <w:bottom w:val="nil"/>
              <w:right w:val="single" w:sz="4" w:space="0" w:color="auto"/>
            </w:tcBorders>
            <w:shd w:val="clear" w:color="auto" w:fill="auto"/>
            <w:noWrap/>
            <w:vAlign w:val="center"/>
            <w:hideMark/>
          </w:tcPr>
          <w:p w14:paraId="107930A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11" w:type="pct"/>
            <w:tcBorders>
              <w:top w:val="single" w:sz="4" w:space="0" w:color="auto"/>
              <w:left w:val="single" w:sz="4" w:space="0" w:color="auto"/>
              <w:bottom w:val="nil"/>
              <w:right w:val="nil"/>
            </w:tcBorders>
            <w:shd w:val="clear" w:color="auto" w:fill="auto"/>
            <w:noWrap/>
            <w:vAlign w:val="center"/>
            <w:hideMark/>
          </w:tcPr>
          <w:p w14:paraId="144BE54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single" w:sz="4" w:space="0" w:color="auto"/>
              <w:left w:val="nil"/>
              <w:bottom w:val="nil"/>
              <w:right w:val="single" w:sz="4" w:space="0" w:color="auto"/>
            </w:tcBorders>
            <w:shd w:val="clear" w:color="auto" w:fill="auto"/>
            <w:noWrap/>
            <w:vAlign w:val="center"/>
            <w:hideMark/>
          </w:tcPr>
          <w:p w14:paraId="3EA7F5F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0.3150</w:t>
            </w:r>
          </w:p>
        </w:tc>
        <w:tc>
          <w:tcPr>
            <w:tcW w:w="711" w:type="pct"/>
            <w:tcBorders>
              <w:top w:val="single" w:sz="4" w:space="0" w:color="auto"/>
              <w:left w:val="single" w:sz="4" w:space="0" w:color="auto"/>
              <w:bottom w:val="nil"/>
              <w:right w:val="nil"/>
            </w:tcBorders>
            <w:shd w:val="clear" w:color="auto" w:fill="auto"/>
            <w:noWrap/>
            <w:vAlign w:val="center"/>
            <w:hideMark/>
          </w:tcPr>
          <w:p w14:paraId="4C93D36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single" w:sz="4" w:space="0" w:color="auto"/>
              <w:left w:val="nil"/>
              <w:bottom w:val="nil"/>
              <w:right w:val="nil"/>
            </w:tcBorders>
            <w:shd w:val="clear" w:color="auto" w:fill="auto"/>
            <w:noWrap/>
            <w:vAlign w:val="center"/>
            <w:hideMark/>
          </w:tcPr>
          <w:p w14:paraId="5E220BF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0.2757</w:t>
            </w:r>
          </w:p>
        </w:tc>
      </w:tr>
      <w:tr w:rsidR="00C30160" w:rsidRPr="00CE0DE7" w14:paraId="7F50AF20" w14:textId="77777777" w:rsidTr="00C24E43">
        <w:trPr>
          <w:trHeight w:val="268"/>
        </w:trPr>
        <w:tc>
          <w:tcPr>
            <w:tcW w:w="887" w:type="pct"/>
            <w:vMerge/>
            <w:tcBorders>
              <w:top w:val="nil"/>
              <w:left w:val="nil"/>
              <w:bottom w:val="nil"/>
              <w:right w:val="single" w:sz="4" w:space="0" w:color="auto"/>
            </w:tcBorders>
            <w:vAlign w:val="center"/>
            <w:hideMark/>
          </w:tcPr>
          <w:p w14:paraId="39DDF63D"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133C67E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11" w:type="pct"/>
            <w:tcBorders>
              <w:top w:val="nil"/>
              <w:left w:val="single" w:sz="4" w:space="0" w:color="auto"/>
              <w:bottom w:val="nil"/>
              <w:right w:val="nil"/>
            </w:tcBorders>
            <w:shd w:val="clear" w:color="auto" w:fill="auto"/>
            <w:noWrap/>
            <w:vAlign w:val="center"/>
            <w:hideMark/>
          </w:tcPr>
          <w:p w14:paraId="0F6B491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nil"/>
              <w:bottom w:val="nil"/>
              <w:right w:val="single" w:sz="4" w:space="0" w:color="auto"/>
            </w:tcBorders>
            <w:shd w:val="clear" w:color="auto" w:fill="auto"/>
            <w:noWrap/>
            <w:vAlign w:val="center"/>
            <w:hideMark/>
          </w:tcPr>
          <w:p w14:paraId="21E08D7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0.2386</w:t>
            </w:r>
          </w:p>
        </w:tc>
        <w:tc>
          <w:tcPr>
            <w:tcW w:w="711" w:type="pct"/>
            <w:tcBorders>
              <w:top w:val="nil"/>
              <w:left w:val="single" w:sz="4" w:space="0" w:color="auto"/>
              <w:bottom w:val="nil"/>
              <w:right w:val="nil"/>
            </w:tcBorders>
            <w:shd w:val="clear" w:color="auto" w:fill="auto"/>
            <w:noWrap/>
            <w:vAlign w:val="center"/>
            <w:hideMark/>
          </w:tcPr>
          <w:p w14:paraId="3EA0D7D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nil"/>
              <w:left w:val="nil"/>
              <w:bottom w:val="nil"/>
              <w:right w:val="nil"/>
            </w:tcBorders>
            <w:shd w:val="clear" w:color="auto" w:fill="auto"/>
            <w:noWrap/>
            <w:vAlign w:val="center"/>
            <w:hideMark/>
          </w:tcPr>
          <w:p w14:paraId="3B852E5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0.2939</w:t>
            </w:r>
          </w:p>
        </w:tc>
      </w:tr>
      <w:tr w:rsidR="00C30160" w:rsidRPr="00CE0DE7" w14:paraId="77BF46C6" w14:textId="77777777" w:rsidTr="00C24E43">
        <w:trPr>
          <w:trHeight w:val="268"/>
        </w:trPr>
        <w:tc>
          <w:tcPr>
            <w:tcW w:w="887" w:type="pct"/>
            <w:vMerge/>
            <w:tcBorders>
              <w:top w:val="nil"/>
              <w:left w:val="nil"/>
              <w:bottom w:val="nil"/>
              <w:right w:val="single" w:sz="4" w:space="0" w:color="auto"/>
            </w:tcBorders>
            <w:vAlign w:val="center"/>
            <w:hideMark/>
          </w:tcPr>
          <w:p w14:paraId="555B5CCE"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2D04202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11" w:type="pct"/>
            <w:tcBorders>
              <w:top w:val="nil"/>
              <w:left w:val="single" w:sz="4" w:space="0" w:color="auto"/>
              <w:bottom w:val="nil"/>
              <w:right w:val="nil"/>
            </w:tcBorders>
            <w:shd w:val="clear" w:color="auto" w:fill="auto"/>
            <w:noWrap/>
            <w:vAlign w:val="center"/>
            <w:hideMark/>
          </w:tcPr>
          <w:p w14:paraId="12535A4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nil"/>
              <w:bottom w:val="nil"/>
              <w:right w:val="single" w:sz="4" w:space="0" w:color="auto"/>
            </w:tcBorders>
            <w:shd w:val="clear" w:color="auto" w:fill="auto"/>
            <w:noWrap/>
            <w:vAlign w:val="center"/>
            <w:hideMark/>
          </w:tcPr>
          <w:p w14:paraId="22BB404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0.6036</w:t>
            </w:r>
          </w:p>
        </w:tc>
        <w:tc>
          <w:tcPr>
            <w:tcW w:w="711" w:type="pct"/>
            <w:tcBorders>
              <w:top w:val="nil"/>
              <w:left w:val="single" w:sz="4" w:space="0" w:color="auto"/>
              <w:bottom w:val="nil"/>
              <w:right w:val="nil"/>
            </w:tcBorders>
            <w:shd w:val="clear" w:color="auto" w:fill="auto"/>
            <w:noWrap/>
            <w:vAlign w:val="center"/>
            <w:hideMark/>
          </w:tcPr>
          <w:p w14:paraId="049D4ED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nil"/>
              <w:left w:val="nil"/>
              <w:bottom w:val="nil"/>
              <w:right w:val="nil"/>
            </w:tcBorders>
            <w:shd w:val="clear" w:color="auto" w:fill="auto"/>
            <w:noWrap/>
            <w:vAlign w:val="center"/>
            <w:hideMark/>
          </w:tcPr>
          <w:p w14:paraId="21E560C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0.8403</w:t>
            </w:r>
          </w:p>
        </w:tc>
      </w:tr>
      <w:tr w:rsidR="00C30160" w:rsidRPr="00CE0DE7" w14:paraId="7EFF1174" w14:textId="77777777" w:rsidTr="00C24E43">
        <w:trPr>
          <w:trHeight w:val="268"/>
        </w:trPr>
        <w:tc>
          <w:tcPr>
            <w:tcW w:w="887" w:type="pct"/>
            <w:vMerge/>
            <w:tcBorders>
              <w:top w:val="nil"/>
              <w:left w:val="nil"/>
              <w:bottom w:val="nil"/>
              <w:right w:val="single" w:sz="4" w:space="0" w:color="auto"/>
            </w:tcBorders>
            <w:vAlign w:val="center"/>
            <w:hideMark/>
          </w:tcPr>
          <w:p w14:paraId="000B23E0"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nil"/>
              <w:right w:val="single" w:sz="4" w:space="0" w:color="auto"/>
            </w:tcBorders>
            <w:shd w:val="clear" w:color="auto" w:fill="auto"/>
            <w:noWrap/>
            <w:vAlign w:val="center"/>
            <w:hideMark/>
          </w:tcPr>
          <w:p w14:paraId="466C0B4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11" w:type="pct"/>
            <w:tcBorders>
              <w:top w:val="nil"/>
              <w:left w:val="single" w:sz="4" w:space="0" w:color="auto"/>
              <w:bottom w:val="nil"/>
              <w:right w:val="nil"/>
            </w:tcBorders>
            <w:shd w:val="clear" w:color="auto" w:fill="auto"/>
            <w:noWrap/>
            <w:vAlign w:val="center"/>
            <w:hideMark/>
          </w:tcPr>
          <w:p w14:paraId="39F9D13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nil"/>
              <w:bottom w:val="nil"/>
              <w:right w:val="single" w:sz="4" w:space="0" w:color="auto"/>
            </w:tcBorders>
            <w:shd w:val="clear" w:color="auto" w:fill="auto"/>
            <w:noWrap/>
            <w:vAlign w:val="center"/>
            <w:hideMark/>
          </w:tcPr>
          <w:p w14:paraId="3FDC802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0.6241</w:t>
            </w:r>
          </w:p>
        </w:tc>
        <w:tc>
          <w:tcPr>
            <w:tcW w:w="711" w:type="pct"/>
            <w:tcBorders>
              <w:top w:val="nil"/>
              <w:left w:val="single" w:sz="4" w:space="0" w:color="auto"/>
              <w:bottom w:val="nil"/>
              <w:right w:val="nil"/>
            </w:tcBorders>
            <w:shd w:val="clear" w:color="auto" w:fill="auto"/>
            <w:noWrap/>
            <w:vAlign w:val="center"/>
            <w:hideMark/>
          </w:tcPr>
          <w:p w14:paraId="092D291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nil"/>
              <w:left w:val="nil"/>
              <w:bottom w:val="nil"/>
              <w:right w:val="nil"/>
            </w:tcBorders>
            <w:shd w:val="clear" w:color="auto" w:fill="auto"/>
            <w:noWrap/>
            <w:vAlign w:val="center"/>
            <w:hideMark/>
          </w:tcPr>
          <w:p w14:paraId="248E37C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0.8960</w:t>
            </w:r>
          </w:p>
        </w:tc>
      </w:tr>
      <w:tr w:rsidR="00C30160" w:rsidRPr="00CE0DE7" w14:paraId="35B12610" w14:textId="77777777" w:rsidTr="00C24E43">
        <w:trPr>
          <w:trHeight w:val="268"/>
        </w:trPr>
        <w:tc>
          <w:tcPr>
            <w:tcW w:w="887" w:type="pct"/>
            <w:vMerge/>
            <w:tcBorders>
              <w:top w:val="nil"/>
              <w:left w:val="nil"/>
              <w:bottom w:val="double" w:sz="4" w:space="0" w:color="auto"/>
              <w:right w:val="single" w:sz="4" w:space="0" w:color="auto"/>
            </w:tcBorders>
            <w:vAlign w:val="center"/>
            <w:hideMark/>
          </w:tcPr>
          <w:p w14:paraId="1A4D7D83" w14:textId="77777777" w:rsidR="00C30160" w:rsidRPr="00CE0DE7" w:rsidRDefault="00C30160" w:rsidP="00C24E43">
            <w:pPr>
              <w:rPr>
                <w:rFonts w:eastAsia="Times New Roman"/>
                <w:i/>
                <w:iCs/>
                <w:color w:val="000000"/>
                <w:sz w:val="20"/>
                <w:szCs w:val="20"/>
                <w:lang w:val="en-GB" w:eastAsia="zh-CN"/>
              </w:rPr>
            </w:pPr>
          </w:p>
        </w:tc>
        <w:tc>
          <w:tcPr>
            <w:tcW w:w="1269" w:type="pct"/>
            <w:tcBorders>
              <w:top w:val="nil"/>
              <w:left w:val="single" w:sz="4" w:space="0" w:color="auto"/>
              <w:bottom w:val="double" w:sz="4" w:space="0" w:color="auto"/>
              <w:right w:val="single" w:sz="4" w:space="0" w:color="auto"/>
            </w:tcBorders>
            <w:shd w:val="clear" w:color="auto" w:fill="auto"/>
            <w:noWrap/>
            <w:vAlign w:val="center"/>
            <w:hideMark/>
          </w:tcPr>
          <w:p w14:paraId="29D4D37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11" w:type="pct"/>
            <w:tcBorders>
              <w:top w:val="nil"/>
              <w:left w:val="single" w:sz="4" w:space="0" w:color="auto"/>
              <w:bottom w:val="double" w:sz="4" w:space="0" w:color="auto"/>
              <w:right w:val="nil"/>
            </w:tcBorders>
            <w:shd w:val="clear" w:color="auto" w:fill="auto"/>
            <w:noWrap/>
            <w:vAlign w:val="center"/>
            <w:hideMark/>
          </w:tcPr>
          <w:p w14:paraId="64C27ED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1" w:type="pct"/>
            <w:tcBorders>
              <w:top w:val="nil"/>
              <w:left w:val="nil"/>
              <w:bottom w:val="double" w:sz="4" w:space="0" w:color="auto"/>
              <w:right w:val="single" w:sz="4" w:space="0" w:color="auto"/>
            </w:tcBorders>
            <w:shd w:val="clear" w:color="auto" w:fill="auto"/>
            <w:noWrap/>
            <w:vAlign w:val="center"/>
            <w:hideMark/>
          </w:tcPr>
          <w:p w14:paraId="1489A1F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0.6138</w:t>
            </w:r>
          </w:p>
        </w:tc>
        <w:tc>
          <w:tcPr>
            <w:tcW w:w="711" w:type="pct"/>
            <w:tcBorders>
              <w:top w:val="nil"/>
              <w:left w:val="single" w:sz="4" w:space="0" w:color="auto"/>
              <w:bottom w:val="double" w:sz="4" w:space="0" w:color="auto"/>
              <w:right w:val="nil"/>
            </w:tcBorders>
            <w:shd w:val="clear" w:color="auto" w:fill="auto"/>
            <w:noWrap/>
            <w:vAlign w:val="center"/>
            <w:hideMark/>
          </w:tcPr>
          <w:p w14:paraId="7F16D3E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10" w:type="pct"/>
            <w:tcBorders>
              <w:top w:val="nil"/>
              <w:left w:val="nil"/>
              <w:bottom w:val="double" w:sz="4" w:space="0" w:color="auto"/>
              <w:right w:val="nil"/>
            </w:tcBorders>
            <w:shd w:val="clear" w:color="auto" w:fill="auto"/>
            <w:noWrap/>
            <w:vAlign w:val="center"/>
            <w:hideMark/>
          </w:tcPr>
          <w:p w14:paraId="29CCED1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0.6940</w:t>
            </w:r>
          </w:p>
        </w:tc>
      </w:tr>
    </w:tbl>
    <w:p w14:paraId="680DF3F3" w14:textId="77777777" w:rsidR="00C30160" w:rsidRPr="00CE0DE7" w:rsidRDefault="00C30160" w:rsidP="00C30160">
      <w:pPr>
        <w:adjustRightInd w:val="0"/>
        <w:snapToGrid w:val="0"/>
        <w:rPr>
          <w:b/>
          <w:sz w:val="20"/>
          <w:szCs w:val="20"/>
        </w:rPr>
      </w:pPr>
    </w:p>
    <w:p w14:paraId="7A549DB2" w14:textId="77777777" w:rsidR="00C30160" w:rsidRPr="00CE0DE7" w:rsidRDefault="00C30160" w:rsidP="00C30160">
      <w:pPr>
        <w:adjustRightInd w:val="0"/>
        <w:snapToGrid w:val="0"/>
        <w:rPr>
          <w:rFonts w:eastAsia="Times New Roman"/>
          <w:i/>
          <w:iCs/>
          <w:color w:val="000000"/>
          <w:sz w:val="20"/>
          <w:szCs w:val="20"/>
          <w:lang w:eastAsia="zh-CN"/>
        </w:rPr>
      </w:pPr>
      <w:r w:rsidRPr="00CE0DE7">
        <w:rPr>
          <w:sz w:val="20"/>
          <w:szCs w:val="20"/>
        </w:rPr>
        <w:t>Panel B.</w:t>
      </w:r>
      <w:r w:rsidRPr="00CE0DE7">
        <w:rPr>
          <w:b/>
          <w:sz w:val="20"/>
          <w:szCs w:val="20"/>
        </w:rPr>
        <w:t xml:space="preserve"> </w:t>
      </w:r>
      <w:r w:rsidRPr="00CE0DE7">
        <w:rPr>
          <w:rFonts w:eastAsia="Times New Roman"/>
          <w:i/>
          <w:iCs/>
          <w:color w:val="000000"/>
          <w:sz w:val="20"/>
          <w:szCs w:val="20"/>
          <w:lang w:eastAsia="zh-CN"/>
        </w:rPr>
        <w:t xml:space="preserve">VRP </w:t>
      </w:r>
      <w:r w:rsidRPr="00CE0DE7">
        <w:rPr>
          <w:sz w:val="20"/>
          <w:szCs w:val="20"/>
        </w:rPr>
        <w:t xml:space="preserve">&amp; </w:t>
      </w:r>
      <w:r w:rsidRPr="00CE0DE7">
        <w:rPr>
          <w:rFonts w:eastAsia="Times New Roman"/>
          <w:i/>
          <w:iCs/>
          <w:color w:val="000000"/>
          <w:sz w:val="20"/>
          <w:szCs w:val="20"/>
          <w:lang w:eastAsia="zh-CN"/>
        </w:rPr>
        <w:t>ILLIQ</w:t>
      </w:r>
    </w:p>
    <w:tbl>
      <w:tblPr>
        <w:tblW w:w="5023" w:type="pct"/>
        <w:tblLook w:val="04A0" w:firstRow="1" w:lastRow="0" w:firstColumn="1" w:lastColumn="0" w:noHBand="0" w:noVBand="1"/>
      </w:tblPr>
      <w:tblGrid>
        <w:gridCol w:w="1257"/>
        <w:gridCol w:w="1794"/>
        <w:gridCol w:w="1001"/>
        <w:gridCol w:w="1007"/>
        <w:gridCol w:w="1001"/>
        <w:gridCol w:w="1007"/>
        <w:gridCol w:w="1001"/>
        <w:gridCol w:w="1001"/>
      </w:tblGrid>
      <w:tr w:rsidR="00C30160" w:rsidRPr="00CE0DE7" w14:paraId="4A80EF8A" w14:textId="77777777" w:rsidTr="00C24E43">
        <w:trPr>
          <w:trHeight w:val="266"/>
        </w:trPr>
        <w:tc>
          <w:tcPr>
            <w:tcW w:w="693" w:type="pct"/>
            <w:tcBorders>
              <w:top w:val="double" w:sz="4" w:space="0" w:color="auto"/>
              <w:left w:val="nil"/>
              <w:bottom w:val="single" w:sz="4" w:space="0" w:color="auto"/>
              <w:right w:val="single" w:sz="4" w:space="0" w:color="auto"/>
            </w:tcBorders>
            <w:shd w:val="clear" w:color="auto" w:fill="auto"/>
            <w:noWrap/>
            <w:vAlign w:val="bottom"/>
            <w:hideMark/>
          </w:tcPr>
          <w:p w14:paraId="1B32AF80" w14:textId="77777777" w:rsidR="00C30160" w:rsidRPr="00CE0DE7" w:rsidRDefault="00C30160" w:rsidP="00C24E43">
            <w:pPr>
              <w:rPr>
                <w:rFonts w:eastAsia="Times New Roman"/>
                <w:sz w:val="20"/>
                <w:szCs w:val="20"/>
                <w:lang w:val="en-GB" w:eastAsia="zh-CN"/>
              </w:rPr>
            </w:pPr>
          </w:p>
        </w:tc>
        <w:tc>
          <w:tcPr>
            <w:tcW w:w="989"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283827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w:t>
            </w:r>
          </w:p>
        </w:tc>
        <w:tc>
          <w:tcPr>
            <w:tcW w:w="1107" w:type="pct"/>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0A30D538"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p>
        </w:tc>
        <w:tc>
          <w:tcPr>
            <w:tcW w:w="1107" w:type="pct"/>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0E706B7D"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p>
        </w:tc>
        <w:tc>
          <w:tcPr>
            <w:tcW w:w="1106" w:type="pct"/>
            <w:gridSpan w:val="2"/>
            <w:tcBorders>
              <w:top w:val="double" w:sz="4" w:space="0" w:color="auto"/>
              <w:left w:val="single" w:sz="4" w:space="0" w:color="auto"/>
              <w:bottom w:val="single" w:sz="4" w:space="0" w:color="auto"/>
              <w:right w:val="nil"/>
            </w:tcBorders>
            <w:shd w:val="clear" w:color="auto" w:fill="auto"/>
            <w:noWrap/>
            <w:vAlign w:val="bottom"/>
            <w:hideMark/>
          </w:tcPr>
          <w:p w14:paraId="09D84FFA"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p>
        </w:tc>
      </w:tr>
      <w:tr w:rsidR="00C30160" w:rsidRPr="00CE0DE7" w14:paraId="3822ECFE" w14:textId="77777777" w:rsidTr="00C24E43">
        <w:trPr>
          <w:trHeight w:val="266"/>
        </w:trPr>
        <w:tc>
          <w:tcPr>
            <w:tcW w:w="693" w:type="pct"/>
            <w:tcBorders>
              <w:top w:val="single" w:sz="4" w:space="0" w:color="auto"/>
              <w:left w:val="nil"/>
              <w:bottom w:val="single" w:sz="4" w:space="0" w:color="auto"/>
              <w:right w:val="single" w:sz="4" w:space="0" w:color="auto"/>
            </w:tcBorders>
            <w:shd w:val="clear" w:color="auto" w:fill="auto"/>
            <w:noWrap/>
            <w:vAlign w:val="center"/>
            <w:hideMark/>
          </w:tcPr>
          <w:p w14:paraId="4F726EC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w:t>
            </w:r>
          </w:p>
        </w:tc>
        <w:tc>
          <w:tcPr>
            <w:tcW w:w="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121E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Sample period</w:t>
            </w:r>
          </w:p>
        </w:tc>
        <w:tc>
          <w:tcPr>
            <w:tcW w:w="552" w:type="pct"/>
            <w:tcBorders>
              <w:top w:val="single" w:sz="4" w:space="0" w:color="auto"/>
              <w:left w:val="single" w:sz="4" w:space="0" w:color="auto"/>
              <w:bottom w:val="single" w:sz="4" w:space="0" w:color="auto"/>
              <w:right w:val="nil"/>
            </w:tcBorders>
            <w:shd w:val="clear" w:color="auto" w:fill="auto"/>
            <w:noWrap/>
            <w:vAlign w:val="center"/>
            <w:hideMark/>
          </w:tcPr>
          <w:p w14:paraId="504DC78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14:paraId="52EC333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c>
          <w:tcPr>
            <w:tcW w:w="552" w:type="pct"/>
            <w:tcBorders>
              <w:top w:val="single" w:sz="4" w:space="0" w:color="auto"/>
              <w:left w:val="single" w:sz="4" w:space="0" w:color="auto"/>
              <w:bottom w:val="single" w:sz="4" w:space="0" w:color="auto"/>
              <w:right w:val="nil"/>
            </w:tcBorders>
            <w:shd w:val="clear" w:color="auto" w:fill="auto"/>
            <w:noWrap/>
            <w:vAlign w:val="center"/>
            <w:hideMark/>
          </w:tcPr>
          <w:p w14:paraId="4A75FFD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14:paraId="2BE5287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c>
          <w:tcPr>
            <w:tcW w:w="552" w:type="pct"/>
            <w:tcBorders>
              <w:top w:val="single" w:sz="4" w:space="0" w:color="auto"/>
              <w:left w:val="single" w:sz="4" w:space="0" w:color="auto"/>
              <w:bottom w:val="single" w:sz="4" w:space="0" w:color="auto"/>
              <w:right w:val="nil"/>
            </w:tcBorders>
            <w:shd w:val="clear" w:color="auto" w:fill="auto"/>
            <w:noWrap/>
            <w:vAlign w:val="center"/>
            <w:hideMark/>
          </w:tcPr>
          <w:p w14:paraId="114EF22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552" w:type="pct"/>
            <w:tcBorders>
              <w:top w:val="single" w:sz="4" w:space="0" w:color="auto"/>
              <w:left w:val="nil"/>
              <w:bottom w:val="single" w:sz="4" w:space="0" w:color="auto"/>
              <w:right w:val="nil"/>
            </w:tcBorders>
            <w:shd w:val="clear" w:color="auto" w:fill="auto"/>
            <w:noWrap/>
            <w:vAlign w:val="center"/>
            <w:hideMark/>
          </w:tcPr>
          <w:p w14:paraId="1CAD1C4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r>
      <w:tr w:rsidR="00C30160" w:rsidRPr="00CE0DE7" w14:paraId="4BA76DE2" w14:textId="77777777" w:rsidTr="00C24E43">
        <w:trPr>
          <w:trHeight w:val="266"/>
        </w:trPr>
        <w:tc>
          <w:tcPr>
            <w:tcW w:w="693" w:type="pct"/>
            <w:vMerge w:val="restart"/>
            <w:tcBorders>
              <w:top w:val="single" w:sz="4" w:space="0" w:color="auto"/>
              <w:left w:val="nil"/>
              <w:bottom w:val="nil"/>
              <w:right w:val="single" w:sz="4" w:space="0" w:color="auto"/>
            </w:tcBorders>
            <w:shd w:val="clear" w:color="auto" w:fill="auto"/>
            <w:noWrap/>
            <w:vAlign w:val="center"/>
            <w:hideMark/>
          </w:tcPr>
          <w:p w14:paraId="2EEAA943"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989" w:type="pct"/>
            <w:tcBorders>
              <w:top w:val="single" w:sz="4" w:space="0" w:color="auto"/>
              <w:left w:val="single" w:sz="4" w:space="0" w:color="auto"/>
              <w:bottom w:val="nil"/>
              <w:right w:val="single" w:sz="4" w:space="0" w:color="auto"/>
            </w:tcBorders>
            <w:shd w:val="clear" w:color="auto" w:fill="auto"/>
            <w:noWrap/>
            <w:vAlign w:val="center"/>
            <w:hideMark/>
          </w:tcPr>
          <w:p w14:paraId="7B6C32C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552" w:type="pct"/>
            <w:tcBorders>
              <w:top w:val="single" w:sz="4" w:space="0" w:color="auto"/>
              <w:left w:val="single" w:sz="4" w:space="0" w:color="auto"/>
              <w:bottom w:val="nil"/>
              <w:right w:val="nil"/>
            </w:tcBorders>
            <w:shd w:val="clear" w:color="auto" w:fill="auto"/>
            <w:noWrap/>
            <w:vAlign w:val="center"/>
            <w:hideMark/>
          </w:tcPr>
          <w:p w14:paraId="00E4C20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0.0563</w:t>
            </w:r>
          </w:p>
        </w:tc>
        <w:tc>
          <w:tcPr>
            <w:tcW w:w="554" w:type="pct"/>
            <w:tcBorders>
              <w:top w:val="single" w:sz="4" w:space="0" w:color="auto"/>
              <w:left w:val="nil"/>
              <w:bottom w:val="nil"/>
              <w:right w:val="single" w:sz="4" w:space="0" w:color="auto"/>
            </w:tcBorders>
            <w:shd w:val="clear" w:color="auto" w:fill="auto"/>
            <w:noWrap/>
            <w:vAlign w:val="center"/>
            <w:hideMark/>
          </w:tcPr>
          <w:p w14:paraId="62F54AC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0.4896</w:t>
            </w:r>
          </w:p>
        </w:tc>
        <w:tc>
          <w:tcPr>
            <w:tcW w:w="552" w:type="pct"/>
            <w:tcBorders>
              <w:top w:val="single" w:sz="4" w:space="0" w:color="auto"/>
              <w:left w:val="single" w:sz="4" w:space="0" w:color="auto"/>
              <w:bottom w:val="nil"/>
              <w:right w:val="nil"/>
            </w:tcBorders>
            <w:shd w:val="clear" w:color="auto" w:fill="auto"/>
            <w:noWrap/>
            <w:vAlign w:val="center"/>
            <w:hideMark/>
          </w:tcPr>
          <w:p w14:paraId="7741CCB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single" w:sz="4" w:space="0" w:color="auto"/>
              <w:left w:val="nil"/>
              <w:bottom w:val="nil"/>
              <w:right w:val="single" w:sz="4" w:space="0" w:color="auto"/>
            </w:tcBorders>
            <w:shd w:val="clear" w:color="auto" w:fill="auto"/>
            <w:noWrap/>
            <w:vAlign w:val="center"/>
            <w:hideMark/>
          </w:tcPr>
          <w:p w14:paraId="3258794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0.2895</w:t>
            </w:r>
          </w:p>
        </w:tc>
        <w:tc>
          <w:tcPr>
            <w:tcW w:w="552" w:type="pct"/>
            <w:tcBorders>
              <w:top w:val="single" w:sz="4" w:space="0" w:color="auto"/>
              <w:left w:val="single" w:sz="4" w:space="0" w:color="auto"/>
              <w:bottom w:val="nil"/>
              <w:right w:val="nil"/>
            </w:tcBorders>
            <w:shd w:val="clear" w:color="auto" w:fill="auto"/>
            <w:noWrap/>
            <w:vAlign w:val="center"/>
            <w:hideMark/>
          </w:tcPr>
          <w:p w14:paraId="0731742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single" w:sz="4" w:space="0" w:color="auto"/>
              <w:left w:val="nil"/>
              <w:bottom w:val="nil"/>
              <w:right w:val="nil"/>
            </w:tcBorders>
            <w:shd w:val="clear" w:color="auto" w:fill="auto"/>
            <w:noWrap/>
            <w:vAlign w:val="center"/>
            <w:hideMark/>
          </w:tcPr>
          <w:p w14:paraId="0F40FFF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0.759</w:t>
            </w:r>
          </w:p>
        </w:tc>
      </w:tr>
      <w:tr w:rsidR="00C30160" w:rsidRPr="00CE0DE7" w14:paraId="1B006544" w14:textId="77777777" w:rsidTr="00C24E43">
        <w:trPr>
          <w:trHeight w:val="266"/>
        </w:trPr>
        <w:tc>
          <w:tcPr>
            <w:tcW w:w="693" w:type="pct"/>
            <w:vMerge/>
            <w:tcBorders>
              <w:top w:val="nil"/>
              <w:left w:val="nil"/>
              <w:bottom w:val="nil"/>
              <w:right w:val="single" w:sz="4" w:space="0" w:color="auto"/>
            </w:tcBorders>
            <w:vAlign w:val="center"/>
            <w:hideMark/>
          </w:tcPr>
          <w:p w14:paraId="712F4CD1" w14:textId="77777777" w:rsidR="00C30160" w:rsidRPr="00CE0DE7" w:rsidRDefault="00C30160" w:rsidP="00C24E43">
            <w:pPr>
              <w:rPr>
                <w:rFonts w:eastAsia="Times New Roman"/>
                <w:i/>
                <w:iCs/>
                <w:color w:val="000000"/>
                <w:sz w:val="20"/>
                <w:szCs w:val="20"/>
                <w:lang w:val="en-GB" w:eastAsia="zh-CN"/>
              </w:rPr>
            </w:pPr>
          </w:p>
        </w:tc>
        <w:tc>
          <w:tcPr>
            <w:tcW w:w="989" w:type="pct"/>
            <w:tcBorders>
              <w:top w:val="nil"/>
              <w:left w:val="single" w:sz="4" w:space="0" w:color="auto"/>
              <w:bottom w:val="nil"/>
              <w:right w:val="single" w:sz="4" w:space="0" w:color="auto"/>
            </w:tcBorders>
            <w:shd w:val="clear" w:color="auto" w:fill="auto"/>
            <w:noWrap/>
            <w:vAlign w:val="center"/>
            <w:hideMark/>
          </w:tcPr>
          <w:p w14:paraId="3EA2E65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552" w:type="pct"/>
            <w:tcBorders>
              <w:top w:val="nil"/>
              <w:left w:val="single" w:sz="4" w:space="0" w:color="auto"/>
              <w:bottom w:val="nil"/>
              <w:right w:val="nil"/>
            </w:tcBorders>
            <w:shd w:val="clear" w:color="auto" w:fill="auto"/>
            <w:noWrap/>
            <w:vAlign w:val="center"/>
            <w:hideMark/>
          </w:tcPr>
          <w:p w14:paraId="0A6B473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0.0612</w:t>
            </w:r>
          </w:p>
        </w:tc>
        <w:tc>
          <w:tcPr>
            <w:tcW w:w="554" w:type="pct"/>
            <w:tcBorders>
              <w:top w:val="nil"/>
              <w:left w:val="nil"/>
              <w:bottom w:val="nil"/>
              <w:right w:val="single" w:sz="4" w:space="0" w:color="auto"/>
            </w:tcBorders>
            <w:shd w:val="clear" w:color="auto" w:fill="auto"/>
            <w:noWrap/>
            <w:vAlign w:val="center"/>
            <w:hideMark/>
          </w:tcPr>
          <w:p w14:paraId="5096BD0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0.8494</w:t>
            </w:r>
          </w:p>
        </w:tc>
        <w:tc>
          <w:tcPr>
            <w:tcW w:w="552" w:type="pct"/>
            <w:tcBorders>
              <w:top w:val="nil"/>
              <w:left w:val="single" w:sz="4" w:space="0" w:color="auto"/>
              <w:bottom w:val="nil"/>
              <w:right w:val="nil"/>
            </w:tcBorders>
            <w:shd w:val="clear" w:color="auto" w:fill="auto"/>
            <w:noWrap/>
            <w:vAlign w:val="center"/>
            <w:hideMark/>
          </w:tcPr>
          <w:p w14:paraId="41DE7F0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nil"/>
              <w:left w:val="nil"/>
              <w:bottom w:val="nil"/>
              <w:right w:val="single" w:sz="4" w:space="0" w:color="auto"/>
            </w:tcBorders>
            <w:shd w:val="clear" w:color="auto" w:fill="auto"/>
            <w:noWrap/>
            <w:vAlign w:val="center"/>
            <w:hideMark/>
          </w:tcPr>
          <w:p w14:paraId="0FBCD07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0.2970</w:t>
            </w:r>
          </w:p>
        </w:tc>
        <w:tc>
          <w:tcPr>
            <w:tcW w:w="552" w:type="pct"/>
            <w:tcBorders>
              <w:top w:val="nil"/>
              <w:left w:val="single" w:sz="4" w:space="0" w:color="auto"/>
              <w:bottom w:val="nil"/>
              <w:right w:val="nil"/>
            </w:tcBorders>
            <w:shd w:val="clear" w:color="auto" w:fill="auto"/>
            <w:noWrap/>
            <w:vAlign w:val="center"/>
            <w:hideMark/>
          </w:tcPr>
          <w:p w14:paraId="59964EA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76544C4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0.8581</w:t>
            </w:r>
          </w:p>
        </w:tc>
      </w:tr>
      <w:tr w:rsidR="00C30160" w:rsidRPr="00CE0DE7" w14:paraId="47D61EBE" w14:textId="77777777" w:rsidTr="00C24E43">
        <w:trPr>
          <w:trHeight w:val="266"/>
        </w:trPr>
        <w:tc>
          <w:tcPr>
            <w:tcW w:w="693" w:type="pct"/>
            <w:vMerge/>
            <w:tcBorders>
              <w:top w:val="nil"/>
              <w:left w:val="nil"/>
              <w:bottom w:val="nil"/>
              <w:right w:val="single" w:sz="4" w:space="0" w:color="auto"/>
            </w:tcBorders>
            <w:vAlign w:val="center"/>
            <w:hideMark/>
          </w:tcPr>
          <w:p w14:paraId="7939B133" w14:textId="77777777" w:rsidR="00C30160" w:rsidRPr="00CE0DE7" w:rsidRDefault="00C30160" w:rsidP="00C24E43">
            <w:pPr>
              <w:rPr>
                <w:rFonts w:eastAsia="Times New Roman"/>
                <w:i/>
                <w:iCs/>
                <w:color w:val="000000"/>
                <w:sz w:val="20"/>
                <w:szCs w:val="20"/>
                <w:lang w:val="en-GB" w:eastAsia="zh-CN"/>
              </w:rPr>
            </w:pPr>
          </w:p>
        </w:tc>
        <w:tc>
          <w:tcPr>
            <w:tcW w:w="989" w:type="pct"/>
            <w:tcBorders>
              <w:top w:val="nil"/>
              <w:left w:val="single" w:sz="4" w:space="0" w:color="auto"/>
              <w:bottom w:val="nil"/>
              <w:right w:val="single" w:sz="4" w:space="0" w:color="auto"/>
            </w:tcBorders>
            <w:shd w:val="clear" w:color="auto" w:fill="auto"/>
            <w:noWrap/>
            <w:vAlign w:val="center"/>
            <w:hideMark/>
          </w:tcPr>
          <w:p w14:paraId="354FE70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552" w:type="pct"/>
            <w:tcBorders>
              <w:top w:val="nil"/>
              <w:left w:val="single" w:sz="4" w:space="0" w:color="auto"/>
              <w:bottom w:val="nil"/>
              <w:right w:val="nil"/>
            </w:tcBorders>
            <w:shd w:val="clear" w:color="auto" w:fill="auto"/>
            <w:noWrap/>
            <w:vAlign w:val="center"/>
            <w:hideMark/>
          </w:tcPr>
          <w:p w14:paraId="555E571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0.0648</w:t>
            </w:r>
          </w:p>
        </w:tc>
        <w:tc>
          <w:tcPr>
            <w:tcW w:w="554" w:type="pct"/>
            <w:tcBorders>
              <w:top w:val="nil"/>
              <w:left w:val="nil"/>
              <w:bottom w:val="nil"/>
              <w:right w:val="single" w:sz="4" w:space="0" w:color="auto"/>
            </w:tcBorders>
            <w:shd w:val="clear" w:color="auto" w:fill="auto"/>
            <w:noWrap/>
            <w:vAlign w:val="center"/>
            <w:hideMark/>
          </w:tcPr>
          <w:p w14:paraId="1F40415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0.6193</w:t>
            </w:r>
          </w:p>
        </w:tc>
        <w:tc>
          <w:tcPr>
            <w:tcW w:w="552" w:type="pct"/>
            <w:tcBorders>
              <w:top w:val="nil"/>
              <w:left w:val="single" w:sz="4" w:space="0" w:color="auto"/>
              <w:bottom w:val="nil"/>
              <w:right w:val="nil"/>
            </w:tcBorders>
            <w:shd w:val="clear" w:color="auto" w:fill="auto"/>
            <w:noWrap/>
            <w:vAlign w:val="center"/>
            <w:hideMark/>
          </w:tcPr>
          <w:p w14:paraId="7F173F4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nil"/>
              <w:left w:val="nil"/>
              <w:bottom w:val="nil"/>
              <w:right w:val="single" w:sz="4" w:space="0" w:color="auto"/>
            </w:tcBorders>
            <w:shd w:val="clear" w:color="auto" w:fill="auto"/>
            <w:noWrap/>
            <w:vAlign w:val="center"/>
            <w:hideMark/>
          </w:tcPr>
          <w:p w14:paraId="39E2979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0.4582</w:t>
            </w:r>
          </w:p>
        </w:tc>
        <w:tc>
          <w:tcPr>
            <w:tcW w:w="552" w:type="pct"/>
            <w:tcBorders>
              <w:top w:val="nil"/>
              <w:left w:val="single" w:sz="4" w:space="0" w:color="auto"/>
              <w:bottom w:val="nil"/>
              <w:right w:val="nil"/>
            </w:tcBorders>
            <w:shd w:val="clear" w:color="auto" w:fill="auto"/>
            <w:noWrap/>
            <w:vAlign w:val="center"/>
            <w:hideMark/>
          </w:tcPr>
          <w:p w14:paraId="44DEB38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2E993D6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0.9026</w:t>
            </w:r>
          </w:p>
        </w:tc>
      </w:tr>
      <w:tr w:rsidR="00C30160" w:rsidRPr="00CE0DE7" w14:paraId="62A5AB82" w14:textId="77777777" w:rsidTr="00C24E43">
        <w:trPr>
          <w:trHeight w:val="266"/>
        </w:trPr>
        <w:tc>
          <w:tcPr>
            <w:tcW w:w="693" w:type="pct"/>
            <w:vMerge/>
            <w:tcBorders>
              <w:top w:val="nil"/>
              <w:left w:val="nil"/>
              <w:bottom w:val="nil"/>
              <w:right w:val="single" w:sz="4" w:space="0" w:color="auto"/>
            </w:tcBorders>
            <w:vAlign w:val="center"/>
            <w:hideMark/>
          </w:tcPr>
          <w:p w14:paraId="7C6635F0" w14:textId="77777777" w:rsidR="00C30160" w:rsidRPr="00CE0DE7" w:rsidRDefault="00C30160" w:rsidP="00C24E43">
            <w:pPr>
              <w:rPr>
                <w:rFonts w:eastAsia="Times New Roman"/>
                <w:i/>
                <w:iCs/>
                <w:color w:val="000000"/>
                <w:sz w:val="20"/>
                <w:szCs w:val="20"/>
                <w:lang w:val="en-GB" w:eastAsia="zh-CN"/>
              </w:rPr>
            </w:pPr>
          </w:p>
        </w:tc>
        <w:tc>
          <w:tcPr>
            <w:tcW w:w="989" w:type="pct"/>
            <w:tcBorders>
              <w:top w:val="nil"/>
              <w:left w:val="single" w:sz="4" w:space="0" w:color="auto"/>
              <w:bottom w:val="nil"/>
              <w:right w:val="single" w:sz="4" w:space="0" w:color="auto"/>
            </w:tcBorders>
            <w:shd w:val="clear" w:color="auto" w:fill="auto"/>
            <w:noWrap/>
            <w:vAlign w:val="center"/>
            <w:hideMark/>
          </w:tcPr>
          <w:p w14:paraId="78302CF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552" w:type="pct"/>
            <w:tcBorders>
              <w:top w:val="nil"/>
              <w:left w:val="single" w:sz="4" w:space="0" w:color="auto"/>
              <w:bottom w:val="nil"/>
              <w:right w:val="nil"/>
            </w:tcBorders>
            <w:shd w:val="clear" w:color="auto" w:fill="auto"/>
            <w:noWrap/>
            <w:vAlign w:val="center"/>
            <w:hideMark/>
          </w:tcPr>
          <w:p w14:paraId="6B3B39B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0.0696</w:t>
            </w:r>
          </w:p>
        </w:tc>
        <w:tc>
          <w:tcPr>
            <w:tcW w:w="554" w:type="pct"/>
            <w:tcBorders>
              <w:top w:val="nil"/>
              <w:left w:val="nil"/>
              <w:bottom w:val="nil"/>
              <w:right w:val="single" w:sz="4" w:space="0" w:color="auto"/>
            </w:tcBorders>
            <w:shd w:val="clear" w:color="auto" w:fill="auto"/>
            <w:noWrap/>
            <w:vAlign w:val="center"/>
            <w:hideMark/>
          </w:tcPr>
          <w:p w14:paraId="5A22A7F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0.5891</w:t>
            </w:r>
          </w:p>
        </w:tc>
        <w:tc>
          <w:tcPr>
            <w:tcW w:w="552" w:type="pct"/>
            <w:tcBorders>
              <w:top w:val="nil"/>
              <w:left w:val="single" w:sz="4" w:space="0" w:color="auto"/>
              <w:bottom w:val="nil"/>
              <w:right w:val="nil"/>
            </w:tcBorders>
            <w:shd w:val="clear" w:color="auto" w:fill="auto"/>
            <w:noWrap/>
            <w:vAlign w:val="center"/>
            <w:hideMark/>
          </w:tcPr>
          <w:p w14:paraId="7E92209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nil"/>
              <w:left w:val="nil"/>
              <w:bottom w:val="nil"/>
              <w:right w:val="single" w:sz="4" w:space="0" w:color="auto"/>
            </w:tcBorders>
            <w:shd w:val="clear" w:color="auto" w:fill="auto"/>
            <w:noWrap/>
            <w:vAlign w:val="center"/>
            <w:hideMark/>
          </w:tcPr>
          <w:p w14:paraId="46F84E3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0.3503</w:t>
            </w:r>
          </w:p>
        </w:tc>
        <w:tc>
          <w:tcPr>
            <w:tcW w:w="552" w:type="pct"/>
            <w:tcBorders>
              <w:top w:val="nil"/>
              <w:left w:val="single" w:sz="4" w:space="0" w:color="auto"/>
              <w:bottom w:val="nil"/>
              <w:right w:val="nil"/>
            </w:tcBorders>
            <w:shd w:val="clear" w:color="auto" w:fill="auto"/>
            <w:noWrap/>
            <w:vAlign w:val="center"/>
            <w:hideMark/>
          </w:tcPr>
          <w:p w14:paraId="3EDD716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5054DCC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0.7789</w:t>
            </w:r>
          </w:p>
        </w:tc>
      </w:tr>
      <w:tr w:rsidR="00C30160" w:rsidRPr="00CE0DE7" w14:paraId="0D9DB1B2" w14:textId="77777777" w:rsidTr="00C24E43">
        <w:trPr>
          <w:trHeight w:val="266"/>
        </w:trPr>
        <w:tc>
          <w:tcPr>
            <w:tcW w:w="693" w:type="pct"/>
            <w:vMerge/>
            <w:tcBorders>
              <w:top w:val="nil"/>
              <w:left w:val="nil"/>
              <w:bottom w:val="single" w:sz="4" w:space="0" w:color="auto"/>
              <w:right w:val="single" w:sz="4" w:space="0" w:color="auto"/>
            </w:tcBorders>
            <w:vAlign w:val="center"/>
            <w:hideMark/>
          </w:tcPr>
          <w:p w14:paraId="08B17A70" w14:textId="77777777" w:rsidR="00C30160" w:rsidRPr="00CE0DE7" w:rsidRDefault="00C30160" w:rsidP="00C24E43">
            <w:pPr>
              <w:rPr>
                <w:rFonts w:eastAsia="Times New Roman"/>
                <w:i/>
                <w:iCs/>
                <w:color w:val="000000"/>
                <w:sz w:val="20"/>
                <w:szCs w:val="20"/>
                <w:lang w:val="en-GB" w:eastAsia="zh-CN"/>
              </w:rPr>
            </w:pPr>
          </w:p>
        </w:tc>
        <w:tc>
          <w:tcPr>
            <w:tcW w:w="989" w:type="pct"/>
            <w:tcBorders>
              <w:top w:val="nil"/>
              <w:left w:val="single" w:sz="4" w:space="0" w:color="auto"/>
              <w:bottom w:val="single" w:sz="4" w:space="0" w:color="auto"/>
              <w:right w:val="single" w:sz="4" w:space="0" w:color="auto"/>
            </w:tcBorders>
            <w:shd w:val="clear" w:color="auto" w:fill="auto"/>
            <w:noWrap/>
            <w:vAlign w:val="center"/>
            <w:hideMark/>
          </w:tcPr>
          <w:p w14:paraId="1BB2D6D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552" w:type="pct"/>
            <w:tcBorders>
              <w:top w:val="nil"/>
              <w:left w:val="single" w:sz="4" w:space="0" w:color="auto"/>
              <w:bottom w:val="single" w:sz="4" w:space="0" w:color="auto"/>
              <w:right w:val="nil"/>
            </w:tcBorders>
            <w:shd w:val="clear" w:color="auto" w:fill="auto"/>
            <w:noWrap/>
            <w:vAlign w:val="center"/>
            <w:hideMark/>
          </w:tcPr>
          <w:p w14:paraId="36E963E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0.0966</w:t>
            </w:r>
          </w:p>
        </w:tc>
        <w:tc>
          <w:tcPr>
            <w:tcW w:w="554" w:type="pct"/>
            <w:tcBorders>
              <w:top w:val="nil"/>
              <w:left w:val="nil"/>
              <w:bottom w:val="single" w:sz="4" w:space="0" w:color="auto"/>
              <w:right w:val="single" w:sz="4" w:space="0" w:color="auto"/>
            </w:tcBorders>
            <w:shd w:val="clear" w:color="auto" w:fill="auto"/>
            <w:noWrap/>
            <w:vAlign w:val="center"/>
            <w:hideMark/>
          </w:tcPr>
          <w:p w14:paraId="32AB692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0.8408</w:t>
            </w:r>
          </w:p>
        </w:tc>
        <w:tc>
          <w:tcPr>
            <w:tcW w:w="552" w:type="pct"/>
            <w:tcBorders>
              <w:top w:val="nil"/>
              <w:left w:val="single" w:sz="4" w:space="0" w:color="auto"/>
              <w:bottom w:val="single" w:sz="4" w:space="0" w:color="auto"/>
              <w:right w:val="nil"/>
            </w:tcBorders>
            <w:shd w:val="clear" w:color="auto" w:fill="auto"/>
            <w:noWrap/>
            <w:vAlign w:val="center"/>
            <w:hideMark/>
          </w:tcPr>
          <w:p w14:paraId="74EE69F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nil"/>
              <w:left w:val="nil"/>
              <w:bottom w:val="single" w:sz="4" w:space="0" w:color="auto"/>
              <w:right w:val="single" w:sz="4" w:space="0" w:color="auto"/>
            </w:tcBorders>
            <w:shd w:val="clear" w:color="auto" w:fill="auto"/>
            <w:noWrap/>
            <w:vAlign w:val="center"/>
            <w:hideMark/>
          </w:tcPr>
          <w:p w14:paraId="79631BC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0.2583</w:t>
            </w:r>
          </w:p>
        </w:tc>
        <w:tc>
          <w:tcPr>
            <w:tcW w:w="552" w:type="pct"/>
            <w:tcBorders>
              <w:top w:val="nil"/>
              <w:left w:val="single" w:sz="4" w:space="0" w:color="auto"/>
              <w:bottom w:val="single" w:sz="4" w:space="0" w:color="auto"/>
              <w:right w:val="nil"/>
            </w:tcBorders>
            <w:shd w:val="clear" w:color="auto" w:fill="auto"/>
            <w:noWrap/>
            <w:vAlign w:val="center"/>
            <w:hideMark/>
          </w:tcPr>
          <w:p w14:paraId="6A2DFB1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single" w:sz="4" w:space="0" w:color="auto"/>
              <w:right w:val="nil"/>
            </w:tcBorders>
            <w:shd w:val="clear" w:color="auto" w:fill="auto"/>
            <w:noWrap/>
            <w:vAlign w:val="center"/>
            <w:hideMark/>
          </w:tcPr>
          <w:p w14:paraId="01073C3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0.8247</w:t>
            </w:r>
          </w:p>
        </w:tc>
      </w:tr>
      <w:tr w:rsidR="00C30160" w:rsidRPr="00CE0DE7" w14:paraId="16139DC2" w14:textId="77777777" w:rsidTr="00C24E43">
        <w:trPr>
          <w:trHeight w:val="266"/>
        </w:trPr>
        <w:tc>
          <w:tcPr>
            <w:tcW w:w="693" w:type="pct"/>
            <w:vMerge w:val="restart"/>
            <w:tcBorders>
              <w:top w:val="single" w:sz="4" w:space="0" w:color="auto"/>
              <w:left w:val="nil"/>
              <w:bottom w:val="nil"/>
              <w:right w:val="single" w:sz="4" w:space="0" w:color="auto"/>
            </w:tcBorders>
            <w:shd w:val="clear" w:color="auto" w:fill="auto"/>
            <w:noWrap/>
            <w:vAlign w:val="center"/>
            <w:hideMark/>
          </w:tcPr>
          <w:p w14:paraId="75B6B77A"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c>
          <w:tcPr>
            <w:tcW w:w="989" w:type="pct"/>
            <w:tcBorders>
              <w:top w:val="single" w:sz="4" w:space="0" w:color="auto"/>
              <w:left w:val="single" w:sz="4" w:space="0" w:color="auto"/>
              <w:bottom w:val="nil"/>
              <w:right w:val="single" w:sz="4" w:space="0" w:color="auto"/>
            </w:tcBorders>
            <w:shd w:val="clear" w:color="auto" w:fill="auto"/>
            <w:noWrap/>
            <w:vAlign w:val="center"/>
            <w:hideMark/>
          </w:tcPr>
          <w:p w14:paraId="7DA9C96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552" w:type="pct"/>
            <w:tcBorders>
              <w:top w:val="single" w:sz="4" w:space="0" w:color="auto"/>
              <w:left w:val="single" w:sz="4" w:space="0" w:color="auto"/>
              <w:bottom w:val="nil"/>
              <w:right w:val="nil"/>
            </w:tcBorders>
            <w:shd w:val="clear" w:color="auto" w:fill="auto"/>
            <w:noWrap/>
            <w:vAlign w:val="center"/>
            <w:hideMark/>
          </w:tcPr>
          <w:p w14:paraId="75A0633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0.1353</w:t>
            </w:r>
          </w:p>
        </w:tc>
        <w:tc>
          <w:tcPr>
            <w:tcW w:w="554" w:type="pct"/>
            <w:tcBorders>
              <w:top w:val="single" w:sz="4" w:space="0" w:color="auto"/>
              <w:left w:val="nil"/>
              <w:bottom w:val="nil"/>
              <w:right w:val="single" w:sz="4" w:space="0" w:color="auto"/>
            </w:tcBorders>
            <w:shd w:val="clear" w:color="auto" w:fill="auto"/>
            <w:noWrap/>
            <w:vAlign w:val="center"/>
            <w:hideMark/>
          </w:tcPr>
          <w:p w14:paraId="250BE78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0.4500</w:t>
            </w:r>
          </w:p>
        </w:tc>
        <w:tc>
          <w:tcPr>
            <w:tcW w:w="552" w:type="pct"/>
            <w:tcBorders>
              <w:top w:val="single" w:sz="4" w:space="0" w:color="auto"/>
              <w:left w:val="single" w:sz="4" w:space="0" w:color="auto"/>
              <w:bottom w:val="nil"/>
              <w:right w:val="nil"/>
            </w:tcBorders>
            <w:shd w:val="clear" w:color="auto" w:fill="auto"/>
            <w:noWrap/>
            <w:vAlign w:val="center"/>
            <w:hideMark/>
          </w:tcPr>
          <w:p w14:paraId="54BD6A0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single" w:sz="4" w:space="0" w:color="auto"/>
              <w:left w:val="nil"/>
              <w:bottom w:val="nil"/>
              <w:right w:val="single" w:sz="4" w:space="0" w:color="auto"/>
            </w:tcBorders>
            <w:shd w:val="clear" w:color="auto" w:fill="auto"/>
            <w:noWrap/>
            <w:vAlign w:val="center"/>
            <w:hideMark/>
          </w:tcPr>
          <w:p w14:paraId="0199556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0.2899</w:t>
            </w:r>
          </w:p>
        </w:tc>
        <w:tc>
          <w:tcPr>
            <w:tcW w:w="552" w:type="pct"/>
            <w:tcBorders>
              <w:top w:val="single" w:sz="4" w:space="0" w:color="auto"/>
              <w:left w:val="single" w:sz="4" w:space="0" w:color="auto"/>
              <w:bottom w:val="nil"/>
              <w:right w:val="nil"/>
            </w:tcBorders>
            <w:shd w:val="clear" w:color="auto" w:fill="auto"/>
            <w:noWrap/>
            <w:vAlign w:val="center"/>
            <w:hideMark/>
          </w:tcPr>
          <w:p w14:paraId="726F09F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single" w:sz="4" w:space="0" w:color="auto"/>
              <w:left w:val="nil"/>
              <w:bottom w:val="nil"/>
              <w:right w:val="nil"/>
            </w:tcBorders>
            <w:shd w:val="clear" w:color="auto" w:fill="auto"/>
            <w:noWrap/>
            <w:vAlign w:val="center"/>
            <w:hideMark/>
          </w:tcPr>
          <w:p w14:paraId="28DF357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0.7017</w:t>
            </w:r>
          </w:p>
        </w:tc>
      </w:tr>
      <w:tr w:rsidR="00C30160" w:rsidRPr="00CE0DE7" w14:paraId="461B7FAE" w14:textId="77777777" w:rsidTr="00C24E43">
        <w:trPr>
          <w:trHeight w:val="266"/>
        </w:trPr>
        <w:tc>
          <w:tcPr>
            <w:tcW w:w="693" w:type="pct"/>
            <w:vMerge/>
            <w:tcBorders>
              <w:top w:val="nil"/>
              <w:left w:val="nil"/>
              <w:bottom w:val="nil"/>
              <w:right w:val="single" w:sz="4" w:space="0" w:color="auto"/>
            </w:tcBorders>
            <w:vAlign w:val="center"/>
            <w:hideMark/>
          </w:tcPr>
          <w:p w14:paraId="0997C870" w14:textId="77777777" w:rsidR="00C30160" w:rsidRPr="00CE0DE7" w:rsidRDefault="00C30160" w:rsidP="00C24E43">
            <w:pPr>
              <w:rPr>
                <w:rFonts w:eastAsia="Times New Roman"/>
                <w:i/>
                <w:iCs/>
                <w:color w:val="000000"/>
                <w:sz w:val="20"/>
                <w:szCs w:val="20"/>
                <w:lang w:val="en-GB" w:eastAsia="zh-CN"/>
              </w:rPr>
            </w:pPr>
          </w:p>
        </w:tc>
        <w:tc>
          <w:tcPr>
            <w:tcW w:w="989" w:type="pct"/>
            <w:tcBorders>
              <w:top w:val="nil"/>
              <w:left w:val="single" w:sz="4" w:space="0" w:color="auto"/>
              <w:bottom w:val="nil"/>
              <w:right w:val="single" w:sz="4" w:space="0" w:color="auto"/>
            </w:tcBorders>
            <w:shd w:val="clear" w:color="auto" w:fill="auto"/>
            <w:noWrap/>
            <w:vAlign w:val="center"/>
            <w:hideMark/>
          </w:tcPr>
          <w:p w14:paraId="1EF1239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552" w:type="pct"/>
            <w:tcBorders>
              <w:top w:val="nil"/>
              <w:left w:val="single" w:sz="4" w:space="0" w:color="auto"/>
              <w:bottom w:val="nil"/>
              <w:right w:val="nil"/>
            </w:tcBorders>
            <w:shd w:val="clear" w:color="auto" w:fill="auto"/>
            <w:noWrap/>
            <w:vAlign w:val="center"/>
            <w:hideMark/>
          </w:tcPr>
          <w:p w14:paraId="23EE31F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0.0901</w:t>
            </w:r>
          </w:p>
        </w:tc>
        <w:tc>
          <w:tcPr>
            <w:tcW w:w="554" w:type="pct"/>
            <w:tcBorders>
              <w:top w:val="nil"/>
              <w:left w:val="nil"/>
              <w:bottom w:val="nil"/>
              <w:right w:val="single" w:sz="4" w:space="0" w:color="auto"/>
            </w:tcBorders>
            <w:shd w:val="clear" w:color="auto" w:fill="auto"/>
            <w:noWrap/>
            <w:vAlign w:val="center"/>
            <w:hideMark/>
          </w:tcPr>
          <w:p w14:paraId="03FFA4B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0.6555</w:t>
            </w:r>
          </w:p>
        </w:tc>
        <w:tc>
          <w:tcPr>
            <w:tcW w:w="552" w:type="pct"/>
            <w:tcBorders>
              <w:top w:val="nil"/>
              <w:left w:val="single" w:sz="4" w:space="0" w:color="auto"/>
              <w:bottom w:val="nil"/>
              <w:right w:val="nil"/>
            </w:tcBorders>
            <w:shd w:val="clear" w:color="auto" w:fill="auto"/>
            <w:noWrap/>
            <w:vAlign w:val="center"/>
            <w:hideMark/>
          </w:tcPr>
          <w:p w14:paraId="015F3EC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nil"/>
              <w:left w:val="nil"/>
              <w:bottom w:val="nil"/>
              <w:right w:val="single" w:sz="4" w:space="0" w:color="auto"/>
            </w:tcBorders>
            <w:shd w:val="clear" w:color="auto" w:fill="auto"/>
            <w:noWrap/>
            <w:vAlign w:val="center"/>
            <w:hideMark/>
          </w:tcPr>
          <w:p w14:paraId="3DF9000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0.2441</w:t>
            </w:r>
          </w:p>
        </w:tc>
        <w:tc>
          <w:tcPr>
            <w:tcW w:w="552" w:type="pct"/>
            <w:tcBorders>
              <w:top w:val="nil"/>
              <w:left w:val="single" w:sz="4" w:space="0" w:color="auto"/>
              <w:bottom w:val="nil"/>
              <w:right w:val="nil"/>
            </w:tcBorders>
            <w:shd w:val="clear" w:color="auto" w:fill="auto"/>
            <w:noWrap/>
            <w:vAlign w:val="center"/>
            <w:hideMark/>
          </w:tcPr>
          <w:p w14:paraId="148330A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07EDBA9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0.8433</w:t>
            </w:r>
          </w:p>
        </w:tc>
      </w:tr>
      <w:tr w:rsidR="00C30160" w:rsidRPr="00CE0DE7" w14:paraId="14E96AC3" w14:textId="77777777" w:rsidTr="00C24E43">
        <w:trPr>
          <w:trHeight w:val="266"/>
        </w:trPr>
        <w:tc>
          <w:tcPr>
            <w:tcW w:w="693" w:type="pct"/>
            <w:vMerge/>
            <w:tcBorders>
              <w:top w:val="nil"/>
              <w:left w:val="nil"/>
              <w:bottom w:val="nil"/>
              <w:right w:val="single" w:sz="4" w:space="0" w:color="auto"/>
            </w:tcBorders>
            <w:vAlign w:val="center"/>
            <w:hideMark/>
          </w:tcPr>
          <w:p w14:paraId="27FE0DBB" w14:textId="77777777" w:rsidR="00C30160" w:rsidRPr="00CE0DE7" w:rsidRDefault="00C30160" w:rsidP="00C24E43">
            <w:pPr>
              <w:rPr>
                <w:rFonts w:eastAsia="Times New Roman"/>
                <w:i/>
                <w:iCs/>
                <w:color w:val="000000"/>
                <w:sz w:val="20"/>
                <w:szCs w:val="20"/>
                <w:lang w:val="en-GB" w:eastAsia="zh-CN"/>
              </w:rPr>
            </w:pPr>
          </w:p>
        </w:tc>
        <w:tc>
          <w:tcPr>
            <w:tcW w:w="989" w:type="pct"/>
            <w:tcBorders>
              <w:top w:val="nil"/>
              <w:left w:val="single" w:sz="4" w:space="0" w:color="auto"/>
              <w:bottom w:val="nil"/>
              <w:right w:val="single" w:sz="4" w:space="0" w:color="auto"/>
            </w:tcBorders>
            <w:shd w:val="clear" w:color="auto" w:fill="auto"/>
            <w:noWrap/>
            <w:vAlign w:val="center"/>
            <w:hideMark/>
          </w:tcPr>
          <w:p w14:paraId="5861786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552" w:type="pct"/>
            <w:tcBorders>
              <w:top w:val="nil"/>
              <w:left w:val="single" w:sz="4" w:space="0" w:color="auto"/>
              <w:bottom w:val="nil"/>
              <w:right w:val="nil"/>
            </w:tcBorders>
            <w:shd w:val="clear" w:color="auto" w:fill="auto"/>
            <w:noWrap/>
            <w:vAlign w:val="center"/>
            <w:hideMark/>
          </w:tcPr>
          <w:p w14:paraId="2E54ED7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0.0830</w:t>
            </w:r>
          </w:p>
        </w:tc>
        <w:tc>
          <w:tcPr>
            <w:tcW w:w="554" w:type="pct"/>
            <w:tcBorders>
              <w:top w:val="nil"/>
              <w:left w:val="nil"/>
              <w:bottom w:val="nil"/>
              <w:right w:val="single" w:sz="4" w:space="0" w:color="auto"/>
            </w:tcBorders>
            <w:shd w:val="clear" w:color="auto" w:fill="auto"/>
            <w:noWrap/>
            <w:vAlign w:val="center"/>
            <w:hideMark/>
          </w:tcPr>
          <w:p w14:paraId="0B26FD9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0.6889</w:t>
            </w:r>
          </w:p>
        </w:tc>
        <w:tc>
          <w:tcPr>
            <w:tcW w:w="552" w:type="pct"/>
            <w:tcBorders>
              <w:top w:val="nil"/>
              <w:left w:val="single" w:sz="4" w:space="0" w:color="auto"/>
              <w:bottom w:val="nil"/>
              <w:right w:val="nil"/>
            </w:tcBorders>
            <w:shd w:val="clear" w:color="auto" w:fill="auto"/>
            <w:noWrap/>
            <w:vAlign w:val="center"/>
            <w:hideMark/>
          </w:tcPr>
          <w:p w14:paraId="71DA8FD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nil"/>
              <w:left w:val="nil"/>
              <w:bottom w:val="nil"/>
              <w:right w:val="single" w:sz="4" w:space="0" w:color="auto"/>
            </w:tcBorders>
            <w:shd w:val="clear" w:color="auto" w:fill="auto"/>
            <w:noWrap/>
            <w:vAlign w:val="center"/>
            <w:hideMark/>
          </w:tcPr>
          <w:p w14:paraId="68CE42F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0.6371</w:t>
            </w:r>
          </w:p>
        </w:tc>
        <w:tc>
          <w:tcPr>
            <w:tcW w:w="552" w:type="pct"/>
            <w:tcBorders>
              <w:top w:val="nil"/>
              <w:left w:val="single" w:sz="4" w:space="0" w:color="auto"/>
              <w:bottom w:val="nil"/>
              <w:right w:val="nil"/>
            </w:tcBorders>
            <w:shd w:val="clear" w:color="auto" w:fill="auto"/>
            <w:noWrap/>
            <w:vAlign w:val="center"/>
            <w:hideMark/>
          </w:tcPr>
          <w:p w14:paraId="4BEAE4C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0D5870B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0.6114</w:t>
            </w:r>
          </w:p>
        </w:tc>
      </w:tr>
      <w:tr w:rsidR="00C30160" w:rsidRPr="00CE0DE7" w14:paraId="776A453E" w14:textId="77777777" w:rsidTr="00C24E43">
        <w:trPr>
          <w:trHeight w:val="266"/>
        </w:trPr>
        <w:tc>
          <w:tcPr>
            <w:tcW w:w="693" w:type="pct"/>
            <w:vMerge/>
            <w:tcBorders>
              <w:top w:val="nil"/>
              <w:left w:val="nil"/>
              <w:bottom w:val="nil"/>
              <w:right w:val="single" w:sz="4" w:space="0" w:color="auto"/>
            </w:tcBorders>
            <w:vAlign w:val="center"/>
            <w:hideMark/>
          </w:tcPr>
          <w:p w14:paraId="59B1707D" w14:textId="77777777" w:rsidR="00C30160" w:rsidRPr="00CE0DE7" w:rsidRDefault="00C30160" w:rsidP="00C24E43">
            <w:pPr>
              <w:rPr>
                <w:rFonts w:eastAsia="Times New Roman"/>
                <w:i/>
                <w:iCs/>
                <w:color w:val="000000"/>
                <w:sz w:val="20"/>
                <w:szCs w:val="20"/>
                <w:lang w:val="en-GB" w:eastAsia="zh-CN"/>
              </w:rPr>
            </w:pPr>
          </w:p>
        </w:tc>
        <w:tc>
          <w:tcPr>
            <w:tcW w:w="989" w:type="pct"/>
            <w:tcBorders>
              <w:top w:val="nil"/>
              <w:left w:val="single" w:sz="4" w:space="0" w:color="auto"/>
              <w:bottom w:val="nil"/>
              <w:right w:val="single" w:sz="4" w:space="0" w:color="auto"/>
            </w:tcBorders>
            <w:shd w:val="clear" w:color="auto" w:fill="auto"/>
            <w:noWrap/>
            <w:vAlign w:val="center"/>
            <w:hideMark/>
          </w:tcPr>
          <w:p w14:paraId="0735475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552" w:type="pct"/>
            <w:tcBorders>
              <w:top w:val="nil"/>
              <w:left w:val="single" w:sz="4" w:space="0" w:color="auto"/>
              <w:bottom w:val="nil"/>
              <w:right w:val="nil"/>
            </w:tcBorders>
            <w:shd w:val="clear" w:color="auto" w:fill="auto"/>
            <w:noWrap/>
            <w:vAlign w:val="center"/>
            <w:hideMark/>
          </w:tcPr>
          <w:p w14:paraId="21FEF64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0.0660</w:t>
            </w:r>
          </w:p>
        </w:tc>
        <w:tc>
          <w:tcPr>
            <w:tcW w:w="554" w:type="pct"/>
            <w:tcBorders>
              <w:top w:val="nil"/>
              <w:left w:val="nil"/>
              <w:bottom w:val="nil"/>
              <w:right w:val="single" w:sz="4" w:space="0" w:color="auto"/>
            </w:tcBorders>
            <w:shd w:val="clear" w:color="auto" w:fill="auto"/>
            <w:noWrap/>
            <w:vAlign w:val="center"/>
            <w:hideMark/>
          </w:tcPr>
          <w:p w14:paraId="4D3BC11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0.7745</w:t>
            </w:r>
          </w:p>
        </w:tc>
        <w:tc>
          <w:tcPr>
            <w:tcW w:w="552" w:type="pct"/>
            <w:tcBorders>
              <w:top w:val="nil"/>
              <w:left w:val="single" w:sz="4" w:space="0" w:color="auto"/>
              <w:bottom w:val="nil"/>
              <w:right w:val="nil"/>
            </w:tcBorders>
            <w:shd w:val="clear" w:color="auto" w:fill="auto"/>
            <w:noWrap/>
            <w:vAlign w:val="center"/>
            <w:hideMark/>
          </w:tcPr>
          <w:p w14:paraId="086A5B8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nil"/>
              <w:left w:val="nil"/>
              <w:bottom w:val="nil"/>
              <w:right w:val="single" w:sz="4" w:space="0" w:color="auto"/>
            </w:tcBorders>
            <w:shd w:val="clear" w:color="auto" w:fill="auto"/>
            <w:noWrap/>
            <w:vAlign w:val="center"/>
            <w:hideMark/>
          </w:tcPr>
          <w:p w14:paraId="7346264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0.4843</w:t>
            </w:r>
          </w:p>
        </w:tc>
        <w:tc>
          <w:tcPr>
            <w:tcW w:w="552" w:type="pct"/>
            <w:tcBorders>
              <w:top w:val="nil"/>
              <w:left w:val="single" w:sz="4" w:space="0" w:color="auto"/>
              <w:bottom w:val="nil"/>
              <w:right w:val="nil"/>
            </w:tcBorders>
            <w:shd w:val="clear" w:color="auto" w:fill="auto"/>
            <w:noWrap/>
            <w:vAlign w:val="center"/>
            <w:hideMark/>
          </w:tcPr>
          <w:p w14:paraId="653762A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nil"/>
              <w:right w:val="nil"/>
            </w:tcBorders>
            <w:shd w:val="clear" w:color="auto" w:fill="auto"/>
            <w:noWrap/>
            <w:vAlign w:val="center"/>
            <w:hideMark/>
          </w:tcPr>
          <w:p w14:paraId="18CFCFF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0.7843</w:t>
            </w:r>
          </w:p>
        </w:tc>
      </w:tr>
      <w:tr w:rsidR="00C30160" w:rsidRPr="00CE0DE7" w14:paraId="550D3558" w14:textId="77777777" w:rsidTr="00C24E43">
        <w:trPr>
          <w:trHeight w:val="266"/>
        </w:trPr>
        <w:tc>
          <w:tcPr>
            <w:tcW w:w="693" w:type="pct"/>
            <w:vMerge/>
            <w:tcBorders>
              <w:top w:val="nil"/>
              <w:left w:val="nil"/>
              <w:bottom w:val="double" w:sz="4" w:space="0" w:color="auto"/>
              <w:right w:val="single" w:sz="4" w:space="0" w:color="auto"/>
            </w:tcBorders>
            <w:vAlign w:val="center"/>
            <w:hideMark/>
          </w:tcPr>
          <w:p w14:paraId="42EF47CC" w14:textId="77777777" w:rsidR="00C30160" w:rsidRPr="00CE0DE7" w:rsidRDefault="00C30160" w:rsidP="00C24E43">
            <w:pPr>
              <w:rPr>
                <w:rFonts w:eastAsia="Times New Roman"/>
                <w:i/>
                <w:iCs/>
                <w:color w:val="000000"/>
                <w:sz w:val="20"/>
                <w:szCs w:val="20"/>
                <w:lang w:val="en-GB" w:eastAsia="zh-CN"/>
              </w:rPr>
            </w:pPr>
          </w:p>
        </w:tc>
        <w:tc>
          <w:tcPr>
            <w:tcW w:w="989" w:type="pct"/>
            <w:tcBorders>
              <w:top w:val="nil"/>
              <w:left w:val="single" w:sz="4" w:space="0" w:color="auto"/>
              <w:bottom w:val="double" w:sz="4" w:space="0" w:color="auto"/>
              <w:right w:val="single" w:sz="4" w:space="0" w:color="auto"/>
            </w:tcBorders>
            <w:shd w:val="clear" w:color="auto" w:fill="auto"/>
            <w:noWrap/>
            <w:vAlign w:val="center"/>
            <w:hideMark/>
          </w:tcPr>
          <w:p w14:paraId="70A222B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552" w:type="pct"/>
            <w:tcBorders>
              <w:top w:val="nil"/>
              <w:left w:val="single" w:sz="4" w:space="0" w:color="auto"/>
              <w:bottom w:val="double" w:sz="4" w:space="0" w:color="auto"/>
              <w:right w:val="nil"/>
            </w:tcBorders>
            <w:shd w:val="clear" w:color="auto" w:fill="auto"/>
            <w:noWrap/>
            <w:vAlign w:val="center"/>
            <w:hideMark/>
          </w:tcPr>
          <w:p w14:paraId="171ABCD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0.2536</w:t>
            </w:r>
          </w:p>
        </w:tc>
        <w:tc>
          <w:tcPr>
            <w:tcW w:w="554" w:type="pct"/>
            <w:tcBorders>
              <w:top w:val="nil"/>
              <w:left w:val="nil"/>
              <w:bottom w:val="double" w:sz="4" w:space="0" w:color="auto"/>
              <w:right w:val="single" w:sz="4" w:space="0" w:color="auto"/>
            </w:tcBorders>
            <w:shd w:val="clear" w:color="auto" w:fill="auto"/>
            <w:noWrap/>
            <w:vAlign w:val="center"/>
            <w:hideMark/>
          </w:tcPr>
          <w:p w14:paraId="77CC6A2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0.9340</w:t>
            </w:r>
          </w:p>
        </w:tc>
        <w:tc>
          <w:tcPr>
            <w:tcW w:w="552" w:type="pct"/>
            <w:tcBorders>
              <w:top w:val="nil"/>
              <w:left w:val="single" w:sz="4" w:space="0" w:color="auto"/>
              <w:bottom w:val="double" w:sz="4" w:space="0" w:color="auto"/>
              <w:right w:val="nil"/>
            </w:tcBorders>
            <w:shd w:val="clear" w:color="auto" w:fill="auto"/>
            <w:noWrap/>
            <w:vAlign w:val="center"/>
            <w:hideMark/>
          </w:tcPr>
          <w:p w14:paraId="78128F9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4" w:type="pct"/>
            <w:tcBorders>
              <w:top w:val="nil"/>
              <w:left w:val="nil"/>
              <w:bottom w:val="double" w:sz="4" w:space="0" w:color="auto"/>
              <w:right w:val="single" w:sz="4" w:space="0" w:color="auto"/>
            </w:tcBorders>
            <w:shd w:val="clear" w:color="auto" w:fill="auto"/>
            <w:noWrap/>
            <w:vAlign w:val="center"/>
            <w:hideMark/>
          </w:tcPr>
          <w:p w14:paraId="7B1BCA9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0.3756</w:t>
            </w:r>
          </w:p>
        </w:tc>
        <w:tc>
          <w:tcPr>
            <w:tcW w:w="552" w:type="pct"/>
            <w:tcBorders>
              <w:top w:val="nil"/>
              <w:left w:val="single" w:sz="4" w:space="0" w:color="auto"/>
              <w:bottom w:val="double" w:sz="4" w:space="0" w:color="auto"/>
              <w:right w:val="nil"/>
            </w:tcBorders>
            <w:shd w:val="clear" w:color="auto" w:fill="auto"/>
            <w:noWrap/>
            <w:vAlign w:val="center"/>
            <w:hideMark/>
          </w:tcPr>
          <w:p w14:paraId="7438770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52" w:type="pct"/>
            <w:tcBorders>
              <w:top w:val="nil"/>
              <w:left w:val="nil"/>
              <w:bottom w:val="double" w:sz="4" w:space="0" w:color="auto"/>
              <w:right w:val="nil"/>
            </w:tcBorders>
            <w:shd w:val="clear" w:color="auto" w:fill="auto"/>
            <w:noWrap/>
            <w:vAlign w:val="center"/>
            <w:hideMark/>
          </w:tcPr>
          <w:p w14:paraId="353BE00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0.5459</w:t>
            </w:r>
          </w:p>
        </w:tc>
      </w:tr>
    </w:tbl>
    <w:p w14:paraId="62D2E03E" w14:textId="1C00F09D" w:rsidR="00C30160" w:rsidRPr="00CE0DE7" w:rsidRDefault="00C30160" w:rsidP="00C30160">
      <w:pPr>
        <w:adjustRightInd w:val="0"/>
        <w:snapToGrid w:val="0"/>
        <w:jc w:val="both"/>
        <w:rPr>
          <w:sz w:val="20"/>
          <w:szCs w:val="20"/>
        </w:rPr>
      </w:pPr>
      <w:r w:rsidRPr="00CE0DE7">
        <w:rPr>
          <w:sz w:val="20"/>
          <w:szCs w:val="20"/>
        </w:rPr>
        <w:t xml:space="preserve">This table </w:t>
      </w:r>
      <w:r w:rsidRPr="00CE0DE7">
        <w:rPr>
          <w:rFonts w:hint="eastAsia"/>
          <w:sz w:val="20"/>
          <w:szCs w:val="20"/>
          <w:lang w:eastAsia="zh-CN"/>
        </w:rPr>
        <w:t>summarizes</w:t>
      </w:r>
      <w:r w:rsidRPr="00CE0DE7">
        <w:rPr>
          <w:sz w:val="20"/>
          <w:szCs w:val="20"/>
        </w:rPr>
        <w:t xml:space="preserve"> the </w:t>
      </w:r>
      <w:r w:rsidRPr="00CE0DE7">
        <w:rPr>
          <w:i/>
          <w:sz w:val="20"/>
          <w:szCs w:val="20"/>
        </w:rPr>
        <w:t>p</w:t>
      </w:r>
      <w:r w:rsidRPr="00CE0DE7">
        <w:rPr>
          <w:sz w:val="20"/>
          <w:szCs w:val="20"/>
        </w:rPr>
        <w:t>-value of the chi-square statistics for the Toda-Yamamoto Granger non-causality test with control variables (</w:t>
      </w:r>
      <w:r w:rsidRPr="00CE0DE7">
        <w:rPr>
          <w:i/>
          <w:sz w:val="20"/>
          <w:szCs w:val="20"/>
        </w:rPr>
        <w:t>PD, PE, DFSP, TMSP,</w:t>
      </w:r>
      <w:r w:rsidRPr="00CE0DE7">
        <w:rPr>
          <w:sz w:val="20"/>
          <w:szCs w:val="20"/>
        </w:rPr>
        <w:t xml:space="preserve"> </w:t>
      </w:r>
      <w:r w:rsidRPr="00CE0DE7">
        <w:rPr>
          <w:i/>
          <w:sz w:val="20"/>
          <w:szCs w:val="20"/>
        </w:rPr>
        <w:t xml:space="preserve">RREL </w:t>
      </w:r>
      <w:r w:rsidRPr="00CE0DE7">
        <w:rPr>
          <w:sz w:val="20"/>
          <w:szCs w:val="20"/>
        </w:rPr>
        <w:t xml:space="preserve">and </w:t>
      </w:r>
      <w:r w:rsidRPr="00CE0DE7">
        <w:rPr>
          <w:i/>
          <w:sz w:val="20"/>
          <w:szCs w:val="20"/>
        </w:rPr>
        <w:t>CAY</w:t>
      </w:r>
      <w:r w:rsidRPr="00CE0DE7">
        <w:rPr>
          <w:sz w:val="20"/>
          <w:szCs w:val="20"/>
        </w:rPr>
        <w:t xml:space="preserve">) between the VRP and stock returns (Panel A), between illiquidity and stock returns (Panel A), and between the VRP and illiquidity (Panel B). The analysis uses monthly data </w:t>
      </w:r>
      <w:r w:rsidRPr="00CE0DE7">
        <w:rPr>
          <w:rFonts w:hint="eastAsia"/>
          <w:sz w:val="20"/>
          <w:szCs w:val="20"/>
          <w:lang w:eastAsia="zh-CN"/>
        </w:rPr>
        <w:t>for</w:t>
      </w:r>
      <w:r w:rsidRPr="00CE0DE7">
        <w:rPr>
          <w:sz w:val="20"/>
          <w:szCs w:val="20"/>
        </w:rPr>
        <w:t xml:space="preserve"> </w:t>
      </w:r>
      <w:r w:rsidRPr="00CE0DE7">
        <w:rPr>
          <w:rFonts w:hint="eastAsia"/>
          <w:sz w:val="20"/>
          <w:szCs w:val="20"/>
          <w:lang w:eastAsia="zh-CN"/>
        </w:rPr>
        <w:t xml:space="preserve">the </w:t>
      </w:r>
      <w:r w:rsidRPr="00CE0DE7">
        <w:rPr>
          <w:sz w:val="20"/>
          <w:szCs w:val="20"/>
        </w:rPr>
        <w:t xml:space="preserve">full sample </w:t>
      </w:r>
      <w:r w:rsidRPr="00CE0DE7">
        <w:rPr>
          <w:rFonts w:hint="eastAsia"/>
          <w:sz w:val="20"/>
          <w:szCs w:val="20"/>
          <w:lang w:eastAsia="zh-CN"/>
        </w:rPr>
        <w:t xml:space="preserve">from </w:t>
      </w:r>
      <w:r w:rsidRPr="00CE0DE7">
        <w:rPr>
          <w:sz w:val="20"/>
          <w:szCs w:val="20"/>
        </w:rPr>
        <w:t xml:space="preserve">January 1990 to December 2018, </w:t>
      </w:r>
      <w:r w:rsidRPr="00CE0DE7">
        <w:rPr>
          <w:rFonts w:hint="eastAsia"/>
          <w:sz w:val="20"/>
          <w:szCs w:val="20"/>
          <w:lang w:eastAsia="zh-CN"/>
        </w:rPr>
        <w:t xml:space="preserve">and </w:t>
      </w:r>
      <w:r w:rsidRPr="00CE0DE7">
        <w:rPr>
          <w:sz w:val="20"/>
          <w:szCs w:val="20"/>
          <w:lang w:eastAsia="zh-CN"/>
        </w:rPr>
        <w:t>four</w:t>
      </w:r>
      <w:r w:rsidRPr="00CE0DE7">
        <w:rPr>
          <w:rFonts w:hint="eastAsia"/>
          <w:sz w:val="20"/>
          <w:szCs w:val="20"/>
          <w:lang w:eastAsia="zh-CN"/>
        </w:rPr>
        <w:t xml:space="preserve"> </w:t>
      </w:r>
      <w:r w:rsidRPr="00CE0DE7">
        <w:rPr>
          <w:sz w:val="20"/>
          <w:szCs w:val="20"/>
        </w:rPr>
        <w:t>sub-</w:t>
      </w:r>
      <w:r w:rsidRPr="00CE0DE7">
        <w:rPr>
          <w:rFonts w:hint="eastAsia"/>
          <w:sz w:val="20"/>
          <w:szCs w:val="20"/>
          <w:lang w:eastAsia="zh-CN"/>
        </w:rPr>
        <w:t>samples</w:t>
      </w:r>
      <w:r w:rsidRPr="00CE0DE7">
        <w:rPr>
          <w:sz w:val="20"/>
          <w:szCs w:val="20"/>
        </w:rPr>
        <w:t xml:space="preserve"> </w:t>
      </w:r>
      <w:r w:rsidRPr="00CE0DE7">
        <w:rPr>
          <w:rFonts w:hint="eastAsia"/>
          <w:sz w:val="20"/>
          <w:szCs w:val="20"/>
          <w:lang w:eastAsia="zh-CN"/>
        </w:rPr>
        <w:t xml:space="preserve">from </w:t>
      </w:r>
      <w:r w:rsidRPr="00CE0DE7">
        <w:rPr>
          <w:sz w:val="20"/>
          <w:szCs w:val="20"/>
        </w:rPr>
        <w:t>January 1990</w:t>
      </w:r>
      <w:r w:rsidR="00B26548" w:rsidRPr="00CE0DE7">
        <w:rPr>
          <w:rFonts w:hint="eastAsia"/>
          <w:sz w:val="20"/>
          <w:szCs w:val="20"/>
          <w:lang w:eastAsia="zh-CN"/>
        </w:rPr>
        <w:t xml:space="preserve"> to </w:t>
      </w:r>
      <w:r w:rsidR="00B26548" w:rsidRPr="00CE0DE7">
        <w:rPr>
          <w:sz w:val="20"/>
          <w:szCs w:val="20"/>
        </w:rPr>
        <w:t>December 2012, January 1992</w:t>
      </w:r>
      <w:r w:rsidR="00B26548" w:rsidRPr="00CE0DE7">
        <w:rPr>
          <w:rFonts w:hint="eastAsia"/>
          <w:sz w:val="20"/>
          <w:szCs w:val="20"/>
          <w:lang w:eastAsia="zh-CN"/>
        </w:rPr>
        <w:t xml:space="preserve"> to </w:t>
      </w:r>
      <w:r w:rsidRPr="00CE0DE7">
        <w:rPr>
          <w:sz w:val="20"/>
          <w:szCs w:val="20"/>
        </w:rPr>
        <w:t>December 2014, January 1994</w:t>
      </w:r>
      <w:r w:rsidR="00B26548" w:rsidRPr="00CE0DE7">
        <w:rPr>
          <w:rFonts w:hint="eastAsia"/>
          <w:sz w:val="20"/>
          <w:szCs w:val="20"/>
          <w:lang w:eastAsia="zh-CN"/>
        </w:rPr>
        <w:t xml:space="preserve"> to </w:t>
      </w:r>
      <w:r w:rsidRPr="00CE0DE7">
        <w:rPr>
          <w:sz w:val="20"/>
          <w:szCs w:val="20"/>
        </w:rPr>
        <w:t>December 2016, and January 1996</w:t>
      </w:r>
      <w:r w:rsidR="00B26548" w:rsidRPr="00CE0DE7">
        <w:rPr>
          <w:rFonts w:hint="eastAsia"/>
          <w:sz w:val="20"/>
          <w:szCs w:val="20"/>
          <w:lang w:eastAsia="zh-CN"/>
        </w:rPr>
        <w:t xml:space="preserve"> to </w:t>
      </w:r>
      <w:r w:rsidRPr="00CE0DE7">
        <w:rPr>
          <w:sz w:val="20"/>
          <w:szCs w:val="20"/>
        </w:rPr>
        <w:t xml:space="preserve">December 2018. </w:t>
      </w:r>
    </w:p>
    <w:p w14:paraId="38C16240" w14:textId="33C7060E" w:rsidR="00272A52" w:rsidRDefault="00272A52" w:rsidP="00C30160">
      <w:pPr>
        <w:adjustRightInd w:val="0"/>
        <w:snapToGrid w:val="0"/>
        <w:jc w:val="both"/>
        <w:rPr>
          <w:sz w:val="20"/>
          <w:szCs w:val="20"/>
        </w:rPr>
      </w:pPr>
    </w:p>
    <w:p w14:paraId="75400E44" w14:textId="77777777" w:rsidR="004C1F68" w:rsidRDefault="004C1F68" w:rsidP="00C30160">
      <w:pPr>
        <w:adjustRightInd w:val="0"/>
        <w:snapToGrid w:val="0"/>
        <w:jc w:val="both"/>
        <w:rPr>
          <w:sz w:val="20"/>
          <w:szCs w:val="20"/>
        </w:rPr>
      </w:pPr>
    </w:p>
    <w:p w14:paraId="2D100C72" w14:textId="77777777" w:rsidR="00F13DF5" w:rsidRDefault="00F13DF5" w:rsidP="00C30160">
      <w:pPr>
        <w:adjustRightInd w:val="0"/>
        <w:snapToGrid w:val="0"/>
        <w:jc w:val="both"/>
        <w:rPr>
          <w:sz w:val="20"/>
          <w:szCs w:val="20"/>
        </w:rPr>
      </w:pPr>
    </w:p>
    <w:p w14:paraId="4EF188B5" w14:textId="77777777" w:rsidR="00C30160" w:rsidRPr="00CE0DE7" w:rsidRDefault="00C30160" w:rsidP="00C30160">
      <w:pPr>
        <w:adjustRightInd w:val="0"/>
        <w:snapToGrid w:val="0"/>
        <w:jc w:val="both"/>
        <w:rPr>
          <w:bCs/>
          <w:sz w:val="20"/>
          <w:szCs w:val="20"/>
        </w:rPr>
      </w:pPr>
      <w:r w:rsidRPr="00CE0DE7">
        <w:rPr>
          <w:b/>
          <w:bCs/>
          <w:sz w:val="20"/>
          <w:szCs w:val="20"/>
        </w:rPr>
        <w:lastRenderedPageBreak/>
        <w:t>Fig</w:t>
      </w:r>
      <w:r w:rsidRPr="00CE0DE7">
        <w:rPr>
          <w:rFonts w:hint="eastAsia"/>
          <w:b/>
          <w:bCs/>
          <w:sz w:val="20"/>
          <w:szCs w:val="20"/>
          <w:lang w:eastAsia="zh-CN"/>
        </w:rPr>
        <w:t>ure</w:t>
      </w:r>
      <w:r w:rsidRPr="00CE0DE7">
        <w:rPr>
          <w:b/>
          <w:bCs/>
          <w:sz w:val="20"/>
          <w:szCs w:val="20"/>
        </w:rPr>
        <w:t xml:space="preserve"> 1. Generalized impulse response functions for sock returns, illiquidity and </w:t>
      </w:r>
      <w:r w:rsidRPr="00CE0DE7">
        <w:rPr>
          <w:rFonts w:hint="eastAsia"/>
          <w:b/>
          <w:bCs/>
          <w:sz w:val="20"/>
          <w:szCs w:val="20"/>
          <w:lang w:eastAsia="zh-CN"/>
        </w:rPr>
        <w:t xml:space="preserve">the </w:t>
      </w:r>
      <w:r w:rsidRPr="00CE0DE7">
        <w:rPr>
          <w:b/>
          <w:bCs/>
          <w:sz w:val="20"/>
          <w:szCs w:val="20"/>
        </w:rPr>
        <w:t>VRP with control variables</w:t>
      </w:r>
      <w:r w:rsidRPr="00CE0DE7">
        <w:rPr>
          <w:bCs/>
          <w:sz w:val="20"/>
          <w:szCs w:val="20"/>
        </w:rPr>
        <w:t xml:space="preserve"> </w:t>
      </w:r>
    </w:p>
    <w:p w14:paraId="23166DF5" w14:textId="77777777" w:rsidR="00C30160" w:rsidRPr="00CE0DE7" w:rsidRDefault="00C30160" w:rsidP="00C30160">
      <w:pPr>
        <w:adjustRightInd w:val="0"/>
        <w:snapToGrid w:val="0"/>
        <w:jc w:val="both"/>
        <w:rPr>
          <w:bCs/>
          <w:sz w:val="20"/>
          <w:szCs w:val="20"/>
        </w:rPr>
      </w:pPr>
    </w:p>
    <w:p w14:paraId="443EA52D" w14:textId="77777777" w:rsidR="00C30160" w:rsidRPr="00CE0DE7" w:rsidRDefault="00C30160" w:rsidP="00C30160">
      <w:pPr>
        <w:adjustRightInd w:val="0"/>
        <w:snapToGrid w:val="0"/>
        <w:rPr>
          <w:sz w:val="20"/>
          <w:szCs w:val="20"/>
        </w:rPr>
      </w:pPr>
    </w:p>
    <w:p w14:paraId="32539507" w14:textId="054C60DA" w:rsidR="00C30160" w:rsidRPr="00D76513" w:rsidRDefault="00C30160" w:rsidP="00C30160">
      <w:pPr>
        <w:adjustRightInd w:val="0"/>
        <w:snapToGrid w:val="0"/>
        <w:rPr>
          <w:i/>
          <w:sz w:val="20"/>
          <w:szCs w:val="20"/>
          <w:lang w:eastAsia="zh-CN"/>
        </w:rPr>
      </w:pPr>
      <w:r w:rsidRPr="004D1D44">
        <w:rPr>
          <w:sz w:val="20"/>
          <w:szCs w:val="20"/>
        </w:rPr>
        <w:t>Panel A.</w:t>
      </w:r>
      <w:r w:rsidRPr="004D1D44">
        <w:rPr>
          <w:b/>
          <w:sz w:val="20"/>
          <w:szCs w:val="20"/>
        </w:rPr>
        <w:t xml:space="preserve"> </w:t>
      </w:r>
      <w:r w:rsidRPr="004D1D44">
        <w:rPr>
          <w:sz w:val="20"/>
          <w:szCs w:val="20"/>
        </w:rPr>
        <w:t xml:space="preserve">The response of </w:t>
      </w:r>
      <w:r w:rsidRPr="004D1D44">
        <w:rPr>
          <w:i/>
          <w:sz w:val="20"/>
          <w:szCs w:val="20"/>
          <w:lang w:eastAsia="zh-CN"/>
        </w:rPr>
        <w:t>VW</w:t>
      </w:r>
      <w:r w:rsidR="00D76513" w:rsidRPr="004D1D44">
        <w:rPr>
          <w:i/>
          <w:sz w:val="20"/>
          <w:szCs w:val="20"/>
          <w:lang w:eastAsia="zh-CN"/>
        </w:rPr>
        <w:t xml:space="preserve"> </w:t>
      </w:r>
    </w:p>
    <w:p w14:paraId="4B88F3AD" w14:textId="77777777" w:rsidR="00C30160" w:rsidRPr="00CE0DE7" w:rsidRDefault="00C30160" w:rsidP="00C30160">
      <w:pPr>
        <w:adjustRightInd w:val="0"/>
        <w:snapToGrid w:val="0"/>
        <w:rPr>
          <w:i/>
          <w:sz w:val="20"/>
          <w:szCs w:val="20"/>
          <w:lang w:eastAsia="zh-CN"/>
        </w:rPr>
      </w:pPr>
    </w:p>
    <w:p w14:paraId="5FF90E49" w14:textId="74CE75F5" w:rsidR="00C30160" w:rsidRPr="00CE0DE7" w:rsidRDefault="00D76513" w:rsidP="00C30160">
      <w:pPr>
        <w:adjustRightInd w:val="0"/>
        <w:snapToGrid w:val="0"/>
        <w:rPr>
          <w:i/>
          <w:sz w:val="20"/>
          <w:szCs w:val="20"/>
          <w:lang w:eastAsia="zh-CN"/>
        </w:rPr>
      </w:pPr>
      <w:r w:rsidRPr="00CE0DE7">
        <w:object w:dxaOrig="7425" w:dyaOrig="5295" w14:anchorId="378C6D4C">
          <v:shape id="_x0000_i1045" type="#_x0000_t75" style="width:90.8pt;height:123.35pt" o:ole="">
            <v:imagedata r:id="rId51" o:title=""/>
          </v:shape>
          <o:OLEObject Type="Embed" ProgID="EViews.Workfile.2" ShapeID="_x0000_i1045" DrawAspect="Content" ObjectID="_1674838660" r:id="rId52"/>
        </w:object>
      </w:r>
      <w:r w:rsidR="00440039" w:rsidRPr="00CE0DE7">
        <w:object w:dxaOrig="7425" w:dyaOrig="5295" w14:anchorId="2149DB2C">
          <v:shape id="_x0000_i1046" type="#_x0000_t75" style="width:90.8pt;height:123.35pt" o:ole="">
            <v:imagedata r:id="rId53" o:title=""/>
          </v:shape>
          <o:OLEObject Type="Embed" ProgID="EViews.Workfile.2" ShapeID="_x0000_i1046" DrawAspect="Content" ObjectID="_1674838661" r:id="rId54"/>
        </w:object>
      </w:r>
      <w:r w:rsidR="004D1D44" w:rsidRPr="00CE0DE7">
        <w:object w:dxaOrig="7425" w:dyaOrig="5295" w14:anchorId="2969E34E">
          <v:shape id="_x0000_i1047" type="#_x0000_t75" style="width:88.3pt;height:124.6pt" o:ole="">
            <v:imagedata r:id="rId55" o:title=""/>
          </v:shape>
          <o:OLEObject Type="Embed" ProgID="EViews.Workfile.2" ShapeID="_x0000_i1047" DrawAspect="Content" ObjectID="_1674838662" r:id="rId56"/>
        </w:object>
      </w:r>
      <w:r w:rsidR="00440039" w:rsidRPr="00CE0DE7">
        <w:object w:dxaOrig="7425" w:dyaOrig="5295" w14:anchorId="5E41E347">
          <v:shape id="_x0000_i1048" type="#_x0000_t75" style="width:90.8pt;height:124.6pt" o:ole="">
            <v:imagedata r:id="rId57" o:title=""/>
          </v:shape>
          <o:OLEObject Type="Embed" ProgID="EViews.Workfile.2" ShapeID="_x0000_i1048" DrawAspect="Content" ObjectID="_1674838663" r:id="rId58"/>
        </w:object>
      </w:r>
      <w:r w:rsidR="00440039" w:rsidRPr="00CE0DE7">
        <w:object w:dxaOrig="7425" w:dyaOrig="5295" w14:anchorId="20B9009F">
          <v:shape id="_x0000_i1049" type="#_x0000_t75" style="width:88.3pt;height:123.35pt" o:ole="">
            <v:imagedata r:id="rId59" o:title=""/>
          </v:shape>
          <o:OLEObject Type="Embed" ProgID="EViews.Workfile.2" ShapeID="_x0000_i1049" DrawAspect="Content" ObjectID="_1674838664" r:id="rId60"/>
        </w:object>
      </w:r>
    </w:p>
    <w:p w14:paraId="70A5E992" w14:textId="77777777" w:rsidR="00C30160" w:rsidRPr="00CE0DE7" w:rsidRDefault="00C30160" w:rsidP="00C30160">
      <w:pPr>
        <w:adjustRightInd w:val="0"/>
        <w:snapToGrid w:val="0"/>
        <w:rPr>
          <w:i/>
          <w:sz w:val="20"/>
          <w:szCs w:val="20"/>
          <w:lang w:eastAsia="zh-CN"/>
        </w:rPr>
      </w:pPr>
    </w:p>
    <w:p w14:paraId="27FE8B30" w14:textId="77777777" w:rsidR="00C30160" w:rsidRPr="00CE0DE7" w:rsidRDefault="00C30160" w:rsidP="00C30160">
      <w:pPr>
        <w:adjustRightInd w:val="0"/>
        <w:snapToGrid w:val="0"/>
        <w:rPr>
          <w:i/>
          <w:sz w:val="20"/>
          <w:szCs w:val="20"/>
          <w:lang w:eastAsia="zh-CN"/>
        </w:rPr>
      </w:pPr>
      <w:r w:rsidRPr="00CE0DE7">
        <w:rPr>
          <w:sz w:val="20"/>
          <w:szCs w:val="20"/>
        </w:rPr>
        <w:t>Panel B</w:t>
      </w:r>
      <w:r w:rsidRPr="00CE0DE7">
        <w:rPr>
          <w:b/>
          <w:sz w:val="20"/>
          <w:szCs w:val="20"/>
        </w:rPr>
        <w:t xml:space="preserve">. </w:t>
      </w:r>
      <w:r w:rsidRPr="00CE0DE7">
        <w:rPr>
          <w:sz w:val="20"/>
          <w:szCs w:val="20"/>
        </w:rPr>
        <w:t xml:space="preserve">The response of </w:t>
      </w:r>
      <w:r w:rsidRPr="00CE0DE7">
        <w:rPr>
          <w:i/>
          <w:sz w:val="20"/>
          <w:szCs w:val="20"/>
          <w:lang w:eastAsia="zh-CN"/>
        </w:rPr>
        <w:t>INDEX</w:t>
      </w:r>
    </w:p>
    <w:p w14:paraId="6B2E81BB" w14:textId="77777777" w:rsidR="00C30160" w:rsidRPr="00CE0DE7" w:rsidRDefault="00C30160" w:rsidP="00C30160">
      <w:pPr>
        <w:adjustRightInd w:val="0"/>
        <w:snapToGrid w:val="0"/>
        <w:rPr>
          <w:i/>
          <w:sz w:val="20"/>
          <w:szCs w:val="20"/>
          <w:lang w:eastAsia="zh-CN"/>
        </w:rPr>
      </w:pPr>
    </w:p>
    <w:p w14:paraId="7233E635" w14:textId="03C419BF" w:rsidR="00C30160" w:rsidRPr="00CE0DE7" w:rsidRDefault="004D1D44" w:rsidP="00C30160">
      <w:pPr>
        <w:adjustRightInd w:val="0"/>
        <w:snapToGrid w:val="0"/>
        <w:rPr>
          <w:sz w:val="20"/>
          <w:szCs w:val="20"/>
          <w:lang w:eastAsia="zh-CN"/>
        </w:rPr>
      </w:pPr>
      <w:r w:rsidRPr="00CE0DE7">
        <w:object w:dxaOrig="7425" w:dyaOrig="5295" w14:anchorId="7459A7D4">
          <v:shape id="_x0000_i1050" type="#_x0000_t75" style="width:89.55pt;height:123.35pt" o:ole="">
            <v:imagedata r:id="rId61" o:title=""/>
          </v:shape>
          <o:OLEObject Type="Embed" ProgID="EViews.Workfile.2" ShapeID="_x0000_i1050" DrawAspect="Content" ObjectID="_1674838665" r:id="rId62"/>
        </w:object>
      </w:r>
      <w:r w:rsidRPr="00CE0DE7">
        <w:object w:dxaOrig="7425" w:dyaOrig="5295" w14:anchorId="2E886894">
          <v:shape id="_x0000_i1051" type="#_x0000_t75" style="width:93.9pt;height:123.35pt" o:ole="">
            <v:imagedata r:id="rId63" o:title=""/>
          </v:shape>
          <o:OLEObject Type="Embed" ProgID="EViews.Workfile.2" ShapeID="_x0000_i1051" DrawAspect="Content" ObjectID="_1674838666" r:id="rId64"/>
        </w:object>
      </w:r>
      <w:r w:rsidRPr="00CE0DE7">
        <w:object w:dxaOrig="7425" w:dyaOrig="5295" w14:anchorId="4220B348">
          <v:shape id="_x0000_i1052" type="#_x0000_t75" style="width:86.4pt;height:123.35pt" o:ole="">
            <v:imagedata r:id="rId65" o:title=""/>
          </v:shape>
          <o:OLEObject Type="Embed" ProgID="EViews.Workfile.2" ShapeID="_x0000_i1052" DrawAspect="Content" ObjectID="_1674838667" r:id="rId66"/>
        </w:object>
      </w:r>
      <w:r w:rsidR="00440039" w:rsidRPr="00CE0DE7">
        <w:object w:dxaOrig="7425" w:dyaOrig="5295" w14:anchorId="7B8AAFDD">
          <v:shape id="_x0000_i1053" type="#_x0000_t75" style="width:88.3pt;height:125.2pt" o:ole="">
            <v:imagedata r:id="rId67" o:title=""/>
          </v:shape>
          <o:OLEObject Type="Embed" ProgID="EViews.Workfile.2" ShapeID="_x0000_i1053" DrawAspect="Content" ObjectID="_1674838668" r:id="rId68"/>
        </w:object>
      </w:r>
      <w:r w:rsidRPr="00CE0DE7">
        <w:object w:dxaOrig="7425" w:dyaOrig="5295" w14:anchorId="1289A1E8">
          <v:shape id="_x0000_i1054" type="#_x0000_t75" style="width:89.55pt;height:125.2pt" o:ole="">
            <v:imagedata r:id="rId69" o:title=""/>
          </v:shape>
          <o:OLEObject Type="Embed" ProgID="EViews.Workfile.2" ShapeID="_x0000_i1054" DrawAspect="Content" ObjectID="_1674838669" r:id="rId70"/>
        </w:object>
      </w:r>
    </w:p>
    <w:p w14:paraId="4C136215" w14:textId="77777777" w:rsidR="00C30160" w:rsidRPr="00CE0DE7" w:rsidRDefault="00C30160" w:rsidP="00C30160">
      <w:pPr>
        <w:adjustRightInd w:val="0"/>
        <w:snapToGrid w:val="0"/>
        <w:rPr>
          <w:i/>
          <w:sz w:val="20"/>
          <w:szCs w:val="20"/>
          <w:lang w:eastAsia="zh-CN"/>
        </w:rPr>
      </w:pPr>
    </w:p>
    <w:p w14:paraId="1EA6AFF3" w14:textId="77777777" w:rsidR="00C30160" w:rsidRPr="00CE0DE7" w:rsidRDefault="00C30160" w:rsidP="00C30160">
      <w:pPr>
        <w:adjustRightInd w:val="0"/>
        <w:snapToGrid w:val="0"/>
        <w:rPr>
          <w:rFonts w:eastAsia="Times New Roman"/>
          <w:i/>
          <w:iCs/>
          <w:color w:val="000000"/>
          <w:sz w:val="20"/>
          <w:szCs w:val="20"/>
          <w:vertAlign w:val="superscript"/>
          <w:lang w:eastAsia="zh-CN"/>
        </w:rPr>
      </w:pPr>
      <w:r w:rsidRPr="00CE0DE7">
        <w:rPr>
          <w:sz w:val="20"/>
          <w:szCs w:val="20"/>
        </w:rPr>
        <w:t>Panel C.</w:t>
      </w:r>
      <w:r w:rsidRPr="00CE0DE7">
        <w:rPr>
          <w:b/>
          <w:sz w:val="20"/>
          <w:szCs w:val="20"/>
        </w:rPr>
        <w:t xml:space="preserve"> </w:t>
      </w:r>
      <w:r w:rsidRPr="00CE0DE7">
        <w:rPr>
          <w:sz w:val="20"/>
          <w:szCs w:val="20"/>
        </w:rPr>
        <w:t xml:space="preserve">The response of </w:t>
      </w:r>
      <w:r w:rsidRPr="00CE0DE7">
        <w:rPr>
          <w:rFonts w:eastAsia="Times New Roman"/>
          <w:i/>
          <w:iCs/>
          <w:color w:val="000000"/>
          <w:sz w:val="20"/>
          <w:szCs w:val="20"/>
          <w:lang w:eastAsia="zh-CN"/>
        </w:rPr>
        <w:t>ILLIQ</w:t>
      </w:r>
      <w:r w:rsidRPr="00CE0DE7">
        <w:rPr>
          <w:rFonts w:eastAsia="Times New Roman"/>
          <w:i/>
          <w:iCs/>
          <w:color w:val="000000"/>
          <w:sz w:val="20"/>
          <w:szCs w:val="20"/>
          <w:vertAlign w:val="superscript"/>
          <w:lang w:eastAsia="zh-CN"/>
        </w:rPr>
        <w:t>NYSE</w:t>
      </w:r>
    </w:p>
    <w:p w14:paraId="7BB8BB77" w14:textId="77777777" w:rsidR="00C30160" w:rsidRPr="00CE0DE7" w:rsidRDefault="00C30160" w:rsidP="00C30160">
      <w:pPr>
        <w:adjustRightInd w:val="0"/>
        <w:snapToGrid w:val="0"/>
        <w:rPr>
          <w:rFonts w:ascii="Calibri" w:eastAsia="Times New Roman" w:hAnsi="Calibri"/>
          <w:iCs/>
          <w:color w:val="000000"/>
          <w:sz w:val="20"/>
          <w:szCs w:val="20"/>
          <w:lang w:eastAsia="zh-CN"/>
        </w:rPr>
      </w:pPr>
    </w:p>
    <w:p w14:paraId="78FCBB4A" w14:textId="106E6D5E" w:rsidR="00C30160" w:rsidRPr="00CE0DE7" w:rsidRDefault="004D1D44" w:rsidP="00C30160">
      <w:pPr>
        <w:adjustRightInd w:val="0"/>
        <w:snapToGrid w:val="0"/>
        <w:rPr>
          <w:rFonts w:ascii="Calibri" w:eastAsia="Times New Roman" w:hAnsi="Calibri"/>
          <w:iCs/>
          <w:color w:val="000000"/>
          <w:sz w:val="20"/>
          <w:szCs w:val="20"/>
          <w:lang w:eastAsia="zh-CN"/>
        </w:rPr>
      </w:pPr>
      <w:r w:rsidRPr="00CE0DE7">
        <w:object w:dxaOrig="7485" w:dyaOrig="5295" w14:anchorId="4514F50F">
          <v:shape id="_x0000_i1055" type="#_x0000_t75" style="width:89.55pt;height:123.35pt" o:ole="">
            <v:imagedata r:id="rId71" o:title=""/>
          </v:shape>
          <o:OLEObject Type="Embed" ProgID="EViews.Workfile.2" ShapeID="_x0000_i1055" DrawAspect="Content" ObjectID="_1674838670" r:id="rId72"/>
        </w:object>
      </w:r>
      <w:r w:rsidRPr="00CE0DE7">
        <w:object w:dxaOrig="7380" w:dyaOrig="5295" w14:anchorId="500A07A1">
          <v:shape id="_x0000_i1056" type="#_x0000_t75" style="width:93.3pt;height:123.35pt" o:ole="">
            <v:imagedata r:id="rId73" o:title=""/>
          </v:shape>
          <o:OLEObject Type="Embed" ProgID="EViews.Workfile.2" ShapeID="_x0000_i1056" DrawAspect="Content" ObjectID="_1674838671" r:id="rId74"/>
        </w:object>
      </w:r>
      <w:r w:rsidRPr="00CE0DE7">
        <w:object w:dxaOrig="7380" w:dyaOrig="5295" w14:anchorId="2BD39AC2">
          <v:shape id="_x0000_i1057" type="#_x0000_t75" style="width:86.4pt;height:123.35pt" o:ole="">
            <v:imagedata r:id="rId75" o:title=""/>
          </v:shape>
          <o:OLEObject Type="Embed" ProgID="EViews.Workfile.2" ShapeID="_x0000_i1057" DrawAspect="Content" ObjectID="_1674838672" r:id="rId76"/>
        </w:object>
      </w:r>
      <w:r w:rsidRPr="00CE0DE7">
        <w:object w:dxaOrig="7380" w:dyaOrig="5295" w14:anchorId="6FE4D433">
          <v:shape id="_x0000_i1058" type="#_x0000_t75" style="width:89.55pt;height:123.35pt" o:ole="">
            <v:imagedata r:id="rId77" o:title=""/>
          </v:shape>
          <o:OLEObject Type="Embed" ProgID="EViews.Workfile.2" ShapeID="_x0000_i1058" DrawAspect="Content" ObjectID="_1674838673" r:id="rId78"/>
        </w:object>
      </w:r>
      <w:r w:rsidRPr="00CE0DE7">
        <w:object w:dxaOrig="7485" w:dyaOrig="5295" w14:anchorId="38AD8C8F">
          <v:shape id="_x0000_i1059" type="#_x0000_t75" style="width:89.55pt;height:123.35pt" o:ole="">
            <v:imagedata r:id="rId79" o:title=""/>
          </v:shape>
          <o:OLEObject Type="Embed" ProgID="EViews.Workfile.2" ShapeID="_x0000_i1059" DrawAspect="Content" ObjectID="_1674838674" r:id="rId80"/>
        </w:object>
      </w:r>
    </w:p>
    <w:p w14:paraId="12A9F7DA" w14:textId="77777777" w:rsidR="00C30160" w:rsidRPr="00CE0DE7" w:rsidRDefault="00C30160" w:rsidP="00C30160">
      <w:pPr>
        <w:adjustRightInd w:val="0"/>
        <w:snapToGrid w:val="0"/>
        <w:rPr>
          <w:sz w:val="20"/>
          <w:szCs w:val="20"/>
        </w:rPr>
      </w:pPr>
    </w:p>
    <w:p w14:paraId="1D962450" w14:textId="77777777" w:rsidR="00C30160" w:rsidRPr="00CE0DE7" w:rsidRDefault="00C30160" w:rsidP="00C30160">
      <w:pPr>
        <w:adjustRightInd w:val="0"/>
        <w:snapToGrid w:val="0"/>
        <w:rPr>
          <w:sz w:val="20"/>
          <w:szCs w:val="20"/>
        </w:rPr>
      </w:pPr>
    </w:p>
    <w:p w14:paraId="23FBDACB" w14:textId="77777777" w:rsidR="00C30160" w:rsidRPr="00CE0DE7" w:rsidRDefault="00C30160" w:rsidP="00C30160">
      <w:pPr>
        <w:adjustRightInd w:val="0"/>
        <w:snapToGrid w:val="0"/>
        <w:rPr>
          <w:rFonts w:eastAsia="Times New Roman"/>
          <w:i/>
          <w:iCs/>
          <w:color w:val="000000"/>
          <w:sz w:val="20"/>
          <w:szCs w:val="20"/>
          <w:vertAlign w:val="superscript"/>
          <w:lang w:eastAsia="zh-CN"/>
        </w:rPr>
      </w:pPr>
      <w:r w:rsidRPr="00CE0DE7">
        <w:rPr>
          <w:sz w:val="20"/>
          <w:szCs w:val="20"/>
        </w:rPr>
        <w:t>Panel D.</w:t>
      </w:r>
      <w:r w:rsidRPr="00CE0DE7">
        <w:rPr>
          <w:b/>
          <w:sz w:val="20"/>
          <w:szCs w:val="20"/>
        </w:rPr>
        <w:t xml:space="preserve"> </w:t>
      </w:r>
      <w:r w:rsidRPr="00CE0DE7">
        <w:rPr>
          <w:sz w:val="20"/>
          <w:szCs w:val="20"/>
        </w:rPr>
        <w:t>The response of</w:t>
      </w:r>
      <w:r w:rsidRPr="00CE0DE7">
        <w:rPr>
          <w:rFonts w:eastAsia="Times New Roman"/>
          <w:i/>
          <w:iCs/>
          <w:color w:val="000000"/>
          <w:sz w:val="20"/>
          <w:szCs w:val="20"/>
          <w:lang w:eastAsia="zh-CN"/>
        </w:rPr>
        <w:t xml:space="preserve"> ILLIQ</w:t>
      </w:r>
      <w:r w:rsidRPr="00CE0DE7">
        <w:rPr>
          <w:rFonts w:eastAsia="Times New Roman"/>
          <w:i/>
          <w:iCs/>
          <w:color w:val="000000"/>
          <w:sz w:val="20"/>
          <w:szCs w:val="20"/>
          <w:vertAlign w:val="superscript"/>
          <w:lang w:eastAsia="zh-CN"/>
        </w:rPr>
        <w:t>SP500</w:t>
      </w:r>
    </w:p>
    <w:p w14:paraId="10056D66" w14:textId="77777777" w:rsidR="00C30160" w:rsidRPr="00CE0DE7" w:rsidRDefault="00C30160" w:rsidP="00C30160">
      <w:pPr>
        <w:adjustRightInd w:val="0"/>
        <w:snapToGrid w:val="0"/>
        <w:rPr>
          <w:sz w:val="20"/>
          <w:szCs w:val="20"/>
        </w:rPr>
      </w:pPr>
    </w:p>
    <w:p w14:paraId="3B4298C1" w14:textId="443C0658" w:rsidR="00C30160" w:rsidRPr="00CE0DE7" w:rsidRDefault="004D1D44" w:rsidP="00C30160">
      <w:pPr>
        <w:tabs>
          <w:tab w:val="left" w:pos="6490"/>
        </w:tabs>
        <w:adjustRightInd w:val="0"/>
        <w:snapToGrid w:val="0"/>
        <w:rPr>
          <w:sz w:val="20"/>
          <w:szCs w:val="20"/>
        </w:rPr>
      </w:pPr>
      <w:r w:rsidRPr="00CE0DE7">
        <w:object w:dxaOrig="7485" w:dyaOrig="5295" w14:anchorId="74F6104E">
          <v:shape id="_x0000_i1060" type="#_x0000_t75" style="width:89.55pt;height:127.1pt" o:ole="">
            <v:imagedata r:id="rId81" o:title=""/>
          </v:shape>
          <o:OLEObject Type="Embed" ProgID="EViews.Workfile.2" ShapeID="_x0000_i1060" DrawAspect="Content" ObjectID="_1674838675" r:id="rId82"/>
        </w:object>
      </w:r>
      <w:r w:rsidRPr="00CE0DE7">
        <w:object w:dxaOrig="7485" w:dyaOrig="5295" w14:anchorId="1EDC6FAF">
          <v:shape id="_x0000_i1061" type="#_x0000_t75" style="width:89.55pt;height:127.1pt" o:ole="">
            <v:imagedata r:id="rId83" o:title=""/>
          </v:shape>
          <o:OLEObject Type="Embed" ProgID="EViews.Workfile.2" ShapeID="_x0000_i1061" DrawAspect="Content" ObjectID="_1674838676" r:id="rId84"/>
        </w:object>
      </w:r>
      <w:r w:rsidRPr="00CE0DE7">
        <w:object w:dxaOrig="7485" w:dyaOrig="5295" w14:anchorId="09B53D0E">
          <v:shape id="_x0000_i1062" type="#_x0000_t75" style="width:89.55pt;height:127.1pt" o:ole="">
            <v:imagedata r:id="rId85" o:title=""/>
          </v:shape>
          <o:OLEObject Type="Embed" ProgID="EViews.Workfile.2" ShapeID="_x0000_i1062" DrawAspect="Content" ObjectID="_1674838677" r:id="rId86"/>
        </w:object>
      </w:r>
      <w:r w:rsidRPr="00CE0DE7">
        <w:object w:dxaOrig="7380" w:dyaOrig="5295" w14:anchorId="08F40992">
          <v:shape id="_x0000_i1063" type="#_x0000_t75" style="width:87.05pt;height:127.1pt" o:ole="">
            <v:imagedata r:id="rId87" o:title=""/>
          </v:shape>
          <o:OLEObject Type="Embed" ProgID="EViews.Workfile.2" ShapeID="_x0000_i1063" DrawAspect="Content" ObjectID="_1674838678" r:id="rId88"/>
        </w:object>
      </w:r>
      <w:r w:rsidRPr="00CE0DE7">
        <w:object w:dxaOrig="7485" w:dyaOrig="5295" w14:anchorId="151FE475">
          <v:shape id="_x0000_i1064" type="#_x0000_t75" style="width:88.9pt;height:127.1pt" o:ole="">
            <v:imagedata r:id="rId89" o:title=""/>
          </v:shape>
          <o:OLEObject Type="Embed" ProgID="EViews.Workfile.2" ShapeID="_x0000_i1064" DrawAspect="Content" ObjectID="_1674838679" r:id="rId90"/>
        </w:object>
      </w:r>
      <w:r w:rsidR="00C30160" w:rsidRPr="00CE0DE7">
        <w:tab/>
      </w:r>
    </w:p>
    <w:p w14:paraId="43CD25F4" w14:textId="77777777" w:rsidR="00C30160" w:rsidRPr="00CE0DE7" w:rsidRDefault="00C30160" w:rsidP="00C30160">
      <w:pPr>
        <w:adjustRightInd w:val="0"/>
        <w:snapToGrid w:val="0"/>
        <w:rPr>
          <w:position w:val="-6"/>
          <w:sz w:val="20"/>
          <w:szCs w:val="20"/>
          <w:lang w:eastAsia="zh-CN"/>
        </w:rPr>
      </w:pPr>
      <w:r w:rsidRPr="00CE0DE7">
        <w:rPr>
          <w:sz w:val="20"/>
          <w:szCs w:val="20"/>
        </w:rPr>
        <w:lastRenderedPageBreak/>
        <w:t>Panel E</w:t>
      </w:r>
      <w:r w:rsidRPr="00CE0DE7">
        <w:rPr>
          <w:b/>
          <w:sz w:val="20"/>
          <w:szCs w:val="20"/>
        </w:rPr>
        <w:t xml:space="preserve">. </w:t>
      </w:r>
      <w:r w:rsidRPr="00CE0DE7">
        <w:rPr>
          <w:sz w:val="20"/>
          <w:szCs w:val="20"/>
        </w:rPr>
        <w:t xml:space="preserve">The response of </w:t>
      </w:r>
      <w:r w:rsidRPr="00CE0DE7">
        <w:rPr>
          <w:rFonts w:eastAsia="Times New Roman"/>
          <w:i/>
          <w:iCs/>
          <w:color w:val="000000"/>
          <w:sz w:val="20"/>
          <w:szCs w:val="20"/>
          <w:lang w:eastAsia="zh-CN"/>
        </w:rPr>
        <w:t>VRP</w:t>
      </w:r>
      <w:r w:rsidRPr="00CE0DE7">
        <w:rPr>
          <w:rFonts w:eastAsia="Times New Roman"/>
          <w:i/>
          <w:iCs/>
          <w:color w:val="000000"/>
          <w:sz w:val="20"/>
          <w:szCs w:val="20"/>
          <w:vertAlign w:val="superscript"/>
          <w:lang w:eastAsia="zh-CN"/>
        </w:rPr>
        <w:t>BTZ</w:t>
      </w:r>
    </w:p>
    <w:p w14:paraId="3035DFFA" w14:textId="77777777" w:rsidR="00C30160" w:rsidRPr="00CE0DE7" w:rsidRDefault="00C30160" w:rsidP="00C30160">
      <w:pPr>
        <w:adjustRightInd w:val="0"/>
        <w:snapToGrid w:val="0"/>
        <w:rPr>
          <w:b/>
          <w:sz w:val="20"/>
          <w:szCs w:val="20"/>
        </w:rPr>
      </w:pPr>
    </w:p>
    <w:p w14:paraId="1DDE4799" w14:textId="24421056" w:rsidR="00C30160" w:rsidRPr="00CE0DE7" w:rsidRDefault="004D1D44" w:rsidP="00C30160">
      <w:pPr>
        <w:adjustRightInd w:val="0"/>
        <w:snapToGrid w:val="0"/>
        <w:rPr>
          <w:b/>
          <w:sz w:val="20"/>
          <w:szCs w:val="20"/>
        </w:rPr>
      </w:pPr>
      <w:r w:rsidRPr="00CE0DE7">
        <w:object w:dxaOrig="7365" w:dyaOrig="5295" w14:anchorId="038C1BBF">
          <v:shape id="_x0000_i1065" type="#_x0000_t75" style="width:92.65pt;height:133.35pt" o:ole="">
            <v:imagedata r:id="rId91" o:title=""/>
          </v:shape>
          <o:OLEObject Type="Embed" ProgID="EViews.Workfile.2" ShapeID="_x0000_i1065" DrawAspect="Content" ObjectID="_1674838680" r:id="rId92"/>
        </w:object>
      </w:r>
      <w:r w:rsidRPr="00CE0DE7">
        <w:object w:dxaOrig="7365" w:dyaOrig="5295" w14:anchorId="31112D8D">
          <v:shape id="_x0000_i1066" type="#_x0000_t75" style="width:93.9pt;height:133.35pt" o:ole="">
            <v:imagedata r:id="rId93" o:title=""/>
          </v:shape>
          <o:OLEObject Type="Embed" ProgID="EViews.Workfile.2" ShapeID="_x0000_i1066" DrawAspect="Content" ObjectID="_1674838681" r:id="rId94"/>
        </w:object>
      </w:r>
      <w:r w:rsidRPr="00CE0DE7">
        <w:object w:dxaOrig="7425" w:dyaOrig="5295" w14:anchorId="7B0D58C7">
          <v:shape id="_x0000_i1067" type="#_x0000_t75" style="width:97.05pt;height:133.35pt" o:ole="">
            <v:imagedata r:id="rId95" o:title=""/>
          </v:shape>
          <o:OLEObject Type="Embed" ProgID="EViews.Workfile.2" ShapeID="_x0000_i1067" DrawAspect="Content" ObjectID="_1674838682" r:id="rId96"/>
        </w:object>
      </w:r>
      <w:r w:rsidRPr="00CE0DE7">
        <w:object w:dxaOrig="7365" w:dyaOrig="5295" w14:anchorId="4A13D356">
          <v:shape id="_x0000_i1068" type="#_x0000_t75" style="width:93.9pt;height:133.35pt" o:ole="">
            <v:imagedata r:id="rId97" o:title=""/>
          </v:shape>
          <o:OLEObject Type="Embed" ProgID="EViews.Workfile.2" ShapeID="_x0000_i1068" DrawAspect="Content" ObjectID="_1674838683" r:id="rId98"/>
        </w:object>
      </w:r>
    </w:p>
    <w:p w14:paraId="736D80E3" w14:textId="77777777" w:rsidR="00C30160" w:rsidRPr="00CE0DE7" w:rsidRDefault="00C30160" w:rsidP="00C30160">
      <w:pPr>
        <w:adjustRightInd w:val="0"/>
        <w:snapToGrid w:val="0"/>
        <w:rPr>
          <w:b/>
          <w:sz w:val="20"/>
          <w:szCs w:val="20"/>
        </w:rPr>
      </w:pPr>
    </w:p>
    <w:p w14:paraId="4AF6692B" w14:textId="77777777" w:rsidR="00C30160" w:rsidRPr="00CE0DE7" w:rsidRDefault="00C30160" w:rsidP="00C30160">
      <w:pPr>
        <w:adjustRightInd w:val="0"/>
        <w:snapToGrid w:val="0"/>
        <w:rPr>
          <w:b/>
          <w:sz w:val="20"/>
          <w:szCs w:val="20"/>
        </w:rPr>
      </w:pPr>
      <w:r w:rsidRPr="00CE0DE7">
        <w:rPr>
          <w:sz w:val="20"/>
          <w:szCs w:val="20"/>
        </w:rPr>
        <w:t>Panel F</w:t>
      </w:r>
      <w:r w:rsidRPr="00CE0DE7">
        <w:rPr>
          <w:b/>
          <w:sz w:val="20"/>
          <w:szCs w:val="20"/>
        </w:rPr>
        <w:t xml:space="preserve">. </w:t>
      </w:r>
      <w:r w:rsidRPr="00CE0DE7">
        <w:rPr>
          <w:sz w:val="20"/>
          <w:szCs w:val="20"/>
        </w:rPr>
        <w:t xml:space="preserve">The response of </w:t>
      </w:r>
      <w:r w:rsidRPr="00CE0DE7">
        <w:rPr>
          <w:rFonts w:eastAsia="Times New Roman"/>
          <w:i/>
          <w:iCs/>
          <w:color w:val="000000"/>
          <w:sz w:val="20"/>
          <w:szCs w:val="20"/>
          <w:lang w:eastAsia="zh-CN"/>
        </w:rPr>
        <w:t>VRP</w:t>
      </w:r>
      <w:r w:rsidRPr="00CE0DE7">
        <w:rPr>
          <w:rFonts w:eastAsia="Times New Roman"/>
          <w:i/>
          <w:iCs/>
          <w:color w:val="000000"/>
          <w:sz w:val="20"/>
          <w:szCs w:val="20"/>
          <w:vertAlign w:val="superscript"/>
          <w:lang w:eastAsia="zh-CN"/>
        </w:rPr>
        <w:t>CW</w:t>
      </w:r>
    </w:p>
    <w:p w14:paraId="6A2D7541" w14:textId="77777777" w:rsidR="00C30160" w:rsidRPr="00CE0DE7" w:rsidRDefault="00C30160" w:rsidP="00C30160">
      <w:pPr>
        <w:adjustRightInd w:val="0"/>
        <w:snapToGrid w:val="0"/>
        <w:rPr>
          <w:b/>
          <w:sz w:val="20"/>
          <w:szCs w:val="20"/>
        </w:rPr>
      </w:pPr>
    </w:p>
    <w:p w14:paraId="6CF82842" w14:textId="77777777" w:rsidR="00C30160" w:rsidRPr="00CE0DE7" w:rsidRDefault="00C30160" w:rsidP="00C30160">
      <w:pPr>
        <w:adjustRightInd w:val="0"/>
        <w:snapToGrid w:val="0"/>
        <w:rPr>
          <w:b/>
          <w:sz w:val="20"/>
          <w:szCs w:val="20"/>
        </w:rPr>
      </w:pPr>
    </w:p>
    <w:p w14:paraId="072D7087" w14:textId="7E37CE0B" w:rsidR="00C30160" w:rsidRPr="00CE0DE7" w:rsidRDefault="004D1D44" w:rsidP="00C30160">
      <w:pPr>
        <w:adjustRightInd w:val="0"/>
        <w:snapToGrid w:val="0"/>
        <w:rPr>
          <w:sz w:val="20"/>
          <w:szCs w:val="20"/>
        </w:rPr>
      </w:pPr>
      <w:r w:rsidRPr="00CE0DE7">
        <w:object w:dxaOrig="7425" w:dyaOrig="5295" w14:anchorId="759F6C9F">
          <v:shape id="_x0000_i1069" type="#_x0000_t75" style="width:97.05pt;height:134pt" o:ole="">
            <v:imagedata r:id="rId99" o:title=""/>
          </v:shape>
          <o:OLEObject Type="Embed" ProgID="EViews.Workfile.2" ShapeID="_x0000_i1069" DrawAspect="Content" ObjectID="_1674838684" r:id="rId100"/>
        </w:object>
      </w:r>
      <w:r w:rsidRPr="00CE0DE7">
        <w:object w:dxaOrig="7425" w:dyaOrig="5295" w14:anchorId="0016FC90">
          <v:shape id="_x0000_i1070" type="#_x0000_t75" style="width:93.9pt;height:134pt" o:ole="">
            <v:imagedata r:id="rId101" o:title=""/>
          </v:shape>
          <o:OLEObject Type="Embed" ProgID="EViews.Workfile.2" ShapeID="_x0000_i1070" DrawAspect="Content" ObjectID="_1674838685" r:id="rId102"/>
        </w:object>
      </w:r>
      <w:r w:rsidRPr="00CE0DE7">
        <w:object w:dxaOrig="7425" w:dyaOrig="5295" w14:anchorId="0CE3C9E7">
          <v:shape id="_x0000_i1071" type="#_x0000_t75" style="width:93.9pt;height:134pt" o:ole="">
            <v:imagedata r:id="rId103" o:title=""/>
          </v:shape>
          <o:OLEObject Type="Embed" ProgID="EViews.Workfile.2" ShapeID="_x0000_i1071" DrawAspect="Content" ObjectID="_1674838686" r:id="rId104"/>
        </w:object>
      </w:r>
      <w:r w:rsidRPr="00CE0DE7">
        <w:object w:dxaOrig="7425" w:dyaOrig="5295" w14:anchorId="19C54F21">
          <v:shape id="_x0000_i1072" type="#_x0000_t75" style="width:97.05pt;height:134pt" o:ole="">
            <v:imagedata r:id="rId105" o:title=""/>
          </v:shape>
          <o:OLEObject Type="Embed" ProgID="EViews.Workfile.2" ShapeID="_x0000_i1072" DrawAspect="Content" ObjectID="_1674838687" r:id="rId106"/>
        </w:object>
      </w:r>
    </w:p>
    <w:p w14:paraId="09C59AA8" w14:textId="77777777" w:rsidR="00E638C8" w:rsidRPr="00CE0DE7" w:rsidRDefault="00E638C8" w:rsidP="00C30160">
      <w:pPr>
        <w:adjustRightInd w:val="0"/>
        <w:snapToGrid w:val="0"/>
        <w:rPr>
          <w:sz w:val="20"/>
          <w:szCs w:val="20"/>
          <w:lang w:eastAsia="zh-CN"/>
        </w:rPr>
      </w:pPr>
    </w:p>
    <w:p w14:paraId="7542AAF4" w14:textId="77777777" w:rsidR="00C30160" w:rsidRPr="00CE0DE7" w:rsidRDefault="00C30160" w:rsidP="00C30160">
      <w:pPr>
        <w:adjustRightInd w:val="0"/>
        <w:snapToGrid w:val="0"/>
        <w:rPr>
          <w:rFonts w:eastAsia="Times New Roman"/>
          <w:iCs/>
          <w:color w:val="000000"/>
          <w:sz w:val="20"/>
          <w:szCs w:val="20"/>
          <w:lang w:eastAsia="zh-CN"/>
        </w:rPr>
      </w:pPr>
      <w:r w:rsidRPr="00CE0DE7">
        <w:rPr>
          <w:sz w:val="20"/>
          <w:szCs w:val="20"/>
        </w:rPr>
        <w:t>Panel G</w:t>
      </w:r>
      <w:r w:rsidRPr="00CE0DE7">
        <w:rPr>
          <w:b/>
          <w:sz w:val="20"/>
          <w:szCs w:val="20"/>
        </w:rPr>
        <w:t xml:space="preserve">. </w:t>
      </w:r>
      <w:r w:rsidRPr="00CE0DE7">
        <w:rPr>
          <w:sz w:val="20"/>
          <w:szCs w:val="20"/>
        </w:rPr>
        <w:t xml:space="preserve">The Response of </w:t>
      </w:r>
      <w:r w:rsidRPr="00CE0DE7">
        <w:rPr>
          <w:rFonts w:eastAsia="Times New Roman"/>
          <w:i/>
          <w:iCs/>
          <w:color w:val="000000"/>
          <w:sz w:val="20"/>
          <w:szCs w:val="20"/>
          <w:lang w:eastAsia="zh-CN"/>
        </w:rPr>
        <w:t>VRP</w:t>
      </w:r>
      <w:r w:rsidRPr="00CE0DE7">
        <w:rPr>
          <w:rFonts w:eastAsia="Times New Roman"/>
          <w:i/>
          <w:iCs/>
          <w:color w:val="000000"/>
          <w:sz w:val="20"/>
          <w:szCs w:val="20"/>
          <w:vertAlign w:val="superscript"/>
          <w:lang w:eastAsia="zh-CN"/>
        </w:rPr>
        <w:t>DY</w:t>
      </w:r>
    </w:p>
    <w:p w14:paraId="19A55086" w14:textId="77777777" w:rsidR="00C30160" w:rsidRPr="00CE0DE7" w:rsidRDefault="00C30160" w:rsidP="00C30160">
      <w:pPr>
        <w:adjustRightInd w:val="0"/>
        <w:snapToGrid w:val="0"/>
        <w:rPr>
          <w:rFonts w:ascii="Calibri" w:eastAsia="Times New Roman" w:hAnsi="Calibri"/>
          <w:iCs/>
          <w:color w:val="000000"/>
          <w:sz w:val="20"/>
          <w:szCs w:val="20"/>
          <w:lang w:eastAsia="zh-CN"/>
        </w:rPr>
      </w:pPr>
    </w:p>
    <w:p w14:paraId="760EDE26" w14:textId="42D545FB" w:rsidR="00C30160" w:rsidRPr="00CE0DE7" w:rsidRDefault="004D1D44" w:rsidP="00C30160">
      <w:r w:rsidRPr="00CE0DE7">
        <w:object w:dxaOrig="7425" w:dyaOrig="5295" w14:anchorId="41796C90">
          <v:shape id="_x0000_i1073" type="#_x0000_t75" style="width:100.8pt;height:136.5pt" o:ole="">
            <v:imagedata r:id="rId107" o:title=""/>
          </v:shape>
          <o:OLEObject Type="Embed" ProgID="EViews.Workfile.2" ShapeID="_x0000_i1073" DrawAspect="Content" ObjectID="_1674838688" r:id="rId108"/>
        </w:object>
      </w:r>
      <w:r w:rsidRPr="00CE0DE7">
        <w:object w:dxaOrig="7425" w:dyaOrig="5295" w14:anchorId="6A46B435">
          <v:shape id="_x0000_i1074" type="#_x0000_t75" style="width:93.9pt;height:136.5pt" o:ole="">
            <v:imagedata r:id="rId109" o:title=""/>
          </v:shape>
          <o:OLEObject Type="Embed" ProgID="EViews.Workfile.2" ShapeID="_x0000_i1074" DrawAspect="Content" ObjectID="_1674838689" r:id="rId110"/>
        </w:object>
      </w:r>
      <w:r w:rsidRPr="00CE0DE7">
        <w:object w:dxaOrig="7365" w:dyaOrig="5295" w14:anchorId="357C5276">
          <v:shape id="_x0000_i1075" type="#_x0000_t75" style="width:92.65pt;height:136.5pt" o:ole="">
            <v:imagedata r:id="rId111" o:title=""/>
          </v:shape>
          <o:OLEObject Type="Embed" ProgID="EViews.Workfile.2" ShapeID="_x0000_i1075" DrawAspect="Content" ObjectID="_1674838690" r:id="rId112"/>
        </w:object>
      </w:r>
      <w:r w:rsidRPr="00CE0DE7">
        <w:object w:dxaOrig="7425" w:dyaOrig="5295" w14:anchorId="7D744058">
          <v:shape id="_x0000_i1076" type="#_x0000_t75" style="width:97.05pt;height:136.5pt" o:ole="">
            <v:imagedata r:id="rId113" o:title=""/>
          </v:shape>
          <o:OLEObject Type="Embed" ProgID="EViews.Workfile.2" ShapeID="_x0000_i1076" DrawAspect="Content" ObjectID="_1674838691" r:id="rId114"/>
        </w:object>
      </w:r>
    </w:p>
    <w:p w14:paraId="01C86BED" w14:textId="77777777" w:rsidR="00EC499B" w:rsidRDefault="00EC499B" w:rsidP="00C30160">
      <w:pPr>
        <w:adjustRightInd w:val="0"/>
        <w:snapToGrid w:val="0"/>
        <w:jc w:val="both"/>
      </w:pPr>
    </w:p>
    <w:p w14:paraId="00EAE3B0" w14:textId="0F13FFD7" w:rsidR="00C30160" w:rsidRPr="00CE0DE7" w:rsidRDefault="00C30160" w:rsidP="00C30160">
      <w:pPr>
        <w:adjustRightInd w:val="0"/>
        <w:snapToGrid w:val="0"/>
        <w:jc w:val="both"/>
        <w:rPr>
          <w:sz w:val="20"/>
          <w:szCs w:val="20"/>
        </w:rPr>
      </w:pPr>
      <w:r w:rsidRPr="00CE0DE7">
        <w:rPr>
          <w:sz w:val="20"/>
          <w:szCs w:val="20"/>
        </w:rPr>
        <w:t>This figure plots the estimated generalized impulse response functions for illiquidity, stock returns and the VRP with control variables (</w:t>
      </w:r>
      <w:r w:rsidRPr="00CE0DE7">
        <w:rPr>
          <w:i/>
          <w:sz w:val="20"/>
          <w:szCs w:val="20"/>
        </w:rPr>
        <w:t xml:space="preserve">PD, PE, DFSP, TMSP, RREL </w:t>
      </w:r>
      <w:r w:rsidRPr="00CE0DE7">
        <w:rPr>
          <w:sz w:val="20"/>
          <w:szCs w:val="20"/>
        </w:rPr>
        <w:t xml:space="preserve">and </w:t>
      </w:r>
      <w:r w:rsidRPr="00CE0DE7">
        <w:rPr>
          <w:i/>
          <w:sz w:val="20"/>
          <w:szCs w:val="20"/>
        </w:rPr>
        <w:t>CAY</w:t>
      </w:r>
      <w:r w:rsidRPr="00CE0DE7">
        <w:rPr>
          <w:sz w:val="20"/>
          <w:szCs w:val="20"/>
        </w:rPr>
        <w:t xml:space="preserve">) for 24 months. These figures are based on the VAR model for the full sample period from January 1990 to December 2018. Panel A presents generalized the impulse response function for </w:t>
      </w:r>
      <w:r w:rsidRPr="00CE0DE7">
        <w:rPr>
          <w:i/>
          <w:sz w:val="20"/>
          <w:szCs w:val="20"/>
          <w:lang w:eastAsia="zh-CN"/>
        </w:rPr>
        <w:t>VW</w:t>
      </w:r>
      <w:r w:rsidRPr="00CE0DE7">
        <w:rPr>
          <w:sz w:val="20"/>
          <w:szCs w:val="20"/>
        </w:rPr>
        <w:t xml:space="preserve"> following a one-standard-deviation innovation in illiquidity and the VRP. Panel B presents the generalized impulse response function for </w:t>
      </w:r>
      <w:r w:rsidRPr="00CE0DE7">
        <w:rPr>
          <w:i/>
          <w:sz w:val="20"/>
          <w:szCs w:val="20"/>
          <w:lang w:eastAsia="zh-CN"/>
        </w:rPr>
        <w:t>INDEX</w:t>
      </w:r>
      <w:r w:rsidRPr="00CE0DE7">
        <w:rPr>
          <w:sz w:val="20"/>
          <w:szCs w:val="20"/>
        </w:rPr>
        <w:t xml:space="preserve"> to illiquidity and the VRP. Panel C illustrates the response of illiquidity </w:t>
      </w:r>
      <w:r w:rsidRPr="00CE0DE7">
        <w:rPr>
          <w:rFonts w:hint="eastAsia"/>
          <w:sz w:val="20"/>
          <w:szCs w:val="20"/>
          <w:lang w:eastAsia="zh-CN"/>
        </w:rPr>
        <w:t>of</w:t>
      </w:r>
      <w:r w:rsidRPr="00CE0DE7">
        <w:rPr>
          <w:sz w:val="20"/>
          <w:szCs w:val="20"/>
        </w:rPr>
        <w:t xml:space="preserve"> NYSE to one unit change in index returns and the VRP. Panel D reports the response for illiquidity for S&amp;P500 index to the change in stock returns and the VRP. The generalized impulse response functions for the VRP to the illiquidity and stock returns are reported in Panel E, Panel F and Panel G, respectively. The solid line</w:t>
      </w:r>
      <w:r w:rsidRPr="00CE0DE7">
        <w:rPr>
          <w:rFonts w:hint="eastAsia"/>
          <w:sz w:val="20"/>
          <w:szCs w:val="20"/>
          <w:lang w:eastAsia="zh-CN"/>
        </w:rPr>
        <w:t>s are</w:t>
      </w:r>
      <w:r w:rsidRPr="00CE0DE7">
        <w:rPr>
          <w:sz w:val="20"/>
          <w:szCs w:val="20"/>
        </w:rPr>
        <w:t xml:space="preserve"> the response of each variable in the month (the horizontal axis of each figure) following one</w:t>
      </w:r>
      <w:r w:rsidRPr="00CE0DE7">
        <w:rPr>
          <w:rFonts w:hint="eastAsia"/>
          <w:sz w:val="20"/>
          <w:szCs w:val="20"/>
          <w:lang w:eastAsia="zh-CN"/>
        </w:rPr>
        <w:t>-</w:t>
      </w:r>
      <w:r w:rsidRPr="00CE0DE7">
        <w:rPr>
          <w:sz w:val="20"/>
          <w:szCs w:val="20"/>
        </w:rPr>
        <w:t>standard</w:t>
      </w:r>
      <w:r w:rsidRPr="00CE0DE7">
        <w:rPr>
          <w:rFonts w:hint="eastAsia"/>
          <w:sz w:val="20"/>
          <w:szCs w:val="20"/>
          <w:lang w:eastAsia="zh-CN"/>
        </w:rPr>
        <w:t>-</w:t>
      </w:r>
      <w:r w:rsidRPr="00CE0DE7">
        <w:rPr>
          <w:sz w:val="20"/>
          <w:szCs w:val="20"/>
        </w:rPr>
        <w:t xml:space="preserve">deviation </w:t>
      </w:r>
      <w:r w:rsidRPr="00CE0DE7">
        <w:rPr>
          <w:rFonts w:hint="eastAsia"/>
          <w:sz w:val="20"/>
          <w:szCs w:val="20"/>
          <w:lang w:eastAsia="zh-CN"/>
        </w:rPr>
        <w:t xml:space="preserve">shock </w:t>
      </w:r>
      <w:r w:rsidRPr="00CE0DE7">
        <w:rPr>
          <w:sz w:val="20"/>
          <w:szCs w:val="20"/>
        </w:rPr>
        <w:t>in another variable. The magnitude of the response, measured as percentage change, is reported on the vertical axis. The dashed line</w:t>
      </w:r>
      <w:r w:rsidRPr="00CE0DE7">
        <w:rPr>
          <w:rFonts w:hint="eastAsia"/>
          <w:sz w:val="20"/>
          <w:szCs w:val="20"/>
          <w:lang w:eastAsia="zh-CN"/>
        </w:rPr>
        <w:t>s</w:t>
      </w:r>
      <w:r w:rsidRPr="00CE0DE7">
        <w:rPr>
          <w:sz w:val="20"/>
          <w:szCs w:val="20"/>
        </w:rPr>
        <w:t xml:space="preserve"> </w:t>
      </w:r>
      <w:r w:rsidRPr="00CE0DE7">
        <w:rPr>
          <w:rFonts w:hint="eastAsia"/>
          <w:sz w:val="20"/>
          <w:szCs w:val="20"/>
          <w:lang w:eastAsia="zh-CN"/>
        </w:rPr>
        <w:t>are</w:t>
      </w:r>
      <w:r w:rsidRPr="00CE0DE7">
        <w:rPr>
          <w:sz w:val="20"/>
          <w:szCs w:val="20"/>
        </w:rPr>
        <w:t xml:space="preserve"> the confidence intervals </w:t>
      </w:r>
      <w:r w:rsidRPr="00CE0DE7">
        <w:rPr>
          <w:rFonts w:hint="eastAsia"/>
          <w:sz w:val="20"/>
          <w:szCs w:val="20"/>
          <w:lang w:eastAsia="zh-CN"/>
        </w:rPr>
        <w:t>with</w:t>
      </w:r>
      <w:r w:rsidRPr="00CE0DE7">
        <w:rPr>
          <w:sz w:val="20"/>
          <w:szCs w:val="20"/>
        </w:rPr>
        <w:t xml:space="preserve"> two standard errors.</w:t>
      </w:r>
    </w:p>
    <w:p w14:paraId="4E2D8458" w14:textId="77777777" w:rsidR="00C30160" w:rsidRPr="00CE0DE7" w:rsidRDefault="00C30160" w:rsidP="00C30160">
      <w:pPr>
        <w:rPr>
          <w:sz w:val="20"/>
          <w:szCs w:val="20"/>
        </w:rPr>
        <w:sectPr w:rsidR="00C30160" w:rsidRPr="00CE0DE7" w:rsidSect="00E74617">
          <w:pgSz w:w="11907" w:h="16839" w:code="9"/>
          <w:pgMar w:top="1440" w:right="1440" w:bottom="1440" w:left="1440" w:header="709" w:footer="709" w:gutter="0"/>
          <w:pgNumType w:fmt="numberInDash"/>
          <w:cols w:space="708"/>
          <w:titlePg/>
          <w:docGrid w:linePitch="360"/>
        </w:sectPr>
      </w:pPr>
    </w:p>
    <w:p w14:paraId="433B00A8" w14:textId="77777777" w:rsidR="00C30160" w:rsidRPr="00CE0DE7" w:rsidRDefault="00C30160" w:rsidP="00C30160">
      <w:pPr>
        <w:adjustRightInd w:val="0"/>
        <w:snapToGrid w:val="0"/>
        <w:rPr>
          <w:b/>
          <w:sz w:val="20"/>
          <w:szCs w:val="20"/>
          <w:lang w:eastAsia="zh-CN"/>
        </w:rPr>
      </w:pPr>
      <w:r w:rsidRPr="00CE0DE7">
        <w:rPr>
          <w:b/>
          <w:sz w:val="20"/>
          <w:szCs w:val="20"/>
        </w:rPr>
        <w:lastRenderedPageBreak/>
        <w:t>Table 7. Return predictability of the VRP and illiquidity</w:t>
      </w:r>
    </w:p>
    <w:p w14:paraId="4995066C" w14:textId="77777777" w:rsidR="00C30160" w:rsidRPr="00CE0DE7" w:rsidRDefault="00C30160" w:rsidP="00C30160">
      <w:pPr>
        <w:adjustRightInd w:val="0"/>
        <w:snapToGrid w:val="0"/>
        <w:rPr>
          <w:b/>
          <w:sz w:val="20"/>
          <w:szCs w:val="20"/>
        </w:rPr>
      </w:pPr>
    </w:p>
    <w:p w14:paraId="75242B75" w14:textId="77777777" w:rsidR="00C30160" w:rsidRPr="00CE0DE7" w:rsidRDefault="00C30160" w:rsidP="00C30160">
      <w:pPr>
        <w:adjustRightInd w:val="0"/>
        <w:snapToGrid w:val="0"/>
        <w:rPr>
          <w:sz w:val="20"/>
          <w:szCs w:val="20"/>
        </w:rPr>
      </w:pPr>
      <w:r w:rsidRPr="00CE0DE7">
        <w:rPr>
          <w:sz w:val="20"/>
          <w:szCs w:val="20"/>
        </w:rPr>
        <w:t xml:space="preserve">Panel A. </w:t>
      </w:r>
      <w:r w:rsidRPr="00CE0DE7">
        <w:rPr>
          <w:rFonts w:hint="eastAsia"/>
          <w:sz w:val="20"/>
          <w:szCs w:val="20"/>
          <w:lang w:eastAsia="zh-CN"/>
        </w:rPr>
        <w:t>P</w:t>
      </w:r>
      <w:r w:rsidRPr="00CE0DE7">
        <w:rPr>
          <w:sz w:val="20"/>
          <w:szCs w:val="20"/>
        </w:rPr>
        <w:t>redictive</w:t>
      </w:r>
      <w:r w:rsidRPr="00CE0DE7">
        <w:rPr>
          <w:rFonts w:hint="eastAsia"/>
          <w:sz w:val="20"/>
          <w:szCs w:val="20"/>
          <w:lang w:eastAsia="zh-CN"/>
        </w:rPr>
        <w:t xml:space="preserve"> r</w:t>
      </w:r>
      <w:r w:rsidRPr="00CE0DE7">
        <w:rPr>
          <w:sz w:val="20"/>
          <w:szCs w:val="20"/>
        </w:rPr>
        <w:t>egression</w:t>
      </w:r>
    </w:p>
    <w:p w14:paraId="07A419A0" w14:textId="77777777" w:rsidR="00C30160" w:rsidRPr="00CE0DE7" w:rsidRDefault="00C30160" w:rsidP="00C30160">
      <w:pPr>
        <w:adjustRightInd w:val="0"/>
        <w:snapToGrid w:val="0"/>
        <w:rPr>
          <w:i/>
          <w:sz w:val="20"/>
          <w:szCs w:val="20"/>
        </w:rPr>
      </w:pPr>
    </w:p>
    <w:tbl>
      <w:tblPr>
        <w:tblW w:w="5000" w:type="pct"/>
        <w:tblLook w:val="04A0" w:firstRow="1" w:lastRow="0" w:firstColumn="1" w:lastColumn="0" w:noHBand="0" w:noVBand="1"/>
      </w:tblPr>
      <w:tblGrid>
        <w:gridCol w:w="1056"/>
        <w:gridCol w:w="1036"/>
        <w:gridCol w:w="733"/>
        <w:gridCol w:w="823"/>
        <w:gridCol w:w="223"/>
        <w:gridCol w:w="1016"/>
        <w:gridCol w:w="1557"/>
        <w:gridCol w:w="1028"/>
        <w:gridCol w:w="1555"/>
      </w:tblGrid>
      <w:tr w:rsidR="00C30160" w:rsidRPr="00CE0DE7" w14:paraId="73D1EDE7" w14:textId="77777777" w:rsidTr="00690118">
        <w:trPr>
          <w:trHeight w:val="212"/>
        </w:trPr>
        <w:tc>
          <w:tcPr>
            <w:tcW w:w="571" w:type="pct"/>
            <w:tcBorders>
              <w:top w:val="double" w:sz="4" w:space="0" w:color="auto"/>
              <w:left w:val="nil"/>
              <w:bottom w:val="nil"/>
              <w:right w:val="nil"/>
            </w:tcBorders>
            <w:shd w:val="clear" w:color="auto" w:fill="auto"/>
            <w:noWrap/>
            <w:vAlign w:val="center"/>
            <w:hideMark/>
          </w:tcPr>
          <w:p w14:paraId="3D77B4D0" w14:textId="77777777" w:rsidR="00C30160" w:rsidRPr="00CE0DE7" w:rsidRDefault="00C30160" w:rsidP="00C24E43">
            <w:pPr>
              <w:jc w:val="center"/>
              <w:rPr>
                <w:rFonts w:eastAsia="Times New Roman"/>
                <w:sz w:val="20"/>
                <w:szCs w:val="20"/>
                <w:lang w:eastAsia="zh-CN"/>
              </w:rPr>
            </w:pPr>
          </w:p>
        </w:tc>
        <w:tc>
          <w:tcPr>
            <w:tcW w:w="4429" w:type="pct"/>
            <w:gridSpan w:val="8"/>
            <w:tcBorders>
              <w:top w:val="double" w:sz="4" w:space="0" w:color="auto"/>
              <w:left w:val="nil"/>
              <w:bottom w:val="single" w:sz="4" w:space="0" w:color="auto"/>
              <w:right w:val="nil"/>
            </w:tcBorders>
            <w:shd w:val="clear" w:color="auto" w:fill="auto"/>
            <w:noWrap/>
            <w:vAlign w:val="center"/>
            <w:hideMark/>
          </w:tcPr>
          <w:p w14:paraId="3460776A" w14:textId="09EA025F" w:rsidR="00C30160" w:rsidRPr="00CE0DE7" w:rsidRDefault="00C30160" w:rsidP="00EB3316">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Dependent Variable:</w:t>
            </w:r>
            <w:r w:rsidR="00EB3316" w:rsidRPr="00CE0DE7">
              <w:rPr>
                <w:rFonts w:eastAsiaTheme="minorEastAsia" w:hint="eastAsia"/>
                <w:bCs/>
                <w:color w:val="000000"/>
                <w:sz w:val="20"/>
                <w:szCs w:val="20"/>
                <w:lang w:val="en-GB" w:eastAsia="zh-CN"/>
              </w:rPr>
              <w:t xml:space="preserve"> </w:t>
            </w:r>
            <w:r w:rsidRPr="00CE0DE7">
              <w:rPr>
                <w:rFonts w:eastAsia="Times New Roman"/>
                <w:bCs/>
                <w:i/>
                <w:color w:val="000000"/>
                <w:sz w:val="20"/>
                <w:szCs w:val="20"/>
                <w:lang w:val="en-GB" w:eastAsia="zh-CN"/>
              </w:rPr>
              <w:t>VW</w:t>
            </w:r>
          </w:p>
        </w:tc>
      </w:tr>
      <w:tr w:rsidR="00C30160" w:rsidRPr="00CE0DE7" w14:paraId="35025105" w14:textId="77777777" w:rsidTr="00690118">
        <w:trPr>
          <w:trHeight w:val="212"/>
        </w:trPr>
        <w:tc>
          <w:tcPr>
            <w:tcW w:w="571" w:type="pct"/>
            <w:tcBorders>
              <w:top w:val="nil"/>
              <w:left w:val="nil"/>
              <w:bottom w:val="nil"/>
              <w:right w:val="nil"/>
            </w:tcBorders>
            <w:shd w:val="clear" w:color="auto" w:fill="auto"/>
            <w:noWrap/>
            <w:vAlign w:val="center"/>
            <w:hideMark/>
          </w:tcPr>
          <w:p w14:paraId="57A0B34C" w14:textId="77777777" w:rsidR="00C30160" w:rsidRPr="00CE0DE7" w:rsidRDefault="00C30160" w:rsidP="00C24E43">
            <w:pPr>
              <w:jc w:val="center"/>
              <w:rPr>
                <w:rFonts w:eastAsia="Times New Roman"/>
                <w:bCs/>
                <w:color w:val="000000"/>
                <w:sz w:val="20"/>
                <w:szCs w:val="20"/>
                <w:lang w:val="en-GB" w:eastAsia="zh-CN"/>
              </w:rPr>
            </w:pPr>
          </w:p>
        </w:tc>
        <w:tc>
          <w:tcPr>
            <w:tcW w:w="1433" w:type="pct"/>
            <w:gridSpan w:val="3"/>
            <w:tcBorders>
              <w:top w:val="single" w:sz="4" w:space="0" w:color="auto"/>
              <w:left w:val="nil"/>
              <w:bottom w:val="single" w:sz="4" w:space="0" w:color="auto"/>
              <w:right w:val="nil"/>
            </w:tcBorders>
            <w:shd w:val="clear" w:color="auto" w:fill="auto"/>
            <w:noWrap/>
            <w:vAlign w:val="center"/>
            <w:hideMark/>
          </w:tcPr>
          <w:p w14:paraId="4B0B5887" w14:textId="77777777" w:rsidR="00C30160" w:rsidRPr="00CE0DE7" w:rsidRDefault="00C30160" w:rsidP="00C24E43">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In Sample</w:t>
            </w:r>
          </w:p>
        </w:tc>
        <w:tc>
          <w:tcPr>
            <w:tcW w:w="127" w:type="pct"/>
            <w:tcBorders>
              <w:top w:val="nil"/>
              <w:left w:val="nil"/>
              <w:bottom w:val="nil"/>
              <w:right w:val="nil"/>
            </w:tcBorders>
            <w:shd w:val="clear" w:color="auto" w:fill="auto"/>
            <w:noWrap/>
            <w:vAlign w:val="center"/>
            <w:hideMark/>
          </w:tcPr>
          <w:p w14:paraId="0D501ECB" w14:textId="77777777" w:rsidR="00C30160" w:rsidRPr="00CE0DE7" w:rsidRDefault="00C30160" w:rsidP="00C24E43">
            <w:pPr>
              <w:jc w:val="center"/>
              <w:rPr>
                <w:rFonts w:eastAsia="Times New Roman"/>
                <w:bCs/>
                <w:color w:val="000000"/>
                <w:sz w:val="20"/>
                <w:szCs w:val="20"/>
                <w:lang w:val="en-GB" w:eastAsia="zh-CN"/>
              </w:rPr>
            </w:pPr>
          </w:p>
        </w:tc>
        <w:tc>
          <w:tcPr>
            <w:tcW w:w="1432" w:type="pct"/>
            <w:gridSpan w:val="2"/>
            <w:tcBorders>
              <w:top w:val="single" w:sz="4" w:space="0" w:color="auto"/>
              <w:left w:val="nil"/>
              <w:bottom w:val="single" w:sz="4" w:space="0" w:color="auto"/>
              <w:right w:val="nil"/>
            </w:tcBorders>
            <w:shd w:val="clear" w:color="auto" w:fill="auto"/>
            <w:noWrap/>
            <w:vAlign w:val="center"/>
            <w:hideMark/>
          </w:tcPr>
          <w:p w14:paraId="55BA0CDD" w14:textId="6C05D01B" w:rsidR="00C30160" w:rsidRPr="00CE0DE7" w:rsidRDefault="00C30160" w:rsidP="00C24E43">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Out</w:t>
            </w:r>
            <w:r w:rsidR="00EB3316" w:rsidRPr="00CE0DE7">
              <w:rPr>
                <w:rFonts w:eastAsiaTheme="minorEastAsia" w:hint="eastAsia"/>
                <w:bCs/>
                <w:color w:val="000000"/>
                <w:sz w:val="20"/>
                <w:szCs w:val="20"/>
                <w:lang w:val="en-GB" w:eastAsia="zh-CN"/>
              </w:rPr>
              <w:t>-</w:t>
            </w:r>
            <w:r w:rsidRPr="00CE0DE7">
              <w:rPr>
                <w:rFonts w:eastAsia="Times New Roman"/>
                <w:bCs/>
                <w:color w:val="000000"/>
                <w:sz w:val="20"/>
                <w:szCs w:val="20"/>
                <w:lang w:val="en-GB" w:eastAsia="zh-CN"/>
              </w:rPr>
              <w:t>of</w:t>
            </w:r>
            <w:r w:rsidR="00EB3316" w:rsidRPr="00CE0DE7">
              <w:rPr>
                <w:rFonts w:eastAsiaTheme="minorEastAsia" w:hint="eastAsia"/>
                <w:bCs/>
                <w:color w:val="000000"/>
                <w:sz w:val="20"/>
                <w:szCs w:val="20"/>
                <w:lang w:val="en-GB" w:eastAsia="zh-CN"/>
              </w:rPr>
              <w:t>-</w:t>
            </w:r>
            <w:r w:rsidRPr="00CE0DE7">
              <w:rPr>
                <w:rFonts w:eastAsia="Times New Roman"/>
                <w:bCs/>
                <w:color w:val="000000"/>
                <w:sz w:val="20"/>
                <w:szCs w:val="20"/>
                <w:lang w:val="en-GB" w:eastAsia="zh-CN"/>
              </w:rPr>
              <w:t xml:space="preserve">sample </w:t>
            </w:r>
          </w:p>
          <w:p w14:paraId="5D8C6030" w14:textId="77777777" w:rsidR="00C30160" w:rsidRPr="00CE0DE7" w:rsidRDefault="00C30160" w:rsidP="00C24E43">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After 2000</w:t>
            </w:r>
          </w:p>
        </w:tc>
        <w:tc>
          <w:tcPr>
            <w:tcW w:w="1437" w:type="pct"/>
            <w:gridSpan w:val="2"/>
            <w:tcBorders>
              <w:top w:val="single" w:sz="4" w:space="0" w:color="auto"/>
              <w:left w:val="nil"/>
              <w:bottom w:val="single" w:sz="4" w:space="0" w:color="auto"/>
              <w:right w:val="nil"/>
            </w:tcBorders>
            <w:shd w:val="clear" w:color="auto" w:fill="auto"/>
            <w:noWrap/>
            <w:vAlign w:val="center"/>
            <w:hideMark/>
          </w:tcPr>
          <w:p w14:paraId="6D52EC79" w14:textId="2F6DE599" w:rsidR="00C30160" w:rsidRPr="00CE0DE7" w:rsidRDefault="00C30160" w:rsidP="00C24E43">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Out</w:t>
            </w:r>
            <w:r w:rsidR="00EB3316" w:rsidRPr="00CE0DE7">
              <w:rPr>
                <w:rFonts w:eastAsiaTheme="minorEastAsia" w:hint="eastAsia"/>
                <w:bCs/>
                <w:color w:val="000000"/>
                <w:sz w:val="20"/>
                <w:szCs w:val="20"/>
                <w:lang w:val="en-GB" w:eastAsia="zh-CN"/>
              </w:rPr>
              <w:t>-</w:t>
            </w:r>
            <w:r w:rsidRPr="00CE0DE7">
              <w:rPr>
                <w:rFonts w:eastAsia="Times New Roman"/>
                <w:bCs/>
                <w:color w:val="000000"/>
                <w:sz w:val="20"/>
                <w:szCs w:val="20"/>
                <w:lang w:val="en-GB" w:eastAsia="zh-CN"/>
              </w:rPr>
              <w:t>of</w:t>
            </w:r>
            <w:r w:rsidR="00EB3316" w:rsidRPr="00CE0DE7">
              <w:rPr>
                <w:rFonts w:eastAsiaTheme="minorEastAsia" w:hint="eastAsia"/>
                <w:bCs/>
                <w:color w:val="000000"/>
                <w:sz w:val="20"/>
                <w:szCs w:val="20"/>
                <w:lang w:val="en-GB" w:eastAsia="zh-CN"/>
              </w:rPr>
              <w:t>-</w:t>
            </w:r>
            <w:r w:rsidRPr="00CE0DE7">
              <w:rPr>
                <w:rFonts w:eastAsia="Times New Roman"/>
                <w:bCs/>
                <w:color w:val="000000"/>
                <w:sz w:val="20"/>
                <w:szCs w:val="20"/>
                <w:lang w:val="en-GB" w:eastAsia="zh-CN"/>
              </w:rPr>
              <w:t>sample</w:t>
            </w:r>
          </w:p>
          <w:p w14:paraId="2146D266" w14:textId="77777777" w:rsidR="00C30160" w:rsidRPr="00CE0DE7" w:rsidRDefault="00C30160" w:rsidP="00C24E43">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After 2005</w:t>
            </w:r>
          </w:p>
        </w:tc>
      </w:tr>
      <w:tr w:rsidR="00690118" w:rsidRPr="00CE0DE7" w14:paraId="0F9A9599" w14:textId="77777777" w:rsidTr="00CB3904">
        <w:trPr>
          <w:trHeight w:val="283"/>
        </w:trPr>
        <w:tc>
          <w:tcPr>
            <w:tcW w:w="571" w:type="pct"/>
            <w:tcBorders>
              <w:top w:val="nil"/>
              <w:left w:val="nil"/>
              <w:bottom w:val="single" w:sz="4" w:space="0" w:color="auto"/>
              <w:right w:val="nil"/>
            </w:tcBorders>
            <w:shd w:val="clear" w:color="auto" w:fill="auto"/>
            <w:noWrap/>
            <w:vAlign w:val="center"/>
          </w:tcPr>
          <w:p w14:paraId="6231E9EF" w14:textId="77777777" w:rsidR="00690118" w:rsidRPr="00CE0DE7" w:rsidRDefault="00690118" w:rsidP="00C24E43">
            <w:pPr>
              <w:jc w:val="center"/>
              <w:rPr>
                <w:rFonts w:eastAsia="Times New Roman"/>
                <w:bCs/>
                <w:color w:val="000000"/>
                <w:sz w:val="20"/>
                <w:szCs w:val="20"/>
                <w:lang w:val="en-GB" w:eastAsia="zh-CN"/>
              </w:rPr>
            </w:pPr>
          </w:p>
        </w:tc>
        <w:tc>
          <w:tcPr>
            <w:tcW w:w="577" w:type="pct"/>
            <w:tcBorders>
              <w:top w:val="single" w:sz="4" w:space="0" w:color="auto"/>
              <w:left w:val="nil"/>
              <w:bottom w:val="single" w:sz="4" w:space="0" w:color="auto"/>
              <w:right w:val="nil"/>
            </w:tcBorders>
            <w:shd w:val="clear" w:color="auto" w:fill="auto"/>
            <w:vAlign w:val="center"/>
          </w:tcPr>
          <w:p w14:paraId="2FE86C36" w14:textId="7EBEFA31" w:rsidR="00690118" w:rsidRPr="00CE0DE7" w:rsidRDefault="00690118" w:rsidP="00690118">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(1)</w:t>
            </w:r>
          </w:p>
        </w:tc>
        <w:tc>
          <w:tcPr>
            <w:tcW w:w="397" w:type="pct"/>
            <w:tcBorders>
              <w:top w:val="single" w:sz="4" w:space="0" w:color="auto"/>
              <w:left w:val="nil"/>
              <w:bottom w:val="single" w:sz="4" w:space="0" w:color="auto"/>
              <w:right w:val="nil"/>
            </w:tcBorders>
            <w:shd w:val="clear" w:color="auto" w:fill="auto"/>
            <w:vAlign w:val="center"/>
          </w:tcPr>
          <w:p w14:paraId="028C2D29" w14:textId="59DBBE47" w:rsidR="00690118" w:rsidRPr="00CE0DE7" w:rsidRDefault="00690118" w:rsidP="00690118">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(2)</w:t>
            </w:r>
          </w:p>
        </w:tc>
        <w:tc>
          <w:tcPr>
            <w:tcW w:w="459" w:type="pct"/>
            <w:tcBorders>
              <w:top w:val="single" w:sz="4" w:space="0" w:color="auto"/>
              <w:left w:val="nil"/>
              <w:bottom w:val="single" w:sz="4" w:space="0" w:color="auto"/>
              <w:right w:val="nil"/>
            </w:tcBorders>
            <w:shd w:val="clear" w:color="auto" w:fill="auto"/>
            <w:vAlign w:val="center"/>
          </w:tcPr>
          <w:p w14:paraId="56AD33B1" w14:textId="3C71A636" w:rsidR="00690118" w:rsidRPr="00CE0DE7" w:rsidRDefault="00690118" w:rsidP="00690118">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(3)</w:t>
            </w:r>
          </w:p>
        </w:tc>
        <w:tc>
          <w:tcPr>
            <w:tcW w:w="127" w:type="pct"/>
            <w:tcBorders>
              <w:top w:val="nil"/>
              <w:left w:val="nil"/>
              <w:bottom w:val="single" w:sz="4" w:space="0" w:color="auto"/>
              <w:right w:val="nil"/>
            </w:tcBorders>
            <w:shd w:val="clear" w:color="auto" w:fill="auto"/>
            <w:noWrap/>
            <w:vAlign w:val="center"/>
          </w:tcPr>
          <w:p w14:paraId="4DA4F72D" w14:textId="77777777" w:rsidR="00690118" w:rsidRPr="00CE0DE7" w:rsidRDefault="00690118" w:rsidP="00690118">
            <w:pPr>
              <w:jc w:val="center"/>
              <w:rPr>
                <w:rFonts w:eastAsia="Times New Roman"/>
                <w:bCs/>
                <w:color w:val="000000"/>
                <w:sz w:val="20"/>
                <w:szCs w:val="20"/>
                <w:lang w:val="en-GB" w:eastAsia="zh-CN"/>
              </w:rPr>
            </w:pPr>
          </w:p>
        </w:tc>
        <w:tc>
          <w:tcPr>
            <w:tcW w:w="566" w:type="pct"/>
            <w:tcBorders>
              <w:top w:val="single" w:sz="4" w:space="0" w:color="auto"/>
              <w:left w:val="nil"/>
              <w:bottom w:val="single" w:sz="4" w:space="0" w:color="auto"/>
              <w:right w:val="nil"/>
            </w:tcBorders>
            <w:shd w:val="clear" w:color="auto" w:fill="auto"/>
            <w:vAlign w:val="center"/>
          </w:tcPr>
          <w:p w14:paraId="4CAB5D14" w14:textId="0A2CA733" w:rsidR="00690118" w:rsidRPr="00CE0DE7" w:rsidRDefault="00690118" w:rsidP="00690118">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(4)</w:t>
            </w:r>
          </w:p>
        </w:tc>
        <w:tc>
          <w:tcPr>
            <w:tcW w:w="866" w:type="pct"/>
            <w:tcBorders>
              <w:top w:val="single" w:sz="4" w:space="0" w:color="auto"/>
              <w:left w:val="nil"/>
              <w:bottom w:val="single" w:sz="4" w:space="0" w:color="auto"/>
              <w:right w:val="nil"/>
            </w:tcBorders>
            <w:shd w:val="clear" w:color="auto" w:fill="auto"/>
            <w:vAlign w:val="center"/>
          </w:tcPr>
          <w:p w14:paraId="651E9909" w14:textId="2EE5610A" w:rsidR="00690118" w:rsidRPr="00CE0DE7" w:rsidRDefault="00690118" w:rsidP="00690118">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(5)</w:t>
            </w:r>
          </w:p>
        </w:tc>
        <w:tc>
          <w:tcPr>
            <w:tcW w:w="573" w:type="pct"/>
            <w:tcBorders>
              <w:top w:val="single" w:sz="4" w:space="0" w:color="auto"/>
              <w:left w:val="nil"/>
              <w:bottom w:val="single" w:sz="4" w:space="0" w:color="auto"/>
              <w:right w:val="nil"/>
            </w:tcBorders>
            <w:shd w:val="clear" w:color="auto" w:fill="auto"/>
            <w:vAlign w:val="center"/>
          </w:tcPr>
          <w:p w14:paraId="61E1E721" w14:textId="5A277A22" w:rsidR="00690118" w:rsidRPr="00CE0DE7" w:rsidRDefault="00690118" w:rsidP="00690118">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(6)</w:t>
            </w:r>
          </w:p>
        </w:tc>
        <w:tc>
          <w:tcPr>
            <w:tcW w:w="864" w:type="pct"/>
            <w:tcBorders>
              <w:top w:val="single" w:sz="4" w:space="0" w:color="auto"/>
              <w:left w:val="nil"/>
              <w:bottom w:val="single" w:sz="4" w:space="0" w:color="auto"/>
              <w:right w:val="nil"/>
            </w:tcBorders>
            <w:shd w:val="clear" w:color="auto" w:fill="auto"/>
            <w:vAlign w:val="center"/>
          </w:tcPr>
          <w:p w14:paraId="326CB64E" w14:textId="0087BFA4" w:rsidR="00690118" w:rsidRPr="00CE0DE7" w:rsidRDefault="00690118" w:rsidP="00690118">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(7)</w:t>
            </w:r>
          </w:p>
        </w:tc>
      </w:tr>
      <w:tr w:rsidR="00C30160" w:rsidRPr="00CE0DE7" w14:paraId="14C04063" w14:textId="77777777" w:rsidTr="00690118">
        <w:trPr>
          <w:trHeight w:val="425"/>
        </w:trPr>
        <w:tc>
          <w:tcPr>
            <w:tcW w:w="571" w:type="pct"/>
            <w:tcBorders>
              <w:top w:val="nil"/>
              <w:left w:val="nil"/>
              <w:bottom w:val="single" w:sz="4" w:space="0" w:color="auto"/>
              <w:right w:val="nil"/>
            </w:tcBorders>
            <w:shd w:val="clear" w:color="auto" w:fill="auto"/>
            <w:noWrap/>
            <w:vAlign w:val="center"/>
            <w:hideMark/>
          </w:tcPr>
          <w:p w14:paraId="34EB0EF9" w14:textId="77777777" w:rsidR="00C30160" w:rsidRPr="00CE0DE7" w:rsidRDefault="00C30160" w:rsidP="00C24E43">
            <w:pPr>
              <w:jc w:val="center"/>
              <w:rPr>
                <w:rFonts w:eastAsia="Times New Roman"/>
                <w:bCs/>
                <w:color w:val="000000"/>
                <w:sz w:val="20"/>
                <w:szCs w:val="20"/>
                <w:lang w:val="en-GB" w:eastAsia="zh-CN"/>
              </w:rPr>
            </w:pPr>
          </w:p>
        </w:tc>
        <w:tc>
          <w:tcPr>
            <w:tcW w:w="577" w:type="pct"/>
            <w:tcBorders>
              <w:top w:val="single" w:sz="4" w:space="0" w:color="auto"/>
              <w:left w:val="nil"/>
              <w:bottom w:val="single" w:sz="4" w:space="0" w:color="auto"/>
              <w:right w:val="nil"/>
            </w:tcBorders>
            <w:shd w:val="clear" w:color="auto" w:fill="auto"/>
            <w:vAlign w:val="center"/>
            <w:hideMark/>
          </w:tcPr>
          <w:p w14:paraId="38AA3E59" w14:textId="77777777" w:rsidR="00C30160" w:rsidRPr="00CE0DE7" w:rsidRDefault="00C30160" w:rsidP="00690118">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Beta</w:t>
            </w:r>
          </w:p>
        </w:tc>
        <w:tc>
          <w:tcPr>
            <w:tcW w:w="397" w:type="pct"/>
            <w:tcBorders>
              <w:top w:val="single" w:sz="4" w:space="0" w:color="auto"/>
              <w:left w:val="nil"/>
              <w:bottom w:val="single" w:sz="4" w:space="0" w:color="auto"/>
              <w:right w:val="nil"/>
            </w:tcBorders>
            <w:shd w:val="clear" w:color="auto" w:fill="auto"/>
            <w:vAlign w:val="center"/>
            <w:hideMark/>
          </w:tcPr>
          <w:p w14:paraId="7626B8A4" w14:textId="77777777" w:rsidR="00C30160" w:rsidRPr="00CE0DE7" w:rsidRDefault="00C30160" w:rsidP="00690118">
            <w:pPr>
              <w:jc w:val="center"/>
              <w:rPr>
                <w:rFonts w:eastAsia="Times New Roman"/>
                <w:bCs/>
                <w:color w:val="000000"/>
                <w:sz w:val="20"/>
                <w:szCs w:val="20"/>
                <w:lang w:val="en-GB" w:eastAsia="zh-CN"/>
              </w:rPr>
            </w:pPr>
            <w:r w:rsidRPr="00CE0DE7">
              <w:rPr>
                <w:rFonts w:eastAsia="Times New Roman"/>
                <w:bCs/>
                <w:i/>
                <w:color w:val="000000"/>
                <w:sz w:val="20"/>
                <w:szCs w:val="20"/>
                <w:lang w:val="en-GB" w:eastAsia="zh-CN"/>
              </w:rPr>
              <w:t>t</w:t>
            </w:r>
            <w:r w:rsidRPr="00CE0DE7">
              <w:rPr>
                <w:rFonts w:eastAsia="Times New Roman"/>
                <w:bCs/>
                <w:color w:val="000000"/>
                <w:sz w:val="20"/>
                <w:szCs w:val="20"/>
                <w:lang w:val="en-GB" w:eastAsia="zh-CN"/>
              </w:rPr>
              <w:t>-stat</w:t>
            </w:r>
          </w:p>
        </w:tc>
        <w:tc>
          <w:tcPr>
            <w:tcW w:w="459" w:type="pct"/>
            <w:tcBorders>
              <w:top w:val="single" w:sz="4" w:space="0" w:color="auto"/>
              <w:left w:val="nil"/>
              <w:bottom w:val="single" w:sz="4" w:space="0" w:color="auto"/>
              <w:right w:val="nil"/>
            </w:tcBorders>
            <w:shd w:val="clear" w:color="auto" w:fill="auto"/>
            <w:vAlign w:val="center"/>
            <w:hideMark/>
          </w:tcPr>
          <w:p w14:paraId="46866363" w14:textId="77777777" w:rsidR="00C30160" w:rsidRPr="00CE0DE7" w:rsidRDefault="00C30160" w:rsidP="00690118">
            <w:pPr>
              <w:jc w:val="center"/>
              <w:rPr>
                <w:rFonts w:eastAsia="Times New Roman"/>
                <w:bCs/>
                <w:color w:val="000000"/>
                <w:sz w:val="20"/>
                <w:szCs w:val="20"/>
                <w:lang w:val="en-GB" w:eastAsia="zh-CN"/>
              </w:rPr>
            </w:pPr>
            <w:r w:rsidRPr="00CE0DE7">
              <w:rPr>
                <w:rFonts w:eastAsia="Times New Roman"/>
                <w:bCs/>
                <w:i/>
                <w:iCs/>
                <w:color w:val="000000"/>
                <w:sz w:val="20"/>
                <w:szCs w:val="20"/>
                <w:lang w:val="en-GB" w:eastAsia="zh-CN"/>
              </w:rPr>
              <w:t>R</w:t>
            </w:r>
            <w:r w:rsidRPr="00CE0DE7">
              <w:rPr>
                <w:rFonts w:eastAsia="Times New Roman"/>
                <w:bCs/>
                <w:color w:val="000000"/>
                <w:sz w:val="20"/>
                <w:szCs w:val="20"/>
                <w:vertAlign w:val="superscript"/>
                <w:lang w:val="en-GB" w:eastAsia="zh-CN"/>
              </w:rPr>
              <w:t>2</w:t>
            </w:r>
            <w:r w:rsidRPr="00CE0DE7">
              <w:rPr>
                <w:rFonts w:eastAsia="Times New Roman"/>
                <w:bCs/>
                <w:color w:val="000000"/>
                <w:sz w:val="20"/>
                <w:szCs w:val="20"/>
                <w:lang w:val="en-GB" w:eastAsia="zh-CN"/>
              </w:rPr>
              <w:t xml:space="preserve"> (%)</w:t>
            </w:r>
          </w:p>
        </w:tc>
        <w:tc>
          <w:tcPr>
            <w:tcW w:w="127" w:type="pct"/>
            <w:tcBorders>
              <w:top w:val="nil"/>
              <w:left w:val="nil"/>
              <w:bottom w:val="single" w:sz="4" w:space="0" w:color="auto"/>
              <w:right w:val="nil"/>
            </w:tcBorders>
            <w:shd w:val="clear" w:color="auto" w:fill="auto"/>
            <w:noWrap/>
            <w:vAlign w:val="center"/>
            <w:hideMark/>
          </w:tcPr>
          <w:p w14:paraId="2C9FB7E4" w14:textId="77777777" w:rsidR="00C30160" w:rsidRPr="00CE0DE7" w:rsidRDefault="00C30160" w:rsidP="00690118">
            <w:pPr>
              <w:jc w:val="center"/>
              <w:rPr>
                <w:rFonts w:eastAsia="Times New Roman"/>
                <w:bCs/>
                <w:color w:val="000000"/>
                <w:sz w:val="20"/>
                <w:szCs w:val="20"/>
                <w:lang w:val="en-GB" w:eastAsia="zh-CN"/>
              </w:rPr>
            </w:pPr>
          </w:p>
        </w:tc>
        <w:tc>
          <w:tcPr>
            <w:tcW w:w="566" w:type="pct"/>
            <w:tcBorders>
              <w:top w:val="single" w:sz="4" w:space="0" w:color="auto"/>
              <w:left w:val="nil"/>
              <w:bottom w:val="single" w:sz="4" w:space="0" w:color="auto"/>
              <w:right w:val="nil"/>
            </w:tcBorders>
            <w:shd w:val="clear" w:color="auto" w:fill="auto"/>
            <w:vAlign w:val="center"/>
            <w:hideMark/>
          </w:tcPr>
          <w:p w14:paraId="065E6106" w14:textId="77777777" w:rsidR="00C30160" w:rsidRPr="00CE0DE7" w:rsidRDefault="00C30160" w:rsidP="00690118">
            <w:pPr>
              <w:jc w:val="center"/>
              <w:rPr>
                <w:rFonts w:eastAsia="Times New Roman"/>
                <w:bCs/>
                <w:color w:val="000000"/>
                <w:sz w:val="20"/>
                <w:szCs w:val="20"/>
                <w:lang w:val="en-GB" w:eastAsia="zh-CN"/>
              </w:rPr>
            </w:pPr>
            <w:r w:rsidRPr="00CE0DE7">
              <w:rPr>
                <w:rFonts w:eastAsia="Times New Roman"/>
                <w:bCs/>
                <w:i/>
                <w:iCs/>
                <w:color w:val="000000"/>
                <w:sz w:val="20"/>
                <w:szCs w:val="20"/>
                <w:lang w:val="en-GB" w:eastAsia="zh-CN"/>
              </w:rPr>
              <w:t>R</w:t>
            </w:r>
            <w:r w:rsidRPr="00CE0DE7">
              <w:rPr>
                <w:rFonts w:eastAsia="Times New Roman"/>
                <w:bCs/>
                <w:color w:val="000000"/>
                <w:sz w:val="20"/>
                <w:szCs w:val="20"/>
                <w:vertAlign w:val="superscript"/>
                <w:lang w:val="en-GB" w:eastAsia="zh-CN"/>
              </w:rPr>
              <w:t>2</w:t>
            </w:r>
            <w:r w:rsidRPr="00CE0DE7">
              <w:rPr>
                <w:rFonts w:eastAsia="Times New Roman"/>
                <w:bCs/>
                <w:color w:val="000000"/>
                <w:sz w:val="20"/>
                <w:szCs w:val="20"/>
                <w:vertAlign w:val="subscript"/>
                <w:lang w:val="en-GB" w:eastAsia="zh-CN"/>
              </w:rPr>
              <w:t>OS</w:t>
            </w:r>
            <w:r w:rsidRPr="00CE0DE7">
              <w:rPr>
                <w:rFonts w:eastAsia="Times New Roman"/>
                <w:bCs/>
                <w:color w:val="000000"/>
                <w:sz w:val="20"/>
                <w:szCs w:val="20"/>
                <w:lang w:val="en-GB" w:eastAsia="zh-CN"/>
              </w:rPr>
              <w:t xml:space="preserve"> (%)</w:t>
            </w:r>
          </w:p>
        </w:tc>
        <w:tc>
          <w:tcPr>
            <w:tcW w:w="866" w:type="pct"/>
            <w:tcBorders>
              <w:top w:val="single" w:sz="4" w:space="0" w:color="auto"/>
              <w:left w:val="nil"/>
              <w:bottom w:val="single" w:sz="4" w:space="0" w:color="auto"/>
              <w:right w:val="nil"/>
            </w:tcBorders>
            <w:shd w:val="clear" w:color="auto" w:fill="auto"/>
            <w:vAlign w:val="center"/>
            <w:hideMark/>
          </w:tcPr>
          <w:p w14:paraId="6DBCE9AF" w14:textId="77777777" w:rsidR="00C30160" w:rsidRPr="00CE0DE7" w:rsidRDefault="00C30160" w:rsidP="00690118">
            <w:pPr>
              <w:jc w:val="center"/>
              <w:rPr>
                <w:rFonts w:eastAsia="Times New Roman"/>
                <w:bCs/>
                <w:i/>
                <w:iCs/>
                <w:color w:val="000000"/>
                <w:sz w:val="20"/>
                <w:szCs w:val="20"/>
                <w:lang w:val="en-GB" w:eastAsia="zh-CN"/>
              </w:rPr>
            </w:pPr>
            <w:r w:rsidRPr="00CE0DE7">
              <w:rPr>
                <w:rFonts w:eastAsia="Times New Roman"/>
                <w:bCs/>
                <w:i/>
                <w:iCs/>
                <w:color w:val="000000"/>
                <w:sz w:val="20"/>
                <w:szCs w:val="20"/>
                <w:lang w:val="en-GB" w:eastAsia="zh-CN"/>
              </w:rPr>
              <w:t>MSFE-adjusted</w:t>
            </w:r>
          </w:p>
        </w:tc>
        <w:tc>
          <w:tcPr>
            <w:tcW w:w="573" w:type="pct"/>
            <w:tcBorders>
              <w:top w:val="single" w:sz="4" w:space="0" w:color="auto"/>
              <w:left w:val="nil"/>
              <w:bottom w:val="single" w:sz="4" w:space="0" w:color="auto"/>
              <w:right w:val="nil"/>
            </w:tcBorders>
            <w:shd w:val="clear" w:color="auto" w:fill="auto"/>
            <w:vAlign w:val="center"/>
            <w:hideMark/>
          </w:tcPr>
          <w:p w14:paraId="035DDBDC" w14:textId="77777777" w:rsidR="00C30160" w:rsidRPr="00CE0DE7" w:rsidRDefault="00C30160" w:rsidP="00690118">
            <w:pPr>
              <w:jc w:val="center"/>
              <w:rPr>
                <w:rFonts w:eastAsia="Times New Roman"/>
                <w:bCs/>
                <w:color w:val="000000"/>
                <w:sz w:val="20"/>
                <w:szCs w:val="20"/>
                <w:lang w:val="en-GB" w:eastAsia="zh-CN"/>
              </w:rPr>
            </w:pPr>
            <w:r w:rsidRPr="00CE0DE7">
              <w:rPr>
                <w:rFonts w:eastAsia="Times New Roman"/>
                <w:bCs/>
                <w:i/>
                <w:iCs/>
                <w:color w:val="000000"/>
                <w:sz w:val="20"/>
                <w:szCs w:val="20"/>
                <w:lang w:val="en-GB" w:eastAsia="zh-CN"/>
              </w:rPr>
              <w:t>R</w:t>
            </w:r>
            <w:r w:rsidRPr="00CE0DE7">
              <w:rPr>
                <w:rFonts w:eastAsia="Times New Roman"/>
                <w:bCs/>
                <w:color w:val="000000"/>
                <w:sz w:val="20"/>
                <w:szCs w:val="20"/>
                <w:vertAlign w:val="superscript"/>
                <w:lang w:val="en-GB" w:eastAsia="zh-CN"/>
              </w:rPr>
              <w:t>2</w:t>
            </w:r>
            <w:r w:rsidRPr="00CE0DE7">
              <w:rPr>
                <w:rFonts w:eastAsia="Times New Roman"/>
                <w:bCs/>
                <w:color w:val="000000"/>
                <w:sz w:val="20"/>
                <w:szCs w:val="20"/>
                <w:vertAlign w:val="subscript"/>
                <w:lang w:val="en-GB" w:eastAsia="zh-CN"/>
              </w:rPr>
              <w:t>OS</w:t>
            </w:r>
            <w:r w:rsidRPr="00CE0DE7">
              <w:rPr>
                <w:rFonts w:eastAsia="Times New Roman"/>
                <w:bCs/>
                <w:color w:val="000000"/>
                <w:sz w:val="20"/>
                <w:szCs w:val="20"/>
                <w:lang w:val="en-GB" w:eastAsia="zh-CN"/>
              </w:rPr>
              <w:t xml:space="preserve"> (%)</w:t>
            </w:r>
          </w:p>
        </w:tc>
        <w:tc>
          <w:tcPr>
            <w:tcW w:w="864" w:type="pct"/>
            <w:tcBorders>
              <w:top w:val="single" w:sz="4" w:space="0" w:color="auto"/>
              <w:left w:val="nil"/>
              <w:bottom w:val="single" w:sz="4" w:space="0" w:color="auto"/>
              <w:right w:val="nil"/>
            </w:tcBorders>
            <w:shd w:val="clear" w:color="auto" w:fill="auto"/>
            <w:vAlign w:val="center"/>
            <w:hideMark/>
          </w:tcPr>
          <w:p w14:paraId="42C82F02" w14:textId="77777777" w:rsidR="00C30160" w:rsidRPr="00CE0DE7" w:rsidRDefault="00C30160" w:rsidP="00690118">
            <w:pPr>
              <w:jc w:val="center"/>
              <w:rPr>
                <w:rFonts w:eastAsia="Times New Roman"/>
                <w:bCs/>
                <w:i/>
                <w:iCs/>
                <w:color w:val="000000"/>
                <w:sz w:val="20"/>
                <w:szCs w:val="20"/>
                <w:lang w:val="en-GB" w:eastAsia="zh-CN"/>
              </w:rPr>
            </w:pPr>
            <w:r w:rsidRPr="00CE0DE7">
              <w:rPr>
                <w:rFonts w:eastAsia="Times New Roman"/>
                <w:bCs/>
                <w:i/>
                <w:iCs/>
                <w:color w:val="000000"/>
                <w:sz w:val="20"/>
                <w:szCs w:val="20"/>
                <w:lang w:val="en-GB" w:eastAsia="zh-CN"/>
              </w:rPr>
              <w:t>MSFE-adjusted</w:t>
            </w:r>
          </w:p>
        </w:tc>
      </w:tr>
      <w:tr w:rsidR="00C30160" w:rsidRPr="00CE0DE7" w14:paraId="1A782DDF" w14:textId="77777777" w:rsidTr="00690118">
        <w:trPr>
          <w:trHeight w:val="244"/>
        </w:trPr>
        <w:tc>
          <w:tcPr>
            <w:tcW w:w="571" w:type="pct"/>
            <w:tcBorders>
              <w:top w:val="single" w:sz="4" w:space="0" w:color="auto"/>
              <w:left w:val="nil"/>
              <w:bottom w:val="nil"/>
              <w:right w:val="nil"/>
            </w:tcBorders>
            <w:shd w:val="clear" w:color="auto" w:fill="auto"/>
            <w:noWrap/>
            <w:vAlign w:val="center"/>
            <w:hideMark/>
          </w:tcPr>
          <w:p w14:paraId="2E72D595" w14:textId="77777777" w:rsidR="00C30160" w:rsidRPr="00CE0DE7" w:rsidRDefault="00C30160" w:rsidP="00C24E43">
            <w:pPr>
              <w:rPr>
                <w:rFonts w:eastAsia="Times New Roman"/>
                <w:i/>
                <w:iCs/>
                <w:color w:val="000000"/>
                <w:sz w:val="20"/>
                <w:szCs w:val="20"/>
                <w:lang w:val="en-GB" w:eastAsia="zh-CN"/>
              </w:rPr>
            </w:pPr>
            <w:r w:rsidRPr="00CE0DE7">
              <w:rPr>
                <w:rFonts w:eastAsia="Times New Roman"/>
                <w:i/>
                <w:iCs/>
                <w:color w:val="000000"/>
                <w:sz w:val="20"/>
                <w:szCs w:val="20"/>
                <w:lang w:eastAsia="zh-CN"/>
              </w:rPr>
              <w:t>VRP</w:t>
            </w:r>
            <w:r w:rsidRPr="00CE0DE7">
              <w:rPr>
                <w:rFonts w:eastAsia="Times New Roman"/>
                <w:i/>
                <w:iCs/>
                <w:color w:val="000000"/>
                <w:sz w:val="20"/>
                <w:szCs w:val="20"/>
                <w:vertAlign w:val="superscript"/>
                <w:lang w:eastAsia="zh-CN"/>
              </w:rPr>
              <w:t>BTZ</w:t>
            </w:r>
          </w:p>
        </w:tc>
        <w:tc>
          <w:tcPr>
            <w:tcW w:w="577" w:type="pct"/>
            <w:tcBorders>
              <w:top w:val="single" w:sz="4" w:space="0" w:color="auto"/>
              <w:left w:val="nil"/>
              <w:bottom w:val="nil"/>
              <w:right w:val="nil"/>
            </w:tcBorders>
            <w:shd w:val="clear" w:color="auto" w:fill="auto"/>
            <w:noWrap/>
            <w:vAlign w:val="center"/>
            <w:hideMark/>
          </w:tcPr>
          <w:p w14:paraId="067870C7"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0.600***</w:t>
            </w:r>
          </w:p>
        </w:tc>
        <w:tc>
          <w:tcPr>
            <w:tcW w:w="397" w:type="pct"/>
            <w:tcBorders>
              <w:top w:val="single" w:sz="4" w:space="0" w:color="auto"/>
              <w:left w:val="nil"/>
              <w:bottom w:val="nil"/>
              <w:right w:val="nil"/>
            </w:tcBorders>
            <w:shd w:val="clear" w:color="auto" w:fill="auto"/>
            <w:noWrap/>
            <w:vAlign w:val="center"/>
            <w:hideMark/>
          </w:tcPr>
          <w:p w14:paraId="558B25E2"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4.311</w:t>
            </w:r>
          </w:p>
        </w:tc>
        <w:tc>
          <w:tcPr>
            <w:tcW w:w="459" w:type="pct"/>
            <w:tcBorders>
              <w:top w:val="single" w:sz="4" w:space="0" w:color="auto"/>
              <w:left w:val="nil"/>
              <w:bottom w:val="nil"/>
              <w:right w:val="nil"/>
            </w:tcBorders>
            <w:shd w:val="clear" w:color="auto" w:fill="auto"/>
            <w:noWrap/>
            <w:vAlign w:val="center"/>
            <w:hideMark/>
          </w:tcPr>
          <w:p w14:paraId="563933A8"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5.747</w:t>
            </w:r>
          </w:p>
        </w:tc>
        <w:tc>
          <w:tcPr>
            <w:tcW w:w="127" w:type="pct"/>
            <w:tcBorders>
              <w:top w:val="single" w:sz="4" w:space="0" w:color="auto"/>
              <w:left w:val="nil"/>
              <w:bottom w:val="nil"/>
              <w:right w:val="nil"/>
            </w:tcBorders>
            <w:shd w:val="clear" w:color="auto" w:fill="auto"/>
            <w:noWrap/>
            <w:vAlign w:val="center"/>
            <w:hideMark/>
          </w:tcPr>
          <w:p w14:paraId="6B7F84BA" w14:textId="77777777" w:rsidR="00C30160" w:rsidRPr="00CE0DE7" w:rsidRDefault="00C30160" w:rsidP="00690118">
            <w:pPr>
              <w:jc w:val="center"/>
              <w:rPr>
                <w:rFonts w:eastAsia="Times New Roman"/>
                <w:color w:val="000000"/>
                <w:sz w:val="20"/>
                <w:szCs w:val="20"/>
                <w:lang w:val="en-GB" w:eastAsia="zh-CN"/>
              </w:rPr>
            </w:pPr>
          </w:p>
        </w:tc>
        <w:tc>
          <w:tcPr>
            <w:tcW w:w="566" w:type="pct"/>
            <w:tcBorders>
              <w:top w:val="single" w:sz="4" w:space="0" w:color="auto"/>
              <w:left w:val="nil"/>
              <w:bottom w:val="nil"/>
              <w:right w:val="nil"/>
            </w:tcBorders>
            <w:shd w:val="clear" w:color="auto" w:fill="auto"/>
            <w:noWrap/>
            <w:vAlign w:val="center"/>
            <w:hideMark/>
          </w:tcPr>
          <w:p w14:paraId="1613C577"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6.307</w:t>
            </w:r>
          </w:p>
        </w:tc>
        <w:tc>
          <w:tcPr>
            <w:tcW w:w="866" w:type="pct"/>
            <w:tcBorders>
              <w:top w:val="single" w:sz="4" w:space="0" w:color="auto"/>
              <w:left w:val="nil"/>
              <w:bottom w:val="nil"/>
              <w:right w:val="nil"/>
            </w:tcBorders>
            <w:shd w:val="clear" w:color="auto" w:fill="auto"/>
            <w:noWrap/>
            <w:vAlign w:val="center"/>
            <w:hideMark/>
          </w:tcPr>
          <w:p w14:paraId="0F8B1D4E"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2.199**</w:t>
            </w:r>
          </w:p>
        </w:tc>
        <w:tc>
          <w:tcPr>
            <w:tcW w:w="573" w:type="pct"/>
            <w:tcBorders>
              <w:top w:val="single" w:sz="4" w:space="0" w:color="auto"/>
              <w:left w:val="nil"/>
              <w:bottom w:val="nil"/>
              <w:right w:val="nil"/>
            </w:tcBorders>
            <w:shd w:val="clear" w:color="auto" w:fill="auto"/>
            <w:noWrap/>
            <w:vAlign w:val="center"/>
            <w:hideMark/>
          </w:tcPr>
          <w:p w14:paraId="66F00037"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9.268</w:t>
            </w:r>
          </w:p>
        </w:tc>
        <w:tc>
          <w:tcPr>
            <w:tcW w:w="864" w:type="pct"/>
            <w:tcBorders>
              <w:top w:val="single" w:sz="4" w:space="0" w:color="auto"/>
              <w:left w:val="nil"/>
              <w:bottom w:val="nil"/>
              <w:right w:val="nil"/>
            </w:tcBorders>
            <w:shd w:val="clear" w:color="auto" w:fill="auto"/>
            <w:noWrap/>
            <w:vAlign w:val="center"/>
            <w:hideMark/>
          </w:tcPr>
          <w:p w14:paraId="204537BE"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2.079**</w:t>
            </w:r>
          </w:p>
        </w:tc>
      </w:tr>
      <w:tr w:rsidR="00C30160" w:rsidRPr="00CE0DE7" w14:paraId="4763B36E" w14:textId="77777777" w:rsidTr="00690118">
        <w:trPr>
          <w:trHeight w:val="244"/>
        </w:trPr>
        <w:tc>
          <w:tcPr>
            <w:tcW w:w="571" w:type="pct"/>
            <w:tcBorders>
              <w:top w:val="nil"/>
              <w:left w:val="nil"/>
              <w:bottom w:val="nil"/>
              <w:right w:val="nil"/>
            </w:tcBorders>
            <w:shd w:val="clear" w:color="auto" w:fill="auto"/>
            <w:noWrap/>
            <w:vAlign w:val="center"/>
            <w:hideMark/>
          </w:tcPr>
          <w:p w14:paraId="0F84802F" w14:textId="77777777" w:rsidR="00C30160" w:rsidRPr="00CE0DE7" w:rsidRDefault="00C30160" w:rsidP="00C24E43">
            <w:pP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p>
        </w:tc>
        <w:tc>
          <w:tcPr>
            <w:tcW w:w="577" w:type="pct"/>
            <w:tcBorders>
              <w:top w:val="nil"/>
              <w:left w:val="nil"/>
              <w:bottom w:val="nil"/>
              <w:right w:val="nil"/>
            </w:tcBorders>
            <w:shd w:val="clear" w:color="auto" w:fill="auto"/>
            <w:noWrap/>
            <w:vAlign w:val="center"/>
            <w:hideMark/>
          </w:tcPr>
          <w:p w14:paraId="69363914"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0.792***</w:t>
            </w:r>
          </w:p>
        </w:tc>
        <w:tc>
          <w:tcPr>
            <w:tcW w:w="397" w:type="pct"/>
            <w:tcBorders>
              <w:top w:val="nil"/>
              <w:left w:val="nil"/>
              <w:bottom w:val="nil"/>
              <w:right w:val="nil"/>
            </w:tcBorders>
            <w:shd w:val="clear" w:color="auto" w:fill="auto"/>
            <w:noWrap/>
            <w:vAlign w:val="center"/>
            <w:hideMark/>
          </w:tcPr>
          <w:p w14:paraId="6038A255"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5.999</w:t>
            </w:r>
          </w:p>
        </w:tc>
        <w:tc>
          <w:tcPr>
            <w:tcW w:w="459" w:type="pct"/>
            <w:tcBorders>
              <w:top w:val="nil"/>
              <w:left w:val="nil"/>
              <w:bottom w:val="nil"/>
              <w:right w:val="nil"/>
            </w:tcBorders>
            <w:shd w:val="clear" w:color="auto" w:fill="auto"/>
            <w:noWrap/>
            <w:vAlign w:val="center"/>
            <w:hideMark/>
          </w:tcPr>
          <w:p w14:paraId="77B8908F"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22.277</w:t>
            </w:r>
          </w:p>
        </w:tc>
        <w:tc>
          <w:tcPr>
            <w:tcW w:w="127" w:type="pct"/>
            <w:tcBorders>
              <w:top w:val="nil"/>
              <w:left w:val="nil"/>
              <w:bottom w:val="nil"/>
              <w:right w:val="nil"/>
            </w:tcBorders>
            <w:shd w:val="clear" w:color="auto" w:fill="auto"/>
            <w:noWrap/>
            <w:vAlign w:val="center"/>
            <w:hideMark/>
          </w:tcPr>
          <w:p w14:paraId="7E8EBD8C" w14:textId="77777777" w:rsidR="00C30160" w:rsidRPr="00CE0DE7" w:rsidRDefault="00C30160" w:rsidP="00690118">
            <w:pPr>
              <w:jc w:val="center"/>
              <w:rPr>
                <w:rFonts w:eastAsia="Times New Roman"/>
                <w:color w:val="000000"/>
                <w:sz w:val="20"/>
                <w:szCs w:val="20"/>
                <w:lang w:val="en-GB" w:eastAsia="zh-CN"/>
              </w:rPr>
            </w:pPr>
          </w:p>
        </w:tc>
        <w:tc>
          <w:tcPr>
            <w:tcW w:w="566" w:type="pct"/>
            <w:tcBorders>
              <w:top w:val="nil"/>
              <w:left w:val="nil"/>
              <w:bottom w:val="nil"/>
              <w:right w:val="nil"/>
            </w:tcBorders>
            <w:shd w:val="clear" w:color="auto" w:fill="auto"/>
            <w:noWrap/>
            <w:vAlign w:val="center"/>
            <w:hideMark/>
          </w:tcPr>
          <w:p w14:paraId="450AB0F3"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21.</w:t>
            </w:r>
            <w:r w:rsidRPr="00CE0DE7">
              <w:rPr>
                <w:rFonts w:eastAsiaTheme="minorEastAsia"/>
                <w:color w:val="000000"/>
                <w:sz w:val="20"/>
                <w:szCs w:val="20"/>
                <w:lang w:val="en-GB" w:eastAsia="zh-CN"/>
              </w:rPr>
              <w:t>269</w:t>
            </w:r>
          </w:p>
        </w:tc>
        <w:tc>
          <w:tcPr>
            <w:tcW w:w="866" w:type="pct"/>
            <w:tcBorders>
              <w:top w:val="nil"/>
              <w:left w:val="nil"/>
              <w:bottom w:val="nil"/>
              <w:right w:val="nil"/>
            </w:tcBorders>
            <w:shd w:val="clear" w:color="auto" w:fill="auto"/>
            <w:noWrap/>
            <w:vAlign w:val="center"/>
            <w:hideMark/>
          </w:tcPr>
          <w:p w14:paraId="46333551"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2.060**</w:t>
            </w:r>
          </w:p>
        </w:tc>
        <w:tc>
          <w:tcPr>
            <w:tcW w:w="573" w:type="pct"/>
            <w:tcBorders>
              <w:top w:val="nil"/>
              <w:left w:val="nil"/>
              <w:bottom w:val="nil"/>
              <w:right w:val="nil"/>
            </w:tcBorders>
            <w:shd w:val="clear" w:color="auto" w:fill="auto"/>
            <w:noWrap/>
            <w:vAlign w:val="center"/>
            <w:hideMark/>
          </w:tcPr>
          <w:p w14:paraId="35913281"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23.736</w:t>
            </w:r>
          </w:p>
        </w:tc>
        <w:tc>
          <w:tcPr>
            <w:tcW w:w="864" w:type="pct"/>
            <w:tcBorders>
              <w:top w:val="nil"/>
              <w:left w:val="nil"/>
              <w:bottom w:val="nil"/>
              <w:right w:val="nil"/>
            </w:tcBorders>
            <w:shd w:val="clear" w:color="auto" w:fill="auto"/>
            <w:noWrap/>
            <w:vAlign w:val="center"/>
            <w:hideMark/>
          </w:tcPr>
          <w:p w14:paraId="1E4B3CAE"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1.759**</w:t>
            </w:r>
          </w:p>
        </w:tc>
      </w:tr>
      <w:tr w:rsidR="00C30160" w:rsidRPr="00CE0DE7" w14:paraId="027F4C15" w14:textId="77777777" w:rsidTr="00690118">
        <w:trPr>
          <w:trHeight w:val="244"/>
        </w:trPr>
        <w:tc>
          <w:tcPr>
            <w:tcW w:w="571" w:type="pct"/>
            <w:tcBorders>
              <w:top w:val="nil"/>
              <w:left w:val="nil"/>
              <w:bottom w:val="nil"/>
              <w:right w:val="nil"/>
            </w:tcBorders>
            <w:shd w:val="clear" w:color="auto" w:fill="auto"/>
            <w:noWrap/>
            <w:vAlign w:val="center"/>
            <w:hideMark/>
          </w:tcPr>
          <w:p w14:paraId="56E76318" w14:textId="77777777" w:rsidR="00C30160" w:rsidRPr="00CE0DE7" w:rsidRDefault="00C30160" w:rsidP="00C24E43">
            <w:pPr>
              <w:rPr>
                <w:rFonts w:eastAsia="Times New Roman"/>
                <w:i/>
                <w:iCs/>
                <w:color w:val="000000"/>
                <w:sz w:val="20"/>
                <w:szCs w:val="20"/>
                <w:lang w:val="en-GB" w:eastAsia="zh-CN"/>
              </w:rPr>
            </w:pPr>
            <w:r w:rsidRPr="00CE0DE7">
              <w:rPr>
                <w:rFonts w:eastAsia="Times New Roman"/>
                <w:i/>
                <w:iCs/>
                <w:color w:val="000000"/>
                <w:sz w:val="20"/>
                <w:szCs w:val="20"/>
                <w:lang w:eastAsia="zh-CN"/>
              </w:rPr>
              <w:t>VRP</w:t>
            </w:r>
            <w:r w:rsidRPr="00CE0DE7">
              <w:rPr>
                <w:rFonts w:eastAsia="Times New Roman"/>
                <w:i/>
                <w:iCs/>
                <w:color w:val="000000"/>
                <w:sz w:val="20"/>
                <w:szCs w:val="20"/>
                <w:vertAlign w:val="superscript"/>
                <w:lang w:eastAsia="zh-CN"/>
              </w:rPr>
              <w:t>DY</w:t>
            </w:r>
          </w:p>
        </w:tc>
        <w:tc>
          <w:tcPr>
            <w:tcW w:w="577" w:type="pct"/>
            <w:tcBorders>
              <w:top w:val="nil"/>
              <w:left w:val="nil"/>
              <w:bottom w:val="nil"/>
              <w:right w:val="nil"/>
            </w:tcBorders>
            <w:shd w:val="clear" w:color="auto" w:fill="auto"/>
            <w:noWrap/>
            <w:vAlign w:val="center"/>
            <w:hideMark/>
          </w:tcPr>
          <w:p w14:paraId="05D16B49" w14:textId="77777777" w:rsidR="00C30160" w:rsidRPr="00CE0DE7" w:rsidRDefault="00C30160" w:rsidP="00690118">
            <w:pPr>
              <w:jc w:val="center"/>
              <w:rPr>
                <w:rFonts w:eastAsia="Times New Roman"/>
                <w:color w:val="000000"/>
                <w:sz w:val="20"/>
                <w:szCs w:val="20"/>
                <w:lang w:val="en-GB" w:eastAsia="zh-CN"/>
              </w:rPr>
            </w:pPr>
            <w:r w:rsidRPr="00CE0DE7">
              <w:rPr>
                <w:rFonts w:eastAsiaTheme="minorEastAsia"/>
                <w:color w:val="000000"/>
                <w:sz w:val="20"/>
                <w:szCs w:val="20"/>
                <w:lang w:val="en-GB" w:eastAsia="zh-CN"/>
              </w:rPr>
              <w:t>-</w:t>
            </w:r>
            <w:r w:rsidRPr="00CE0DE7">
              <w:rPr>
                <w:rFonts w:eastAsia="Times New Roman"/>
                <w:color w:val="000000"/>
                <w:sz w:val="20"/>
                <w:szCs w:val="20"/>
                <w:lang w:val="en-GB" w:eastAsia="zh-CN"/>
              </w:rPr>
              <w:t>0.316</w:t>
            </w:r>
          </w:p>
        </w:tc>
        <w:tc>
          <w:tcPr>
            <w:tcW w:w="397" w:type="pct"/>
            <w:tcBorders>
              <w:top w:val="nil"/>
              <w:left w:val="nil"/>
              <w:bottom w:val="nil"/>
              <w:right w:val="nil"/>
            </w:tcBorders>
            <w:shd w:val="clear" w:color="auto" w:fill="auto"/>
            <w:noWrap/>
            <w:vAlign w:val="center"/>
            <w:hideMark/>
          </w:tcPr>
          <w:p w14:paraId="4E0D81A5" w14:textId="77777777" w:rsidR="00C30160" w:rsidRPr="00CE0DE7" w:rsidRDefault="00C30160" w:rsidP="00690118">
            <w:pPr>
              <w:jc w:val="center"/>
              <w:rPr>
                <w:rFonts w:eastAsia="Times New Roman"/>
                <w:color w:val="000000"/>
                <w:sz w:val="20"/>
                <w:szCs w:val="20"/>
                <w:lang w:val="en-GB" w:eastAsia="zh-CN"/>
              </w:rPr>
            </w:pPr>
            <w:r w:rsidRPr="00CE0DE7">
              <w:rPr>
                <w:rFonts w:eastAsiaTheme="minorEastAsia"/>
                <w:color w:val="000000"/>
                <w:sz w:val="20"/>
                <w:szCs w:val="20"/>
                <w:lang w:val="en-GB" w:eastAsia="zh-CN"/>
              </w:rPr>
              <w:t>-</w:t>
            </w:r>
            <w:r w:rsidRPr="00CE0DE7">
              <w:rPr>
                <w:rFonts w:eastAsia="Times New Roman"/>
                <w:color w:val="000000"/>
                <w:sz w:val="20"/>
                <w:szCs w:val="20"/>
                <w:lang w:val="en-GB" w:eastAsia="zh-CN"/>
              </w:rPr>
              <w:t>0.636</w:t>
            </w:r>
          </w:p>
        </w:tc>
        <w:tc>
          <w:tcPr>
            <w:tcW w:w="459" w:type="pct"/>
            <w:tcBorders>
              <w:top w:val="nil"/>
              <w:left w:val="nil"/>
              <w:bottom w:val="nil"/>
              <w:right w:val="nil"/>
            </w:tcBorders>
            <w:shd w:val="clear" w:color="auto" w:fill="auto"/>
            <w:noWrap/>
            <w:vAlign w:val="center"/>
            <w:hideMark/>
          </w:tcPr>
          <w:p w14:paraId="773384A2"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0.103</w:t>
            </w:r>
          </w:p>
        </w:tc>
        <w:tc>
          <w:tcPr>
            <w:tcW w:w="127" w:type="pct"/>
            <w:tcBorders>
              <w:top w:val="nil"/>
              <w:left w:val="nil"/>
              <w:bottom w:val="nil"/>
              <w:right w:val="nil"/>
            </w:tcBorders>
            <w:shd w:val="clear" w:color="auto" w:fill="auto"/>
            <w:noWrap/>
            <w:vAlign w:val="center"/>
            <w:hideMark/>
          </w:tcPr>
          <w:p w14:paraId="0E74380F" w14:textId="77777777" w:rsidR="00C30160" w:rsidRPr="00CE0DE7" w:rsidRDefault="00C30160" w:rsidP="00690118">
            <w:pPr>
              <w:jc w:val="center"/>
              <w:rPr>
                <w:rFonts w:eastAsia="Times New Roman"/>
                <w:color w:val="000000"/>
                <w:sz w:val="20"/>
                <w:szCs w:val="20"/>
                <w:lang w:val="en-GB" w:eastAsia="zh-CN"/>
              </w:rPr>
            </w:pPr>
          </w:p>
        </w:tc>
        <w:tc>
          <w:tcPr>
            <w:tcW w:w="566" w:type="pct"/>
            <w:tcBorders>
              <w:top w:val="nil"/>
              <w:left w:val="nil"/>
              <w:bottom w:val="nil"/>
              <w:right w:val="nil"/>
            </w:tcBorders>
            <w:shd w:val="clear" w:color="auto" w:fill="auto"/>
            <w:noWrap/>
            <w:vAlign w:val="center"/>
            <w:hideMark/>
          </w:tcPr>
          <w:p w14:paraId="1B975F02"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-2.891</w:t>
            </w:r>
          </w:p>
        </w:tc>
        <w:tc>
          <w:tcPr>
            <w:tcW w:w="866" w:type="pct"/>
            <w:tcBorders>
              <w:top w:val="nil"/>
              <w:left w:val="nil"/>
              <w:bottom w:val="nil"/>
              <w:right w:val="nil"/>
            </w:tcBorders>
            <w:shd w:val="clear" w:color="auto" w:fill="auto"/>
            <w:noWrap/>
            <w:vAlign w:val="center"/>
            <w:hideMark/>
          </w:tcPr>
          <w:p w14:paraId="1924951D"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-1.037</w:t>
            </w:r>
          </w:p>
        </w:tc>
        <w:tc>
          <w:tcPr>
            <w:tcW w:w="573" w:type="pct"/>
            <w:tcBorders>
              <w:top w:val="nil"/>
              <w:left w:val="nil"/>
              <w:bottom w:val="nil"/>
              <w:right w:val="nil"/>
            </w:tcBorders>
            <w:shd w:val="clear" w:color="auto" w:fill="auto"/>
            <w:noWrap/>
            <w:vAlign w:val="center"/>
            <w:hideMark/>
          </w:tcPr>
          <w:p w14:paraId="2B7934A8"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-4.224</w:t>
            </w:r>
          </w:p>
        </w:tc>
        <w:tc>
          <w:tcPr>
            <w:tcW w:w="864" w:type="pct"/>
            <w:tcBorders>
              <w:top w:val="nil"/>
              <w:left w:val="nil"/>
              <w:bottom w:val="nil"/>
              <w:right w:val="nil"/>
            </w:tcBorders>
            <w:shd w:val="clear" w:color="auto" w:fill="auto"/>
            <w:noWrap/>
            <w:vAlign w:val="center"/>
            <w:hideMark/>
          </w:tcPr>
          <w:p w14:paraId="63E5D092"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-1.075</w:t>
            </w:r>
          </w:p>
        </w:tc>
      </w:tr>
      <w:tr w:rsidR="00C30160" w:rsidRPr="00CE0DE7" w14:paraId="78E793F7" w14:textId="77777777" w:rsidTr="00690118">
        <w:trPr>
          <w:trHeight w:val="244"/>
        </w:trPr>
        <w:tc>
          <w:tcPr>
            <w:tcW w:w="571" w:type="pct"/>
            <w:tcBorders>
              <w:top w:val="nil"/>
              <w:left w:val="nil"/>
              <w:bottom w:val="nil"/>
              <w:right w:val="nil"/>
            </w:tcBorders>
            <w:shd w:val="clear" w:color="auto" w:fill="auto"/>
            <w:noWrap/>
            <w:vAlign w:val="center"/>
            <w:hideMark/>
          </w:tcPr>
          <w:p w14:paraId="68966957" w14:textId="77777777" w:rsidR="00C30160" w:rsidRPr="00CE0DE7" w:rsidRDefault="00C30160" w:rsidP="00C24E43">
            <w:pPr>
              <w:rPr>
                <w:rFonts w:eastAsia="Times New Roman"/>
                <w:i/>
                <w:iCs/>
                <w:color w:val="000000"/>
                <w:sz w:val="20"/>
                <w:szCs w:val="20"/>
                <w:lang w:val="en-GB" w:eastAsia="zh-CN"/>
              </w:rPr>
            </w:pPr>
            <w:r w:rsidRPr="00CE0DE7">
              <w:rPr>
                <w:rFonts w:eastAsia="Times New Roman"/>
                <w:i/>
                <w:iCs/>
                <w:color w:val="000000"/>
                <w:sz w:val="20"/>
                <w:szCs w:val="20"/>
                <w:lang w:eastAsia="zh-CN"/>
              </w:rPr>
              <w:t>ILLIQ</w:t>
            </w:r>
            <w:r w:rsidRPr="00CE0DE7">
              <w:rPr>
                <w:rFonts w:eastAsia="Times New Roman"/>
                <w:i/>
                <w:iCs/>
                <w:color w:val="000000"/>
                <w:sz w:val="20"/>
                <w:szCs w:val="20"/>
                <w:vertAlign w:val="superscript"/>
                <w:lang w:eastAsia="zh-CN"/>
              </w:rPr>
              <w:t>NYSE</w:t>
            </w:r>
          </w:p>
        </w:tc>
        <w:tc>
          <w:tcPr>
            <w:tcW w:w="577" w:type="pct"/>
            <w:tcBorders>
              <w:top w:val="nil"/>
              <w:left w:val="nil"/>
              <w:bottom w:val="nil"/>
              <w:right w:val="nil"/>
            </w:tcBorders>
            <w:shd w:val="clear" w:color="auto" w:fill="auto"/>
            <w:noWrap/>
            <w:vAlign w:val="center"/>
            <w:hideMark/>
          </w:tcPr>
          <w:p w14:paraId="6D5412C9"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1.365</w:t>
            </w:r>
          </w:p>
        </w:tc>
        <w:tc>
          <w:tcPr>
            <w:tcW w:w="397" w:type="pct"/>
            <w:tcBorders>
              <w:top w:val="nil"/>
              <w:left w:val="nil"/>
              <w:bottom w:val="nil"/>
              <w:right w:val="nil"/>
            </w:tcBorders>
            <w:shd w:val="clear" w:color="auto" w:fill="auto"/>
            <w:noWrap/>
            <w:vAlign w:val="center"/>
            <w:hideMark/>
          </w:tcPr>
          <w:p w14:paraId="4D61943E"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0.835</w:t>
            </w:r>
          </w:p>
        </w:tc>
        <w:tc>
          <w:tcPr>
            <w:tcW w:w="459" w:type="pct"/>
            <w:tcBorders>
              <w:top w:val="nil"/>
              <w:left w:val="nil"/>
              <w:bottom w:val="nil"/>
              <w:right w:val="nil"/>
            </w:tcBorders>
            <w:shd w:val="clear" w:color="auto" w:fill="auto"/>
            <w:noWrap/>
            <w:vAlign w:val="center"/>
            <w:hideMark/>
          </w:tcPr>
          <w:p w14:paraId="3380E5AB"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0.158</w:t>
            </w:r>
          </w:p>
        </w:tc>
        <w:tc>
          <w:tcPr>
            <w:tcW w:w="127" w:type="pct"/>
            <w:tcBorders>
              <w:top w:val="nil"/>
              <w:left w:val="nil"/>
              <w:bottom w:val="nil"/>
              <w:right w:val="nil"/>
            </w:tcBorders>
            <w:shd w:val="clear" w:color="auto" w:fill="auto"/>
            <w:noWrap/>
            <w:vAlign w:val="center"/>
            <w:hideMark/>
          </w:tcPr>
          <w:p w14:paraId="72F78E1C" w14:textId="77777777" w:rsidR="00C30160" w:rsidRPr="00CE0DE7" w:rsidRDefault="00C30160" w:rsidP="00690118">
            <w:pPr>
              <w:jc w:val="center"/>
              <w:rPr>
                <w:rFonts w:eastAsia="Times New Roman"/>
                <w:color w:val="000000"/>
                <w:sz w:val="20"/>
                <w:szCs w:val="20"/>
                <w:lang w:val="en-GB" w:eastAsia="zh-CN"/>
              </w:rPr>
            </w:pPr>
          </w:p>
        </w:tc>
        <w:tc>
          <w:tcPr>
            <w:tcW w:w="566" w:type="pct"/>
            <w:tcBorders>
              <w:top w:val="nil"/>
              <w:left w:val="nil"/>
              <w:bottom w:val="nil"/>
              <w:right w:val="nil"/>
            </w:tcBorders>
            <w:shd w:val="clear" w:color="auto" w:fill="auto"/>
            <w:noWrap/>
            <w:vAlign w:val="center"/>
            <w:hideMark/>
          </w:tcPr>
          <w:p w14:paraId="1E13C2D5"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-0.510</w:t>
            </w:r>
          </w:p>
        </w:tc>
        <w:tc>
          <w:tcPr>
            <w:tcW w:w="866" w:type="pct"/>
            <w:tcBorders>
              <w:top w:val="nil"/>
              <w:left w:val="nil"/>
              <w:bottom w:val="nil"/>
              <w:right w:val="nil"/>
            </w:tcBorders>
            <w:shd w:val="clear" w:color="auto" w:fill="auto"/>
            <w:noWrap/>
            <w:vAlign w:val="center"/>
            <w:hideMark/>
          </w:tcPr>
          <w:p w14:paraId="77262630"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-0.378</w:t>
            </w:r>
          </w:p>
        </w:tc>
        <w:tc>
          <w:tcPr>
            <w:tcW w:w="573" w:type="pct"/>
            <w:tcBorders>
              <w:top w:val="nil"/>
              <w:left w:val="nil"/>
              <w:bottom w:val="nil"/>
              <w:right w:val="nil"/>
            </w:tcBorders>
            <w:shd w:val="clear" w:color="auto" w:fill="auto"/>
            <w:noWrap/>
            <w:vAlign w:val="center"/>
            <w:hideMark/>
          </w:tcPr>
          <w:p w14:paraId="0D940437"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-0.481</w:t>
            </w:r>
          </w:p>
        </w:tc>
        <w:tc>
          <w:tcPr>
            <w:tcW w:w="864" w:type="pct"/>
            <w:tcBorders>
              <w:top w:val="nil"/>
              <w:left w:val="nil"/>
              <w:bottom w:val="nil"/>
              <w:right w:val="nil"/>
            </w:tcBorders>
            <w:shd w:val="clear" w:color="auto" w:fill="auto"/>
            <w:noWrap/>
            <w:vAlign w:val="center"/>
            <w:hideMark/>
          </w:tcPr>
          <w:p w14:paraId="0272605D"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-0.116</w:t>
            </w:r>
          </w:p>
        </w:tc>
      </w:tr>
      <w:tr w:rsidR="00C30160" w:rsidRPr="00CE0DE7" w14:paraId="5D445714" w14:textId="77777777" w:rsidTr="00690118">
        <w:trPr>
          <w:trHeight w:val="244"/>
        </w:trPr>
        <w:tc>
          <w:tcPr>
            <w:tcW w:w="571" w:type="pct"/>
            <w:tcBorders>
              <w:top w:val="nil"/>
              <w:left w:val="nil"/>
              <w:bottom w:val="single" w:sz="12" w:space="0" w:color="auto"/>
              <w:right w:val="nil"/>
            </w:tcBorders>
            <w:shd w:val="clear" w:color="auto" w:fill="auto"/>
            <w:noWrap/>
            <w:vAlign w:val="center"/>
            <w:hideMark/>
          </w:tcPr>
          <w:p w14:paraId="6724762C" w14:textId="77777777" w:rsidR="00C30160" w:rsidRPr="00CE0DE7" w:rsidRDefault="00C30160" w:rsidP="00C24E43">
            <w:pPr>
              <w:rPr>
                <w:rFonts w:eastAsia="Times New Roman"/>
                <w:i/>
                <w:iCs/>
                <w:color w:val="000000"/>
                <w:sz w:val="20"/>
                <w:szCs w:val="20"/>
                <w:lang w:val="en-GB" w:eastAsia="zh-CN"/>
              </w:rPr>
            </w:pPr>
            <w:r w:rsidRPr="00CE0DE7">
              <w:rPr>
                <w:rFonts w:eastAsia="Times New Roman"/>
                <w:i/>
                <w:iCs/>
                <w:color w:val="000000"/>
                <w:sz w:val="20"/>
                <w:szCs w:val="20"/>
                <w:lang w:eastAsia="zh-CN"/>
              </w:rPr>
              <w:t>ILLIQ</w:t>
            </w:r>
            <w:r w:rsidRPr="00CE0DE7">
              <w:rPr>
                <w:rFonts w:eastAsia="Times New Roman"/>
                <w:i/>
                <w:iCs/>
                <w:color w:val="000000"/>
                <w:sz w:val="20"/>
                <w:szCs w:val="20"/>
                <w:vertAlign w:val="superscript"/>
                <w:lang w:eastAsia="zh-CN"/>
              </w:rPr>
              <w:t>SP500</w:t>
            </w:r>
          </w:p>
        </w:tc>
        <w:tc>
          <w:tcPr>
            <w:tcW w:w="577" w:type="pct"/>
            <w:tcBorders>
              <w:top w:val="nil"/>
              <w:left w:val="nil"/>
              <w:bottom w:val="single" w:sz="12" w:space="0" w:color="auto"/>
              <w:right w:val="nil"/>
            </w:tcBorders>
            <w:shd w:val="clear" w:color="auto" w:fill="auto"/>
            <w:noWrap/>
            <w:vAlign w:val="center"/>
            <w:hideMark/>
          </w:tcPr>
          <w:p w14:paraId="7CD66819"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1.466</w:t>
            </w:r>
          </w:p>
        </w:tc>
        <w:tc>
          <w:tcPr>
            <w:tcW w:w="397" w:type="pct"/>
            <w:tcBorders>
              <w:top w:val="nil"/>
              <w:left w:val="nil"/>
              <w:bottom w:val="single" w:sz="12" w:space="0" w:color="auto"/>
              <w:right w:val="nil"/>
            </w:tcBorders>
            <w:shd w:val="clear" w:color="auto" w:fill="auto"/>
            <w:noWrap/>
            <w:vAlign w:val="center"/>
            <w:hideMark/>
          </w:tcPr>
          <w:p w14:paraId="4864796C"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0.961</w:t>
            </w:r>
          </w:p>
        </w:tc>
        <w:tc>
          <w:tcPr>
            <w:tcW w:w="459" w:type="pct"/>
            <w:tcBorders>
              <w:top w:val="nil"/>
              <w:left w:val="nil"/>
              <w:bottom w:val="single" w:sz="12" w:space="0" w:color="auto"/>
              <w:right w:val="nil"/>
            </w:tcBorders>
            <w:shd w:val="clear" w:color="auto" w:fill="auto"/>
            <w:noWrap/>
            <w:vAlign w:val="center"/>
            <w:hideMark/>
          </w:tcPr>
          <w:p w14:paraId="51930544"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0.458</w:t>
            </w:r>
          </w:p>
        </w:tc>
        <w:tc>
          <w:tcPr>
            <w:tcW w:w="127" w:type="pct"/>
            <w:tcBorders>
              <w:top w:val="nil"/>
              <w:left w:val="nil"/>
              <w:bottom w:val="single" w:sz="12" w:space="0" w:color="auto"/>
              <w:right w:val="nil"/>
            </w:tcBorders>
            <w:shd w:val="clear" w:color="auto" w:fill="auto"/>
            <w:noWrap/>
            <w:vAlign w:val="center"/>
            <w:hideMark/>
          </w:tcPr>
          <w:p w14:paraId="103DE42A" w14:textId="77777777" w:rsidR="00C30160" w:rsidRPr="00CE0DE7" w:rsidRDefault="00C30160" w:rsidP="00690118">
            <w:pPr>
              <w:jc w:val="center"/>
              <w:rPr>
                <w:rFonts w:eastAsia="Times New Roman"/>
                <w:color w:val="000000"/>
                <w:sz w:val="20"/>
                <w:szCs w:val="20"/>
                <w:lang w:val="en-GB" w:eastAsia="zh-CN"/>
              </w:rPr>
            </w:pPr>
          </w:p>
        </w:tc>
        <w:tc>
          <w:tcPr>
            <w:tcW w:w="566" w:type="pct"/>
            <w:tcBorders>
              <w:top w:val="nil"/>
              <w:left w:val="nil"/>
              <w:bottom w:val="single" w:sz="12" w:space="0" w:color="auto"/>
              <w:right w:val="nil"/>
            </w:tcBorders>
            <w:shd w:val="clear" w:color="auto" w:fill="auto"/>
            <w:noWrap/>
            <w:vAlign w:val="center"/>
            <w:hideMark/>
          </w:tcPr>
          <w:p w14:paraId="3166C64C"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-0.863</w:t>
            </w:r>
          </w:p>
        </w:tc>
        <w:tc>
          <w:tcPr>
            <w:tcW w:w="866" w:type="pct"/>
            <w:tcBorders>
              <w:top w:val="nil"/>
              <w:left w:val="nil"/>
              <w:bottom w:val="single" w:sz="12" w:space="0" w:color="auto"/>
              <w:right w:val="nil"/>
            </w:tcBorders>
            <w:shd w:val="clear" w:color="auto" w:fill="auto"/>
            <w:noWrap/>
            <w:vAlign w:val="center"/>
            <w:hideMark/>
          </w:tcPr>
          <w:p w14:paraId="4ED21D70"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-0.116</w:t>
            </w:r>
          </w:p>
        </w:tc>
        <w:tc>
          <w:tcPr>
            <w:tcW w:w="573" w:type="pct"/>
            <w:tcBorders>
              <w:top w:val="nil"/>
              <w:left w:val="nil"/>
              <w:bottom w:val="single" w:sz="12" w:space="0" w:color="auto"/>
              <w:right w:val="nil"/>
            </w:tcBorders>
            <w:shd w:val="clear" w:color="auto" w:fill="auto"/>
            <w:noWrap/>
            <w:vAlign w:val="center"/>
            <w:hideMark/>
          </w:tcPr>
          <w:p w14:paraId="6DC024A1"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-0.864</w:t>
            </w:r>
          </w:p>
        </w:tc>
        <w:tc>
          <w:tcPr>
            <w:tcW w:w="864" w:type="pct"/>
            <w:tcBorders>
              <w:top w:val="nil"/>
              <w:left w:val="nil"/>
              <w:bottom w:val="single" w:sz="12" w:space="0" w:color="auto"/>
              <w:right w:val="nil"/>
            </w:tcBorders>
            <w:shd w:val="clear" w:color="auto" w:fill="auto"/>
            <w:noWrap/>
            <w:vAlign w:val="center"/>
            <w:hideMark/>
          </w:tcPr>
          <w:p w14:paraId="7F4A379C"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-0.084</w:t>
            </w:r>
          </w:p>
        </w:tc>
      </w:tr>
      <w:tr w:rsidR="00C30160" w:rsidRPr="00CE0DE7" w14:paraId="04E825CC" w14:textId="77777777" w:rsidTr="00690118">
        <w:trPr>
          <w:trHeight w:val="212"/>
        </w:trPr>
        <w:tc>
          <w:tcPr>
            <w:tcW w:w="571" w:type="pct"/>
            <w:tcBorders>
              <w:top w:val="single" w:sz="12" w:space="0" w:color="auto"/>
              <w:left w:val="nil"/>
              <w:bottom w:val="single" w:sz="12" w:space="0" w:color="auto"/>
              <w:right w:val="nil"/>
            </w:tcBorders>
            <w:shd w:val="clear" w:color="auto" w:fill="auto"/>
            <w:noWrap/>
            <w:vAlign w:val="center"/>
            <w:hideMark/>
          </w:tcPr>
          <w:p w14:paraId="21CD7A67" w14:textId="77777777" w:rsidR="00C30160" w:rsidRPr="00CE0DE7" w:rsidRDefault="00C30160" w:rsidP="00C24E43">
            <w:pPr>
              <w:jc w:val="center"/>
              <w:rPr>
                <w:rFonts w:eastAsia="Times New Roman"/>
                <w:color w:val="000000"/>
                <w:sz w:val="20"/>
                <w:szCs w:val="20"/>
                <w:lang w:val="en-GB" w:eastAsia="zh-CN"/>
              </w:rPr>
            </w:pPr>
          </w:p>
        </w:tc>
        <w:tc>
          <w:tcPr>
            <w:tcW w:w="577" w:type="pct"/>
            <w:tcBorders>
              <w:top w:val="single" w:sz="12" w:space="0" w:color="auto"/>
              <w:left w:val="nil"/>
              <w:bottom w:val="single" w:sz="12" w:space="0" w:color="auto"/>
              <w:right w:val="nil"/>
            </w:tcBorders>
            <w:shd w:val="clear" w:color="auto" w:fill="auto"/>
            <w:noWrap/>
            <w:vAlign w:val="center"/>
            <w:hideMark/>
          </w:tcPr>
          <w:p w14:paraId="62DD769E" w14:textId="77777777" w:rsidR="00C30160" w:rsidRPr="00CE0DE7" w:rsidRDefault="00C30160" w:rsidP="00C24E43">
            <w:pPr>
              <w:jc w:val="center"/>
              <w:rPr>
                <w:rFonts w:eastAsia="Times New Roman"/>
                <w:sz w:val="20"/>
                <w:szCs w:val="20"/>
                <w:lang w:val="en-GB" w:eastAsia="zh-CN"/>
              </w:rPr>
            </w:pPr>
          </w:p>
        </w:tc>
        <w:tc>
          <w:tcPr>
            <w:tcW w:w="397" w:type="pct"/>
            <w:tcBorders>
              <w:top w:val="single" w:sz="12" w:space="0" w:color="auto"/>
              <w:left w:val="nil"/>
              <w:bottom w:val="single" w:sz="12" w:space="0" w:color="auto"/>
              <w:right w:val="nil"/>
            </w:tcBorders>
            <w:shd w:val="clear" w:color="auto" w:fill="auto"/>
            <w:noWrap/>
            <w:vAlign w:val="center"/>
            <w:hideMark/>
          </w:tcPr>
          <w:p w14:paraId="651C63E3" w14:textId="77777777" w:rsidR="00C30160" w:rsidRPr="00CE0DE7" w:rsidRDefault="00C30160" w:rsidP="00C24E43">
            <w:pPr>
              <w:jc w:val="center"/>
              <w:rPr>
                <w:rFonts w:eastAsia="Times New Roman"/>
                <w:sz w:val="20"/>
                <w:szCs w:val="20"/>
                <w:lang w:val="en-GB" w:eastAsia="zh-CN"/>
              </w:rPr>
            </w:pPr>
          </w:p>
        </w:tc>
        <w:tc>
          <w:tcPr>
            <w:tcW w:w="459" w:type="pct"/>
            <w:tcBorders>
              <w:top w:val="single" w:sz="12" w:space="0" w:color="auto"/>
              <w:left w:val="nil"/>
              <w:bottom w:val="single" w:sz="12" w:space="0" w:color="auto"/>
              <w:right w:val="nil"/>
            </w:tcBorders>
            <w:shd w:val="clear" w:color="auto" w:fill="auto"/>
            <w:noWrap/>
            <w:vAlign w:val="center"/>
            <w:hideMark/>
          </w:tcPr>
          <w:p w14:paraId="0D30E92A" w14:textId="77777777" w:rsidR="00C30160" w:rsidRPr="00CE0DE7" w:rsidRDefault="00C30160" w:rsidP="00C24E43">
            <w:pPr>
              <w:jc w:val="center"/>
              <w:rPr>
                <w:rFonts w:eastAsia="Times New Roman"/>
                <w:sz w:val="20"/>
                <w:szCs w:val="20"/>
                <w:lang w:val="en-GB" w:eastAsia="zh-CN"/>
              </w:rPr>
            </w:pPr>
          </w:p>
        </w:tc>
        <w:tc>
          <w:tcPr>
            <w:tcW w:w="127" w:type="pct"/>
            <w:tcBorders>
              <w:top w:val="single" w:sz="12" w:space="0" w:color="auto"/>
              <w:left w:val="nil"/>
              <w:bottom w:val="single" w:sz="12" w:space="0" w:color="auto"/>
              <w:right w:val="nil"/>
            </w:tcBorders>
            <w:shd w:val="clear" w:color="auto" w:fill="auto"/>
            <w:noWrap/>
            <w:vAlign w:val="center"/>
            <w:hideMark/>
          </w:tcPr>
          <w:p w14:paraId="286DA0BD" w14:textId="77777777" w:rsidR="00C30160" w:rsidRPr="00CE0DE7" w:rsidRDefault="00C30160" w:rsidP="00C24E43">
            <w:pPr>
              <w:jc w:val="center"/>
              <w:rPr>
                <w:rFonts w:eastAsia="Times New Roman"/>
                <w:sz w:val="20"/>
                <w:szCs w:val="20"/>
                <w:lang w:val="en-GB" w:eastAsia="zh-CN"/>
              </w:rPr>
            </w:pPr>
          </w:p>
        </w:tc>
        <w:tc>
          <w:tcPr>
            <w:tcW w:w="566" w:type="pct"/>
            <w:tcBorders>
              <w:top w:val="single" w:sz="12" w:space="0" w:color="auto"/>
              <w:left w:val="nil"/>
              <w:bottom w:val="single" w:sz="12" w:space="0" w:color="auto"/>
              <w:right w:val="nil"/>
            </w:tcBorders>
            <w:shd w:val="clear" w:color="auto" w:fill="auto"/>
            <w:noWrap/>
            <w:vAlign w:val="center"/>
            <w:hideMark/>
          </w:tcPr>
          <w:p w14:paraId="10BC3A25" w14:textId="77777777" w:rsidR="00C30160" w:rsidRPr="00CE0DE7" w:rsidRDefault="00C30160" w:rsidP="00C24E43">
            <w:pPr>
              <w:jc w:val="center"/>
              <w:rPr>
                <w:rFonts w:eastAsia="Times New Roman"/>
                <w:sz w:val="20"/>
                <w:szCs w:val="20"/>
                <w:lang w:val="en-GB" w:eastAsia="zh-CN"/>
              </w:rPr>
            </w:pPr>
          </w:p>
        </w:tc>
        <w:tc>
          <w:tcPr>
            <w:tcW w:w="866" w:type="pct"/>
            <w:tcBorders>
              <w:top w:val="single" w:sz="12" w:space="0" w:color="auto"/>
              <w:left w:val="nil"/>
              <w:bottom w:val="single" w:sz="12" w:space="0" w:color="auto"/>
              <w:right w:val="nil"/>
            </w:tcBorders>
            <w:shd w:val="clear" w:color="auto" w:fill="auto"/>
            <w:noWrap/>
            <w:vAlign w:val="center"/>
            <w:hideMark/>
          </w:tcPr>
          <w:p w14:paraId="200F5BDC" w14:textId="77777777" w:rsidR="00C30160" w:rsidRPr="00CE0DE7" w:rsidRDefault="00C30160" w:rsidP="00C24E43">
            <w:pPr>
              <w:jc w:val="center"/>
              <w:rPr>
                <w:rFonts w:eastAsia="Times New Roman"/>
                <w:sz w:val="20"/>
                <w:szCs w:val="20"/>
                <w:lang w:val="en-GB" w:eastAsia="zh-CN"/>
              </w:rPr>
            </w:pPr>
          </w:p>
        </w:tc>
        <w:tc>
          <w:tcPr>
            <w:tcW w:w="573" w:type="pct"/>
            <w:tcBorders>
              <w:top w:val="single" w:sz="12" w:space="0" w:color="auto"/>
              <w:left w:val="nil"/>
              <w:bottom w:val="single" w:sz="12" w:space="0" w:color="auto"/>
              <w:right w:val="nil"/>
            </w:tcBorders>
            <w:shd w:val="clear" w:color="auto" w:fill="auto"/>
            <w:noWrap/>
            <w:vAlign w:val="center"/>
            <w:hideMark/>
          </w:tcPr>
          <w:p w14:paraId="0843C62A" w14:textId="77777777" w:rsidR="00C30160" w:rsidRPr="00CE0DE7" w:rsidRDefault="00C30160" w:rsidP="00C24E43">
            <w:pPr>
              <w:jc w:val="center"/>
              <w:rPr>
                <w:rFonts w:eastAsia="Times New Roman"/>
                <w:sz w:val="20"/>
                <w:szCs w:val="20"/>
                <w:lang w:val="en-GB" w:eastAsia="zh-CN"/>
              </w:rPr>
            </w:pPr>
          </w:p>
        </w:tc>
        <w:tc>
          <w:tcPr>
            <w:tcW w:w="864" w:type="pct"/>
            <w:tcBorders>
              <w:top w:val="single" w:sz="12" w:space="0" w:color="auto"/>
              <w:left w:val="nil"/>
              <w:bottom w:val="single" w:sz="4" w:space="0" w:color="auto"/>
              <w:right w:val="nil"/>
            </w:tcBorders>
            <w:shd w:val="clear" w:color="auto" w:fill="auto"/>
            <w:noWrap/>
            <w:vAlign w:val="center"/>
            <w:hideMark/>
          </w:tcPr>
          <w:p w14:paraId="2B15F86D" w14:textId="77777777" w:rsidR="00C30160" w:rsidRPr="00CE0DE7" w:rsidRDefault="00C30160" w:rsidP="00C24E43">
            <w:pPr>
              <w:jc w:val="center"/>
              <w:rPr>
                <w:rFonts w:eastAsia="Times New Roman"/>
                <w:sz w:val="20"/>
                <w:szCs w:val="20"/>
                <w:lang w:val="en-GB" w:eastAsia="zh-CN"/>
              </w:rPr>
            </w:pPr>
          </w:p>
        </w:tc>
      </w:tr>
      <w:tr w:rsidR="00C30160" w:rsidRPr="00CE0DE7" w14:paraId="3EFD75BF" w14:textId="77777777" w:rsidTr="00690118">
        <w:trPr>
          <w:trHeight w:val="212"/>
        </w:trPr>
        <w:tc>
          <w:tcPr>
            <w:tcW w:w="571" w:type="pct"/>
            <w:tcBorders>
              <w:top w:val="single" w:sz="12" w:space="0" w:color="auto"/>
              <w:left w:val="nil"/>
              <w:bottom w:val="nil"/>
              <w:right w:val="nil"/>
            </w:tcBorders>
            <w:shd w:val="clear" w:color="auto" w:fill="auto"/>
            <w:noWrap/>
            <w:vAlign w:val="center"/>
            <w:hideMark/>
          </w:tcPr>
          <w:p w14:paraId="58FEBF6D" w14:textId="77777777" w:rsidR="00C30160" w:rsidRPr="00CE0DE7" w:rsidRDefault="00C30160" w:rsidP="00C24E43">
            <w:pPr>
              <w:jc w:val="center"/>
              <w:rPr>
                <w:rFonts w:eastAsia="Times New Roman"/>
                <w:sz w:val="20"/>
                <w:szCs w:val="20"/>
                <w:lang w:val="en-GB" w:eastAsia="zh-CN"/>
              </w:rPr>
            </w:pPr>
          </w:p>
        </w:tc>
        <w:tc>
          <w:tcPr>
            <w:tcW w:w="4429" w:type="pct"/>
            <w:gridSpan w:val="8"/>
            <w:tcBorders>
              <w:top w:val="single" w:sz="12" w:space="0" w:color="auto"/>
              <w:left w:val="nil"/>
              <w:bottom w:val="single" w:sz="4" w:space="0" w:color="auto"/>
              <w:right w:val="nil"/>
            </w:tcBorders>
            <w:shd w:val="clear" w:color="auto" w:fill="auto"/>
            <w:noWrap/>
            <w:vAlign w:val="center"/>
            <w:hideMark/>
          </w:tcPr>
          <w:p w14:paraId="40029AE7" w14:textId="7E6E97C9" w:rsidR="00C30160" w:rsidRPr="00CE0DE7" w:rsidRDefault="00C30160" w:rsidP="00EB3316">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Dependent Variable:</w:t>
            </w:r>
            <w:r w:rsidR="00EB3316" w:rsidRPr="00CE0DE7">
              <w:rPr>
                <w:rFonts w:eastAsiaTheme="minorEastAsia" w:hint="eastAsia"/>
                <w:bCs/>
                <w:color w:val="000000"/>
                <w:sz w:val="20"/>
                <w:szCs w:val="20"/>
                <w:lang w:val="en-GB" w:eastAsia="zh-CN"/>
              </w:rPr>
              <w:t xml:space="preserve"> </w:t>
            </w:r>
            <w:r w:rsidRPr="00CE0DE7">
              <w:rPr>
                <w:rFonts w:eastAsia="Times New Roman"/>
                <w:bCs/>
                <w:i/>
                <w:color w:val="000000"/>
                <w:sz w:val="20"/>
                <w:szCs w:val="20"/>
                <w:lang w:val="en-GB" w:eastAsia="zh-CN"/>
              </w:rPr>
              <w:t>Index</w:t>
            </w:r>
          </w:p>
        </w:tc>
      </w:tr>
      <w:tr w:rsidR="00C30160" w:rsidRPr="00CE0DE7" w14:paraId="35B46ADE" w14:textId="77777777" w:rsidTr="00690118">
        <w:trPr>
          <w:trHeight w:val="212"/>
        </w:trPr>
        <w:tc>
          <w:tcPr>
            <w:tcW w:w="571" w:type="pct"/>
            <w:tcBorders>
              <w:top w:val="nil"/>
              <w:left w:val="nil"/>
              <w:bottom w:val="nil"/>
              <w:right w:val="nil"/>
            </w:tcBorders>
            <w:shd w:val="clear" w:color="auto" w:fill="auto"/>
            <w:noWrap/>
            <w:vAlign w:val="center"/>
            <w:hideMark/>
          </w:tcPr>
          <w:p w14:paraId="1C9AF475" w14:textId="77777777" w:rsidR="00C30160" w:rsidRPr="00CE0DE7" w:rsidRDefault="00C30160" w:rsidP="00C24E43">
            <w:pPr>
              <w:jc w:val="center"/>
              <w:rPr>
                <w:rFonts w:eastAsia="Times New Roman"/>
                <w:bCs/>
                <w:color w:val="000000"/>
                <w:sz w:val="20"/>
                <w:szCs w:val="20"/>
                <w:lang w:val="en-GB" w:eastAsia="zh-CN"/>
              </w:rPr>
            </w:pPr>
          </w:p>
        </w:tc>
        <w:tc>
          <w:tcPr>
            <w:tcW w:w="1433" w:type="pct"/>
            <w:gridSpan w:val="3"/>
            <w:tcBorders>
              <w:top w:val="single" w:sz="4" w:space="0" w:color="auto"/>
              <w:left w:val="nil"/>
              <w:bottom w:val="single" w:sz="4" w:space="0" w:color="auto"/>
              <w:right w:val="nil"/>
            </w:tcBorders>
            <w:shd w:val="clear" w:color="auto" w:fill="auto"/>
            <w:noWrap/>
            <w:vAlign w:val="center"/>
            <w:hideMark/>
          </w:tcPr>
          <w:p w14:paraId="7FA0FEB2" w14:textId="77777777" w:rsidR="00C30160" w:rsidRPr="00CE0DE7" w:rsidRDefault="00C30160" w:rsidP="00C24E43">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 xml:space="preserve">In-sample </w:t>
            </w:r>
          </w:p>
        </w:tc>
        <w:tc>
          <w:tcPr>
            <w:tcW w:w="127" w:type="pct"/>
            <w:tcBorders>
              <w:top w:val="single" w:sz="4" w:space="0" w:color="auto"/>
              <w:left w:val="nil"/>
              <w:bottom w:val="nil"/>
              <w:right w:val="nil"/>
            </w:tcBorders>
            <w:shd w:val="clear" w:color="auto" w:fill="auto"/>
            <w:noWrap/>
            <w:vAlign w:val="center"/>
            <w:hideMark/>
          </w:tcPr>
          <w:p w14:paraId="5E57FCD5" w14:textId="77777777" w:rsidR="00C30160" w:rsidRPr="00CE0DE7" w:rsidRDefault="00C30160" w:rsidP="00C24E43">
            <w:pPr>
              <w:jc w:val="center"/>
              <w:rPr>
                <w:rFonts w:eastAsia="Times New Roman"/>
                <w:bCs/>
                <w:color w:val="000000"/>
                <w:sz w:val="20"/>
                <w:szCs w:val="20"/>
                <w:lang w:val="en-GB" w:eastAsia="zh-CN"/>
              </w:rPr>
            </w:pPr>
          </w:p>
        </w:tc>
        <w:tc>
          <w:tcPr>
            <w:tcW w:w="1432" w:type="pct"/>
            <w:gridSpan w:val="2"/>
            <w:tcBorders>
              <w:top w:val="single" w:sz="4" w:space="0" w:color="auto"/>
              <w:left w:val="nil"/>
              <w:bottom w:val="single" w:sz="4" w:space="0" w:color="auto"/>
              <w:right w:val="nil"/>
            </w:tcBorders>
            <w:shd w:val="clear" w:color="auto" w:fill="auto"/>
            <w:noWrap/>
            <w:vAlign w:val="center"/>
            <w:hideMark/>
          </w:tcPr>
          <w:p w14:paraId="708B4F1E" w14:textId="77777777" w:rsidR="00C30160" w:rsidRPr="00CE0DE7" w:rsidRDefault="00C30160" w:rsidP="00C24E43">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Out-of-sample</w:t>
            </w:r>
          </w:p>
          <w:p w14:paraId="2B6726A3" w14:textId="77777777" w:rsidR="00C30160" w:rsidRPr="00CE0DE7" w:rsidRDefault="00C30160" w:rsidP="00C24E43">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 xml:space="preserve"> After 2000</w:t>
            </w:r>
          </w:p>
        </w:tc>
        <w:tc>
          <w:tcPr>
            <w:tcW w:w="1437" w:type="pct"/>
            <w:gridSpan w:val="2"/>
            <w:tcBorders>
              <w:top w:val="single" w:sz="4" w:space="0" w:color="auto"/>
              <w:left w:val="nil"/>
              <w:bottom w:val="single" w:sz="4" w:space="0" w:color="auto"/>
              <w:right w:val="nil"/>
            </w:tcBorders>
            <w:shd w:val="clear" w:color="auto" w:fill="auto"/>
            <w:noWrap/>
            <w:vAlign w:val="center"/>
            <w:hideMark/>
          </w:tcPr>
          <w:p w14:paraId="2F42150E" w14:textId="77777777" w:rsidR="00C30160" w:rsidRPr="00CE0DE7" w:rsidRDefault="00C30160" w:rsidP="00C24E43">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Out-of-sample</w:t>
            </w:r>
          </w:p>
          <w:p w14:paraId="152E8BC3" w14:textId="77777777" w:rsidR="00C30160" w:rsidRPr="00CE0DE7" w:rsidRDefault="00C30160" w:rsidP="00C24E43">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After 2005</w:t>
            </w:r>
          </w:p>
        </w:tc>
      </w:tr>
      <w:tr w:rsidR="00690118" w:rsidRPr="00CE0DE7" w14:paraId="1F6E7627" w14:textId="77777777" w:rsidTr="00CB3904">
        <w:trPr>
          <w:trHeight w:val="325"/>
        </w:trPr>
        <w:tc>
          <w:tcPr>
            <w:tcW w:w="571" w:type="pct"/>
            <w:tcBorders>
              <w:top w:val="nil"/>
              <w:left w:val="nil"/>
              <w:bottom w:val="single" w:sz="4" w:space="0" w:color="auto"/>
              <w:right w:val="nil"/>
            </w:tcBorders>
            <w:shd w:val="clear" w:color="auto" w:fill="auto"/>
            <w:noWrap/>
            <w:vAlign w:val="center"/>
          </w:tcPr>
          <w:p w14:paraId="6B314675" w14:textId="77777777" w:rsidR="00690118" w:rsidRPr="00CE0DE7" w:rsidRDefault="00690118" w:rsidP="00690118">
            <w:pPr>
              <w:jc w:val="center"/>
              <w:rPr>
                <w:rFonts w:eastAsia="Times New Roman"/>
                <w:bCs/>
                <w:color w:val="000000"/>
                <w:sz w:val="20"/>
                <w:szCs w:val="20"/>
                <w:lang w:val="en-GB" w:eastAsia="zh-CN"/>
              </w:rPr>
            </w:pPr>
          </w:p>
        </w:tc>
        <w:tc>
          <w:tcPr>
            <w:tcW w:w="577" w:type="pct"/>
            <w:tcBorders>
              <w:top w:val="single" w:sz="4" w:space="0" w:color="auto"/>
              <w:left w:val="nil"/>
              <w:bottom w:val="single" w:sz="4" w:space="0" w:color="auto"/>
              <w:right w:val="nil"/>
            </w:tcBorders>
            <w:shd w:val="clear" w:color="auto" w:fill="auto"/>
            <w:vAlign w:val="center"/>
          </w:tcPr>
          <w:p w14:paraId="5C68F821" w14:textId="49739296" w:rsidR="00690118" w:rsidRPr="00CE0DE7" w:rsidRDefault="00690118" w:rsidP="00690118">
            <w:pPr>
              <w:rPr>
                <w:rFonts w:eastAsia="Times New Roman"/>
                <w:bCs/>
                <w:color w:val="000000"/>
                <w:sz w:val="20"/>
                <w:szCs w:val="20"/>
                <w:lang w:val="en-GB" w:eastAsia="zh-CN"/>
              </w:rPr>
            </w:pPr>
            <w:r w:rsidRPr="00CE0DE7">
              <w:rPr>
                <w:rFonts w:eastAsia="Times New Roman"/>
                <w:bCs/>
                <w:color w:val="000000"/>
                <w:sz w:val="20"/>
                <w:szCs w:val="20"/>
                <w:lang w:val="en-GB" w:eastAsia="zh-CN"/>
              </w:rPr>
              <w:t>(1)</w:t>
            </w:r>
          </w:p>
        </w:tc>
        <w:tc>
          <w:tcPr>
            <w:tcW w:w="397" w:type="pct"/>
            <w:tcBorders>
              <w:top w:val="single" w:sz="4" w:space="0" w:color="auto"/>
              <w:left w:val="nil"/>
              <w:bottom w:val="single" w:sz="4" w:space="0" w:color="auto"/>
              <w:right w:val="nil"/>
            </w:tcBorders>
            <w:shd w:val="clear" w:color="auto" w:fill="auto"/>
            <w:vAlign w:val="center"/>
          </w:tcPr>
          <w:p w14:paraId="4203ED1E" w14:textId="71CB5F4D" w:rsidR="00690118" w:rsidRPr="00CE0DE7" w:rsidRDefault="00690118" w:rsidP="00690118">
            <w:pPr>
              <w:jc w:val="center"/>
              <w:rPr>
                <w:rFonts w:eastAsia="Times New Roman"/>
                <w:bCs/>
                <w:i/>
                <w:color w:val="000000"/>
                <w:sz w:val="20"/>
                <w:szCs w:val="20"/>
                <w:lang w:val="en-GB" w:eastAsia="zh-CN"/>
              </w:rPr>
            </w:pPr>
            <w:r w:rsidRPr="00CE0DE7">
              <w:rPr>
                <w:rFonts w:eastAsia="Times New Roman"/>
                <w:bCs/>
                <w:color w:val="000000"/>
                <w:sz w:val="20"/>
                <w:szCs w:val="20"/>
                <w:lang w:val="en-GB" w:eastAsia="zh-CN"/>
              </w:rPr>
              <w:t>(2)</w:t>
            </w:r>
          </w:p>
        </w:tc>
        <w:tc>
          <w:tcPr>
            <w:tcW w:w="459" w:type="pct"/>
            <w:tcBorders>
              <w:top w:val="single" w:sz="4" w:space="0" w:color="auto"/>
              <w:left w:val="nil"/>
              <w:bottom w:val="single" w:sz="4" w:space="0" w:color="auto"/>
              <w:right w:val="nil"/>
            </w:tcBorders>
            <w:shd w:val="clear" w:color="auto" w:fill="auto"/>
            <w:vAlign w:val="center"/>
          </w:tcPr>
          <w:p w14:paraId="2BAC7DA7" w14:textId="221412DF" w:rsidR="00690118" w:rsidRPr="00CE0DE7" w:rsidRDefault="00690118" w:rsidP="00690118">
            <w:pPr>
              <w:jc w:val="center"/>
              <w:rPr>
                <w:rFonts w:eastAsia="Times New Roman"/>
                <w:bCs/>
                <w:i/>
                <w:iCs/>
                <w:color w:val="000000"/>
                <w:sz w:val="20"/>
                <w:szCs w:val="20"/>
                <w:lang w:val="en-GB" w:eastAsia="zh-CN"/>
              </w:rPr>
            </w:pPr>
            <w:r w:rsidRPr="00CE0DE7">
              <w:rPr>
                <w:rFonts w:eastAsia="Times New Roman"/>
                <w:bCs/>
                <w:color w:val="000000"/>
                <w:sz w:val="20"/>
                <w:szCs w:val="20"/>
                <w:lang w:val="en-GB" w:eastAsia="zh-CN"/>
              </w:rPr>
              <w:t>(3)</w:t>
            </w:r>
          </w:p>
        </w:tc>
        <w:tc>
          <w:tcPr>
            <w:tcW w:w="127" w:type="pct"/>
            <w:tcBorders>
              <w:top w:val="nil"/>
              <w:left w:val="nil"/>
              <w:bottom w:val="single" w:sz="4" w:space="0" w:color="auto"/>
              <w:right w:val="nil"/>
            </w:tcBorders>
            <w:shd w:val="clear" w:color="auto" w:fill="auto"/>
            <w:noWrap/>
            <w:vAlign w:val="center"/>
          </w:tcPr>
          <w:p w14:paraId="135D3CC6" w14:textId="77777777" w:rsidR="00690118" w:rsidRPr="00CE0DE7" w:rsidRDefault="00690118" w:rsidP="00690118">
            <w:pPr>
              <w:jc w:val="center"/>
              <w:rPr>
                <w:rFonts w:eastAsia="Times New Roman"/>
                <w:bCs/>
                <w:color w:val="000000"/>
                <w:sz w:val="20"/>
                <w:szCs w:val="20"/>
                <w:lang w:val="en-GB" w:eastAsia="zh-CN"/>
              </w:rPr>
            </w:pPr>
          </w:p>
        </w:tc>
        <w:tc>
          <w:tcPr>
            <w:tcW w:w="566" w:type="pct"/>
            <w:tcBorders>
              <w:top w:val="single" w:sz="4" w:space="0" w:color="auto"/>
              <w:left w:val="nil"/>
              <w:bottom w:val="single" w:sz="4" w:space="0" w:color="auto"/>
              <w:right w:val="nil"/>
            </w:tcBorders>
            <w:shd w:val="clear" w:color="auto" w:fill="auto"/>
            <w:vAlign w:val="center"/>
          </w:tcPr>
          <w:p w14:paraId="7AF127E1" w14:textId="7724BF43" w:rsidR="00690118" w:rsidRPr="00CE0DE7" w:rsidRDefault="00690118" w:rsidP="00690118">
            <w:pPr>
              <w:jc w:val="center"/>
              <w:rPr>
                <w:rFonts w:eastAsia="Times New Roman"/>
                <w:bCs/>
                <w:i/>
                <w:iCs/>
                <w:color w:val="000000"/>
                <w:sz w:val="20"/>
                <w:szCs w:val="20"/>
                <w:lang w:val="en-GB" w:eastAsia="zh-CN"/>
              </w:rPr>
            </w:pPr>
            <w:r w:rsidRPr="00CE0DE7">
              <w:rPr>
                <w:rFonts w:eastAsia="Times New Roman"/>
                <w:bCs/>
                <w:color w:val="000000"/>
                <w:sz w:val="20"/>
                <w:szCs w:val="20"/>
                <w:lang w:val="en-GB" w:eastAsia="zh-CN"/>
              </w:rPr>
              <w:t>(4)</w:t>
            </w:r>
          </w:p>
        </w:tc>
        <w:tc>
          <w:tcPr>
            <w:tcW w:w="866" w:type="pct"/>
            <w:tcBorders>
              <w:top w:val="single" w:sz="4" w:space="0" w:color="auto"/>
              <w:left w:val="nil"/>
              <w:bottom w:val="single" w:sz="4" w:space="0" w:color="auto"/>
              <w:right w:val="nil"/>
            </w:tcBorders>
            <w:shd w:val="clear" w:color="auto" w:fill="auto"/>
            <w:vAlign w:val="center"/>
          </w:tcPr>
          <w:p w14:paraId="1093EC89" w14:textId="57CA6DC4" w:rsidR="00690118" w:rsidRPr="00CE0DE7" w:rsidRDefault="00690118" w:rsidP="00690118">
            <w:pPr>
              <w:jc w:val="center"/>
              <w:rPr>
                <w:rFonts w:eastAsia="Times New Roman"/>
                <w:bCs/>
                <w:i/>
                <w:iCs/>
                <w:color w:val="000000"/>
                <w:sz w:val="20"/>
                <w:szCs w:val="20"/>
                <w:lang w:val="en-GB" w:eastAsia="zh-CN"/>
              </w:rPr>
            </w:pPr>
            <w:r w:rsidRPr="00CE0DE7">
              <w:rPr>
                <w:rFonts w:eastAsia="Times New Roman"/>
                <w:bCs/>
                <w:color w:val="000000"/>
                <w:sz w:val="20"/>
                <w:szCs w:val="20"/>
                <w:lang w:val="en-GB" w:eastAsia="zh-CN"/>
              </w:rPr>
              <w:t>(5)</w:t>
            </w:r>
          </w:p>
        </w:tc>
        <w:tc>
          <w:tcPr>
            <w:tcW w:w="573" w:type="pct"/>
            <w:tcBorders>
              <w:top w:val="single" w:sz="4" w:space="0" w:color="auto"/>
              <w:left w:val="nil"/>
              <w:bottom w:val="single" w:sz="4" w:space="0" w:color="auto"/>
              <w:right w:val="nil"/>
            </w:tcBorders>
            <w:shd w:val="clear" w:color="auto" w:fill="auto"/>
            <w:vAlign w:val="center"/>
          </w:tcPr>
          <w:p w14:paraId="15E5F8BF" w14:textId="0BE1DEEF" w:rsidR="00690118" w:rsidRPr="00CE0DE7" w:rsidRDefault="00690118" w:rsidP="00690118">
            <w:pPr>
              <w:jc w:val="center"/>
              <w:rPr>
                <w:rFonts w:eastAsia="Times New Roman"/>
                <w:bCs/>
                <w:i/>
                <w:iCs/>
                <w:color w:val="000000"/>
                <w:sz w:val="20"/>
                <w:szCs w:val="20"/>
                <w:lang w:val="en-GB" w:eastAsia="zh-CN"/>
              </w:rPr>
            </w:pPr>
            <w:r w:rsidRPr="00CE0DE7">
              <w:rPr>
                <w:rFonts w:eastAsia="Times New Roman"/>
                <w:bCs/>
                <w:color w:val="000000"/>
                <w:sz w:val="20"/>
                <w:szCs w:val="20"/>
                <w:lang w:val="en-GB" w:eastAsia="zh-CN"/>
              </w:rPr>
              <w:t>(6)</w:t>
            </w:r>
          </w:p>
        </w:tc>
        <w:tc>
          <w:tcPr>
            <w:tcW w:w="864" w:type="pct"/>
            <w:tcBorders>
              <w:top w:val="single" w:sz="4" w:space="0" w:color="auto"/>
              <w:left w:val="nil"/>
              <w:bottom w:val="single" w:sz="4" w:space="0" w:color="auto"/>
              <w:right w:val="nil"/>
            </w:tcBorders>
            <w:shd w:val="clear" w:color="auto" w:fill="auto"/>
            <w:vAlign w:val="center"/>
          </w:tcPr>
          <w:p w14:paraId="32847AF9" w14:textId="73322B6C" w:rsidR="00690118" w:rsidRPr="00CE0DE7" w:rsidRDefault="00690118" w:rsidP="00690118">
            <w:pPr>
              <w:jc w:val="center"/>
              <w:rPr>
                <w:rFonts w:eastAsia="Times New Roman"/>
                <w:bCs/>
                <w:i/>
                <w:iCs/>
                <w:color w:val="000000"/>
                <w:sz w:val="20"/>
                <w:szCs w:val="20"/>
                <w:lang w:val="en-GB" w:eastAsia="zh-CN"/>
              </w:rPr>
            </w:pPr>
            <w:r w:rsidRPr="00CE0DE7">
              <w:rPr>
                <w:rFonts w:eastAsia="Times New Roman"/>
                <w:bCs/>
                <w:color w:val="000000"/>
                <w:sz w:val="20"/>
                <w:szCs w:val="20"/>
                <w:lang w:val="en-GB" w:eastAsia="zh-CN"/>
              </w:rPr>
              <w:t>(7)</w:t>
            </w:r>
          </w:p>
        </w:tc>
      </w:tr>
      <w:tr w:rsidR="00690118" w:rsidRPr="00CE0DE7" w14:paraId="3A8DCC32" w14:textId="77777777" w:rsidTr="00690118">
        <w:trPr>
          <w:trHeight w:val="425"/>
        </w:trPr>
        <w:tc>
          <w:tcPr>
            <w:tcW w:w="571" w:type="pct"/>
            <w:tcBorders>
              <w:top w:val="nil"/>
              <w:left w:val="nil"/>
              <w:bottom w:val="single" w:sz="4" w:space="0" w:color="auto"/>
              <w:right w:val="nil"/>
            </w:tcBorders>
            <w:shd w:val="clear" w:color="auto" w:fill="auto"/>
            <w:noWrap/>
            <w:vAlign w:val="center"/>
            <w:hideMark/>
          </w:tcPr>
          <w:p w14:paraId="657494DF" w14:textId="77777777" w:rsidR="00690118" w:rsidRPr="00CE0DE7" w:rsidRDefault="00690118" w:rsidP="00690118">
            <w:pPr>
              <w:jc w:val="center"/>
              <w:rPr>
                <w:rFonts w:eastAsia="Times New Roman"/>
                <w:bCs/>
                <w:color w:val="000000"/>
                <w:sz w:val="20"/>
                <w:szCs w:val="20"/>
                <w:lang w:val="en-GB" w:eastAsia="zh-CN"/>
              </w:rPr>
            </w:pPr>
          </w:p>
        </w:tc>
        <w:tc>
          <w:tcPr>
            <w:tcW w:w="577" w:type="pct"/>
            <w:tcBorders>
              <w:top w:val="single" w:sz="4" w:space="0" w:color="auto"/>
              <w:left w:val="nil"/>
              <w:bottom w:val="single" w:sz="4" w:space="0" w:color="auto"/>
              <w:right w:val="nil"/>
            </w:tcBorders>
            <w:shd w:val="clear" w:color="auto" w:fill="auto"/>
            <w:vAlign w:val="center"/>
            <w:hideMark/>
          </w:tcPr>
          <w:p w14:paraId="44802121" w14:textId="77777777" w:rsidR="00690118" w:rsidRPr="00CE0DE7" w:rsidRDefault="00690118" w:rsidP="00690118">
            <w:pPr>
              <w:rPr>
                <w:rFonts w:eastAsia="Times New Roman"/>
                <w:bCs/>
                <w:color w:val="000000"/>
                <w:sz w:val="20"/>
                <w:szCs w:val="20"/>
                <w:lang w:val="en-GB" w:eastAsia="zh-CN"/>
              </w:rPr>
            </w:pPr>
            <w:r w:rsidRPr="00CE0DE7">
              <w:rPr>
                <w:rFonts w:eastAsia="Times New Roman"/>
                <w:bCs/>
                <w:color w:val="000000"/>
                <w:sz w:val="20"/>
                <w:szCs w:val="20"/>
                <w:lang w:val="en-GB" w:eastAsia="zh-CN"/>
              </w:rPr>
              <w:t>Beta</w:t>
            </w:r>
          </w:p>
        </w:tc>
        <w:tc>
          <w:tcPr>
            <w:tcW w:w="397" w:type="pct"/>
            <w:tcBorders>
              <w:top w:val="single" w:sz="4" w:space="0" w:color="auto"/>
              <w:left w:val="nil"/>
              <w:bottom w:val="single" w:sz="4" w:space="0" w:color="auto"/>
              <w:right w:val="nil"/>
            </w:tcBorders>
            <w:shd w:val="clear" w:color="auto" w:fill="auto"/>
            <w:vAlign w:val="center"/>
            <w:hideMark/>
          </w:tcPr>
          <w:p w14:paraId="0283BAF8" w14:textId="77777777" w:rsidR="00690118" w:rsidRPr="00CE0DE7" w:rsidRDefault="00690118" w:rsidP="00690118">
            <w:pPr>
              <w:jc w:val="center"/>
              <w:rPr>
                <w:rFonts w:eastAsia="Times New Roman"/>
                <w:bCs/>
                <w:color w:val="000000"/>
                <w:sz w:val="20"/>
                <w:szCs w:val="20"/>
                <w:lang w:val="en-GB" w:eastAsia="zh-CN"/>
              </w:rPr>
            </w:pPr>
            <w:r w:rsidRPr="00CE0DE7">
              <w:rPr>
                <w:rFonts w:eastAsia="Times New Roman"/>
                <w:bCs/>
                <w:i/>
                <w:color w:val="000000"/>
                <w:sz w:val="20"/>
                <w:szCs w:val="20"/>
                <w:lang w:val="en-GB" w:eastAsia="zh-CN"/>
              </w:rPr>
              <w:t>t</w:t>
            </w:r>
            <w:r w:rsidRPr="00CE0DE7">
              <w:rPr>
                <w:rFonts w:eastAsia="Times New Roman"/>
                <w:bCs/>
                <w:color w:val="000000"/>
                <w:sz w:val="20"/>
                <w:szCs w:val="20"/>
                <w:lang w:val="en-GB" w:eastAsia="zh-CN"/>
              </w:rPr>
              <w:t>-stat</w:t>
            </w:r>
          </w:p>
        </w:tc>
        <w:tc>
          <w:tcPr>
            <w:tcW w:w="459" w:type="pct"/>
            <w:tcBorders>
              <w:top w:val="single" w:sz="4" w:space="0" w:color="auto"/>
              <w:left w:val="nil"/>
              <w:bottom w:val="single" w:sz="4" w:space="0" w:color="auto"/>
              <w:right w:val="nil"/>
            </w:tcBorders>
            <w:shd w:val="clear" w:color="auto" w:fill="auto"/>
            <w:vAlign w:val="center"/>
            <w:hideMark/>
          </w:tcPr>
          <w:p w14:paraId="12A8769E" w14:textId="77777777" w:rsidR="00690118" w:rsidRPr="00CE0DE7" w:rsidRDefault="00690118" w:rsidP="00690118">
            <w:pPr>
              <w:jc w:val="center"/>
              <w:rPr>
                <w:rFonts w:eastAsia="Times New Roman"/>
                <w:bCs/>
                <w:color w:val="000000"/>
                <w:sz w:val="20"/>
                <w:szCs w:val="20"/>
                <w:lang w:val="en-GB" w:eastAsia="zh-CN"/>
              </w:rPr>
            </w:pPr>
            <w:r w:rsidRPr="00CE0DE7">
              <w:rPr>
                <w:rFonts w:eastAsia="Times New Roman"/>
                <w:bCs/>
                <w:i/>
                <w:iCs/>
                <w:color w:val="000000"/>
                <w:sz w:val="20"/>
                <w:szCs w:val="20"/>
                <w:lang w:val="en-GB" w:eastAsia="zh-CN"/>
              </w:rPr>
              <w:t>R</w:t>
            </w:r>
            <w:r w:rsidRPr="00CE0DE7">
              <w:rPr>
                <w:rFonts w:eastAsia="Times New Roman"/>
                <w:bCs/>
                <w:color w:val="000000"/>
                <w:sz w:val="20"/>
                <w:szCs w:val="20"/>
                <w:vertAlign w:val="superscript"/>
                <w:lang w:val="en-GB" w:eastAsia="zh-CN"/>
              </w:rPr>
              <w:t>2</w:t>
            </w:r>
            <w:r w:rsidRPr="00CE0DE7">
              <w:rPr>
                <w:rFonts w:eastAsia="Times New Roman"/>
                <w:bCs/>
                <w:color w:val="000000"/>
                <w:sz w:val="20"/>
                <w:szCs w:val="20"/>
                <w:lang w:val="en-GB" w:eastAsia="zh-CN"/>
              </w:rPr>
              <w:t xml:space="preserve"> (%)</w:t>
            </w:r>
          </w:p>
        </w:tc>
        <w:tc>
          <w:tcPr>
            <w:tcW w:w="127" w:type="pct"/>
            <w:tcBorders>
              <w:top w:val="nil"/>
              <w:left w:val="nil"/>
              <w:bottom w:val="single" w:sz="4" w:space="0" w:color="auto"/>
              <w:right w:val="nil"/>
            </w:tcBorders>
            <w:shd w:val="clear" w:color="auto" w:fill="auto"/>
            <w:noWrap/>
            <w:vAlign w:val="center"/>
            <w:hideMark/>
          </w:tcPr>
          <w:p w14:paraId="63DB398E" w14:textId="77777777" w:rsidR="00690118" w:rsidRPr="00CE0DE7" w:rsidRDefault="00690118" w:rsidP="00690118">
            <w:pPr>
              <w:jc w:val="center"/>
              <w:rPr>
                <w:rFonts w:eastAsia="Times New Roman"/>
                <w:bCs/>
                <w:color w:val="000000"/>
                <w:sz w:val="20"/>
                <w:szCs w:val="20"/>
                <w:lang w:val="en-GB" w:eastAsia="zh-CN"/>
              </w:rPr>
            </w:pPr>
          </w:p>
        </w:tc>
        <w:tc>
          <w:tcPr>
            <w:tcW w:w="566" w:type="pct"/>
            <w:tcBorders>
              <w:top w:val="single" w:sz="4" w:space="0" w:color="auto"/>
              <w:left w:val="nil"/>
              <w:bottom w:val="single" w:sz="4" w:space="0" w:color="auto"/>
              <w:right w:val="nil"/>
            </w:tcBorders>
            <w:shd w:val="clear" w:color="auto" w:fill="auto"/>
            <w:vAlign w:val="center"/>
            <w:hideMark/>
          </w:tcPr>
          <w:p w14:paraId="6C3BE93B" w14:textId="77777777" w:rsidR="00690118" w:rsidRPr="00CE0DE7" w:rsidRDefault="00690118" w:rsidP="00690118">
            <w:pPr>
              <w:jc w:val="center"/>
              <w:rPr>
                <w:rFonts w:eastAsia="Times New Roman"/>
                <w:bCs/>
                <w:color w:val="000000"/>
                <w:sz w:val="20"/>
                <w:szCs w:val="20"/>
                <w:lang w:val="en-GB" w:eastAsia="zh-CN"/>
              </w:rPr>
            </w:pPr>
            <w:r w:rsidRPr="00CE0DE7">
              <w:rPr>
                <w:rFonts w:eastAsia="Times New Roman"/>
                <w:bCs/>
                <w:i/>
                <w:iCs/>
                <w:color w:val="000000"/>
                <w:sz w:val="20"/>
                <w:szCs w:val="20"/>
                <w:lang w:val="en-GB" w:eastAsia="zh-CN"/>
              </w:rPr>
              <w:t>R</w:t>
            </w:r>
            <w:r w:rsidRPr="00CE0DE7">
              <w:rPr>
                <w:rFonts w:eastAsia="Times New Roman"/>
                <w:bCs/>
                <w:color w:val="000000"/>
                <w:sz w:val="20"/>
                <w:szCs w:val="20"/>
                <w:vertAlign w:val="superscript"/>
                <w:lang w:val="en-GB" w:eastAsia="zh-CN"/>
              </w:rPr>
              <w:t>2</w:t>
            </w:r>
            <w:r w:rsidRPr="00CE0DE7">
              <w:rPr>
                <w:rFonts w:eastAsia="Times New Roman"/>
                <w:bCs/>
                <w:color w:val="000000"/>
                <w:sz w:val="20"/>
                <w:szCs w:val="20"/>
                <w:vertAlign w:val="subscript"/>
                <w:lang w:val="en-GB" w:eastAsia="zh-CN"/>
              </w:rPr>
              <w:t>OS</w:t>
            </w:r>
            <w:r w:rsidRPr="00CE0DE7">
              <w:rPr>
                <w:rFonts w:eastAsia="Times New Roman"/>
                <w:bCs/>
                <w:color w:val="000000"/>
                <w:sz w:val="20"/>
                <w:szCs w:val="20"/>
                <w:lang w:val="en-GB" w:eastAsia="zh-CN"/>
              </w:rPr>
              <w:t xml:space="preserve"> (%)</w:t>
            </w:r>
          </w:p>
        </w:tc>
        <w:tc>
          <w:tcPr>
            <w:tcW w:w="866" w:type="pct"/>
            <w:tcBorders>
              <w:top w:val="single" w:sz="4" w:space="0" w:color="auto"/>
              <w:left w:val="nil"/>
              <w:bottom w:val="single" w:sz="4" w:space="0" w:color="auto"/>
              <w:right w:val="nil"/>
            </w:tcBorders>
            <w:shd w:val="clear" w:color="auto" w:fill="auto"/>
            <w:vAlign w:val="center"/>
            <w:hideMark/>
          </w:tcPr>
          <w:p w14:paraId="516F64CF" w14:textId="77777777" w:rsidR="00690118" w:rsidRPr="00CE0DE7" w:rsidRDefault="00690118" w:rsidP="00690118">
            <w:pPr>
              <w:jc w:val="center"/>
              <w:rPr>
                <w:rFonts w:eastAsia="Times New Roman"/>
                <w:bCs/>
                <w:i/>
                <w:iCs/>
                <w:color w:val="000000"/>
                <w:sz w:val="20"/>
                <w:szCs w:val="20"/>
                <w:lang w:val="en-GB" w:eastAsia="zh-CN"/>
              </w:rPr>
            </w:pPr>
            <w:r w:rsidRPr="00CE0DE7">
              <w:rPr>
                <w:rFonts w:eastAsia="Times New Roman"/>
                <w:bCs/>
                <w:i/>
                <w:iCs/>
                <w:color w:val="000000"/>
                <w:sz w:val="20"/>
                <w:szCs w:val="20"/>
                <w:lang w:val="en-GB" w:eastAsia="zh-CN"/>
              </w:rPr>
              <w:t>MSFE-adjusted</w:t>
            </w:r>
          </w:p>
        </w:tc>
        <w:tc>
          <w:tcPr>
            <w:tcW w:w="573" w:type="pct"/>
            <w:tcBorders>
              <w:top w:val="single" w:sz="4" w:space="0" w:color="auto"/>
              <w:left w:val="nil"/>
              <w:bottom w:val="single" w:sz="4" w:space="0" w:color="auto"/>
              <w:right w:val="nil"/>
            </w:tcBorders>
            <w:shd w:val="clear" w:color="auto" w:fill="auto"/>
            <w:vAlign w:val="center"/>
            <w:hideMark/>
          </w:tcPr>
          <w:p w14:paraId="397B3417" w14:textId="77777777" w:rsidR="00690118" w:rsidRPr="00CE0DE7" w:rsidRDefault="00690118" w:rsidP="00690118">
            <w:pPr>
              <w:jc w:val="center"/>
              <w:rPr>
                <w:rFonts w:eastAsia="Times New Roman"/>
                <w:bCs/>
                <w:color w:val="000000"/>
                <w:sz w:val="20"/>
                <w:szCs w:val="20"/>
                <w:lang w:val="en-GB" w:eastAsia="zh-CN"/>
              </w:rPr>
            </w:pPr>
            <w:r w:rsidRPr="00CE0DE7">
              <w:rPr>
                <w:rFonts w:eastAsia="Times New Roman"/>
                <w:bCs/>
                <w:i/>
                <w:iCs/>
                <w:color w:val="000000"/>
                <w:sz w:val="20"/>
                <w:szCs w:val="20"/>
                <w:lang w:val="en-GB" w:eastAsia="zh-CN"/>
              </w:rPr>
              <w:t>R</w:t>
            </w:r>
            <w:r w:rsidRPr="00CE0DE7">
              <w:rPr>
                <w:rFonts w:eastAsia="Times New Roman"/>
                <w:bCs/>
                <w:color w:val="000000"/>
                <w:sz w:val="20"/>
                <w:szCs w:val="20"/>
                <w:vertAlign w:val="superscript"/>
                <w:lang w:val="en-GB" w:eastAsia="zh-CN"/>
              </w:rPr>
              <w:t>2</w:t>
            </w:r>
            <w:r w:rsidRPr="00CE0DE7">
              <w:rPr>
                <w:rFonts w:eastAsia="Times New Roman"/>
                <w:bCs/>
                <w:color w:val="000000"/>
                <w:sz w:val="20"/>
                <w:szCs w:val="20"/>
                <w:vertAlign w:val="subscript"/>
                <w:lang w:val="en-GB" w:eastAsia="zh-CN"/>
              </w:rPr>
              <w:t>OS</w:t>
            </w:r>
            <w:r w:rsidRPr="00CE0DE7">
              <w:rPr>
                <w:rFonts w:eastAsia="Times New Roman"/>
                <w:bCs/>
                <w:color w:val="000000"/>
                <w:sz w:val="20"/>
                <w:szCs w:val="20"/>
                <w:lang w:val="en-GB" w:eastAsia="zh-CN"/>
              </w:rPr>
              <w:t xml:space="preserve"> (%)</w:t>
            </w:r>
          </w:p>
        </w:tc>
        <w:tc>
          <w:tcPr>
            <w:tcW w:w="864" w:type="pct"/>
            <w:tcBorders>
              <w:top w:val="single" w:sz="4" w:space="0" w:color="auto"/>
              <w:left w:val="nil"/>
              <w:bottom w:val="single" w:sz="4" w:space="0" w:color="auto"/>
              <w:right w:val="nil"/>
            </w:tcBorders>
            <w:shd w:val="clear" w:color="auto" w:fill="auto"/>
            <w:vAlign w:val="center"/>
            <w:hideMark/>
          </w:tcPr>
          <w:p w14:paraId="468A167E" w14:textId="77777777" w:rsidR="00690118" w:rsidRPr="00CE0DE7" w:rsidRDefault="00690118" w:rsidP="00690118">
            <w:pPr>
              <w:jc w:val="center"/>
              <w:rPr>
                <w:rFonts w:eastAsia="Times New Roman"/>
                <w:bCs/>
                <w:i/>
                <w:iCs/>
                <w:color w:val="000000"/>
                <w:sz w:val="20"/>
                <w:szCs w:val="20"/>
                <w:lang w:val="en-GB" w:eastAsia="zh-CN"/>
              </w:rPr>
            </w:pPr>
            <w:r w:rsidRPr="00CE0DE7">
              <w:rPr>
                <w:rFonts w:eastAsia="Times New Roman"/>
                <w:bCs/>
                <w:i/>
                <w:iCs/>
                <w:color w:val="000000"/>
                <w:sz w:val="20"/>
                <w:szCs w:val="20"/>
                <w:lang w:val="en-GB" w:eastAsia="zh-CN"/>
              </w:rPr>
              <w:t>MSFE-adjusted</w:t>
            </w:r>
          </w:p>
        </w:tc>
      </w:tr>
      <w:tr w:rsidR="00690118" w:rsidRPr="00CE0DE7" w14:paraId="1CFA59AE" w14:textId="77777777" w:rsidTr="00690118">
        <w:trPr>
          <w:trHeight w:val="244"/>
        </w:trPr>
        <w:tc>
          <w:tcPr>
            <w:tcW w:w="571" w:type="pct"/>
            <w:tcBorders>
              <w:top w:val="single" w:sz="4" w:space="0" w:color="auto"/>
              <w:left w:val="nil"/>
              <w:bottom w:val="nil"/>
              <w:right w:val="nil"/>
            </w:tcBorders>
            <w:shd w:val="clear" w:color="auto" w:fill="auto"/>
            <w:noWrap/>
            <w:vAlign w:val="center"/>
            <w:hideMark/>
          </w:tcPr>
          <w:p w14:paraId="6CDF6DA2" w14:textId="77777777" w:rsidR="00690118" w:rsidRPr="00CE0DE7" w:rsidRDefault="00690118" w:rsidP="00690118">
            <w:pPr>
              <w:rPr>
                <w:rFonts w:eastAsia="Times New Roman"/>
                <w:i/>
                <w:iCs/>
                <w:color w:val="000000"/>
                <w:sz w:val="20"/>
                <w:szCs w:val="20"/>
                <w:lang w:val="en-GB" w:eastAsia="zh-CN"/>
              </w:rPr>
            </w:pPr>
            <w:r w:rsidRPr="00CE0DE7">
              <w:rPr>
                <w:rFonts w:eastAsia="Times New Roman"/>
                <w:i/>
                <w:iCs/>
                <w:color w:val="000000"/>
                <w:sz w:val="20"/>
                <w:szCs w:val="20"/>
                <w:lang w:eastAsia="zh-CN"/>
              </w:rPr>
              <w:t>VRP</w:t>
            </w:r>
            <w:r w:rsidRPr="00CE0DE7">
              <w:rPr>
                <w:rFonts w:eastAsia="Times New Roman"/>
                <w:i/>
                <w:iCs/>
                <w:color w:val="000000"/>
                <w:sz w:val="20"/>
                <w:szCs w:val="20"/>
                <w:vertAlign w:val="superscript"/>
                <w:lang w:eastAsia="zh-CN"/>
              </w:rPr>
              <w:t>BTZ</w:t>
            </w:r>
          </w:p>
        </w:tc>
        <w:tc>
          <w:tcPr>
            <w:tcW w:w="577" w:type="pct"/>
            <w:tcBorders>
              <w:top w:val="single" w:sz="4" w:space="0" w:color="auto"/>
              <w:left w:val="nil"/>
              <w:bottom w:val="nil"/>
              <w:right w:val="nil"/>
            </w:tcBorders>
            <w:shd w:val="clear" w:color="auto" w:fill="auto"/>
            <w:noWrap/>
            <w:vAlign w:val="center"/>
            <w:hideMark/>
          </w:tcPr>
          <w:p w14:paraId="527DC707"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0.567***</w:t>
            </w:r>
          </w:p>
        </w:tc>
        <w:tc>
          <w:tcPr>
            <w:tcW w:w="397" w:type="pct"/>
            <w:tcBorders>
              <w:top w:val="single" w:sz="4" w:space="0" w:color="auto"/>
              <w:left w:val="nil"/>
              <w:bottom w:val="nil"/>
              <w:right w:val="nil"/>
            </w:tcBorders>
            <w:shd w:val="clear" w:color="auto" w:fill="auto"/>
            <w:noWrap/>
            <w:vAlign w:val="center"/>
            <w:hideMark/>
          </w:tcPr>
          <w:p w14:paraId="3E493607"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3.981</w:t>
            </w:r>
          </w:p>
        </w:tc>
        <w:tc>
          <w:tcPr>
            <w:tcW w:w="459" w:type="pct"/>
            <w:tcBorders>
              <w:top w:val="single" w:sz="4" w:space="0" w:color="auto"/>
              <w:left w:val="nil"/>
              <w:bottom w:val="nil"/>
              <w:right w:val="nil"/>
            </w:tcBorders>
            <w:shd w:val="clear" w:color="auto" w:fill="auto"/>
            <w:noWrap/>
            <w:vAlign w:val="center"/>
            <w:hideMark/>
          </w:tcPr>
          <w:p w14:paraId="19AA8642"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5.449</w:t>
            </w:r>
          </w:p>
        </w:tc>
        <w:tc>
          <w:tcPr>
            <w:tcW w:w="127" w:type="pct"/>
            <w:tcBorders>
              <w:top w:val="single" w:sz="4" w:space="0" w:color="auto"/>
              <w:left w:val="nil"/>
              <w:bottom w:val="nil"/>
              <w:right w:val="nil"/>
            </w:tcBorders>
            <w:shd w:val="clear" w:color="auto" w:fill="auto"/>
            <w:noWrap/>
            <w:vAlign w:val="center"/>
            <w:hideMark/>
          </w:tcPr>
          <w:p w14:paraId="3DED520A" w14:textId="77777777" w:rsidR="00690118" w:rsidRPr="00CE0DE7" w:rsidRDefault="00690118" w:rsidP="00690118">
            <w:pPr>
              <w:jc w:val="center"/>
              <w:rPr>
                <w:rFonts w:eastAsia="Times New Roman"/>
                <w:color w:val="000000"/>
                <w:sz w:val="20"/>
                <w:szCs w:val="20"/>
                <w:lang w:val="en-GB" w:eastAsia="zh-CN"/>
              </w:rPr>
            </w:pPr>
          </w:p>
        </w:tc>
        <w:tc>
          <w:tcPr>
            <w:tcW w:w="566" w:type="pct"/>
            <w:tcBorders>
              <w:top w:val="single" w:sz="4" w:space="0" w:color="auto"/>
              <w:left w:val="nil"/>
              <w:bottom w:val="nil"/>
              <w:right w:val="nil"/>
            </w:tcBorders>
            <w:shd w:val="clear" w:color="auto" w:fill="auto"/>
            <w:noWrap/>
            <w:vAlign w:val="center"/>
            <w:hideMark/>
          </w:tcPr>
          <w:p w14:paraId="54712F16"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5.546</w:t>
            </w:r>
          </w:p>
        </w:tc>
        <w:tc>
          <w:tcPr>
            <w:tcW w:w="866" w:type="pct"/>
            <w:tcBorders>
              <w:top w:val="single" w:sz="4" w:space="0" w:color="auto"/>
              <w:left w:val="nil"/>
              <w:bottom w:val="nil"/>
              <w:right w:val="nil"/>
            </w:tcBorders>
            <w:shd w:val="clear" w:color="auto" w:fill="auto"/>
            <w:noWrap/>
            <w:vAlign w:val="center"/>
            <w:hideMark/>
          </w:tcPr>
          <w:p w14:paraId="15283696"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2.145**</w:t>
            </w:r>
          </w:p>
        </w:tc>
        <w:tc>
          <w:tcPr>
            <w:tcW w:w="573" w:type="pct"/>
            <w:tcBorders>
              <w:top w:val="single" w:sz="4" w:space="0" w:color="auto"/>
              <w:left w:val="nil"/>
              <w:bottom w:val="nil"/>
              <w:right w:val="nil"/>
            </w:tcBorders>
            <w:shd w:val="clear" w:color="auto" w:fill="auto"/>
            <w:noWrap/>
            <w:vAlign w:val="center"/>
            <w:hideMark/>
          </w:tcPr>
          <w:p w14:paraId="42C2D8EE"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8.318</w:t>
            </w:r>
          </w:p>
        </w:tc>
        <w:tc>
          <w:tcPr>
            <w:tcW w:w="864" w:type="pct"/>
            <w:tcBorders>
              <w:top w:val="single" w:sz="4" w:space="0" w:color="auto"/>
              <w:left w:val="nil"/>
              <w:bottom w:val="nil"/>
              <w:right w:val="nil"/>
            </w:tcBorders>
            <w:shd w:val="clear" w:color="auto" w:fill="auto"/>
            <w:noWrap/>
            <w:vAlign w:val="center"/>
            <w:hideMark/>
          </w:tcPr>
          <w:p w14:paraId="48090464"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2.056**</w:t>
            </w:r>
          </w:p>
        </w:tc>
      </w:tr>
      <w:tr w:rsidR="00690118" w:rsidRPr="00CE0DE7" w14:paraId="4CBF7FBE" w14:textId="77777777" w:rsidTr="00690118">
        <w:trPr>
          <w:trHeight w:val="244"/>
        </w:trPr>
        <w:tc>
          <w:tcPr>
            <w:tcW w:w="571" w:type="pct"/>
            <w:tcBorders>
              <w:top w:val="nil"/>
              <w:left w:val="nil"/>
              <w:bottom w:val="nil"/>
              <w:right w:val="nil"/>
            </w:tcBorders>
            <w:shd w:val="clear" w:color="auto" w:fill="auto"/>
            <w:noWrap/>
            <w:vAlign w:val="center"/>
            <w:hideMark/>
          </w:tcPr>
          <w:p w14:paraId="4B4F2A86" w14:textId="77777777" w:rsidR="00690118" w:rsidRPr="00CE0DE7" w:rsidRDefault="00690118" w:rsidP="00690118">
            <w:pP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p>
        </w:tc>
        <w:tc>
          <w:tcPr>
            <w:tcW w:w="577" w:type="pct"/>
            <w:tcBorders>
              <w:top w:val="nil"/>
              <w:left w:val="nil"/>
              <w:bottom w:val="nil"/>
              <w:right w:val="nil"/>
            </w:tcBorders>
            <w:shd w:val="clear" w:color="auto" w:fill="auto"/>
            <w:noWrap/>
            <w:vAlign w:val="center"/>
            <w:hideMark/>
          </w:tcPr>
          <w:p w14:paraId="371F2701"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0.733***</w:t>
            </w:r>
          </w:p>
        </w:tc>
        <w:tc>
          <w:tcPr>
            <w:tcW w:w="397" w:type="pct"/>
            <w:tcBorders>
              <w:top w:val="nil"/>
              <w:left w:val="nil"/>
              <w:bottom w:val="nil"/>
              <w:right w:val="nil"/>
            </w:tcBorders>
            <w:shd w:val="clear" w:color="auto" w:fill="auto"/>
            <w:noWrap/>
            <w:vAlign w:val="center"/>
            <w:hideMark/>
          </w:tcPr>
          <w:p w14:paraId="4128206A"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5.760</w:t>
            </w:r>
          </w:p>
        </w:tc>
        <w:tc>
          <w:tcPr>
            <w:tcW w:w="459" w:type="pct"/>
            <w:tcBorders>
              <w:top w:val="nil"/>
              <w:left w:val="nil"/>
              <w:bottom w:val="nil"/>
              <w:right w:val="nil"/>
            </w:tcBorders>
            <w:shd w:val="clear" w:color="auto" w:fill="auto"/>
            <w:noWrap/>
            <w:vAlign w:val="center"/>
            <w:hideMark/>
          </w:tcPr>
          <w:p w14:paraId="3B704E30"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20.238</w:t>
            </w:r>
          </w:p>
        </w:tc>
        <w:tc>
          <w:tcPr>
            <w:tcW w:w="127" w:type="pct"/>
            <w:tcBorders>
              <w:top w:val="nil"/>
              <w:left w:val="nil"/>
              <w:bottom w:val="nil"/>
              <w:right w:val="nil"/>
            </w:tcBorders>
            <w:shd w:val="clear" w:color="auto" w:fill="auto"/>
            <w:noWrap/>
            <w:vAlign w:val="center"/>
            <w:hideMark/>
          </w:tcPr>
          <w:p w14:paraId="5E744C72" w14:textId="77777777" w:rsidR="00690118" w:rsidRPr="00CE0DE7" w:rsidRDefault="00690118" w:rsidP="00690118">
            <w:pPr>
              <w:jc w:val="center"/>
              <w:rPr>
                <w:rFonts w:eastAsia="Times New Roman"/>
                <w:color w:val="000000"/>
                <w:sz w:val="20"/>
                <w:szCs w:val="20"/>
                <w:lang w:val="en-GB" w:eastAsia="zh-CN"/>
              </w:rPr>
            </w:pPr>
          </w:p>
        </w:tc>
        <w:tc>
          <w:tcPr>
            <w:tcW w:w="566" w:type="pct"/>
            <w:tcBorders>
              <w:top w:val="nil"/>
              <w:left w:val="nil"/>
              <w:bottom w:val="nil"/>
              <w:right w:val="nil"/>
            </w:tcBorders>
            <w:shd w:val="clear" w:color="auto" w:fill="auto"/>
            <w:noWrap/>
            <w:vAlign w:val="center"/>
            <w:hideMark/>
          </w:tcPr>
          <w:p w14:paraId="2EA5966B"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18.104</w:t>
            </w:r>
          </w:p>
        </w:tc>
        <w:tc>
          <w:tcPr>
            <w:tcW w:w="866" w:type="pct"/>
            <w:tcBorders>
              <w:top w:val="nil"/>
              <w:left w:val="nil"/>
              <w:bottom w:val="nil"/>
              <w:right w:val="nil"/>
            </w:tcBorders>
            <w:shd w:val="clear" w:color="auto" w:fill="auto"/>
            <w:noWrap/>
            <w:vAlign w:val="center"/>
            <w:hideMark/>
          </w:tcPr>
          <w:p w14:paraId="21885B05"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2.037**</w:t>
            </w:r>
          </w:p>
        </w:tc>
        <w:tc>
          <w:tcPr>
            <w:tcW w:w="573" w:type="pct"/>
            <w:tcBorders>
              <w:top w:val="nil"/>
              <w:left w:val="nil"/>
              <w:bottom w:val="nil"/>
              <w:right w:val="nil"/>
            </w:tcBorders>
            <w:shd w:val="clear" w:color="auto" w:fill="auto"/>
            <w:noWrap/>
            <w:vAlign w:val="center"/>
            <w:hideMark/>
          </w:tcPr>
          <w:p w14:paraId="0718819F"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21.050</w:t>
            </w:r>
          </w:p>
        </w:tc>
        <w:tc>
          <w:tcPr>
            <w:tcW w:w="864" w:type="pct"/>
            <w:tcBorders>
              <w:top w:val="nil"/>
              <w:left w:val="nil"/>
              <w:bottom w:val="nil"/>
              <w:right w:val="nil"/>
            </w:tcBorders>
            <w:shd w:val="clear" w:color="auto" w:fill="auto"/>
            <w:noWrap/>
            <w:vAlign w:val="center"/>
            <w:hideMark/>
          </w:tcPr>
          <w:p w14:paraId="52316A15"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0.039**</w:t>
            </w:r>
          </w:p>
        </w:tc>
      </w:tr>
      <w:tr w:rsidR="00690118" w:rsidRPr="00CE0DE7" w14:paraId="5BBFCD19" w14:textId="77777777" w:rsidTr="00690118">
        <w:trPr>
          <w:trHeight w:val="244"/>
        </w:trPr>
        <w:tc>
          <w:tcPr>
            <w:tcW w:w="571" w:type="pct"/>
            <w:tcBorders>
              <w:top w:val="nil"/>
              <w:left w:val="nil"/>
              <w:bottom w:val="nil"/>
              <w:right w:val="nil"/>
            </w:tcBorders>
            <w:shd w:val="clear" w:color="auto" w:fill="auto"/>
            <w:noWrap/>
            <w:vAlign w:val="center"/>
            <w:hideMark/>
          </w:tcPr>
          <w:p w14:paraId="69948D3D" w14:textId="77777777" w:rsidR="00690118" w:rsidRPr="00CE0DE7" w:rsidRDefault="00690118" w:rsidP="00690118">
            <w:pPr>
              <w:rPr>
                <w:rFonts w:eastAsia="Times New Roman"/>
                <w:i/>
                <w:iCs/>
                <w:color w:val="000000"/>
                <w:sz w:val="20"/>
                <w:szCs w:val="20"/>
                <w:lang w:val="en-GB" w:eastAsia="zh-CN"/>
              </w:rPr>
            </w:pPr>
            <w:r w:rsidRPr="00CE0DE7">
              <w:rPr>
                <w:rFonts w:eastAsia="Times New Roman"/>
                <w:i/>
                <w:iCs/>
                <w:color w:val="000000"/>
                <w:sz w:val="20"/>
                <w:szCs w:val="20"/>
                <w:lang w:eastAsia="zh-CN"/>
              </w:rPr>
              <w:t>VRP</w:t>
            </w:r>
            <w:r w:rsidRPr="00CE0DE7">
              <w:rPr>
                <w:rFonts w:eastAsia="Times New Roman"/>
                <w:i/>
                <w:iCs/>
                <w:color w:val="000000"/>
                <w:sz w:val="20"/>
                <w:szCs w:val="20"/>
                <w:vertAlign w:val="superscript"/>
                <w:lang w:eastAsia="zh-CN"/>
              </w:rPr>
              <w:t>DY</w:t>
            </w:r>
          </w:p>
        </w:tc>
        <w:tc>
          <w:tcPr>
            <w:tcW w:w="577" w:type="pct"/>
            <w:tcBorders>
              <w:top w:val="nil"/>
              <w:left w:val="nil"/>
              <w:bottom w:val="nil"/>
              <w:right w:val="nil"/>
            </w:tcBorders>
            <w:shd w:val="clear" w:color="auto" w:fill="auto"/>
            <w:noWrap/>
            <w:vAlign w:val="center"/>
            <w:hideMark/>
          </w:tcPr>
          <w:p w14:paraId="02FB489D" w14:textId="77777777" w:rsidR="00690118" w:rsidRPr="00CE0DE7" w:rsidRDefault="00690118" w:rsidP="00690118">
            <w:pPr>
              <w:jc w:val="center"/>
              <w:rPr>
                <w:rFonts w:eastAsia="Times New Roman"/>
                <w:color w:val="000000"/>
                <w:sz w:val="20"/>
                <w:szCs w:val="20"/>
                <w:lang w:val="en-GB" w:eastAsia="zh-CN"/>
              </w:rPr>
            </w:pPr>
            <w:r w:rsidRPr="00CE0DE7">
              <w:rPr>
                <w:rFonts w:eastAsiaTheme="minorEastAsia"/>
                <w:color w:val="000000"/>
                <w:sz w:val="20"/>
                <w:szCs w:val="20"/>
                <w:lang w:val="en-GB" w:eastAsia="zh-CN"/>
              </w:rPr>
              <w:t>-</w:t>
            </w:r>
            <w:r w:rsidRPr="00CE0DE7">
              <w:rPr>
                <w:rFonts w:eastAsia="Times New Roman"/>
                <w:color w:val="000000"/>
                <w:sz w:val="20"/>
                <w:szCs w:val="20"/>
                <w:lang w:val="en-GB" w:eastAsia="zh-CN"/>
              </w:rPr>
              <w:t>0.013</w:t>
            </w:r>
          </w:p>
        </w:tc>
        <w:tc>
          <w:tcPr>
            <w:tcW w:w="397" w:type="pct"/>
            <w:tcBorders>
              <w:top w:val="nil"/>
              <w:left w:val="nil"/>
              <w:bottom w:val="nil"/>
              <w:right w:val="nil"/>
            </w:tcBorders>
            <w:shd w:val="clear" w:color="auto" w:fill="auto"/>
            <w:noWrap/>
            <w:vAlign w:val="center"/>
            <w:hideMark/>
          </w:tcPr>
          <w:p w14:paraId="7D1D4E47" w14:textId="77777777" w:rsidR="00690118" w:rsidRPr="00CE0DE7" w:rsidRDefault="00690118" w:rsidP="00690118">
            <w:pPr>
              <w:jc w:val="center"/>
              <w:rPr>
                <w:rFonts w:eastAsia="Times New Roman"/>
                <w:color w:val="000000"/>
                <w:sz w:val="20"/>
                <w:szCs w:val="20"/>
                <w:lang w:val="en-GB" w:eastAsia="zh-CN"/>
              </w:rPr>
            </w:pPr>
            <w:r w:rsidRPr="00CE0DE7">
              <w:rPr>
                <w:rFonts w:eastAsiaTheme="minorEastAsia"/>
                <w:color w:val="000000"/>
                <w:sz w:val="20"/>
                <w:szCs w:val="20"/>
                <w:lang w:val="en-GB" w:eastAsia="zh-CN"/>
              </w:rPr>
              <w:t>-</w:t>
            </w:r>
            <w:r w:rsidRPr="00CE0DE7">
              <w:rPr>
                <w:rFonts w:eastAsia="Times New Roman"/>
                <w:color w:val="000000"/>
                <w:sz w:val="20"/>
                <w:szCs w:val="20"/>
                <w:lang w:val="en-GB" w:eastAsia="zh-CN"/>
              </w:rPr>
              <w:t>0.054</w:t>
            </w:r>
          </w:p>
        </w:tc>
        <w:tc>
          <w:tcPr>
            <w:tcW w:w="459" w:type="pct"/>
            <w:tcBorders>
              <w:top w:val="nil"/>
              <w:left w:val="nil"/>
              <w:bottom w:val="nil"/>
              <w:right w:val="nil"/>
            </w:tcBorders>
            <w:shd w:val="clear" w:color="auto" w:fill="auto"/>
            <w:noWrap/>
            <w:vAlign w:val="center"/>
            <w:hideMark/>
          </w:tcPr>
          <w:p w14:paraId="6850F02E"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0.003</w:t>
            </w:r>
          </w:p>
        </w:tc>
        <w:tc>
          <w:tcPr>
            <w:tcW w:w="127" w:type="pct"/>
            <w:tcBorders>
              <w:top w:val="nil"/>
              <w:left w:val="nil"/>
              <w:bottom w:val="nil"/>
              <w:right w:val="nil"/>
            </w:tcBorders>
            <w:shd w:val="clear" w:color="auto" w:fill="auto"/>
            <w:noWrap/>
            <w:vAlign w:val="center"/>
            <w:hideMark/>
          </w:tcPr>
          <w:p w14:paraId="041B0555" w14:textId="77777777" w:rsidR="00690118" w:rsidRPr="00CE0DE7" w:rsidRDefault="00690118" w:rsidP="00690118">
            <w:pPr>
              <w:jc w:val="center"/>
              <w:rPr>
                <w:rFonts w:eastAsia="Times New Roman"/>
                <w:color w:val="000000"/>
                <w:sz w:val="20"/>
                <w:szCs w:val="20"/>
                <w:lang w:val="en-GB" w:eastAsia="zh-CN"/>
              </w:rPr>
            </w:pPr>
          </w:p>
        </w:tc>
        <w:tc>
          <w:tcPr>
            <w:tcW w:w="566" w:type="pct"/>
            <w:tcBorders>
              <w:top w:val="nil"/>
              <w:left w:val="nil"/>
              <w:bottom w:val="nil"/>
              <w:right w:val="nil"/>
            </w:tcBorders>
            <w:shd w:val="clear" w:color="auto" w:fill="auto"/>
            <w:noWrap/>
            <w:vAlign w:val="center"/>
            <w:hideMark/>
          </w:tcPr>
          <w:p w14:paraId="1BA84195"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-3.410</w:t>
            </w:r>
          </w:p>
        </w:tc>
        <w:tc>
          <w:tcPr>
            <w:tcW w:w="866" w:type="pct"/>
            <w:tcBorders>
              <w:top w:val="nil"/>
              <w:left w:val="nil"/>
              <w:bottom w:val="nil"/>
              <w:right w:val="nil"/>
            </w:tcBorders>
            <w:shd w:val="clear" w:color="auto" w:fill="auto"/>
            <w:noWrap/>
            <w:vAlign w:val="center"/>
            <w:hideMark/>
          </w:tcPr>
          <w:p w14:paraId="20E8B158"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-1.073</w:t>
            </w:r>
          </w:p>
        </w:tc>
        <w:tc>
          <w:tcPr>
            <w:tcW w:w="573" w:type="pct"/>
            <w:tcBorders>
              <w:top w:val="nil"/>
              <w:left w:val="nil"/>
              <w:bottom w:val="nil"/>
              <w:right w:val="nil"/>
            </w:tcBorders>
            <w:shd w:val="clear" w:color="auto" w:fill="auto"/>
            <w:noWrap/>
            <w:vAlign w:val="center"/>
            <w:hideMark/>
          </w:tcPr>
          <w:p w14:paraId="19E849FF"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-5.173</w:t>
            </w:r>
          </w:p>
        </w:tc>
        <w:tc>
          <w:tcPr>
            <w:tcW w:w="864" w:type="pct"/>
            <w:tcBorders>
              <w:top w:val="nil"/>
              <w:left w:val="nil"/>
              <w:bottom w:val="nil"/>
              <w:right w:val="nil"/>
            </w:tcBorders>
            <w:shd w:val="clear" w:color="auto" w:fill="auto"/>
            <w:noWrap/>
            <w:vAlign w:val="center"/>
            <w:hideMark/>
          </w:tcPr>
          <w:p w14:paraId="7F6B8AFB"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-1.210</w:t>
            </w:r>
          </w:p>
        </w:tc>
      </w:tr>
      <w:tr w:rsidR="00690118" w:rsidRPr="00CE0DE7" w14:paraId="313CBCAC" w14:textId="77777777" w:rsidTr="00690118">
        <w:trPr>
          <w:trHeight w:val="244"/>
        </w:trPr>
        <w:tc>
          <w:tcPr>
            <w:tcW w:w="571" w:type="pct"/>
            <w:tcBorders>
              <w:top w:val="nil"/>
              <w:left w:val="nil"/>
              <w:bottom w:val="nil"/>
              <w:right w:val="nil"/>
            </w:tcBorders>
            <w:shd w:val="clear" w:color="auto" w:fill="auto"/>
            <w:noWrap/>
            <w:vAlign w:val="center"/>
            <w:hideMark/>
          </w:tcPr>
          <w:p w14:paraId="682C131E" w14:textId="77777777" w:rsidR="00690118" w:rsidRPr="00CE0DE7" w:rsidRDefault="00690118" w:rsidP="00690118">
            <w:pPr>
              <w:rPr>
                <w:rFonts w:eastAsia="Times New Roman"/>
                <w:i/>
                <w:iCs/>
                <w:color w:val="000000"/>
                <w:sz w:val="20"/>
                <w:szCs w:val="20"/>
                <w:lang w:val="en-GB" w:eastAsia="zh-CN"/>
              </w:rPr>
            </w:pPr>
            <w:r w:rsidRPr="00CE0DE7">
              <w:rPr>
                <w:rFonts w:eastAsia="Times New Roman"/>
                <w:i/>
                <w:iCs/>
                <w:color w:val="000000"/>
                <w:sz w:val="20"/>
                <w:szCs w:val="20"/>
                <w:lang w:eastAsia="zh-CN"/>
              </w:rPr>
              <w:t>ILLIQ</w:t>
            </w:r>
            <w:r w:rsidRPr="00CE0DE7">
              <w:rPr>
                <w:rFonts w:eastAsia="Times New Roman"/>
                <w:i/>
                <w:iCs/>
                <w:color w:val="000000"/>
                <w:sz w:val="20"/>
                <w:szCs w:val="20"/>
                <w:vertAlign w:val="superscript"/>
                <w:lang w:eastAsia="zh-CN"/>
              </w:rPr>
              <w:t>NYSE</w:t>
            </w:r>
          </w:p>
        </w:tc>
        <w:tc>
          <w:tcPr>
            <w:tcW w:w="577" w:type="pct"/>
            <w:tcBorders>
              <w:top w:val="nil"/>
              <w:left w:val="nil"/>
              <w:bottom w:val="nil"/>
              <w:right w:val="nil"/>
            </w:tcBorders>
            <w:shd w:val="clear" w:color="auto" w:fill="auto"/>
            <w:noWrap/>
            <w:vAlign w:val="center"/>
            <w:hideMark/>
          </w:tcPr>
          <w:p w14:paraId="7DE65A55"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1.092</w:t>
            </w:r>
          </w:p>
        </w:tc>
        <w:tc>
          <w:tcPr>
            <w:tcW w:w="397" w:type="pct"/>
            <w:tcBorders>
              <w:top w:val="nil"/>
              <w:left w:val="nil"/>
              <w:bottom w:val="nil"/>
              <w:right w:val="nil"/>
            </w:tcBorders>
            <w:shd w:val="clear" w:color="auto" w:fill="auto"/>
            <w:noWrap/>
            <w:vAlign w:val="center"/>
            <w:hideMark/>
          </w:tcPr>
          <w:p w14:paraId="0924796D"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0.675</w:t>
            </w:r>
          </w:p>
        </w:tc>
        <w:tc>
          <w:tcPr>
            <w:tcW w:w="459" w:type="pct"/>
            <w:tcBorders>
              <w:top w:val="nil"/>
              <w:left w:val="nil"/>
              <w:bottom w:val="nil"/>
              <w:right w:val="nil"/>
            </w:tcBorders>
            <w:shd w:val="clear" w:color="auto" w:fill="auto"/>
            <w:noWrap/>
            <w:vAlign w:val="center"/>
            <w:hideMark/>
          </w:tcPr>
          <w:p w14:paraId="5752F887"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0.108</w:t>
            </w:r>
          </w:p>
        </w:tc>
        <w:tc>
          <w:tcPr>
            <w:tcW w:w="127" w:type="pct"/>
            <w:tcBorders>
              <w:top w:val="nil"/>
              <w:left w:val="nil"/>
              <w:bottom w:val="nil"/>
              <w:right w:val="nil"/>
            </w:tcBorders>
            <w:shd w:val="clear" w:color="auto" w:fill="auto"/>
            <w:noWrap/>
            <w:vAlign w:val="center"/>
            <w:hideMark/>
          </w:tcPr>
          <w:p w14:paraId="25153A25" w14:textId="77777777" w:rsidR="00690118" w:rsidRPr="00CE0DE7" w:rsidRDefault="00690118" w:rsidP="00690118">
            <w:pPr>
              <w:jc w:val="center"/>
              <w:rPr>
                <w:rFonts w:eastAsia="Times New Roman"/>
                <w:color w:val="000000"/>
                <w:sz w:val="20"/>
                <w:szCs w:val="20"/>
                <w:lang w:val="en-GB" w:eastAsia="zh-CN"/>
              </w:rPr>
            </w:pPr>
          </w:p>
        </w:tc>
        <w:tc>
          <w:tcPr>
            <w:tcW w:w="566" w:type="pct"/>
            <w:tcBorders>
              <w:top w:val="nil"/>
              <w:left w:val="nil"/>
              <w:bottom w:val="nil"/>
              <w:right w:val="nil"/>
            </w:tcBorders>
            <w:shd w:val="clear" w:color="auto" w:fill="auto"/>
            <w:noWrap/>
            <w:vAlign w:val="center"/>
            <w:hideMark/>
          </w:tcPr>
          <w:p w14:paraId="3A6474E2"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-0.710</w:t>
            </w:r>
          </w:p>
        </w:tc>
        <w:tc>
          <w:tcPr>
            <w:tcW w:w="866" w:type="pct"/>
            <w:tcBorders>
              <w:top w:val="nil"/>
              <w:left w:val="nil"/>
              <w:bottom w:val="nil"/>
              <w:right w:val="nil"/>
            </w:tcBorders>
            <w:shd w:val="clear" w:color="auto" w:fill="auto"/>
            <w:noWrap/>
            <w:vAlign w:val="center"/>
            <w:hideMark/>
          </w:tcPr>
          <w:p w14:paraId="3AE4DAF8"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-0.592</w:t>
            </w:r>
          </w:p>
        </w:tc>
        <w:tc>
          <w:tcPr>
            <w:tcW w:w="573" w:type="pct"/>
            <w:tcBorders>
              <w:top w:val="nil"/>
              <w:left w:val="nil"/>
              <w:bottom w:val="nil"/>
              <w:right w:val="nil"/>
            </w:tcBorders>
            <w:shd w:val="clear" w:color="auto" w:fill="auto"/>
            <w:noWrap/>
            <w:vAlign w:val="center"/>
            <w:hideMark/>
          </w:tcPr>
          <w:p w14:paraId="78B11FE7"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-0.511</w:t>
            </w:r>
          </w:p>
        </w:tc>
        <w:tc>
          <w:tcPr>
            <w:tcW w:w="864" w:type="pct"/>
            <w:tcBorders>
              <w:top w:val="nil"/>
              <w:left w:val="nil"/>
              <w:bottom w:val="nil"/>
              <w:right w:val="nil"/>
            </w:tcBorders>
            <w:shd w:val="clear" w:color="auto" w:fill="auto"/>
            <w:noWrap/>
            <w:vAlign w:val="center"/>
            <w:hideMark/>
          </w:tcPr>
          <w:p w14:paraId="3E21C985"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-0.107</w:t>
            </w:r>
          </w:p>
        </w:tc>
      </w:tr>
      <w:tr w:rsidR="00690118" w:rsidRPr="00CE0DE7" w14:paraId="60E5FDC6" w14:textId="77777777" w:rsidTr="00690118">
        <w:trPr>
          <w:trHeight w:val="244"/>
        </w:trPr>
        <w:tc>
          <w:tcPr>
            <w:tcW w:w="571" w:type="pct"/>
            <w:tcBorders>
              <w:top w:val="nil"/>
              <w:left w:val="nil"/>
              <w:bottom w:val="double" w:sz="4" w:space="0" w:color="auto"/>
              <w:right w:val="nil"/>
            </w:tcBorders>
            <w:shd w:val="clear" w:color="auto" w:fill="auto"/>
            <w:noWrap/>
            <w:vAlign w:val="center"/>
            <w:hideMark/>
          </w:tcPr>
          <w:p w14:paraId="021EE5A9" w14:textId="77777777" w:rsidR="00690118" w:rsidRPr="00CE0DE7" w:rsidRDefault="00690118" w:rsidP="00690118">
            <w:pPr>
              <w:rPr>
                <w:rFonts w:eastAsia="Times New Roman"/>
                <w:i/>
                <w:iCs/>
                <w:color w:val="000000"/>
                <w:sz w:val="20"/>
                <w:szCs w:val="20"/>
                <w:lang w:val="en-GB" w:eastAsia="zh-CN"/>
              </w:rPr>
            </w:pPr>
            <w:r w:rsidRPr="00CE0DE7">
              <w:rPr>
                <w:rFonts w:eastAsia="Times New Roman"/>
                <w:i/>
                <w:iCs/>
                <w:color w:val="000000"/>
                <w:sz w:val="20"/>
                <w:szCs w:val="20"/>
                <w:lang w:eastAsia="zh-CN"/>
              </w:rPr>
              <w:t>ILLIQ</w:t>
            </w:r>
            <w:r w:rsidRPr="00CE0DE7">
              <w:rPr>
                <w:rFonts w:eastAsia="Times New Roman"/>
                <w:i/>
                <w:iCs/>
                <w:color w:val="000000"/>
                <w:sz w:val="20"/>
                <w:szCs w:val="20"/>
                <w:vertAlign w:val="superscript"/>
                <w:lang w:eastAsia="zh-CN"/>
              </w:rPr>
              <w:t>SP500</w:t>
            </w:r>
          </w:p>
        </w:tc>
        <w:tc>
          <w:tcPr>
            <w:tcW w:w="577" w:type="pct"/>
            <w:tcBorders>
              <w:top w:val="nil"/>
              <w:left w:val="nil"/>
              <w:bottom w:val="double" w:sz="4" w:space="0" w:color="auto"/>
              <w:right w:val="nil"/>
            </w:tcBorders>
            <w:shd w:val="clear" w:color="auto" w:fill="auto"/>
            <w:noWrap/>
            <w:vAlign w:val="center"/>
            <w:hideMark/>
          </w:tcPr>
          <w:p w14:paraId="765D2955"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1.281</w:t>
            </w:r>
          </w:p>
        </w:tc>
        <w:tc>
          <w:tcPr>
            <w:tcW w:w="397" w:type="pct"/>
            <w:tcBorders>
              <w:top w:val="nil"/>
              <w:left w:val="nil"/>
              <w:bottom w:val="double" w:sz="4" w:space="0" w:color="auto"/>
              <w:right w:val="nil"/>
            </w:tcBorders>
            <w:shd w:val="clear" w:color="auto" w:fill="auto"/>
            <w:noWrap/>
            <w:vAlign w:val="center"/>
            <w:hideMark/>
          </w:tcPr>
          <w:p w14:paraId="6F0790C6"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0.847</w:t>
            </w:r>
          </w:p>
        </w:tc>
        <w:tc>
          <w:tcPr>
            <w:tcW w:w="459" w:type="pct"/>
            <w:tcBorders>
              <w:top w:val="nil"/>
              <w:left w:val="nil"/>
              <w:bottom w:val="double" w:sz="4" w:space="0" w:color="auto"/>
              <w:right w:val="nil"/>
            </w:tcBorders>
            <w:shd w:val="clear" w:color="auto" w:fill="auto"/>
            <w:noWrap/>
            <w:vAlign w:val="center"/>
            <w:hideMark/>
          </w:tcPr>
          <w:p w14:paraId="1049E642"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0.161</w:t>
            </w:r>
          </w:p>
        </w:tc>
        <w:tc>
          <w:tcPr>
            <w:tcW w:w="127" w:type="pct"/>
            <w:tcBorders>
              <w:top w:val="nil"/>
              <w:left w:val="nil"/>
              <w:bottom w:val="double" w:sz="4" w:space="0" w:color="auto"/>
              <w:right w:val="nil"/>
            </w:tcBorders>
            <w:shd w:val="clear" w:color="auto" w:fill="auto"/>
            <w:noWrap/>
            <w:vAlign w:val="center"/>
            <w:hideMark/>
          </w:tcPr>
          <w:p w14:paraId="7E131BDC" w14:textId="77777777" w:rsidR="00690118" w:rsidRPr="00CE0DE7" w:rsidRDefault="00690118" w:rsidP="00690118">
            <w:pPr>
              <w:jc w:val="center"/>
              <w:rPr>
                <w:rFonts w:eastAsia="Times New Roman"/>
                <w:color w:val="000000"/>
                <w:sz w:val="20"/>
                <w:szCs w:val="20"/>
                <w:lang w:val="en-GB" w:eastAsia="zh-CN"/>
              </w:rPr>
            </w:pPr>
          </w:p>
        </w:tc>
        <w:tc>
          <w:tcPr>
            <w:tcW w:w="566" w:type="pct"/>
            <w:tcBorders>
              <w:top w:val="nil"/>
              <w:left w:val="nil"/>
              <w:bottom w:val="double" w:sz="4" w:space="0" w:color="auto"/>
              <w:right w:val="nil"/>
            </w:tcBorders>
            <w:shd w:val="clear" w:color="auto" w:fill="auto"/>
            <w:noWrap/>
            <w:vAlign w:val="center"/>
            <w:hideMark/>
          </w:tcPr>
          <w:p w14:paraId="3E20B55E"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-1.120</w:t>
            </w:r>
          </w:p>
        </w:tc>
        <w:tc>
          <w:tcPr>
            <w:tcW w:w="866" w:type="pct"/>
            <w:tcBorders>
              <w:top w:val="nil"/>
              <w:left w:val="nil"/>
              <w:bottom w:val="double" w:sz="4" w:space="0" w:color="auto"/>
              <w:right w:val="nil"/>
            </w:tcBorders>
            <w:shd w:val="clear" w:color="auto" w:fill="auto"/>
            <w:noWrap/>
            <w:vAlign w:val="center"/>
            <w:hideMark/>
          </w:tcPr>
          <w:p w14:paraId="07DAA71A"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-0.160</w:t>
            </w:r>
          </w:p>
        </w:tc>
        <w:tc>
          <w:tcPr>
            <w:tcW w:w="573" w:type="pct"/>
            <w:tcBorders>
              <w:top w:val="nil"/>
              <w:left w:val="nil"/>
              <w:bottom w:val="double" w:sz="4" w:space="0" w:color="auto"/>
              <w:right w:val="nil"/>
            </w:tcBorders>
            <w:shd w:val="clear" w:color="auto" w:fill="auto"/>
            <w:noWrap/>
            <w:vAlign w:val="center"/>
            <w:hideMark/>
          </w:tcPr>
          <w:p w14:paraId="6A493CA7"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-1.033</w:t>
            </w:r>
          </w:p>
        </w:tc>
        <w:tc>
          <w:tcPr>
            <w:tcW w:w="864" w:type="pct"/>
            <w:tcBorders>
              <w:top w:val="nil"/>
              <w:left w:val="nil"/>
              <w:bottom w:val="double" w:sz="4" w:space="0" w:color="auto"/>
              <w:right w:val="nil"/>
            </w:tcBorders>
            <w:shd w:val="clear" w:color="auto" w:fill="auto"/>
            <w:noWrap/>
            <w:vAlign w:val="center"/>
            <w:hideMark/>
          </w:tcPr>
          <w:p w14:paraId="16A8B2F4" w14:textId="77777777" w:rsidR="00690118" w:rsidRPr="00CE0DE7" w:rsidRDefault="00690118"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-0.015</w:t>
            </w:r>
          </w:p>
        </w:tc>
      </w:tr>
    </w:tbl>
    <w:p w14:paraId="72458B8A" w14:textId="77777777" w:rsidR="00C30160" w:rsidRPr="00CE0DE7" w:rsidRDefault="00C30160" w:rsidP="00C30160">
      <w:pPr>
        <w:adjustRightInd w:val="0"/>
        <w:snapToGrid w:val="0"/>
        <w:rPr>
          <w:i/>
          <w:sz w:val="20"/>
          <w:szCs w:val="20"/>
        </w:rPr>
      </w:pPr>
    </w:p>
    <w:p w14:paraId="71071B93" w14:textId="77777777" w:rsidR="00C30160" w:rsidRPr="00CE0DE7" w:rsidRDefault="00C30160" w:rsidP="00C30160">
      <w:pPr>
        <w:adjustRightInd w:val="0"/>
        <w:snapToGrid w:val="0"/>
        <w:rPr>
          <w:i/>
          <w:sz w:val="20"/>
          <w:szCs w:val="20"/>
        </w:rPr>
      </w:pPr>
    </w:p>
    <w:p w14:paraId="38B9CCB7" w14:textId="77777777" w:rsidR="00C30160" w:rsidRPr="00CE0DE7" w:rsidRDefault="00C30160" w:rsidP="00C30160">
      <w:pPr>
        <w:adjustRightInd w:val="0"/>
        <w:snapToGrid w:val="0"/>
        <w:rPr>
          <w:sz w:val="20"/>
          <w:szCs w:val="20"/>
          <w:lang w:eastAsia="zh-CN"/>
        </w:rPr>
      </w:pPr>
      <w:r w:rsidRPr="00CE0DE7">
        <w:rPr>
          <w:sz w:val="20"/>
          <w:szCs w:val="20"/>
        </w:rPr>
        <w:t xml:space="preserve">Panel B. </w:t>
      </w:r>
      <w:r w:rsidRPr="00CE0DE7">
        <w:rPr>
          <w:rFonts w:hint="eastAsia"/>
          <w:sz w:val="20"/>
          <w:szCs w:val="20"/>
          <w:lang w:eastAsia="zh-CN"/>
        </w:rPr>
        <w:t>Predictive regression with control variables</w:t>
      </w:r>
    </w:p>
    <w:tbl>
      <w:tblPr>
        <w:tblW w:w="5000" w:type="pct"/>
        <w:tblLook w:val="04A0" w:firstRow="1" w:lastRow="0" w:firstColumn="1" w:lastColumn="0" w:noHBand="0" w:noVBand="1"/>
      </w:tblPr>
      <w:tblGrid>
        <w:gridCol w:w="2038"/>
        <w:gridCol w:w="1262"/>
        <w:gridCol w:w="953"/>
        <w:gridCol w:w="1004"/>
        <w:gridCol w:w="287"/>
        <w:gridCol w:w="1370"/>
        <w:gridCol w:w="1024"/>
        <w:gridCol w:w="1089"/>
      </w:tblGrid>
      <w:tr w:rsidR="00C30160" w:rsidRPr="00CE0DE7" w14:paraId="4541CE39" w14:textId="77777777" w:rsidTr="00C24E43">
        <w:trPr>
          <w:trHeight w:val="238"/>
        </w:trPr>
        <w:tc>
          <w:tcPr>
            <w:tcW w:w="1129" w:type="pct"/>
            <w:tcBorders>
              <w:top w:val="double" w:sz="4" w:space="0" w:color="auto"/>
              <w:left w:val="nil"/>
              <w:bottom w:val="nil"/>
              <w:right w:val="nil"/>
            </w:tcBorders>
            <w:shd w:val="clear" w:color="auto" w:fill="auto"/>
            <w:noWrap/>
            <w:vAlign w:val="center"/>
            <w:hideMark/>
          </w:tcPr>
          <w:p w14:paraId="4AEF5B20" w14:textId="77777777" w:rsidR="00C30160" w:rsidRPr="00CE0DE7" w:rsidRDefault="00C30160" w:rsidP="00C24E43">
            <w:pPr>
              <w:rPr>
                <w:rFonts w:eastAsia="Times New Roman"/>
                <w:sz w:val="20"/>
                <w:szCs w:val="20"/>
                <w:lang w:val="en-GB" w:eastAsia="zh-CN"/>
              </w:rPr>
            </w:pPr>
          </w:p>
        </w:tc>
        <w:tc>
          <w:tcPr>
            <w:tcW w:w="1783" w:type="pct"/>
            <w:gridSpan w:val="3"/>
            <w:tcBorders>
              <w:top w:val="double" w:sz="4" w:space="0" w:color="auto"/>
              <w:left w:val="nil"/>
              <w:bottom w:val="single" w:sz="4" w:space="0" w:color="auto"/>
              <w:right w:val="nil"/>
            </w:tcBorders>
            <w:shd w:val="clear" w:color="auto" w:fill="auto"/>
            <w:noWrap/>
            <w:vAlign w:val="center"/>
            <w:hideMark/>
          </w:tcPr>
          <w:p w14:paraId="5B87C1E0" w14:textId="77777777" w:rsidR="00C30160" w:rsidRPr="00CE0DE7" w:rsidRDefault="00C30160" w:rsidP="00C24E43">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 xml:space="preserve">Dependent Variable: </w:t>
            </w:r>
            <w:r w:rsidRPr="00CE0DE7">
              <w:rPr>
                <w:rFonts w:eastAsia="Times New Roman"/>
                <w:bCs/>
                <w:i/>
                <w:color w:val="000000"/>
                <w:sz w:val="20"/>
                <w:szCs w:val="20"/>
                <w:lang w:val="en-GB" w:eastAsia="zh-CN"/>
              </w:rPr>
              <w:t>VW</w:t>
            </w:r>
          </w:p>
        </w:tc>
        <w:tc>
          <w:tcPr>
            <w:tcW w:w="159" w:type="pct"/>
            <w:tcBorders>
              <w:top w:val="double" w:sz="4" w:space="0" w:color="auto"/>
              <w:left w:val="nil"/>
              <w:bottom w:val="nil"/>
              <w:right w:val="nil"/>
            </w:tcBorders>
            <w:shd w:val="clear" w:color="auto" w:fill="auto"/>
            <w:noWrap/>
            <w:vAlign w:val="center"/>
            <w:hideMark/>
          </w:tcPr>
          <w:p w14:paraId="022593C2" w14:textId="77777777" w:rsidR="00C30160" w:rsidRPr="00CE0DE7" w:rsidRDefault="00C30160" w:rsidP="00C24E43">
            <w:pPr>
              <w:jc w:val="center"/>
              <w:rPr>
                <w:rFonts w:eastAsia="Times New Roman"/>
                <w:bCs/>
                <w:color w:val="000000"/>
                <w:sz w:val="20"/>
                <w:szCs w:val="20"/>
                <w:lang w:val="en-GB" w:eastAsia="zh-CN"/>
              </w:rPr>
            </w:pPr>
          </w:p>
        </w:tc>
        <w:tc>
          <w:tcPr>
            <w:tcW w:w="1929" w:type="pct"/>
            <w:gridSpan w:val="3"/>
            <w:tcBorders>
              <w:top w:val="double" w:sz="4" w:space="0" w:color="auto"/>
              <w:left w:val="nil"/>
              <w:bottom w:val="single" w:sz="4" w:space="0" w:color="auto"/>
              <w:right w:val="nil"/>
            </w:tcBorders>
            <w:shd w:val="clear" w:color="auto" w:fill="auto"/>
            <w:noWrap/>
            <w:vAlign w:val="center"/>
            <w:hideMark/>
          </w:tcPr>
          <w:p w14:paraId="76A223BC" w14:textId="77777777" w:rsidR="00C30160" w:rsidRPr="00CE0DE7" w:rsidRDefault="00C30160" w:rsidP="00C24E43">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 xml:space="preserve">Dependent Variable: </w:t>
            </w:r>
            <w:r w:rsidRPr="00CE0DE7">
              <w:rPr>
                <w:rFonts w:eastAsia="Times New Roman"/>
                <w:bCs/>
                <w:i/>
                <w:color w:val="000000"/>
                <w:sz w:val="20"/>
                <w:szCs w:val="20"/>
                <w:lang w:val="en-GB" w:eastAsia="zh-CN"/>
              </w:rPr>
              <w:t>Index</w:t>
            </w:r>
          </w:p>
        </w:tc>
      </w:tr>
      <w:tr w:rsidR="00690118" w:rsidRPr="00CE0DE7" w14:paraId="5B8752B7" w14:textId="77777777" w:rsidTr="00C24E43">
        <w:trPr>
          <w:trHeight w:val="273"/>
        </w:trPr>
        <w:tc>
          <w:tcPr>
            <w:tcW w:w="1129" w:type="pct"/>
            <w:tcBorders>
              <w:top w:val="nil"/>
              <w:left w:val="nil"/>
              <w:bottom w:val="single" w:sz="4" w:space="0" w:color="auto"/>
              <w:right w:val="nil"/>
            </w:tcBorders>
            <w:shd w:val="clear" w:color="auto" w:fill="auto"/>
            <w:noWrap/>
            <w:vAlign w:val="center"/>
          </w:tcPr>
          <w:p w14:paraId="63AFE7DE" w14:textId="77777777" w:rsidR="00690118" w:rsidRPr="00CE0DE7" w:rsidRDefault="00690118" w:rsidP="00690118">
            <w:pPr>
              <w:jc w:val="center"/>
              <w:rPr>
                <w:rFonts w:eastAsia="Times New Roman"/>
                <w:bCs/>
                <w:color w:val="000000"/>
                <w:sz w:val="20"/>
                <w:szCs w:val="20"/>
                <w:lang w:val="en-GB" w:eastAsia="zh-CN"/>
              </w:rPr>
            </w:pPr>
          </w:p>
        </w:tc>
        <w:tc>
          <w:tcPr>
            <w:tcW w:w="699" w:type="pct"/>
            <w:tcBorders>
              <w:top w:val="single" w:sz="4" w:space="0" w:color="auto"/>
              <w:left w:val="nil"/>
              <w:bottom w:val="single" w:sz="4" w:space="0" w:color="auto"/>
              <w:right w:val="nil"/>
            </w:tcBorders>
            <w:shd w:val="clear" w:color="auto" w:fill="auto"/>
            <w:vAlign w:val="center"/>
          </w:tcPr>
          <w:p w14:paraId="6E5F1626" w14:textId="5185ACFD" w:rsidR="00690118" w:rsidRPr="00CE0DE7" w:rsidRDefault="00690118" w:rsidP="00690118">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(1)</w:t>
            </w:r>
          </w:p>
        </w:tc>
        <w:tc>
          <w:tcPr>
            <w:tcW w:w="528" w:type="pct"/>
            <w:tcBorders>
              <w:top w:val="single" w:sz="4" w:space="0" w:color="auto"/>
              <w:left w:val="nil"/>
              <w:bottom w:val="single" w:sz="4" w:space="0" w:color="auto"/>
              <w:right w:val="nil"/>
            </w:tcBorders>
            <w:shd w:val="clear" w:color="auto" w:fill="auto"/>
            <w:vAlign w:val="center"/>
          </w:tcPr>
          <w:p w14:paraId="50E19C3A" w14:textId="2BABC22D" w:rsidR="00690118" w:rsidRPr="00CE0DE7" w:rsidRDefault="00690118" w:rsidP="00690118">
            <w:pPr>
              <w:jc w:val="center"/>
              <w:rPr>
                <w:rFonts w:eastAsia="Times New Roman"/>
                <w:bCs/>
                <w:iCs/>
                <w:color w:val="000000"/>
                <w:sz w:val="20"/>
                <w:szCs w:val="20"/>
                <w:lang w:val="en-GB" w:eastAsia="zh-CN"/>
              </w:rPr>
            </w:pPr>
            <w:r w:rsidRPr="00CE0DE7">
              <w:rPr>
                <w:rFonts w:eastAsia="Times New Roman"/>
                <w:bCs/>
                <w:iCs/>
                <w:color w:val="000000"/>
                <w:sz w:val="20"/>
                <w:szCs w:val="20"/>
                <w:lang w:val="en-GB" w:eastAsia="zh-CN"/>
              </w:rPr>
              <w:t>(2)</w:t>
            </w:r>
          </w:p>
        </w:tc>
        <w:tc>
          <w:tcPr>
            <w:tcW w:w="556" w:type="pct"/>
            <w:tcBorders>
              <w:top w:val="single" w:sz="4" w:space="0" w:color="auto"/>
              <w:left w:val="nil"/>
              <w:bottom w:val="single" w:sz="4" w:space="0" w:color="auto"/>
              <w:right w:val="nil"/>
            </w:tcBorders>
            <w:shd w:val="clear" w:color="auto" w:fill="auto"/>
            <w:vAlign w:val="center"/>
          </w:tcPr>
          <w:p w14:paraId="7A33309D" w14:textId="3CFB6563" w:rsidR="00690118" w:rsidRPr="00CE0DE7" w:rsidRDefault="00690118" w:rsidP="00690118">
            <w:pPr>
              <w:jc w:val="center"/>
              <w:rPr>
                <w:rFonts w:eastAsia="Times New Roman"/>
                <w:bCs/>
                <w:iCs/>
                <w:color w:val="000000"/>
                <w:sz w:val="20"/>
                <w:szCs w:val="20"/>
                <w:lang w:val="en-GB" w:eastAsia="zh-CN"/>
              </w:rPr>
            </w:pPr>
            <w:r w:rsidRPr="00CE0DE7">
              <w:rPr>
                <w:rFonts w:eastAsia="Times New Roman"/>
                <w:bCs/>
                <w:iCs/>
                <w:color w:val="000000"/>
                <w:sz w:val="20"/>
                <w:szCs w:val="20"/>
                <w:lang w:val="en-GB" w:eastAsia="zh-CN"/>
              </w:rPr>
              <w:t>(3)</w:t>
            </w:r>
          </w:p>
        </w:tc>
        <w:tc>
          <w:tcPr>
            <w:tcW w:w="159" w:type="pct"/>
            <w:tcBorders>
              <w:top w:val="nil"/>
              <w:left w:val="nil"/>
              <w:bottom w:val="nil"/>
              <w:right w:val="nil"/>
            </w:tcBorders>
            <w:shd w:val="clear" w:color="auto" w:fill="auto"/>
            <w:noWrap/>
            <w:vAlign w:val="center"/>
          </w:tcPr>
          <w:p w14:paraId="18DCE52F" w14:textId="77777777" w:rsidR="00690118" w:rsidRPr="00CE0DE7" w:rsidRDefault="00690118" w:rsidP="00690118">
            <w:pPr>
              <w:jc w:val="center"/>
              <w:rPr>
                <w:rFonts w:eastAsia="Times New Roman"/>
                <w:bCs/>
                <w:iCs/>
                <w:color w:val="000000"/>
                <w:sz w:val="20"/>
                <w:szCs w:val="20"/>
                <w:lang w:val="en-GB" w:eastAsia="zh-CN"/>
              </w:rPr>
            </w:pPr>
          </w:p>
        </w:tc>
        <w:tc>
          <w:tcPr>
            <w:tcW w:w="759" w:type="pct"/>
            <w:tcBorders>
              <w:top w:val="single" w:sz="4" w:space="0" w:color="auto"/>
              <w:left w:val="nil"/>
              <w:bottom w:val="single" w:sz="4" w:space="0" w:color="auto"/>
              <w:right w:val="nil"/>
            </w:tcBorders>
            <w:shd w:val="clear" w:color="auto" w:fill="auto"/>
            <w:vAlign w:val="center"/>
          </w:tcPr>
          <w:p w14:paraId="6D50F026" w14:textId="604872A6" w:rsidR="00690118" w:rsidRPr="00CE0DE7" w:rsidRDefault="00690118" w:rsidP="00690118">
            <w:pPr>
              <w:jc w:val="center"/>
              <w:rPr>
                <w:rFonts w:eastAsia="Times New Roman"/>
                <w:bCs/>
                <w:iCs/>
                <w:color w:val="000000"/>
                <w:sz w:val="20"/>
                <w:szCs w:val="20"/>
                <w:lang w:val="en-GB" w:eastAsia="zh-CN"/>
              </w:rPr>
            </w:pPr>
            <w:r w:rsidRPr="00CE0DE7">
              <w:rPr>
                <w:rFonts w:eastAsia="Times New Roman"/>
                <w:bCs/>
                <w:iCs/>
                <w:color w:val="000000"/>
                <w:sz w:val="20"/>
                <w:szCs w:val="20"/>
                <w:lang w:val="en-GB" w:eastAsia="zh-CN"/>
              </w:rPr>
              <w:t>(4)</w:t>
            </w:r>
          </w:p>
        </w:tc>
        <w:tc>
          <w:tcPr>
            <w:tcW w:w="567" w:type="pct"/>
            <w:tcBorders>
              <w:top w:val="single" w:sz="4" w:space="0" w:color="auto"/>
              <w:left w:val="nil"/>
              <w:bottom w:val="single" w:sz="4" w:space="0" w:color="auto"/>
              <w:right w:val="nil"/>
            </w:tcBorders>
            <w:shd w:val="clear" w:color="auto" w:fill="auto"/>
            <w:vAlign w:val="center"/>
          </w:tcPr>
          <w:p w14:paraId="5519C4DC" w14:textId="69AF4820" w:rsidR="00690118" w:rsidRPr="00CE0DE7" w:rsidRDefault="00690118" w:rsidP="00690118">
            <w:pPr>
              <w:jc w:val="center"/>
              <w:rPr>
                <w:rFonts w:eastAsia="Times New Roman"/>
                <w:bCs/>
                <w:iCs/>
                <w:color w:val="000000"/>
                <w:sz w:val="20"/>
                <w:szCs w:val="20"/>
                <w:lang w:val="en-GB" w:eastAsia="zh-CN"/>
              </w:rPr>
            </w:pPr>
            <w:r w:rsidRPr="00CE0DE7">
              <w:rPr>
                <w:rFonts w:eastAsia="Times New Roman"/>
                <w:bCs/>
                <w:iCs/>
                <w:color w:val="000000"/>
                <w:sz w:val="20"/>
                <w:szCs w:val="20"/>
                <w:lang w:val="en-GB" w:eastAsia="zh-CN"/>
              </w:rPr>
              <w:t>(5)</w:t>
            </w:r>
          </w:p>
        </w:tc>
        <w:tc>
          <w:tcPr>
            <w:tcW w:w="604" w:type="pct"/>
            <w:tcBorders>
              <w:top w:val="single" w:sz="4" w:space="0" w:color="auto"/>
              <w:left w:val="nil"/>
              <w:bottom w:val="single" w:sz="4" w:space="0" w:color="auto"/>
              <w:right w:val="nil"/>
            </w:tcBorders>
            <w:shd w:val="clear" w:color="auto" w:fill="auto"/>
            <w:vAlign w:val="center"/>
          </w:tcPr>
          <w:p w14:paraId="58A20ADB" w14:textId="26CD7338" w:rsidR="00690118" w:rsidRPr="00CE0DE7" w:rsidRDefault="00690118" w:rsidP="00690118">
            <w:pPr>
              <w:jc w:val="center"/>
              <w:rPr>
                <w:rFonts w:eastAsia="Times New Roman"/>
                <w:bCs/>
                <w:iCs/>
                <w:color w:val="000000"/>
                <w:sz w:val="20"/>
                <w:szCs w:val="20"/>
                <w:lang w:val="en-GB" w:eastAsia="zh-CN"/>
              </w:rPr>
            </w:pPr>
            <w:r w:rsidRPr="00CE0DE7">
              <w:rPr>
                <w:rFonts w:eastAsia="Times New Roman"/>
                <w:bCs/>
                <w:iCs/>
                <w:color w:val="000000"/>
                <w:sz w:val="20"/>
                <w:szCs w:val="20"/>
                <w:lang w:val="en-GB" w:eastAsia="zh-CN"/>
              </w:rPr>
              <w:t>(6)</w:t>
            </w:r>
          </w:p>
        </w:tc>
      </w:tr>
      <w:tr w:rsidR="00C30160" w:rsidRPr="00CE0DE7" w14:paraId="77BB775E" w14:textId="77777777" w:rsidTr="00C24E43">
        <w:trPr>
          <w:trHeight w:val="273"/>
        </w:trPr>
        <w:tc>
          <w:tcPr>
            <w:tcW w:w="1129" w:type="pct"/>
            <w:tcBorders>
              <w:top w:val="nil"/>
              <w:left w:val="nil"/>
              <w:bottom w:val="single" w:sz="4" w:space="0" w:color="auto"/>
              <w:right w:val="nil"/>
            </w:tcBorders>
            <w:shd w:val="clear" w:color="auto" w:fill="auto"/>
            <w:noWrap/>
            <w:vAlign w:val="center"/>
            <w:hideMark/>
          </w:tcPr>
          <w:p w14:paraId="089132E8" w14:textId="77777777" w:rsidR="00C30160" w:rsidRPr="00CE0DE7" w:rsidRDefault="00C30160" w:rsidP="00C24E43">
            <w:pPr>
              <w:jc w:val="center"/>
              <w:rPr>
                <w:rFonts w:eastAsia="Times New Roman"/>
                <w:bCs/>
                <w:color w:val="000000"/>
                <w:sz w:val="20"/>
                <w:szCs w:val="20"/>
                <w:lang w:val="en-GB" w:eastAsia="zh-CN"/>
              </w:rPr>
            </w:pPr>
          </w:p>
        </w:tc>
        <w:tc>
          <w:tcPr>
            <w:tcW w:w="699" w:type="pct"/>
            <w:tcBorders>
              <w:top w:val="single" w:sz="4" w:space="0" w:color="auto"/>
              <w:left w:val="nil"/>
              <w:bottom w:val="single" w:sz="4" w:space="0" w:color="auto"/>
              <w:right w:val="nil"/>
            </w:tcBorders>
            <w:shd w:val="clear" w:color="auto" w:fill="auto"/>
            <w:vAlign w:val="center"/>
            <w:hideMark/>
          </w:tcPr>
          <w:p w14:paraId="455AABB9" w14:textId="77777777" w:rsidR="00C30160" w:rsidRPr="00CE0DE7" w:rsidRDefault="00C30160" w:rsidP="00C015BF">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Beta</w:t>
            </w:r>
          </w:p>
        </w:tc>
        <w:tc>
          <w:tcPr>
            <w:tcW w:w="528" w:type="pct"/>
            <w:tcBorders>
              <w:top w:val="single" w:sz="4" w:space="0" w:color="auto"/>
              <w:left w:val="nil"/>
              <w:bottom w:val="single" w:sz="4" w:space="0" w:color="auto"/>
              <w:right w:val="nil"/>
            </w:tcBorders>
            <w:shd w:val="clear" w:color="auto" w:fill="auto"/>
            <w:vAlign w:val="center"/>
            <w:hideMark/>
          </w:tcPr>
          <w:p w14:paraId="427AAFF3" w14:textId="77777777" w:rsidR="00C30160" w:rsidRPr="00CE0DE7" w:rsidRDefault="00C30160" w:rsidP="00C015BF">
            <w:pPr>
              <w:jc w:val="center"/>
              <w:rPr>
                <w:rFonts w:eastAsia="Times New Roman"/>
                <w:bCs/>
                <w:color w:val="000000"/>
                <w:sz w:val="20"/>
                <w:szCs w:val="20"/>
                <w:lang w:val="en-GB" w:eastAsia="zh-CN"/>
              </w:rPr>
            </w:pPr>
            <w:r w:rsidRPr="00CE0DE7">
              <w:rPr>
                <w:rFonts w:eastAsia="Times New Roman"/>
                <w:bCs/>
                <w:i/>
                <w:color w:val="000000"/>
                <w:sz w:val="20"/>
                <w:szCs w:val="20"/>
                <w:lang w:val="en-GB" w:eastAsia="zh-CN"/>
              </w:rPr>
              <w:t>t</w:t>
            </w:r>
            <w:r w:rsidRPr="00CE0DE7">
              <w:rPr>
                <w:rFonts w:eastAsia="Times New Roman"/>
                <w:bCs/>
                <w:color w:val="000000"/>
                <w:sz w:val="20"/>
                <w:szCs w:val="20"/>
                <w:lang w:val="en-GB" w:eastAsia="zh-CN"/>
              </w:rPr>
              <w:t>-stat</w:t>
            </w:r>
          </w:p>
        </w:tc>
        <w:tc>
          <w:tcPr>
            <w:tcW w:w="556" w:type="pct"/>
            <w:tcBorders>
              <w:top w:val="single" w:sz="4" w:space="0" w:color="auto"/>
              <w:left w:val="nil"/>
              <w:bottom w:val="single" w:sz="4" w:space="0" w:color="auto"/>
              <w:right w:val="nil"/>
            </w:tcBorders>
            <w:shd w:val="clear" w:color="auto" w:fill="auto"/>
            <w:vAlign w:val="center"/>
            <w:hideMark/>
          </w:tcPr>
          <w:p w14:paraId="77BCCBA6" w14:textId="77777777" w:rsidR="00C30160" w:rsidRPr="00CE0DE7" w:rsidRDefault="00C30160" w:rsidP="00C015BF">
            <w:pPr>
              <w:jc w:val="center"/>
              <w:rPr>
                <w:rFonts w:eastAsia="Times New Roman"/>
                <w:bCs/>
                <w:color w:val="000000"/>
                <w:sz w:val="20"/>
                <w:szCs w:val="20"/>
                <w:lang w:val="en-GB" w:eastAsia="zh-CN"/>
              </w:rPr>
            </w:pPr>
            <w:r w:rsidRPr="00CE0DE7">
              <w:rPr>
                <w:rFonts w:eastAsia="Times New Roman"/>
                <w:bCs/>
                <w:i/>
                <w:iCs/>
                <w:color w:val="000000"/>
                <w:sz w:val="20"/>
                <w:szCs w:val="20"/>
                <w:lang w:val="en-GB" w:eastAsia="zh-CN"/>
              </w:rPr>
              <w:t>R</w:t>
            </w:r>
            <w:r w:rsidRPr="00CE0DE7">
              <w:rPr>
                <w:rFonts w:eastAsia="Times New Roman"/>
                <w:bCs/>
                <w:color w:val="000000"/>
                <w:sz w:val="20"/>
                <w:szCs w:val="20"/>
                <w:vertAlign w:val="superscript"/>
                <w:lang w:val="en-GB" w:eastAsia="zh-CN"/>
              </w:rPr>
              <w:t>2</w:t>
            </w:r>
            <w:r w:rsidRPr="00CE0DE7">
              <w:rPr>
                <w:rFonts w:eastAsia="Times New Roman"/>
                <w:bCs/>
                <w:color w:val="000000"/>
                <w:sz w:val="20"/>
                <w:szCs w:val="20"/>
                <w:lang w:val="en-GB" w:eastAsia="zh-CN"/>
              </w:rPr>
              <w:t xml:space="preserve"> (%)</w:t>
            </w:r>
          </w:p>
        </w:tc>
        <w:tc>
          <w:tcPr>
            <w:tcW w:w="159" w:type="pct"/>
            <w:tcBorders>
              <w:top w:val="nil"/>
              <w:left w:val="nil"/>
              <w:bottom w:val="nil"/>
              <w:right w:val="nil"/>
            </w:tcBorders>
            <w:shd w:val="clear" w:color="auto" w:fill="auto"/>
            <w:noWrap/>
            <w:vAlign w:val="center"/>
            <w:hideMark/>
          </w:tcPr>
          <w:p w14:paraId="20DD9F5C" w14:textId="77777777" w:rsidR="00C30160" w:rsidRPr="00CE0DE7" w:rsidRDefault="00C30160" w:rsidP="00C015BF">
            <w:pPr>
              <w:jc w:val="center"/>
              <w:rPr>
                <w:rFonts w:eastAsia="Times New Roman"/>
                <w:bCs/>
                <w:color w:val="000000"/>
                <w:sz w:val="20"/>
                <w:szCs w:val="20"/>
                <w:lang w:val="en-GB" w:eastAsia="zh-CN"/>
              </w:rPr>
            </w:pPr>
          </w:p>
        </w:tc>
        <w:tc>
          <w:tcPr>
            <w:tcW w:w="759" w:type="pct"/>
            <w:tcBorders>
              <w:top w:val="single" w:sz="4" w:space="0" w:color="auto"/>
              <w:left w:val="nil"/>
              <w:bottom w:val="single" w:sz="4" w:space="0" w:color="auto"/>
              <w:right w:val="nil"/>
            </w:tcBorders>
            <w:shd w:val="clear" w:color="auto" w:fill="auto"/>
            <w:vAlign w:val="center"/>
            <w:hideMark/>
          </w:tcPr>
          <w:p w14:paraId="7137503B" w14:textId="77777777" w:rsidR="00C30160" w:rsidRPr="00CE0DE7" w:rsidRDefault="00C30160" w:rsidP="00C015BF">
            <w:pPr>
              <w:jc w:val="center"/>
              <w:rPr>
                <w:rFonts w:eastAsia="Times New Roman"/>
                <w:bCs/>
                <w:color w:val="000000"/>
                <w:sz w:val="20"/>
                <w:szCs w:val="20"/>
                <w:lang w:val="en-GB" w:eastAsia="zh-CN"/>
              </w:rPr>
            </w:pPr>
            <w:r w:rsidRPr="00CE0DE7">
              <w:rPr>
                <w:rFonts w:eastAsia="Times New Roman"/>
                <w:bCs/>
                <w:color w:val="000000"/>
                <w:sz w:val="20"/>
                <w:szCs w:val="20"/>
                <w:lang w:val="en-GB" w:eastAsia="zh-CN"/>
              </w:rPr>
              <w:t>Beta</w:t>
            </w:r>
          </w:p>
        </w:tc>
        <w:tc>
          <w:tcPr>
            <w:tcW w:w="567" w:type="pct"/>
            <w:tcBorders>
              <w:top w:val="single" w:sz="4" w:space="0" w:color="auto"/>
              <w:left w:val="nil"/>
              <w:bottom w:val="single" w:sz="4" w:space="0" w:color="auto"/>
              <w:right w:val="nil"/>
            </w:tcBorders>
            <w:shd w:val="clear" w:color="auto" w:fill="auto"/>
            <w:vAlign w:val="center"/>
            <w:hideMark/>
          </w:tcPr>
          <w:p w14:paraId="720DD008" w14:textId="77777777" w:rsidR="00C30160" w:rsidRPr="00CE0DE7" w:rsidRDefault="00C30160" w:rsidP="00C015BF">
            <w:pPr>
              <w:jc w:val="center"/>
              <w:rPr>
                <w:rFonts w:eastAsia="Times New Roman"/>
                <w:bCs/>
                <w:color w:val="000000"/>
                <w:sz w:val="20"/>
                <w:szCs w:val="20"/>
                <w:lang w:val="en-GB" w:eastAsia="zh-CN"/>
              </w:rPr>
            </w:pPr>
            <w:r w:rsidRPr="00CE0DE7">
              <w:rPr>
                <w:rFonts w:eastAsia="Times New Roman"/>
                <w:bCs/>
                <w:i/>
                <w:color w:val="000000"/>
                <w:sz w:val="20"/>
                <w:szCs w:val="20"/>
                <w:lang w:val="en-GB" w:eastAsia="zh-CN"/>
              </w:rPr>
              <w:t>t</w:t>
            </w:r>
            <w:r w:rsidRPr="00CE0DE7">
              <w:rPr>
                <w:rFonts w:eastAsia="Times New Roman"/>
                <w:bCs/>
                <w:color w:val="000000"/>
                <w:sz w:val="20"/>
                <w:szCs w:val="20"/>
                <w:lang w:val="en-GB" w:eastAsia="zh-CN"/>
              </w:rPr>
              <w:t>-stat</w:t>
            </w:r>
          </w:p>
        </w:tc>
        <w:tc>
          <w:tcPr>
            <w:tcW w:w="604" w:type="pct"/>
            <w:tcBorders>
              <w:top w:val="single" w:sz="4" w:space="0" w:color="auto"/>
              <w:left w:val="nil"/>
              <w:bottom w:val="single" w:sz="4" w:space="0" w:color="auto"/>
              <w:right w:val="nil"/>
            </w:tcBorders>
            <w:shd w:val="clear" w:color="auto" w:fill="auto"/>
            <w:vAlign w:val="center"/>
            <w:hideMark/>
          </w:tcPr>
          <w:p w14:paraId="16F2B2A1" w14:textId="77777777" w:rsidR="00C30160" w:rsidRPr="00CE0DE7" w:rsidRDefault="00C30160" w:rsidP="00C24E43">
            <w:pPr>
              <w:jc w:val="center"/>
              <w:rPr>
                <w:rFonts w:eastAsia="Times New Roman"/>
                <w:bCs/>
                <w:color w:val="000000"/>
                <w:sz w:val="20"/>
                <w:szCs w:val="20"/>
                <w:lang w:val="en-GB" w:eastAsia="zh-CN"/>
              </w:rPr>
            </w:pPr>
            <w:r w:rsidRPr="00CE0DE7">
              <w:rPr>
                <w:rFonts w:eastAsia="Times New Roman"/>
                <w:bCs/>
                <w:i/>
                <w:iCs/>
                <w:color w:val="000000"/>
                <w:sz w:val="20"/>
                <w:szCs w:val="20"/>
                <w:lang w:val="en-GB" w:eastAsia="zh-CN"/>
              </w:rPr>
              <w:t>R</w:t>
            </w:r>
            <w:r w:rsidRPr="00CE0DE7">
              <w:rPr>
                <w:rFonts w:eastAsia="Times New Roman"/>
                <w:bCs/>
                <w:color w:val="000000"/>
                <w:sz w:val="20"/>
                <w:szCs w:val="20"/>
                <w:vertAlign w:val="superscript"/>
                <w:lang w:val="en-GB" w:eastAsia="zh-CN"/>
              </w:rPr>
              <w:t>2</w:t>
            </w:r>
            <w:r w:rsidRPr="00CE0DE7">
              <w:rPr>
                <w:rFonts w:eastAsia="Times New Roman"/>
                <w:bCs/>
                <w:color w:val="000000"/>
                <w:sz w:val="20"/>
                <w:szCs w:val="20"/>
                <w:lang w:val="en-GB" w:eastAsia="zh-CN"/>
              </w:rPr>
              <w:t xml:space="preserve"> (%)</w:t>
            </w:r>
          </w:p>
        </w:tc>
      </w:tr>
      <w:tr w:rsidR="00C30160" w:rsidRPr="00CE0DE7" w14:paraId="2439FD30" w14:textId="77777777" w:rsidTr="00C24E43">
        <w:trPr>
          <w:trHeight w:val="238"/>
        </w:trPr>
        <w:tc>
          <w:tcPr>
            <w:tcW w:w="1129" w:type="pct"/>
            <w:tcBorders>
              <w:top w:val="single" w:sz="4" w:space="0" w:color="auto"/>
              <w:left w:val="nil"/>
              <w:bottom w:val="nil"/>
              <w:right w:val="nil"/>
            </w:tcBorders>
            <w:shd w:val="clear" w:color="auto" w:fill="auto"/>
            <w:noWrap/>
            <w:vAlign w:val="center"/>
            <w:hideMark/>
          </w:tcPr>
          <w:p w14:paraId="6DDF49C8" w14:textId="77777777" w:rsidR="00C30160" w:rsidRPr="00CE0DE7" w:rsidRDefault="00C30160" w:rsidP="00C24E43">
            <w:pPr>
              <w:rPr>
                <w:rFonts w:eastAsia="Times New Roman"/>
                <w:i/>
                <w:color w:val="000000"/>
                <w:sz w:val="20"/>
                <w:szCs w:val="20"/>
                <w:lang w:val="en-GB" w:eastAsia="zh-CN"/>
              </w:rPr>
            </w:pPr>
            <w:r w:rsidRPr="00CE0DE7">
              <w:rPr>
                <w:rFonts w:eastAsia="Times New Roman"/>
                <w:i/>
                <w:color w:val="000000"/>
                <w:sz w:val="20"/>
                <w:szCs w:val="20"/>
                <w:lang w:val="en-GB" w:eastAsia="zh-CN"/>
              </w:rPr>
              <w:t>Macro</w:t>
            </w:r>
          </w:p>
        </w:tc>
        <w:tc>
          <w:tcPr>
            <w:tcW w:w="699" w:type="pct"/>
            <w:tcBorders>
              <w:top w:val="single" w:sz="4" w:space="0" w:color="auto"/>
              <w:left w:val="nil"/>
              <w:bottom w:val="nil"/>
              <w:right w:val="nil"/>
            </w:tcBorders>
            <w:shd w:val="clear" w:color="auto" w:fill="auto"/>
            <w:noWrap/>
            <w:vAlign w:val="center"/>
            <w:hideMark/>
          </w:tcPr>
          <w:p w14:paraId="2A1E6895" w14:textId="77777777" w:rsidR="00C30160" w:rsidRPr="00CE0DE7" w:rsidRDefault="00C30160" w:rsidP="00690118">
            <w:pPr>
              <w:jc w:val="center"/>
              <w:rPr>
                <w:rFonts w:eastAsia="Times New Roman"/>
                <w:color w:val="000000"/>
                <w:sz w:val="20"/>
                <w:szCs w:val="20"/>
                <w:lang w:val="en-GB" w:eastAsia="zh-CN"/>
              </w:rPr>
            </w:pPr>
          </w:p>
        </w:tc>
        <w:tc>
          <w:tcPr>
            <w:tcW w:w="528" w:type="pct"/>
            <w:tcBorders>
              <w:top w:val="single" w:sz="4" w:space="0" w:color="auto"/>
              <w:left w:val="nil"/>
              <w:bottom w:val="nil"/>
              <w:right w:val="nil"/>
            </w:tcBorders>
            <w:shd w:val="clear" w:color="auto" w:fill="auto"/>
            <w:noWrap/>
            <w:vAlign w:val="center"/>
            <w:hideMark/>
          </w:tcPr>
          <w:p w14:paraId="6B9ED765" w14:textId="77777777" w:rsidR="00C30160" w:rsidRPr="00CE0DE7" w:rsidRDefault="00C30160" w:rsidP="00690118">
            <w:pPr>
              <w:jc w:val="center"/>
              <w:rPr>
                <w:rFonts w:eastAsia="Times New Roman"/>
                <w:sz w:val="20"/>
                <w:szCs w:val="20"/>
                <w:lang w:val="en-GB" w:eastAsia="zh-CN"/>
              </w:rPr>
            </w:pPr>
          </w:p>
        </w:tc>
        <w:tc>
          <w:tcPr>
            <w:tcW w:w="556" w:type="pct"/>
            <w:tcBorders>
              <w:top w:val="single" w:sz="4" w:space="0" w:color="auto"/>
              <w:left w:val="nil"/>
              <w:bottom w:val="nil"/>
              <w:right w:val="nil"/>
            </w:tcBorders>
            <w:shd w:val="clear" w:color="auto" w:fill="auto"/>
            <w:noWrap/>
            <w:vAlign w:val="center"/>
            <w:hideMark/>
          </w:tcPr>
          <w:p w14:paraId="47BA3188"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1.050</w:t>
            </w:r>
          </w:p>
        </w:tc>
        <w:tc>
          <w:tcPr>
            <w:tcW w:w="159" w:type="pct"/>
            <w:tcBorders>
              <w:top w:val="nil"/>
              <w:left w:val="nil"/>
              <w:bottom w:val="nil"/>
              <w:right w:val="nil"/>
            </w:tcBorders>
            <w:shd w:val="clear" w:color="auto" w:fill="auto"/>
            <w:noWrap/>
            <w:vAlign w:val="center"/>
            <w:hideMark/>
          </w:tcPr>
          <w:p w14:paraId="4D0B015A" w14:textId="77777777" w:rsidR="00C30160" w:rsidRPr="00CE0DE7" w:rsidRDefault="00C30160" w:rsidP="00690118">
            <w:pPr>
              <w:jc w:val="center"/>
              <w:rPr>
                <w:rFonts w:eastAsia="Times New Roman"/>
                <w:color w:val="000000"/>
                <w:sz w:val="20"/>
                <w:szCs w:val="20"/>
                <w:lang w:val="en-GB" w:eastAsia="zh-CN"/>
              </w:rPr>
            </w:pPr>
          </w:p>
        </w:tc>
        <w:tc>
          <w:tcPr>
            <w:tcW w:w="759" w:type="pct"/>
            <w:tcBorders>
              <w:top w:val="single" w:sz="4" w:space="0" w:color="auto"/>
              <w:left w:val="nil"/>
              <w:bottom w:val="nil"/>
              <w:right w:val="nil"/>
            </w:tcBorders>
            <w:shd w:val="clear" w:color="auto" w:fill="auto"/>
            <w:noWrap/>
            <w:vAlign w:val="center"/>
            <w:hideMark/>
          </w:tcPr>
          <w:p w14:paraId="3A3FB675" w14:textId="77777777" w:rsidR="00C30160" w:rsidRPr="00CE0DE7" w:rsidRDefault="00C30160" w:rsidP="00690118">
            <w:pPr>
              <w:jc w:val="center"/>
              <w:rPr>
                <w:rFonts w:eastAsia="Times New Roman"/>
                <w:sz w:val="20"/>
                <w:szCs w:val="20"/>
                <w:lang w:val="en-GB" w:eastAsia="zh-CN"/>
              </w:rPr>
            </w:pPr>
          </w:p>
        </w:tc>
        <w:tc>
          <w:tcPr>
            <w:tcW w:w="567" w:type="pct"/>
            <w:tcBorders>
              <w:top w:val="single" w:sz="4" w:space="0" w:color="auto"/>
              <w:left w:val="nil"/>
              <w:bottom w:val="nil"/>
              <w:right w:val="nil"/>
            </w:tcBorders>
            <w:shd w:val="clear" w:color="auto" w:fill="auto"/>
            <w:noWrap/>
            <w:vAlign w:val="center"/>
            <w:hideMark/>
          </w:tcPr>
          <w:p w14:paraId="39477B66" w14:textId="77777777" w:rsidR="00C30160" w:rsidRPr="00CE0DE7" w:rsidRDefault="00C30160" w:rsidP="00690118">
            <w:pPr>
              <w:jc w:val="center"/>
              <w:rPr>
                <w:rFonts w:eastAsia="Times New Roman"/>
                <w:sz w:val="20"/>
                <w:szCs w:val="20"/>
                <w:lang w:val="en-GB" w:eastAsia="zh-CN"/>
              </w:rPr>
            </w:pPr>
          </w:p>
        </w:tc>
        <w:tc>
          <w:tcPr>
            <w:tcW w:w="604" w:type="pct"/>
            <w:tcBorders>
              <w:top w:val="single" w:sz="4" w:space="0" w:color="auto"/>
              <w:left w:val="nil"/>
              <w:bottom w:val="nil"/>
              <w:right w:val="nil"/>
            </w:tcBorders>
            <w:shd w:val="clear" w:color="auto" w:fill="auto"/>
            <w:noWrap/>
            <w:vAlign w:val="center"/>
            <w:hideMark/>
          </w:tcPr>
          <w:p w14:paraId="0655CA2E"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1.331</w:t>
            </w:r>
          </w:p>
        </w:tc>
      </w:tr>
      <w:tr w:rsidR="00C30160" w:rsidRPr="00CE0DE7" w14:paraId="7FFA9188" w14:textId="77777777" w:rsidTr="00C24E43">
        <w:trPr>
          <w:trHeight w:val="273"/>
        </w:trPr>
        <w:tc>
          <w:tcPr>
            <w:tcW w:w="1129" w:type="pct"/>
            <w:tcBorders>
              <w:top w:val="nil"/>
              <w:left w:val="nil"/>
              <w:bottom w:val="nil"/>
              <w:right w:val="nil"/>
            </w:tcBorders>
            <w:shd w:val="clear" w:color="auto" w:fill="auto"/>
            <w:noWrap/>
            <w:vAlign w:val="center"/>
            <w:hideMark/>
          </w:tcPr>
          <w:p w14:paraId="5FB2CFEF" w14:textId="77777777" w:rsidR="00C30160" w:rsidRPr="00CE0DE7" w:rsidRDefault="00C30160" w:rsidP="00C24E43">
            <w:pPr>
              <w:rPr>
                <w:rFonts w:eastAsia="Times New Roman"/>
                <w:i/>
                <w:iCs/>
                <w:color w:val="000000"/>
                <w:sz w:val="20"/>
                <w:szCs w:val="20"/>
                <w:lang w:val="en-GB" w:eastAsia="zh-CN"/>
              </w:rPr>
            </w:pPr>
            <w:proofErr w:type="spellStart"/>
            <w:r w:rsidRPr="00CE0DE7">
              <w:rPr>
                <w:rFonts w:eastAsia="Times New Roman"/>
                <w:i/>
                <w:iCs/>
                <w:color w:val="000000"/>
                <w:sz w:val="20"/>
                <w:szCs w:val="20"/>
                <w:lang w:eastAsia="zh-CN"/>
              </w:rPr>
              <w:t>Macro+VRP</w:t>
            </w:r>
            <w:r w:rsidRPr="00CE0DE7">
              <w:rPr>
                <w:rFonts w:eastAsia="Times New Roman"/>
                <w:i/>
                <w:iCs/>
                <w:color w:val="000000"/>
                <w:sz w:val="20"/>
                <w:szCs w:val="20"/>
                <w:vertAlign w:val="superscript"/>
                <w:lang w:eastAsia="zh-CN"/>
              </w:rPr>
              <w:t>BTZ</w:t>
            </w:r>
            <w:proofErr w:type="spellEnd"/>
          </w:p>
        </w:tc>
        <w:tc>
          <w:tcPr>
            <w:tcW w:w="699" w:type="pct"/>
            <w:tcBorders>
              <w:top w:val="nil"/>
              <w:left w:val="nil"/>
              <w:bottom w:val="nil"/>
              <w:right w:val="nil"/>
            </w:tcBorders>
            <w:shd w:val="clear" w:color="auto" w:fill="auto"/>
            <w:noWrap/>
            <w:vAlign w:val="center"/>
            <w:hideMark/>
          </w:tcPr>
          <w:p w14:paraId="69DFF830"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0.648***</w:t>
            </w:r>
          </w:p>
        </w:tc>
        <w:tc>
          <w:tcPr>
            <w:tcW w:w="528" w:type="pct"/>
            <w:tcBorders>
              <w:top w:val="nil"/>
              <w:left w:val="nil"/>
              <w:bottom w:val="nil"/>
              <w:right w:val="nil"/>
            </w:tcBorders>
            <w:shd w:val="clear" w:color="auto" w:fill="auto"/>
            <w:noWrap/>
            <w:vAlign w:val="center"/>
            <w:hideMark/>
          </w:tcPr>
          <w:p w14:paraId="504126A6"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4.303</w:t>
            </w:r>
          </w:p>
        </w:tc>
        <w:tc>
          <w:tcPr>
            <w:tcW w:w="556" w:type="pct"/>
            <w:tcBorders>
              <w:top w:val="nil"/>
              <w:left w:val="nil"/>
              <w:bottom w:val="nil"/>
              <w:right w:val="nil"/>
            </w:tcBorders>
            <w:shd w:val="clear" w:color="auto" w:fill="auto"/>
            <w:noWrap/>
            <w:vAlign w:val="center"/>
            <w:hideMark/>
          </w:tcPr>
          <w:p w14:paraId="6E7486A5"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7.141</w:t>
            </w:r>
          </w:p>
        </w:tc>
        <w:tc>
          <w:tcPr>
            <w:tcW w:w="159" w:type="pct"/>
            <w:tcBorders>
              <w:top w:val="nil"/>
              <w:left w:val="nil"/>
              <w:bottom w:val="nil"/>
              <w:right w:val="nil"/>
            </w:tcBorders>
            <w:shd w:val="clear" w:color="auto" w:fill="auto"/>
            <w:noWrap/>
            <w:vAlign w:val="center"/>
            <w:hideMark/>
          </w:tcPr>
          <w:p w14:paraId="075E47B4" w14:textId="77777777" w:rsidR="00C30160" w:rsidRPr="00CE0DE7" w:rsidRDefault="00C30160" w:rsidP="00690118">
            <w:pPr>
              <w:jc w:val="center"/>
              <w:rPr>
                <w:rFonts w:eastAsia="Times New Roman"/>
                <w:color w:val="000000"/>
                <w:sz w:val="20"/>
                <w:szCs w:val="20"/>
                <w:lang w:val="en-GB" w:eastAsia="zh-CN"/>
              </w:rPr>
            </w:pPr>
          </w:p>
        </w:tc>
        <w:tc>
          <w:tcPr>
            <w:tcW w:w="759" w:type="pct"/>
            <w:tcBorders>
              <w:top w:val="nil"/>
              <w:left w:val="nil"/>
              <w:bottom w:val="nil"/>
              <w:right w:val="nil"/>
            </w:tcBorders>
            <w:shd w:val="clear" w:color="auto" w:fill="auto"/>
            <w:noWrap/>
            <w:vAlign w:val="center"/>
            <w:hideMark/>
          </w:tcPr>
          <w:p w14:paraId="46F17D43"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0.615***</w:t>
            </w:r>
          </w:p>
        </w:tc>
        <w:tc>
          <w:tcPr>
            <w:tcW w:w="567" w:type="pct"/>
            <w:tcBorders>
              <w:top w:val="nil"/>
              <w:left w:val="nil"/>
              <w:bottom w:val="nil"/>
              <w:right w:val="nil"/>
            </w:tcBorders>
            <w:shd w:val="clear" w:color="auto" w:fill="auto"/>
            <w:noWrap/>
            <w:vAlign w:val="center"/>
            <w:hideMark/>
          </w:tcPr>
          <w:p w14:paraId="395F4802"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3.822</w:t>
            </w:r>
          </w:p>
        </w:tc>
        <w:tc>
          <w:tcPr>
            <w:tcW w:w="604" w:type="pct"/>
            <w:tcBorders>
              <w:top w:val="nil"/>
              <w:left w:val="nil"/>
              <w:bottom w:val="nil"/>
              <w:right w:val="nil"/>
            </w:tcBorders>
            <w:shd w:val="clear" w:color="auto" w:fill="auto"/>
            <w:noWrap/>
            <w:vAlign w:val="center"/>
            <w:hideMark/>
          </w:tcPr>
          <w:p w14:paraId="175A584F"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7.149</w:t>
            </w:r>
          </w:p>
        </w:tc>
      </w:tr>
      <w:tr w:rsidR="00C30160" w:rsidRPr="00CE0DE7" w14:paraId="297C0708" w14:textId="77777777" w:rsidTr="00C24E43">
        <w:trPr>
          <w:trHeight w:val="273"/>
        </w:trPr>
        <w:tc>
          <w:tcPr>
            <w:tcW w:w="1129" w:type="pct"/>
            <w:tcBorders>
              <w:top w:val="nil"/>
              <w:left w:val="nil"/>
              <w:bottom w:val="nil"/>
              <w:right w:val="nil"/>
            </w:tcBorders>
            <w:shd w:val="clear" w:color="auto" w:fill="auto"/>
            <w:noWrap/>
            <w:vAlign w:val="center"/>
            <w:hideMark/>
          </w:tcPr>
          <w:p w14:paraId="4AAE0F82" w14:textId="77777777" w:rsidR="00C30160" w:rsidRPr="00CE0DE7" w:rsidRDefault="00C30160" w:rsidP="00C24E43">
            <w:pPr>
              <w:rPr>
                <w:rFonts w:eastAsia="Times New Roman"/>
                <w:i/>
                <w:iCs/>
                <w:color w:val="000000"/>
                <w:sz w:val="20"/>
                <w:szCs w:val="20"/>
                <w:lang w:val="en-GB" w:eastAsia="zh-CN"/>
              </w:rPr>
            </w:pPr>
            <w:proofErr w:type="spellStart"/>
            <w:r w:rsidRPr="00CE0DE7">
              <w:rPr>
                <w:rFonts w:eastAsia="Times New Roman"/>
                <w:i/>
                <w:iCs/>
                <w:color w:val="000000"/>
                <w:sz w:val="20"/>
                <w:szCs w:val="20"/>
                <w:lang w:val="en-GB" w:eastAsia="zh-CN"/>
              </w:rPr>
              <w:t>Macro+VRP</w:t>
            </w:r>
            <w:r w:rsidRPr="00CE0DE7">
              <w:rPr>
                <w:rFonts w:eastAsia="Times New Roman"/>
                <w:i/>
                <w:iCs/>
                <w:color w:val="000000"/>
                <w:sz w:val="20"/>
                <w:szCs w:val="20"/>
                <w:vertAlign w:val="superscript"/>
                <w:lang w:val="en-GB" w:eastAsia="zh-CN"/>
              </w:rPr>
              <w:t>CW</w:t>
            </w:r>
            <w:proofErr w:type="spellEnd"/>
          </w:p>
        </w:tc>
        <w:tc>
          <w:tcPr>
            <w:tcW w:w="699" w:type="pct"/>
            <w:tcBorders>
              <w:top w:val="nil"/>
              <w:left w:val="nil"/>
              <w:bottom w:val="nil"/>
              <w:right w:val="nil"/>
            </w:tcBorders>
            <w:shd w:val="clear" w:color="auto" w:fill="auto"/>
            <w:noWrap/>
            <w:vAlign w:val="center"/>
            <w:hideMark/>
          </w:tcPr>
          <w:p w14:paraId="1295C6DF"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0.850***</w:t>
            </w:r>
          </w:p>
        </w:tc>
        <w:tc>
          <w:tcPr>
            <w:tcW w:w="528" w:type="pct"/>
            <w:tcBorders>
              <w:top w:val="nil"/>
              <w:left w:val="nil"/>
              <w:bottom w:val="nil"/>
              <w:right w:val="nil"/>
            </w:tcBorders>
            <w:shd w:val="clear" w:color="auto" w:fill="auto"/>
            <w:noWrap/>
            <w:vAlign w:val="center"/>
            <w:hideMark/>
          </w:tcPr>
          <w:p w14:paraId="16FB07EB"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5.153</w:t>
            </w:r>
          </w:p>
        </w:tc>
        <w:tc>
          <w:tcPr>
            <w:tcW w:w="556" w:type="pct"/>
            <w:tcBorders>
              <w:top w:val="nil"/>
              <w:left w:val="nil"/>
              <w:bottom w:val="nil"/>
              <w:right w:val="nil"/>
            </w:tcBorders>
            <w:shd w:val="clear" w:color="auto" w:fill="auto"/>
            <w:noWrap/>
            <w:vAlign w:val="center"/>
            <w:hideMark/>
          </w:tcPr>
          <w:p w14:paraId="376B90F9"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25.130</w:t>
            </w:r>
          </w:p>
        </w:tc>
        <w:tc>
          <w:tcPr>
            <w:tcW w:w="159" w:type="pct"/>
            <w:tcBorders>
              <w:top w:val="nil"/>
              <w:left w:val="nil"/>
              <w:bottom w:val="nil"/>
              <w:right w:val="nil"/>
            </w:tcBorders>
            <w:shd w:val="clear" w:color="auto" w:fill="auto"/>
            <w:noWrap/>
            <w:vAlign w:val="center"/>
            <w:hideMark/>
          </w:tcPr>
          <w:p w14:paraId="34A568B0" w14:textId="77777777" w:rsidR="00C30160" w:rsidRPr="00CE0DE7" w:rsidRDefault="00C30160" w:rsidP="00690118">
            <w:pPr>
              <w:jc w:val="center"/>
              <w:rPr>
                <w:rFonts w:eastAsia="Times New Roman"/>
                <w:color w:val="000000"/>
                <w:sz w:val="20"/>
                <w:szCs w:val="20"/>
                <w:lang w:val="en-GB" w:eastAsia="zh-CN"/>
              </w:rPr>
            </w:pPr>
          </w:p>
        </w:tc>
        <w:tc>
          <w:tcPr>
            <w:tcW w:w="759" w:type="pct"/>
            <w:tcBorders>
              <w:top w:val="nil"/>
              <w:left w:val="nil"/>
              <w:bottom w:val="nil"/>
              <w:right w:val="nil"/>
            </w:tcBorders>
            <w:shd w:val="clear" w:color="auto" w:fill="auto"/>
            <w:noWrap/>
            <w:vAlign w:val="center"/>
            <w:hideMark/>
          </w:tcPr>
          <w:p w14:paraId="48AE05AC"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0.794***</w:t>
            </w:r>
          </w:p>
        </w:tc>
        <w:tc>
          <w:tcPr>
            <w:tcW w:w="567" w:type="pct"/>
            <w:tcBorders>
              <w:top w:val="nil"/>
              <w:left w:val="nil"/>
              <w:bottom w:val="nil"/>
              <w:right w:val="nil"/>
            </w:tcBorders>
            <w:shd w:val="clear" w:color="auto" w:fill="auto"/>
            <w:noWrap/>
            <w:vAlign w:val="center"/>
            <w:hideMark/>
          </w:tcPr>
          <w:p w14:paraId="571C7A3D"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4.893</w:t>
            </w:r>
          </w:p>
        </w:tc>
        <w:tc>
          <w:tcPr>
            <w:tcW w:w="604" w:type="pct"/>
            <w:tcBorders>
              <w:top w:val="nil"/>
              <w:left w:val="nil"/>
              <w:bottom w:val="nil"/>
              <w:right w:val="nil"/>
            </w:tcBorders>
            <w:shd w:val="clear" w:color="auto" w:fill="auto"/>
            <w:noWrap/>
            <w:vAlign w:val="center"/>
            <w:hideMark/>
          </w:tcPr>
          <w:p w14:paraId="7A8A5F6E"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23.631</w:t>
            </w:r>
          </w:p>
        </w:tc>
      </w:tr>
      <w:tr w:rsidR="00C30160" w:rsidRPr="00CE0DE7" w14:paraId="74A299F8" w14:textId="77777777" w:rsidTr="00C24E43">
        <w:trPr>
          <w:trHeight w:val="273"/>
        </w:trPr>
        <w:tc>
          <w:tcPr>
            <w:tcW w:w="1129" w:type="pct"/>
            <w:tcBorders>
              <w:top w:val="nil"/>
              <w:left w:val="nil"/>
              <w:bottom w:val="nil"/>
              <w:right w:val="nil"/>
            </w:tcBorders>
            <w:shd w:val="clear" w:color="auto" w:fill="auto"/>
            <w:noWrap/>
            <w:vAlign w:val="center"/>
            <w:hideMark/>
          </w:tcPr>
          <w:p w14:paraId="1626925A" w14:textId="77777777" w:rsidR="00C30160" w:rsidRPr="00CE0DE7" w:rsidRDefault="00C30160" w:rsidP="00C24E43">
            <w:pPr>
              <w:rPr>
                <w:rFonts w:eastAsia="Times New Roman"/>
                <w:i/>
                <w:iCs/>
                <w:color w:val="000000"/>
                <w:sz w:val="20"/>
                <w:szCs w:val="20"/>
                <w:lang w:val="en-GB" w:eastAsia="zh-CN"/>
              </w:rPr>
            </w:pPr>
            <w:proofErr w:type="spellStart"/>
            <w:r w:rsidRPr="00CE0DE7">
              <w:rPr>
                <w:rFonts w:eastAsia="Times New Roman"/>
                <w:i/>
                <w:iCs/>
                <w:color w:val="000000"/>
                <w:sz w:val="20"/>
                <w:szCs w:val="20"/>
                <w:lang w:val="en-GB" w:eastAsia="zh-CN"/>
              </w:rPr>
              <w:t>Macro+VRP</w:t>
            </w:r>
            <w:r w:rsidRPr="00CE0DE7">
              <w:rPr>
                <w:rFonts w:eastAsia="Times New Roman"/>
                <w:i/>
                <w:iCs/>
                <w:color w:val="000000"/>
                <w:sz w:val="20"/>
                <w:szCs w:val="20"/>
                <w:vertAlign w:val="superscript"/>
                <w:lang w:val="en-GB" w:eastAsia="zh-CN"/>
              </w:rPr>
              <w:t>DY</w:t>
            </w:r>
            <w:proofErr w:type="spellEnd"/>
          </w:p>
        </w:tc>
        <w:tc>
          <w:tcPr>
            <w:tcW w:w="699" w:type="pct"/>
            <w:tcBorders>
              <w:top w:val="nil"/>
              <w:left w:val="nil"/>
              <w:bottom w:val="nil"/>
              <w:right w:val="nil"/>
            </w:tcBorders>
            <w:shd w:val="clear" w:color="auto" w:fill="auto"/>
            <w:noWrap/>
            <w:vAlign w:val="center"/>
            <w:hideMark/>
          </w:tcPr>
          <w:p w14:paraId="60C9555E"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-0.050</w:t>
            </w:r>
          </w:p>
        </w:tc>
        <w:tc>
          <w:tcPr>
            <w:tcW w:w="528" w:type="pct"/>
            <w:tcBorders>
              <w:top w:val="nil"/>
              <w:left w:val="nil"/>
              <w:bottom w:val="nil"/>
              <w:right w:val="nil"/>
            </w:tcBorders>
            <w:shd w:val="clear" w:color="auto" w:fill="auto"/>
            <w:noWrap/>
            <w:vAlign w:val="center"/>
            <w:hideMark/>
          </w:tcPr>
          <w:p w14:paraId="26DCECB6"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-0.199</w:t>
            </w:r>
          </w:p>
        </w:tc>
        <w:tc>
          <w:tcPr>
            <w:tcW w:w="556" w:type="pct"/>
            <w:tcBorders>
              <w:top w:val="nil"/>
              <w:left w:val="nil"/>
              <w:bottom w:val="nil"/>
              <w:right w:val="nil"/>
            </w:tcBorders>
            <w:shd w:val="clear" w:color="auto" w:fill="auto"/>
            <w:noWrap/>
            <w:vAlign w:val="center"/>
            <w:hideMark/>
          </w:tcPr>
          <w:p w14:paraId="0471DBBC"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1.086</w:t>
            </w:r>
          </w:p>
        </w:tc>
        <w:tc>
          <w:tcPr>
            <w:tcW w:w="159" w:type="pct"/>
            <w:tcBorders>
              <w:top w:val="nil"/>
              <w:left w:val="nil"/>
              <w:bottom w:val="nil"/>
              <w:right w:val="nil"/>
            </w:tcBorders>
            <w:shd w:val="clear" w:color="auto" w:fill="auto"/>
            <w:noWrap/>
            <w:vAlign w:val="center"/>
            <w:hideMark/>
          </w:tcPr>
          <w:p w14:paraId="1F077811" w14:textId="77777777" w:rsidR="00C30160" w:rsidRPr="00CE0DE7" w:rsidRDefault="00C30160" w:rsidP="00690118">
            <w:pPr>
              <w:jc w:val="center"/>
              <w:rPr>
                <w:rFonts w:eastAsia="Times New Roman"/>
                <w:color w:val="000000"/>
                <w:sz w:val="20"/>
                <w:szCs w:val="20"/>
                <w:lang w:val="en-GB" w:eastAsia="zh-CN"/>
              </w:rPr>
            </w:pPr>
          </w:p>
        </w:tc>
        <w:tc>
          <w:tcPr>
            <w:tcW w:w="759" w:type="pct"/>
            <w:tcBorders>
              <w:top w:val="nil"/>
              <w:left w:val="nil"/>
              <w:bottom w:val="nil"/>
              <w:right w:val="nil"/>
            </w:tcBorders>
            <w:shd w:val="clear" w:color="auto" w:fill="auto"/>
            <w:noWrap/>
            <w:vAlign w:val="center"/>
            <w:hideMark/>
          </w:tcPr>
          <w:p w14:paraId="7C95E390"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0.029</w:t>
            </w:r>
          </w:p>
        </w:tc>
        <w:tc>
          <w:tcPr>
            <w:tcW w:w="567" w:type="pct"/>
            <w:tcBorders>
              <w:top w:val="nil"/>
              <w:left w:val="nil"/>
              <w:bottom w:val="nil"/>
              <w:right w:val="nil"/>
            </w:tcBorders>
            <w:shd w:val="clear" w:color="auto" w:fill="auto"/>
            <w:noWrap/>
            <w:vAlign w:val="center"/>
            <w:hideMark/>
          </w:tcPr>
          <w:p w14:paraId="1D47FEC8"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0.121</w:t>
            </w:r>
          </w:p>
        </w:tc>
        <w:tc>
          <w:tcPr>
            <w:tcW w:w="604" w:type="pct"/>
            <w:tcBorders>
              <w:top w:val="nil"/>
              <w:left w:val="nil"/>
              <w:bottom w:val="nil"/>
              <w:right w:val="nil"/>
            </w:tcBorders>
            <w:shd w:val="clear" w:color="auto" w:fill="auto"/>
            <w:noWrap/>
            <w:vAlign w:val="center"/>
            <w:hideMark/>
          </w:tcPr>
          <w:p w14:paraId="6E05EEAF"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1.335</w:t>
            </w:r>
          </w:p>
        </w:tc>
      </w:tr>
      <w:tr w:rsidR="00C30160" w:rsidRPr="00CE0DE7" w14:paraId="73EF8F6B" w14:textId="77777777" w:rsidTr="00C24E43">
        <w:trPr>
          <w:trHeight w:val="273"/>
        </w:trPr>
        <w:tc>
          <w:tcPr>
            <w:tcW w:w="1129" w:type="pct"/>
            <w:tcBorders>
              <w:top w:val="nil"/>
              <w:left w:val="nil"/>
              <w:bottom w:val="nil"/>
              <w:right w:val="nil"/>
            </w:tcBorders>
            <w:shd w:val="clear" w:color="auto" w:fill="auto"/>
            <w:noWrap/>
            <w:vAlign w:val="center"/>
            <w:hideMark/>
          </w:tcPr>
          <w:p w14:paraId="1CF9BC9A" w14:textId="77777777" w:rsidR="00C30160" w:rsidRPr="00CE0DE7" w:rsidRDefault="00C30160" w:rsidP="00C24E43">
            <w:pPr>
              <w:rPr>
                <w:rFonts w:eastAsia="Times New Roman"/>
                <w:i/>
                <w:iCs/>
                <w:color w:val="000000"/>
                <w:sz w:val="20"/>
                <w:szCs w:val="20"/>
                <w:lang w:val="en-GB" w:eastAsia="zh-CN"/>
              </w:rPr>
            </w:pPr>
            <w:proofErr w:type="spellStart"/>
            <w:r w:rsidRPr="00CE0DE7">
              <w:rPr>
                <w:rFonts w:eastAsia="Times New Roman"/>
                <w:i/>
                <w:iCs/>
                <w:color w:val="000000"/>
                <w:sz w:val="20"/>
                <w:szCs w:val="20"/>
                <w:lang w:eastAsia="zh-CN"/>
              </w:rPr>
              <w:t>Macro+ILLIQ</w:t>
            </w:r>
            <w:r w:rsidRPr="00CE0DE7">
              <w:rPr>
                <w:rFonts w:eastAsia="Times New Roman"/>
                <w:i/>
                <w:iCs/>
                <w:color w:val="000000"/>
                <w:sz w:val="20"/>
                <w:szCs w:val="20"/>
                <w:vertAlign w:val="superscript"/>
                <w:lang w:eastAsia="zh-CN"/>
              </w:rPr>
              <w:t>NYSE</w:t>
            </w:r>
            <w:proofErr w:type="spellEnd"/>
          </w:p>
        </w:tc>
        <w:tc>
          <w:tcPr>
            <w:tcW w:w="699" w:type="pct"/>
            <w:tcBorders>
              <w:top w:val="nil"/>
              <w:left w:val="nil"/>
              <w:bottom w:val="nil"/>
              <w:right w:val="nil"/>
            </w:tcBorders>
            <w:shd w:val="clear" w:color="auto" w:fill="auto"/>
            <w:noWrap/>
            <w:vAlign w:val="center"/>
            <w:hideMark/>
          </w:tcPr>
          <w:p w14:paraId="33C51D03"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-1.518</w:t>
            </w:r>
          </w:p>
        </w:tc>
        <w:tc>
          <w:tcPr>
            <w:tcW w:w="528" w:type="pct"/>
            <w:tcBorders>
              <w:top w:val="nil"/>
              <w:left w:val="nil"/>
              <w:bottom w:val="nil"/>
              <w:right w:val="nil"/>
            </w:tcBorders>
            <w:shd w:val="clear" w:color="auto" w:fill="auto"/>
            <w:noWrap/>
            <w:vAlign w:val="center"/>
            <w:hideMark/>
          </w:tcPr>
          <w:p w14:paraId="2BF6D75B"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-0.379</w:t>
            </w:r>
          </w:p>
        </w:tc>
        <w:tc>
          <w:tcPr>
            <w:tcW w:w="556" w:type="pct"/>
            <w:tcBorders>
              <w:top w:val="nil"/>
              <w:left w:val="nil"/>
              <w:bottom w:val="nil"/>
              <w:right w:val="nil"/>
            </w:tcBorders>
            <w:shd w:val="clear" w:color="auto" w:fill="auto"/>
            <w:noWrap/>
            <w:vAlign w:val="center"/>
            <w:hideMark/>
          </w:tcPr>
          <w:p w14:paraId="37B07AAD"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1.110</w:t>
            </w:r>
          </w:p>
        </w:tc>
        <w:tc>
          <w:tcPr>
            <w:tcW w:w="159" w:type="pct"/>
            <w:tcBorders>
              <w:top w:val="nil"/>
              <w:left w:val="nil"/>
              <w:bottom w:val="nil"/>
              <w:right w:val="nil"/>
            </w:tcBorders>
            <w:shd w:val="clear" w:color="auto" w:fill="auto"/>
            <w:noWrap/>
            <w:vAlign w:val="center"/>
            <w:hideMark/>
          </w:tcPr>
          <w:p w14:paraId="085F16AB" w14:textId="77777777" w:rsidR="00C30160" w:rsidRPr="00CE0DE7" w:rsidRDefault="00C30160" w:rsidP="00690118">
            <w:pPr>
              <w:jc w:val="center"/>
              <w:rPr>
                <w:rFonts w:eastAsia="Times New Roman"/>
                <w:color w:val="000000"/>
                <w:sz w:val="20"/>
                <w:szCs w:val="20"/>
                <w:lang w:val="en-GB" w:eastAsia="zh-CN"/>
              </w:rPr>
            </w:pPr>
          </w:p>
        </w:tc>
        <w:tc>
          <w:tcPr>
            <w:tcW w:w="759" w:type="pct"/>
            <w:tcBorders>
              <w:top w:val="nil"/>
              <w:left w:val="nil"/>
              <w:bottom w:val="nil"/>
              <w:right w:val="nil"/>
            </w:tcBorders>
            <w:shd w:val="clear" w:color="auto" w:fill="auto"/>
            <w:noWrap/>
            <w:vAlign w:val="center"/>
            <w:hideMark/>
          </w:tcPr>
          <w:p w14:paraId="42F54D1A"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-2.044</w:t>
            </w:r>
          </w:p>
        </w:tc>
        <w:tc>
          <w:tcPr>
            <w:tcW w:w="567" w:type="pct"/>
            <w:tcBorders>
              <w:top w:val="nil"/>
              <w:left w:val="nil"/>
              <w:bottom w:val="nil"/>
              <w:right w:val="nil"/>
            </w:tcBorders>
            <w:shd w:val="clear" w:color="auto" w:fill="auto"/>
            <w:noWrap/>
            <w:vAlign w:val="center"/>
            <w:hideMark/>
          </w:tcPr>
          <w:p w14:paraId="579BB403"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-0.541</w:t>
            </w:r>
          </w:p>
        </w:tc>
        <w:tc>
          <w:tcPr>
            <w:tcW w:w="604" w:type="pct"/>
            <w:tcBorders>
              <w:top w:val="nil"/>
              <w:left w:val="nil"/>
              <w:bottom w:val="nil"/>
              <w:right w:val="nil"/>
            </w:tcBorders>
            <w:shd w:val="clear" w:color="auto" w:fill="auto"/>
            <w:noWrap/>
            <w:vAlign w:val="center"/>
            <w:hideMark/>
          </w:tcPr>
          <w:p w14:paraId="0B55C191"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1.435</w:t>
            </w:r>
          </w:p>
        </w:tc>
      </w:tr>
      <w:tr w:rsidR="00C30160" w:rsidRPr="00CE0DE7" w14:paraId="594559FB" w14:textId="77777777" w:rsidTr="00C24E43">
        <w:trPr>
          <w:trHeight w:val="273"/>
        </w:trPr>
        <w:tc>
          <w:tcPr>
            <w:tcW w:w="1129" w:type="pct"/>
            <w:tcBorders>
              <w:top w:val="nil"/>
              <w:left w:val="nil"/>
              <w:bottom w:val="double" w:sz="4" w:space="0" w:color="auto"/>
              <w:right w:val="nil"/>
            </w:tcBorders>
            <w:shd w:val="clear" w:color="auto" w:fill="auto"/>
            <w:noWrap/>
            <w:vAlign w:val="center"/>
            <w:hideMark/>
          </w:tcPr>
          <w:p w14:paraId="485E0178" w14:textId="77777777" w:rsidR="00C30160" w:rsidRPr="00CE0DE7" w:rsidRDefault="00C30160" w:rsidP="00C24E43">
            <w:pPr>
              <w:rPr>
                <w:rFonts w:eastAsia="Times New Roman"/>
                <w:i/>
                <w:iCs/>
                <w:color w:val="000000"/>
                <w:sz w:val="20"/>
                <w:szCs w:val="20"/>
                <w:lang w:val="en-GB" w:eastAsia="zh-CN"/>
              </w:rPr>
            </w:pPr>
            <w:r w:rsidRPr="00CE0DE7">
              <w:rPr>
                <w:rFonts w:eastAsia="Times New Roman"/>
                <w:i/>
                <w:iCs/>
                <w:color w:val="000000"/>
                <w:sz w:val="20"/>
                <w:szCs w:val="20"/>
                <w:lang w:eastAsia="zh-CN"/>
              </w:rPr>
              <w:t>Macro+ILLIQ</w:t>
            </w:r>
            <w:r w:rsidRPr="00CE0DE7">
              <w:rPr>
                <w:rFonts w:eastAsia="Times New Roman"/>
                <w:i/>
                <w:iCs/>
                <w:color w:val="000000"/>
                <w:sz w:val="20"/>
                <w:szCs w:val="20"/>
                <w:vertAlign w:val="superscript"/>
                <w:lang w:eastAsia="zh-CN"/>
              </w:rPr>
              <w:t>SP500</w:t>
            </w:r>
          </w:p>
        </w:tc>
        <w:tc>
          <w:tcPr>
            <w:tcW w:w="699" w:type="pct"/>
            <w:tcBorders>
              <w:top w:val="nil"/>
              <w:left w:val="nil"/>
              <w:bottom w:val="double" w:sz="4" w:space="0" w:color="auto"/>
              <w:right w:val="nil"/>
            </w:tcBorders>
            <w:shd w:val="clear" w:color="auto" w:fill="auto"/>
            <w:noWrap/>
            <w:vAlign w:val="center"/>
            <w:hideMark/>
          </w:tcPr>
          <w:p w14:paraId="596B2D56"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-2.346</w:t>
            </w:r>
          </w:p>
        </w:tc>
        <w:tc>
          <w:tcPr>
            <w:tcW w:w="528" w:type="pct"/>
            <w:tcBorders>
              <w:top w:val="nil"/>
              <w:left w:val="nil"/>
              <w:bottom w:val="double" w:sz="4" w:space="0" w:color="auto"/>
              <w:right w:val="nil"/>
            </w:tcBorders>
            <w:shd w:val="clear" w:color="auto" w:fill="auto"/>
            <w:noWrap/>
            <w:vAlign w:val="center"/>
            <w:hideMark/>
          </w:tcPr>
          <w:p w14:paraId="7FB726C9"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-0.491</w:t>
            </w:r>
          </w:p>
        </w:tc>
        <w:tc>
          <w:tcPr>
            <w:tcW w:w="556" w:type="pct"/>
            <w:tcBorders>
              <w:top w:val="nil"/>
              <w:left w:val="nil"/>
              <w:bottom w:val="double" w:sz="4" w:space="0" w:color="auto"/>
              <w:right w:val="nil"/>
            </w:tcBorders>
            <w:shd w:val="clear" w:color="auto" w:fill="auto"/>
            <w:noWrap/>
            <w:vAlign w:val="center"/>
            <w:hideMark/>
          </w:tcPr>
          <w:p w14:paraId="3057F876"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1.158</w:t>
            </w:r>
          </w:p>
        </w:tc>
        <w:tc>
          <w:tcPr>
            <w:tcW w:w="159" w:type="pct"/>
            <w:tcBorders>
              <w:top w:val="nil"/>
              <w:left w:val="nil"/>
              <w:bottom w:val="double" w:sz="4" w:space="0" w:color="auto"/>
              <w:right w:val="nil"/>
            </w:tcBorders>
            <w:shd w:val="clear" w:color="auto" w:fill="auto"/>
            <w:noWrap/>
            <w:vAlign w:val="center"/>
            <w:hideMark/>
          </w:tcPr>
          <w:p w14:paraId="39E3A20E" w14:textId="77777777" w:rsidR="00C30160" w:rsidRPr="00CE0DE7" w:rsidRDefault="00C30160" w:rsidP="00690118">
            <w:pPr>
              <w:jc w:val="center"/>
              <w:rPr>
                <w:rFonts w:eastAsia="Times New Roman"/>
                <w:color w:val="000000"/>
                <w:sz w:val="20"/>
                <w:szCs w:val="20"/>
                <w:lang w:val="en-GB" w:eastAsia="zh-CN"/>
              </w:rPr>
            </w:pPr>
          </w:p>
        </w:tc>
        <w:tc>
          <w:tcPr>
            <w:tcW w:w="759" w:type="pct"/>
            <w:tcBorders>
              <w:top w:val="nil"/>
              <w:left w:val="nil"/>
              <w:bottom w:val="double" w:sz="4" w:space="0" w:color="auto"/>
              <w:right w:val="nil"/>
            </w:tcBorders>
            <w:shd w:val="clear" w:color="auto" w:fill="auto"/>
            <w:noWrap/>
            <w:vAlign w:val="center"/>
            <w:hideMark/>
          </w:tcPr>
          <w:p w14:paraId="6CCCCF18"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-2.883</w:t>
            </w:r>
          </w:p>
        </w:tc>
        <w:tc>
          <w:tcPr>
            <w:tcW w:w="567" w:type="pct"/>
            <w:tcBorders>
              <w:top w:val="nil"/>
              <w:left w:val="nil"/>
              <w:bottom w:val="double" w:sz="4" w:space="0" w:color="auto"/>
              <w:right w:val="nil"/>
            </w:tcBorders>
            <w:shd w:val="clear" w:color="auto" w:fill="auto"/>
            <w:noWrap/>
            <w:vAlign w:val="center"/>
            <w:hideMark/>
          </w:tcPr>
          <w:p w14:paraId="0831CE06"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-0.661</w:t>
            </w:r>
          </w:p>
        </w:tc>
        <w:tc>
          <w:tcPr>
            <w:tcW w:w="604" w:type="pct"/>
            <w:tcBorders>
              <w:top w:val="nil"/>
              <w:left w:val="nil"/>
              <w:bottom w:val="double" w:sz="4" w:space="0" w:color="auto"/>
              <w:right w:val="nil"/>
            </w:tcBorders>
            <w:shd w:val="clear" w:color="auto" w:fill="auto"/>
            <w:noWrap/>
            <w:vAlign w:val="center"/>
            <w:hideMark/>
          </w:tcPr>
          <w:p w14:paraId="79B96ADB" w14:textId="77777777" w:rsidR="00C30160" w:rsidRPr="00CE0DE7" w:rsidRDefault="00C30160" w:rsidP="00690118">
            <w:pPr>
              <w:jc w:val="center"/>
              <w:rPr>
                <w:rFonts w:eastAsia="Times New Roman"/>
                <w:color w:val="000000"/>
                <w:sz w:val="20"/>
                <w:szCs w:val="20"/>
                <w:lang w:val="en-GB" w:eastAsia="zh-CN"/>
              </w:rPr>
            </w:pPr>
            <w:r w:rsidRPr="00CE0DE7">
              <w:rPr>
                <w:rFonts w:eastAsia="Times New Roman"/>
                <w:color w:val="000000"/>
                <w:sz w:val="20"/>
                <w:szCs w:val="20"/>
                <w:lang w:val="en-GB" w:eastAsia="zh-CN"/>
              </w:rPr>
              <w:t>1.497</w:t>
            </w:r>
          </w:p>
        </w:tc>
      </w:tr>
    </w:tbl>
    <w:p w14:paraId="2A715CA6" w14:textId="012F6191" w:rsidR="00C30160" w:rsidRPr="00CE0DE7" w:rsidRDefault="00C30160" w:rsidP="00C30160">
      <w:pPr>
        <w:adjustRightInd w:val="0"/>
        <w:snapToGrid w:val="0"/>
        <w:jc w:val="both"/>
        <w:rPr>
          <w:sz w:val="20"/>
          <w:szCs w:val="20"/>
          <w:lang w:eastAsia="zh-CN"/>
        </w:rPr>
      </w:pPr>
      <w:r w:rsidRPr="00CE0DE7">
        <w:rPr>
          <w:sz w:val="20"/>
          <w:szCs w:val="20"/>
        </w:rPr>
        <w:t xml:space="preserve">Panel A reports the in-sample and out-of-sample predictive regression </w:t>
      </w:r>
      <w:r w:rsidRPr="00CE0DE7">
        <w:rPr>
          <w:rFonts w:hint="eastAsia"/>
          <w:sz w:val="20"/>
          <w:szCs w:val="20"/>
          <w:lang w:eastAsia="zh-CN"/>
        </w:rPr>
        <w:t>results</w:t>
      </w:r>
      <w:r w:rsidRPr="00CE0DE7">
        <w:rPr>
          <w:sz w:val="20"/>
          <w:szCs w:val="20"/>
        </w:rPr>
        <w:t>. For the in-sample</w:t>
      </w:r>
      <w:r w:rsidRPr="00CE0DE7">
        <w:rPr>
          <w:rFonts w:hint="eastAsia"/>
          <w:sz w:val="20"/>
          <w:szCs w:val="20"/>
          <w:lang w:eastAsia="zh-CN"/>
        </w:rPr>
        <w:t xml:space="preserve"> test,</w:t>
      </w:r>
      <w:r w:rsidRPr="00CE0DE7">
        <w:rPr>
          <w:sz w:val="20"/>
          <w:szCs w:val="20"/>
        </w:rPr>
        <w:t xml:space="preserve"> we present the estimated coefficients, </w:t>
      </w:r>
      <w:r w:rsidRPr="00CE0DE7">
        <w:rPr>
          <w:rFonts w:hint="eastAsia"/>
          <w:sz w:val="20"/>
          <w:szCs w:val="20"/>
          <w:lang w:eastAsia="zh-CN"/>
        </w:rPr>
        <w:t xml:space="preserve">the </w:t>
      </w:r>
      <w:r w:rsidRPr="00CE0DE7">
        <w:rPr>
          <w:sz w:val="20"/>
          <w:szCs w:val="20"/>
        </w:rPr>
        <w:t xml:space="preserve">heteroscedasticity-robust </w:t>
      </w:r>
      <w:r w:rsidRPr="00CE0DE7">
        <w:rPr>
          <w:i/>
          <w:sz w:val="20"/>
          <w:szCs w:val="20"/>
        </w:rPr>
        <w:t>t</w:t>
      </w:r>
      <w:r w:rsidRPr="00CE0DE7">
        <w:rPr>
          <w:sz w:val="20"/>
          <w:szCs w:val="20"/>
        </w:rPr>
        <w:t>-statistics, and</w:t>
      </w:r>
      <w:r w:rsidRPr="00CE0DE7">
        <w:rPr>
          <w:rFonts w:hint="eastAsia"/>
          <w:sz w:val="20"/>
          <w:szCs w:val="20"/>
          <w:lang w:eastAsia="zh-CN"/>
        </w:rPr>
        <w:t xml:space="preserve"> the</w:t>
      </w:r>
      <w:r w:rsidRPr="00CE0DE7">
        <w:rPr>
          <w:sz w:val="20"/>
          <w:szCs w:val="20"/>
        </w:rPr>
        <w:t xml:space="preserve"> </w:t>
      </w:r>
      <w:r w:rsidRPr="00CE0DE7">
        <w:rPr>
          <w:rFonts w:eastAsia="Times New Roman"/>
          <w:bCs/>
          <w:i/>
          <w:iCs/>
          <w:color w:val="000000"/>
          <w:sz w:val="22"/>
          <w:szCs w:val="22"/>
          <w:lang w:val="en-GB" w:eastAsia="zh-CN"/>
        </w:rPr>
        <w:t>R</w:t>
      </w:r>
      <w:r w:rsidRPr="00CE0DE7">
        <w:rPr>
          <w:rFonts w:eastAsia="Times New Roman"/>
          <w:bCs/>
          <w:color w:val="000000"/>
          <w:sz w:val="22"/>
          <w:szCs w:val="22"/>
          <w:vertAlign w:val="superscript"/>
          <w:lang w:val="en-GB" w:eastAsia="zh-CN"/>
        </w:rPr>
        <w:t>2</w:t>
      </w:r>
      <w:r w:rsidRPr="00CE0DE7">
        <w:rPr>
          <w:rFonts w:eastAsia="Times New Roman"/>
          <w:bCs/>
          <w:color w:val="000000"/>
          <w:sz w:val="22"/>
          <w:szCs w:val="22"/>
          <w:lang w:val="en-GB" w:eastAsia="zh-CN"/>
        </w:rPr>
        <w:t xml:space="preserve"> </w:t>
      </w:r>
      <w:r w:rsidRPr="00CE0DE7">
        <w:rPr>
          <w:sz w:val="20"/>
          <w:szCs w:val="20"/>
        </w:rPr>
        <w:t xml:space="preserve">statistics. For the out-of-sample </w:t>
      </w:r>
      <w:r w:rsidRPr="00CE0DE7">
        <w:rPr>
          <w:rFonts w:hint="eastAsia"/>
          <w:sz w:val="20"/>
          <w:szCs w:val="20"/>
          <w:lang w:eastAsia="zh-CN"/>
        </w:rPr>
        <w:t>tes</w:t>
      </w:r>
      <w:r w:rsidRPr="00CE0DE7">
        <w:rPr>
          <w:sz w:val="20"/>
          <w:szCs w:val="20"/>
          <w:lang w:eastAsia="zh-CN"/>
        </w:rPr>
        <w:t>t</w:t>
      </w:r>
      <w:r w:rsidRPr="00CE0DE7">
        <w:rPr>
          <w:sz w:val="20"/>
          <w:szCs w:val="20"/>
        </w:rPr>
        <w:t xml:space="preserve">, we report </w:t>
      </w:r>
      <w:r w:rsidRPr="00CE0DE7">
        <w:rPr>
          <w:rFonts w:hint="eastAsia"/>
          <w:sz w:val="20"/>
          <w:szCs w:val="20"/>
          <w:lang w:eastAsia="zh-CN"/>
        </w:rPr>
        <w:t xml:space="preserve">the </w:t>
      </w:r>
      <w:r w:rsidRPr="00CE0DE7">
        <w:rPr>
          <w:sz w:val="20"/>
          <w:szCs w:val="20"/>
        </w:rPr>
        <w:t xml:space="preserve">out-of-sample </w:t>
      </w:r>
      <w:r w:rsidRPr="00CE0DE7">
        <w:rPr>
          <w:rFonts w:eastAsia="Times New Roman"/>
          <w:bCs/>
          <w:i/>
          <w:iCs/>
          <w:color w:val="000000"/>
          <w:sz w:val="22"/>
          <w:szCs w:val="22"/>
          <w:lang w:val="en-GB" w:eastAsia="zh-CN"/>
        </w:rPr>
        <w:t>R</w:t>
      </w:r>
      <w:r w:rsidRPr="00CE0DE7">
        <w:rPr>
          <w:rFonts w:eastAsia="Times New Roman"/>
          <w:bCs/>
          <w:color w:val="000000"/>
          <w:sz w:val="22"/>
          <w:szCs w:val="22"/>
          <w:vertAlign w:val="superscript"/>
          <w:lang w:val="en-GB" w:eastAsia="zh-CN"/>
        </w:rPr>
        <w:t xml:space="preserve">2 </w:t>
      </w:r>
      <w:r w:rsidRPr="00CE0DE7">
        <w:rPr>
          <w:sz w:val="20"/>
          <w:szCs w:val="20"/>
        </w:rPr>
        <w:t>(</w:t>
      </w:r>
      <w:r w:rsidRPr="00CE0DE7">
        <w:rPr>
          <w:rFonts w:eastAsia="Times New Roman"/>
          <w:bCs/>
          <w:i/>
          <w:iCs/>
          <w:color w:val="000000"/>
          <w:sz w:val="22"/>
          <w:szCs w:val="22"/>
          <w:lang w:val="en-GB" w:eastAsia="zh-CN"/>
        </w:rPr>
        <w:t>R</w:t>
      </w:r>
      <w:r w:rsidRPr="00CE0DE7">
        <w:rPr>
          <w:rFonts w:eastAsia="Times New Roman"/>
          <w:bCs/>
          <w:color w:val="000000"/>
          <w:sz w:val="22"/>
          <w:szCs w:val="22"/>
          <w:vertAlign w:val="superscript"/>
          <w:lang w:val="en-GB" w:eastAsia="zh-CN"/>
        </w:rPr>
        <w:t>2</w:t>
      </w:r>
      <w:r w:rsidRPr="00CE0DE7">
        <w:rPr>
          <w:rFonts w:eastAsia="Times New Roman"/>
          <w:bCs/>
          <w:color w:val="000000"/>
          <w:sz w:val="22"/>
          <w:szCs w:val="22"/>
          <w:vertAlign w:val="subscript"/>
          <w:lang w:val="en-GB" w:eastAsia="zh-CN"/>
        </w:rPr>
        <w:t>OS</w:t>
      </w:r>
      <w:r w:rsidRPr="00CE0DE7">
        <w:rPr>
          <w:sz w:val="20"/>
          <w:szCs w:val="20"/>
        </w:rPr>
        <w:t xml:space="preserve">) </w:t>
      </w:r>
      <w:r w:rsidRPr="00CE0DE7">
        <w:rPr>
          <w:sz w:val="20"/>
          <w:szCs w:val="20"/>
          <w:lang w:eastAsia="zh-CN"/>
        </w:rPr>
        <w:t xml:space="preserve">of </w:t>
      </w:r>
      <w:r w:rsidRPr="00CE0DE7">
        <w:rPr>
          <w:sz w:val="20"/>
          <w:szCs w:val="20"/>
        </w:rPr>
        <w:t>Campbell and Thompson (2008)</w:t>
      </w:r>
      <w:r w:rsidRPr="00CE0DE7">
        <w:rPr>
          <w:rFonts w:hint="eastAsia"/>
          <w:sz w:val="20"/>
          <w:szCs w:val="20"/>
          <w:lang w:eastAsia="zh-CN"/>
        </w:rPr>
        <w:t>,</w:t>
      </w:r>
      <w:r w:rsidRPr="00CE0DE7">
        <w:rPr>
          <w:sz w:val="20"/>
          <w:szCs w:val="20"/>
        </w:rPr>
        <w:t xml:space="preserve"> and </w:t>
      </w:r>
      <w:r w:rsidRPr="00CE0DE7">
        <w:rPr>
          <w:rFonts w:hint="eastAsia"/>
          <w:sz w:val="20"/>
          <w:szCs w:val="20"/>
          <w:lang w:eastAsia="zh-CN"/>
        </w:rPr>
        <w:t xml:space="preserve">the </w:t>
      </w:r>
      <w:r w:rsidRPr="00CE0DE7">
        <w:rPr>
          <w:i/>
          <w:sz w:val="20"/>
          <w:szCs w:val="20"/>
        </w:rPr>
        <w:t>MSFE-adjusted</w:t>
      </w:r>
      <w:r w:rsidRPr="00CE0DE7">
        <w:rPr>
          <w:sz w:val="20"/>
          <w:szCs w:val="20"/>
        </w:rPr>
        <w:t xml:space="preserve"> statistic</w:t>
      </w:r>
      <w:r w:rsidRPr="00CE0DE7">
        <w:rPr>
          <w:rFonts w:hint="eastAsia"/>
          <w:sz w:val="20"/>
          <w:szCs w:val="20"/>
          <w:lang w:eastAsia="zh-CN"/>
        </w:rPr>
        <w:t xml:space="preserve"> of </w:t>
      </w:r>
      <w:r w:rsidRPr="00CE0DE7">
        <w:rPr>
          <w:sz w:val="20"/>
          <w:szCs w:val="20"/>
        </w:rPr>
        <w:t xml:space="preserve">Clark and West (2007). Column (4) – (5) </w:t>
      </w:r>
      <w:r w:rsidRPr="00CE0DE7">
        <w:rPr>
          <w:rFonts w:hint="eastAsia"/>
          <w:sz w:val="20"/>
          <w:szCs w:val="20"/>
          <w:lang w:eastAsia="zh-CN"/>
        </w:rPr>
        <w:t>contain</w:t>
      </w:r>
      <w:r w:rsidRPr="00CE0DE7">
        <w:rPr>
          <w:sz w:val="20"/>
          <w:szCs w:val="20"/>
        </w:rPr>
        <w:t xml:space="preserve"> the results when we use 1990:01 – 1999:12 as </w:t>
      </w:r>
      <w:r w:rsidRPr="00CE0DE7">
        <w:rPr>
          <w:rFonts w:hint="eastAsia"/>
          <w:sz w:val="20"/>
          <w:szCs w:val="20"/>
          <w:lang w:eastAsia="zh-CN"/>
        </w:rPr>
        <w:t xml:space="preserve">the </w:t>
      </w:r>
      <w:r w:rsidRPr="00CE0DE7">
        <w:rPr>
          <w:sz w:val="20"/>
          <w:szCs w:val="20"/>
        </w:rPr>
        <w:t xml:space="preserve">initial estimation period and 2000:01 – 2018:12 as </w:t>
      </w:r>
      <w:r w:rsidRPr="00CE0DE7">
        <w:rPr>
          <w:rFonts w:hint="eastAsia"/>
          <w:sz w:val="20"/>
          <w:szCs w:val="20"/>
          <w:lang w:eastAsia="zh-CN"/>
        </w:rPr>
        <w:t xml:space="preserve">the </w:t>
      </w:r>
      <w:r w:rsidRPr="00CE0DE7">
        <w:rPr>
          <w:sz w:val="20"/>
          <w:szCs w:val="20"/>
        </w:rPr>
        <w:t xml:space="preserve">forecast evaluation period. Column (6) – (7) </w:t>
      </w:r>
      <w:r w:rsidRPr="00CE0DE7">
        <w:rPr>
          <w:rFonts w:hint="eastAsia"/>
          <w:sz w:val="20"/>
          <w:szCs w:val="20"/>
          <w:lang w:eastAsia="zh-CN"/>
        </w:rPr>
        <w:t>contain</w:t>
      </w:r>
      <w:r w:rsidRPr="00CE0DE7">
        <w:rPr>
          <w:sz w:val="20"/>
          <w:szCs w:val="20"/>
        </w:rPr>
        <w:t xml:space="preserve"> the results when we use 1990:01 – 2004:12 as </w:t>
      </w:r>
      <w:r w:rsidRPr="00CE0DE7">
        <w:rPr>
          <w:rFonts w:hint="eastAsia"/>
          <w:sz w:val="20"/>
          <w:szCs w:val="20"/>
          <w:lang w:eastAsia="zh-CN"/>
        </w:rPr>
        <w:t xml:space="preserve">the </w:t>
      </w:r>
      <w:r w:rsidRPr="00CE0DE7">
        <w:rPr>
          <w:sz w:val="20"/>
          <w:szCs w:val="20"/>
        </w:rPr>
        <w:t xml:space="preserve">initial estimation period and 2005:01 – 2018:12 as </w:t>
      </w:r>
      <w:r w:rsidRPr="00CE0DE7">
        <w:rPr>
          <w:rFonts w:hint="eastAsia"/>
          <w:sz w:val="20"/>
          <w:szCs w:val="20"/>
          <w:lang w:eastAsia="zh-CN"/>
        </w:rPr>
        <w:t xml:space="preserve">the </w:t>
      </w:r>
      <w:r w:rsidRPr="00CE0DE7">
        <w:rPr>
          <w:sz w:val="20"/>
          <w:szCs w:val="20"/>
        </w:rPr>
        <w:t xml:space="preserve">forecast evaluation period. Panel B reports the forecasting results controlling for the principle component factor of 14 US macroeconomic variables </w:t>
      </w:r>
      <w:r w:rsidRPr="00CE0DE7">
        <w:rPr>
          <w:rFonts w:hint="eastAsia"/>
          <w:sz w:val="20"/>
          <w:szCs w:val="20"/>
          <w:lang w:eastAsia="zh-CN"/>
        </w:rPr>
        <w:t>in</w:t>
      </w:r>
      <w:r w:rsidRPr="00CE0DE7">
        <w:rPr>
          <w:sz w:val="20"/>
          <w:szCs w:val="20"/>
        </w:rPr>
        <w:t xml:space="preserve"> Welch and Goyal (2008)</w:t>
      </w:r>
      <w:r w:rsidRPr="00CE0DE7">
        <w:rPr>
          <w:sz w:val="20"/>
          <w:szCs w:val="20"/>
          <w:lang w:eastAsia="zh-CN"/>
        </w:rPr>
        <w:t xml:space="preserve">, namely, </w:t>
      </w:r>
      <w:r w:rsidRPr="00CE0DE7">
        <w:rPr>
          <w:bCs/>
          <w:sz w:val="20"/>
          <w:szCs w:val="20"/>
        </w:rPr>
        <w:t xml:space="preserve">log dividend-price ratio, log dividend yield, log earnings-price ratio, log dividend-payout ratio, equity risk premium volatility, book-to-market ratio, net equity expansion, Treasury bill rate, long-term bond yield, long-term bond return, term spread, default yield spread, default return spread, inflation rate. </w:t>
      </w:r>
      <w:r w:rsidRPr="00CE0DE7">
        <w:rPr>
          <w:rFonts w:hint="eastAsia"/>
          <w:sz w:val="20"/>
          <w:szCs w:val="20"/>
          <w:lang w:eastAsia="zh-CN"/>
        </w:rPr>
        <w:t>And</w:t>
      </w:r>
      <w:r w:rsidRPr="00CE0DE7">
        <w:rPr>
          <w:sz w:val="20"/>
          <w:szCs w:val="20"/>
        </w:rPr>
        <w:t xml:space="preserve"> *, **, and *** indicate </w:t>
      </w:r>
      <w:r w:rsidRPr="00CE0DE7">
        <w:rPr>
          <w:rFonts w:hint="eastAsia"/>
          <w:sz w:val="20"/>
          <w:szCs w:val="20"/>
          <w:lang w:eastAsia="zh-CN"/>
        </w:rPr>
        <w:t xml:space="preserve">statistical </w:t>
      </w:r>
      <w:r w:rsidRPr="00CE0DE7">
        <w:rPr>
          <w:sz w:val="20"/>
          <w:szCs w:val="20"/>
        </w:rPr>
        <w:t xml:space="preserve">significance at </w:t>
      </w:r>
      <w:r w:rsidRPr="00CE0DE7">
        <w:rPr>
          <w:rFonts w:hint="eastAsia"/>
          <w:sz w:val="20"/>
          <w:szCs w:val="20"/>
          <w:lang w:eastAsia="zh-CN"/>
        </w:rPr>
        <w:t xml:space="preserve">the </w:t>
      </w:r>
      <w:r w:rsidRPr="00CE0DE7">
        <w:rPr>
          <w:sz w:val="20"/>
          <w:szCs w:val="20"/>
        </w:rPr>
        <w:t xml:space="preserve">10%, 5%, and 1% level, respectively. </w:t>
      </w:r>
    </w:p>
    <w:p w14:paraId="11BEBB90" w14:textId="77777777" w:rsidR="00EB3316" w:rsidRPr="00CE0DE7" w:rsidRDefault="00EB3316" w:rsidP="00C30160">
      <w:pPr>
        <w:adjustRightInd w:val="0"/>
        <w:snapToGrid w:val="0"/>
        <w:jc w:val="both"/>
        <w:rPr>
          <w:bCs/>
          <w:sz w:val="20"/>
          <w:szCs w:val="20"/>
          <w:lang w:eastAsia="zh-CN"/>
        </w:rPr>
      </w:pPr>
    </w:p>
    <w:p w14:paraId="59FC0B05" w14:textId="77777777" w:rsidR="00C30160" w:rsidRPr="00CE0DE7" w:rsidRDefault="00C30160" w:rsidP="00C30160">
      <w:pPr>
        <w:adjustRightInd w:val="0"/>
        <w:snapToGrid w:val="0"/>
        <w:jc w:val="both"/>
        <w:rPr>
          <w:b/>
          <w:bCs/>
          <w:sz w:val="20"/>
          <w:szCs w:val="20"/>
        </w:rPr>
      </w:pPr>
    </w:p>
    <w:p w14:paraId="353F99EE" w14:textId="48DE18F1" w:rsidR="00C30160" w:rsidRDefault="00C30160" w:rsidP="00C30160">
      <w:pPr>
        <w:adjustRightInd w:val="0"/>
        <w:snapToGrid w:val="0"/>
        <w:jc w:val="both"/>
        <w:rPr>
          <w:b/>
          <w:bCs/>
          <w:sz w:val="20"/>
          <w:szCs w:val="20"/>
        </w:rPr>
      </w:pPr>
    </w:p>
    <w:p w14:paraId="0B6FBD54" w14:textId="77777777" w:rsidR="004C1F68" w:rsidRPr="00CE0DE7" w:rsidRDefault="004C1F68" w:rsidP="00C30160">
      <w:pPr>
        <w:adjustRightInd w:val="0"/>
        <w:snapToGrid w:val="0"/>
        <w:jc w:val="both"/>
        <w:rPr>
          <w:b/>
          <w:bCs/>
          <w:sz w:val="20"/>
          <w:szCs w:val="20"/>
        </w:rPr>
      </w:pPr>
    </w:p>
    <w:p w14:paraId="20C5371C" w14:textId="77777777" w:rsidR="00272A52" w:rsidRPr="00CE0DE7" w:rsidRDefault="00272A52" w:rsidP="00C30160">
      <w:pPr>
        <w:adjustRightInd w:val="0"/>
        <w:snapToGrid w:val="0"/>
        <w:jc w:val="both"/>
        <w:rPr>
          <w:b/>
          <w:bCs/>
          <w:sz w:val="20"/>
          <w:szCs w:val="20"/>
        </w:rPr>
      </w:pPr>
    </w:p>
    <w:p w14:paraId="4959D520" w14:textId="544FCBEB" w:rsidR="00C30160" w:rsidRPr="00CE0DE7" w:rsidRDefault="00C30160" w:rsidP="00C30160">
      <w:pPr>
        <w:spacing w:after="160" w:line="259" w:lineRule="auto"/>
        <w:rPr>
          <w:b/>
          <w:sz w:val="20"/>
          <w:szCs w:val="20"/>
          <w:lang w:val="en-GB" w:eastAsia="zh-CN"/>
        </w:rPr>
      </w:pPr>
      <w:r w:rsidRPr="00CE0DE7">
        <w:rPr>
          <w:b/>
          <w:sz w:val="20"/>
          <w:szCs w:val="20"/>
          <w:lang w:val="en-GB" w:eastAsia="zh-CN"/>
        </w:rPr>
        <w:lastRenderedPageBreak/>
        <w:t xml:space="preserve">Table 8. </w:t>
      </w:r>
      <w:r w:rsidR="00EB3316" w:rsidRPr="00CE0DE7">
        <w:rPr>
          <w:rFonts w:hint="eastAsia"/>
          <w:b/>
          <w:sz w:val="20"/>
          <w:szCs w:val="20"/>
          <w:lang w:val="en-GB" w:eastAsia="zh-CN"/>
        </w:rPr>
        <w:t>The tri-variate Toda-Yamamoto Granger non-causality test with alternative liquidity measure</w:t>
      </w:r>
    </w:p>
    <w:tbl>
      <w:tblPr>
        <w:tblW w:w="5000" w:type="pct"/>
        <w:tblLook w:val="04A0" w:firstRow="1" w:lastRow="0" w:firstColumn="1" w:lastColumn="0" w:noHBand="0" w:noVBand="1"/>
      </w:tblPr>
      <w:tblGrid>
        <w:gridCol w:w="2920"/>
        <w:gridCol w:w="1019"/>
        <w:gridCol w:w="1018"/>
        <w:gridCol w:w="1018"/>
        <w:gridCol w:w="1018"/>
        <w:gridCol w:w="1018"/>
        <w:gridCol w:w="1016"/>
      </w:tblGrid>
      <w:tr w:rsidR="00C30160" w:rsidRPr="00CE0DE7" w14:paraId="104E06E2" w14:textId="77777777" w:rsidTr="00C24E43">
        <w:trPr>
          <w:trHeight w:val="300"/>
        </w:trPr>
        <w:tc>
          <w:tcPr>
            <w:tcW w:w="1617" w:type="pct"/>
            <w:tcBorders>
              <w:top w:val="double" w:sz="4" w:space="0" w:color="auto"/>
              <w:left w:val="nil"/>
              <w:bottom w:val="nil"/>
              <w:right w:val="single" w:sz="4" w:space="0" w:color="auto"/>
            </w:tcBorders>
            <w:shd w:val="clear" w:color="auto" w:fill="auto"/>
            <w:noWrap/>
            <w:vAlign w:val="bottom"/>
            <w:hideMark/>
          </w:tcPr>
          <w:p w14:paraId="165219F3" w14:textId="77777777" w:rsidR="00C30160" w:rsidRPr="00CE0DE7" w:rsidRDefault="00C30160" w:rsidP="00C24E43">
            <w:pPr>
              <w:rPr>
                <w:rFonts w:eastAsia="Times New Roman"/>
                <w:sz w:val="20"/>
                <w:szCs w:val="20"/>
                <w:lang w:val="en-GB" w:eastAsia="zh-CN"/>
              </w:rPr>
            </w:pPr>
          </w:p>
        </w:tc>
        <w:tc>
          <w:tcPr>
            <w:tcW w:w="3383" w:type="pct"/>
            <w:gridSpan w:val="6"/>
            <w:tcBorders>
              <w:top w:val="double" w:sz="4" w:space="0" w:color="auto"/>
              <w:left w:val="single" w:sz="4" w:space="0" w:color="auto"/>
              <w:bottom w:val="single" w:sz="4" w:space="0" w:color="auto"/>
              <w:right w:val="nil"/>
            </w:tcBorders>
            <w:shd w:val="clear" w:color="auto" w:fill="auto"/>
            <w:noWrap/>
            <w:vAlign w:val="center"/>
            <w:hideMark/>
          </w:tcPr>
          <w:p w14:paraId="66BA3347"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 xml:space="preserve">X1: </w:t>
            </w:r>
            <w:r w:rsidRPr="00CE0DE7">
              <w:rPr>
                <w:rFonts w:eastAsia="Times New Roman"/>
                <w:i/>
                <w:iCs/>
                <w:color w:val="000000"/>
                <w:sz w:val="22"/>
                <w:szCs w:val="22"/>
                <w:lang w:val="en-GB" w:eastAsia="zh-CN"/>
              </w:rPr>
              <w:t>VW</w:t>
            </w:r>
          </w:p>
        </w:tc>
      </w:tr>
      <w:tr w:rsidR="00C30160" w:rsidRPr="00CE0DE7" w14:paraId="18394C3F" w14:textId="77777777" w:rsidTr="00C24E43">
        <w:trPr>
          <w:trHeight w:val="300"/>
        </w:trPr>
        <w:tc>
          <w:tcPr>
            <w:tcW w:w="1617" w:type="pct"/>
            <w:tcBorders>
              <w:top w:val="nil"/>
              <w:left w:val="nil"/>
              <w:bottom w:val="single" w:sz="4" w:space="0" w:color="auto"/>
              <w:right w:val="single" w:sz="4" w:space="0" w:color="auto"/>
            </w:tcBorders>
            <w:shd w:val="clear" w:color="auto" w:fill="auto"/>
            <w:noWrap/>
            <w:vAlign w:val="bottom"/>
            <w:hideMark/>
          </w:tcPr>
          <w:p w14:paraId="1C6AC8A5" w14:textId="77777777" w:rsidR="00C30160" w:rsidRPr="00CE0DE7" w:rsidRDefault="00C30160" w:rsidP="00C24E43">
            <w:pPr>
              <w:jc w:val="center"/>
              <w:rPr>
                <w:rFonts w:eastAsia="Times New Roman"/>
                <w:color w:val="000000"/>
                <w:sz w:val="20"/>
                <w:szCs w:val="20"/>
                <w:lang w:val="en-GB" w:eastAsia="zh-CN"/>
              </w:rPr>
            </w:pPr>
          </w:p>
        </w:tc>
        <w:tc>
          <w:tcPr>
            <w:tcW w:w="564" w:type="pct"/>
            <w:tcBorders>
              <w:top w:val="single" w:sz="4" w:space="0" w:color="auto"/>
              <w:left w:val="single" w:sz="4" w:space="0" w:color="auto"/>
              <w:bottom w:val="single" w:sz="4" w:space="0" w:color="auto"/>
              <w:right w:val="nil"/>
            </w:tcBorders>
            <w:shd w:val="clear" w:color="auto" w:fill="auto"/>
            <w:noWrap/>
            <w:vAlign w:val="center"/>
            <w:hideMark/>
          </w:tcPr>
          <w:p w14:paraId="47A032CA"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X1-&gt;X2</w:t>
            </w:r>
          </w:p>
        </w:tc>
        <w:tc>
          <w:tcPr>
            <w:tcW w:w="564" w:type="pct"/>
            <w:tcBorders>
              <w:top w:val="single" w:sz="4" w:space="0" w:color="auto"/>
              <w:left w:val="nil"/>
              <w:bottom w:val="single" w:sz="4" w:space="0" w:color="auto"/>
              <w:right w:val="nil"/>
            </w:tcBorders>
            <w:shd w:val="clear" w:color="auto" w:fill="auto"/>
            <w:noWrap/>
            <w:vAlign w:val="center"/>
            <w:hideMark/>
          </w:tcPr>
          <w:p w14:paraId="67C948D8"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X2-&gt;X1</w:t>
            </w:r>
          </w:p>
        </w:tc>
        <w:tc>
          <w:tcPr>
            <w:tcW w:w="564" w:type="pct"/>
            <w:tcBorders>
              <w:top w:val="single" w:sz="4" w:space="0" w:color="auto"/>
              <w:left w:val="nil"/>
              <w:bottom w:val="single" w:sz="4" w:space="0" w:color="auto"/>
              <w:right w:val="nil"/>
            </w:tcBorders>
            <w:shd w:val="clear" w:color="auto" w:fill="auto"/>
            <w:noWrap/>
            <w:vAlign w:val="center"/>
            <w:hideMark/>
          </w:tcPr>
          <w:p w14:paraId="2FFC8207"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X1-&gt;X3</w:t>
            </w:r>
          </w:p>
        </w:tc>
        <w:tc>
          <w:tcPr>
            <w:tcW w:w="564" w:type="pct"/>
            <w:tcBorders>
              <w:top w:val="single" w:sz="4" w:space="0" w:color="auto"/>
              <w:left w:val="nil"/>
              <w:bottom w:val="single" w:sz="4" w:space="0" w:color="auto"/>
              <w:right w:val="nil"/>
            </w:tcBorders>
            <w:shd w:val="clear" w:color="auto" w:fill="auto"/>
            <w:noWrap/>
            <w:vAlign w:val="center"/>
            <w:hideMark/>
          </w:tcPr>
          <w:p w14:paraId="05150E2E"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X3-&gt;X1</w:t>
            </w:r>
          </w:p>
        </w:tc>
        <w:tc>
          <w:tcPr>
            <w:tcW w:w="564" w:type="pct"/>
            <w:tcBorders>
              <w:top w:val="single" w:sz="4" w:space="0" w:color="auto"/>
              <w:left w:val="nil"/>
              <w:bottom w:val="single" w:sz="4" w:space="0" w:color="auto"/>
              <w:right w:val="nil"/>
            </w:tcBorders>
            <w:shd w:val="clear" w:color="auto" w:fill="auto"/>
            <w:noWrap/>
            <w:vAlign w:val="center"/>
            <w:hideMark/>
          </w:tcPr>
          <w:p w14:paraId="13CDA0B4"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X2-&gt;X3</w:t>
            </w:r>
          </w:p>
        </w:tc>
        <w:tc>
          <w:tcPr>
            <w:tcW w:w="564" w:type="pct"/>
            <w:tcBorders>
              <w:top w:val="single" w:sz="4" w:space="0" w:color="auto"/>
              <w:left w:val="nil"/>
              <w:bottom w:val="single" w:sz="4" w:space="0" w:color="auto"/>
              <w:right w:val="nil"/>
            </w:tcBorders>
            <w:shd w:val="clear" w:color="auto" w:fill="auto"/>
            <w:noWrap/>
            <w:vAlign w:val="center"/>
            <w:hideMark/>
          </w:tcPr>
          <w:p w14:paraId="529AD063"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X3-&gt;X2</w:t>
            </w:r>
          </w:p>
        </w:tc>
      </w:tr>
      <w:tr w:rsidR="00C30160" w:rsidRPr="00CE0DE7" w14:paraId="56525162" w14:textId="77777777" w:rsidTr="00C24E43">
        <w:trPr>
          <w:trHeight w:val="300"/>
        </w:trPr>
        <w:tc>
          <w:tcPr>
            <w:tcW w:w="1617" w:type="pct"/>
            <w:tcBorders>
              <w:top w:val="single" w:sz="4" w:space="0" w:color="auto"/>
              <w:left w:val="nil"/>
              <w:bottom w:val="nil"/>
              <w:right w:val="single" w:sz="4" w:space="0" w:color="auto"/>
            </w:tcBorders>
            <w:shd w:val="clear" w:color="auto" w:fill="auto"/>
            <w:noWrap/>
            <w:vAlign w:val="bottom"/>
            <w:hideMark/>
          </w:tcPr>
          <w:p w14:paraId="692EBE0A"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LM</w:t>
            </w:r>
            <w:r w:rsidRPr="00CE0DE7">
              <w:rPr>
                <w:rFonts w:eastAsia="Times New Roman"/>
                <w:i/>
                <w:iCs/>
                <w:color w:val="000000"/>
                <w:sz w:val="20"/>
                <w:szCs w:val="20"/>
                <w:vertAlign w:val="superscript"/>
                <w:lang w:val="en-GB" w:eastAsia="zh-CN"/>
              </w:rPr>
              <w:t>NYSE</w:t>
            </w:r>
          </w:p>
        </w:tc>
        <w:tc>
          <w:tcPr>
            <w:tcW w:w="564" w:type="pct"/>
            <w:tcBorders>
              <w:top w:val="single" w:sz="4" w:space="0" w:color="auto"/>
              <w:left w:val="single" w:sz="4" w:space="0" w:color="auto"/>
              <w:bottom w:val="nil"/>
              <w:right w:val="nil"/>
            </w:tcBorders>
            <w:shd w:val="clear" w:color="auto" w:fill="auto"/>
            <w:noWrap/>
            <w:vAlign w:val="center"/>
            <w:hideMark/>
          </w:tcPr>
          <w:p w14:paraId="413D6577"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0.8427</w:t>
            </w:r>
          </w:p>
        </w:tc>
        <w:tc>
          <w:tcPr>
            <w:tcW w:w="564" w:type="pct"/>
            <w:tcBorders>
              <w:top w:val="single" w:sz="4" w:space="0" w:color="auto"/>
              <w:left w:val="nil"/>
              <w:bottom w:val="nil"/>
              <w:right w:val="nil"/>
            </w:tcBorders>
            <w:shd w:val="clear" w:color="auto" w:fill="auto"/>
            <w:noWrap/>
            <w:vAlign w:val="center"/>
            <w:hideMark/>
          </w:tcPr>
          <w:p w14:paraId="6B6A6C48"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0.0000</w:t>
            </w:r>
          </w:p>
        </w:tc>
        <w:tc>
          <w:tcPr>
            <w:tcW w:w="564" w:type="pct"/>
            <w:tcBorders>
              <w:top w:val="single" w:sz="4" w:space="0" w:color="auto"/>
              <w:left w:val="nil"/>
              <w:bottom w:val="nil"/>
              <w:right w:val="nil"/>
            </w:tcBorders>
            <w:shd w:val="clear" w:color="auto" w:fill="auto"/>
            <w:noWrap/>
            <w:vAlign w:val="center"/>
            <w:hideMark/>
          </w:tcPr>
          <w:p w14:paraId="6CC8EF21"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0.0007</w:t>
            </w:r>
          </w:p>
        </w:tc>
        <w:tc>
          <w:tcPr>
            <w:tcW w:w="564" w:type="pct"/>
            <w:tcBorders>
              <w:top w:val="single" w:sz="4" w:space="0" w:color="auto"/>
              <w:left w:val="nil"/>
              <w:bottom w:val="nil"/>
              <w:right w:val="nil"/>
            </w:tcBorders>
            <w:shd w:val="clear" w:color="auto" w:fill="auto"/>
            <w:noWrap/>
            <w:vAlign w:val="center"/>
            <w:hideMark/>
          </w:tcPr>
          <w:p w14:paraId="738AB142"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0.4493</w:t>
            </w:r>
          </w:p>
        </w:tc>
        <w:tc>
          <w:tcPr>
            <w:tcW w:w="564" w:type="pct"/>
            <w:tcBorders>
              <w:top w:val="single" w:sz="4" w:space="0" w:color="auto"/>
              <w:left w:val="nil"/>
              <w:bottom w:val="nil"/>
              <w:right w:val="nil"/>
            </w:tcBorders>
            <w:shd w:val="clear" w:color="auto" w:fill="auto"/>
            <w:noWrap/>
            <w:vAlign w:val="center"/>
            <w:hideMark/>
          </w:tcPr>
          <w:p w14:paraId="2ABF1CF3"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0.1124</w:t>
            </w:r>
          </w:p>
        </w:tc>
        <w:tc>
          <w:tcPr>
            <w:tcW w:w="564" w:type="pct"/>
            <w:tcBorders>
              <w:top w:val="single" w:sz="4" w:space="0" w:color="auto"/>
              <w:left w:val="nil"/>
              <w:bottom w:val="nil"/>
              <w:right w:val="nil"/>
            </w:tcBorders>
            <w:shd w:val="clear" w:color="auto" w:fill="auto"/>
            <w:noWrap/>
            <w:vAlign w:val="center"/>
            <w:hideMark/>
          </w:tcPr>
          <w:p w14:paraId="00C66661"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0.1836</w:t>
            </w:r>
          </w:p>
        </w:tc>
      </w:tr>
      <w:tr w:rsidR="00C30160" w:rsidRPr="00CE0DE7" w14:paraId="5127E527" w14:textId="77777777" w:rsidTr="00C24E43">
        <w:trPr>
          <w:trHeight w:val="300"/>
        </w:trPr>
        <w:tc>
          <w:tcPr>
            <w:tcW w:w="1617" w:type="pct"/>
            <w:tcBorders>
              <w:top w:val="nil"/>
              <w:left w:val="nil"/>
              <w:bottom w:val="nil"/>
              <w:right w:val="single" w:sz="4" w:space="0" w:color="auto"/>
            </w:tcBorders>
            <w:shd w:val="clear" w:color="auto" w:fill="auto"/>
            <w:noWrap/>
            <w:vAlign w:val="bottom"/>
            <w:hideMark/>
          </w:tcPr>
          <w:p w14:paraId="2F08F4A5"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LM</w:t>
            </w:r>
            <w:r w:rsidRPr="00CE0DE7">
              <w:rPr>
                <w:rFonts w:eastAsia="Times New Roman"/>
                <w:i/>
                <w:iCs/>
                <w:color w:val="000000"/>
                <w:sz w:val="20"/>
                <w:szCs w:val="20"/>
                <w:vertAlign w:val="superscript"/>
                <w:lang w:val="en-GB" w:eastAsia="zh-CN"/>
              </w:rPr>
              <w:t>SP500</w:t>
            </w:r>
          </w:p>
        </w:tc>
        <w:tc>
          <w:tcPr>
            <w:tcW w:w="564" w:type="pct"/>
            <w:tcBorders>
              <w:top w:val="nil"/>
              <w:left w:val="single" w:sz="4" w:space="0" w:color="auto"/>
              <w:bottom w:val="nil"/>
              <w:right w:val="nil"/>
            </w:tcBorders>
            <w:shd w:val="clear" w:color="auto" w:fill="auto"/>
            <w:noWrap/>
            <w:vAlign w:val="center"/>
            <w:hideMark/>
          </w:tcPr>
          <w:p w14:paraId="059E2D4B"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0.8191</w:t>
            </w:r>
          </w:p>
        </w:tc>
        <w:tc>
          <w:tcPr>
            <w:tcW w:w="564" w:type="pct"/>
            <w:tcBorders>
              <w:top w:val="nil"/>
              <w:left w:val="nil"/>
              <w:bottom w:val="nil"/>
              <w:right w:val="nil"/>
            </w:tcBorders>
            <w:shd w:val="clear" w:color="auto" w:fill="auto"/>
            <w:noWrap/>
            <w:vAlign w:val="center"/>
            <w:hideMark/>
          </w:tcPr>
          <w:p w14:paraId="203C5770"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0.0000</w:t>
            </w:r>
          </w:p>
        </w:tc>
        <w:tc>
          <w:tcPr>
            <w:tcW w:w="564" w:type="pct"/>
            <w:tcBorders>
              <w:top w:val="nil"/>
              <w:left w:val="nil"/>
              <w:bottom w:val="nil"/>
              <w:right w:val="nil"/>
            </w:tcBorders>
            <w:shd w:val="clear" w:color="auto" w:fill="auto"/>
            <w:noWrap/>
            <w:vAlign w:val="center"/>
            <w:hideMark/>
          </w:tcPr>
          <w:p w14:paraId="45F31836"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0.0220</w:t>
            </w:r>
          </w:p>
        </w:tc>
        <w:tc>
          <w:tcPr>
            <w:tcW w:w="564" w:type="pct"/>
            <w:tcBorders>
              <w:top w:val="nil"/>
              <w:left w:val="nil"/>
              <w:bottom w:val="nil"/>
              <w:right w:val="nil"/>
            </w:tcBorders>
            <w:shd w:val="clear" w:color="auto" w:fill="auto"/>
            <w:noWrap/>
            <w:vAlign w:val="center"/>
            <w:hideMark/>
          </w:tcPr>
          <w:p w14:paraId="19F4B61F"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0.5165</w:t>
            </w:r>
          </w:p>
        </w:tc>
        <w:tc>
          <w:tcPr>
            <w:tcW w:w="564" w:type="pct"/>
            <w:tcBorders>
              <w:top w:val="nil"/>
              <w:left w:val="nil"/>
              <w:bottom w:val="nil"/>
              <w:right w:val="nil"/>
            </w:tcBorders>
            <w:shd w:val="clear" w:color="auto" w:fill="auto"/>
            <w:noWrap/>
            <w:vAlign w:val="center"/>
            <w:hideMark/>
          </w:tcPr>
          <w:p w14:paraId="5BFB8951"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0.4939</w:t>
            </w:r>
          </w:p>
        </w:tc>
        <w:tc>
          <w:tcPr>
            <w:tcW w:w="564" w:type="pct"/>
            <w:tcBorders>
              <w:top w:val="nil"/>
              <w:left w:val="nil"/>
              <w:bottom w:val="nil"/>
              <w:right w:val="nil"/>
            </w:tcBorders>
            <w:shd w:val="clear" w:color="auto" w:fill="auto"/>
            <w:noWrap/>
            <w:vAlign w:val="center"/>
            <w:hideMark/>
          </w:tcPr>
          <w:p w14:paraId="5BCFE242"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0.6293</w:t>
            </w:r>
          </w:p>
        </w:tc>
      </w:tr>
      <w:tr w:rsidR="00C30160" w:rsidRPr="00CE0DE7" w14:paraId="527CCC68" w14:textId="77777777" w:rsidTr="00C24E43">
        <w:trPr>
          <w:trHeight w:val="300"/>
        </w:trPr>
        <w:tc>
          <w:tcPr>
            <w:tcW w:w="1617" w:type="pct"/>
            <w:tcBorders>
              <w:top w:val="nil"/>
              <w:left w:val="nil"/>
              <w:bottom w:val="nil"/>
              <w:right w:val="single" w:sz="4" w:space="0" w:color="auto"/>
            </w:tcBorders>
            <w:shd w:val="clear" w:color="auto" w:fill="auto"/>
            <w:noWrap/>
            <w:vAlign w:val="bottom"/>
            <w:hideMark/>
          </w:tcPr>
          <w:p w14:paraId="028EE795"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LM</w:t>
            </w:r>
            <w:r w:rsidRPr="00CE0DE7">
              <w:rPr>
                <w:rFonts w:eastAsia="Times New Roman"/>
                <w:i/>
                <w:iCs/>
                <w:color w:val="000000"/>
                <w:sz w:val="20"/>
                <w:szCs w:val="20"/>
                <w:vertAlign w:val="superscript"/>
                <w:lang w:val="en-GB" w:eastAsia="zh-CN"/>
              </w:rPr>
              <w:t>NYSE</w:t>
            </w:r>
          </w:p>
        </w:tc>
        <w:tc>
          <w:tcPr>
            <w:tcW w:w="564" w:type="pct"/>
            <w:tcBorders>
              <w:top w:val="nil"/>
              <w:left w:val="single" w:sz="4" w:space="0" w:color="auto"/>
              <w:bottom w:val="nil"/>
              <w:right w:val="nil"/>
            </w:tcBorders>
            <w:shd w:val="clear" w:color="auto" w:fill="auto"/>
            <w:noWrap/>
            <w:vAlign w:val="center"/>
            <w:hideMark/>
          </w:tcPr>
          <w:p w14:paraId="3F56ED83"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0.5404</w:t>
            </w:r>
          </w:p>
        </w:tc>
        <w:tc>
          <w:tcPr>
            <w:tcW w:w="564" w:type="pct"/>
            <w:tcBorders>
              <w:top w:val="nil"/>
              <w:left w:val="nil"/>
              <w:bottom w:val="nil"/>
              <w:right w:val="nil"/>
            </w:tcBorders>
            <w:shd w:val="clear" w:color="auto" w:fill="auto"/>
            <w:noWrap/>
            <w:vAlign w:val="center"/>
            <w:hideMark/>
          </w:tcPr>
          <w:p w14:paraId="04E27EC8"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0.0000</w:t>
            </w:r>
          </w:p>
        </w:tc>
        <w:tc>
          <w:tcPr>
            <w:tcW w:w="564" w:type="pct"/>
            <w:tcBorders>
              <w:top w:val="nil"/>
              <w:left w:val="nil"/>
              <w:bottom w:val="nil"/>
              <w:right w:val="nil"/>
            </w:tcBorders>
            <w:shd w:val="clear" w:color="auto" w:fill="auto"/>
            <w:noWrap/>
            <w:vAlign w:val="center"/>
            <w:hideMark/>
          </w:tcPr>
          <w:p w14:paraId="00266E04"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0.0011</w:t>
            </w:r>
          </w:p>
        </w:tc>
        <w:tc>
          <w:tcPr>
            <w:tcW w:w="564" w:type="pct"/>
            <w:tcBorders>
              <w:top w:val="nil"/>
              <w:left w:val="nil"/>
              <w:bottom w:val="nil"/>
              <w:right w:val="nil"/>
            </w:tcBorders>
            <w:shd w:val="clear" w:color="auto" w:fill="auto"/>
            <w:noWrap/>
            <w:vAlign w:val="center"/>
            <w:hideMark/>
          </w:tcPr>
          <w:p w14:paraId="5D573B23"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0.1167</w:t>
            </w:r>
          </w:p>
        </w:tc>
        <w:tc>
          <w:tcPr>
            <w:tcW w:w="564" w:type="pct"/>
            <w:tcBorders>
              <w:top w:val="nil"/>
              <w:left w:val="nil"/>
              <w:bottom w:val="nil"/>
              <w:right w:val="nil"/>
            </w:tcBorders>
            <w:shd w:val="clear" w:color="auto" w:fill="auto"/>
            <w:noWrap/>
            <w:vAlign w:val="center"/>
            <w:hideMark/>
          </w:tcPr>
          <w:p w14:paraId="76848395"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0.0785</w:t>
            </w:r>
          </w:p>
        </w:tc>
        <w:tc>
          <w:tcPr>
            <w:tcW w:w="564" w:type="pct"/>
            <w:tcBorders>
              <w:top w:val="nil"/>
              <w:left w:val="nil"/>
              <w:bottom w:val="nil"/>
              <w:right w:val="nil"/>
            </w:tcBorders>
            <w:shd w:val="clear" w:color="auto" w:fill="auto"/>
            <w:noWrap/>
            <w:vAlign w:val="center"/>
            <w:hideMark/>
          </w:tcPr>
          <w:p w14:paraId="54B8D97F"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0.6938</w:t>
            </w:r>
          </w:p>
        </w:tc>
      </w:tr>
      <w:tr w:rsidR="00C30160" w:rsidRPr="00CE0DE7" w14:paraId="238F81D5" w14:textId="77777777" w:rsidTr="00C24E43">
        <w:trPr>
          <w:trHeight w:val="300"/>
        </w:trPr>
        <w:tc>
          <w:tcPr>
            <w:tcW w:w="1617" w:type="pct"/>
            <w:tcBorders>
              <w:top w:val="nil"/>
              <w:left w:val="nil"/>
              <w:bottom w:val="nil"/>
              <w:right w:val="single" w:sz="4" w:space="0" w:color="auto"/>
            </w:tcBorders>
            <w:shd w:val="clear" w:color="auto" w:fill="auto"/>
            <w:noWrap/>
            <w:vAlign w:val="bottom"/>
            <w:hideMark/>
          </w:tcPr>
          <w:p w14:paraId="18BA8182"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LM</w:t>
            </w:r>
            <w:r w:rsidRPr="00CE0DE7">
              <w:rPr>
                <w:rFonts w:eastAsia="Times New Roman"/>
                <w:i/>
                <w:iCs/>
                <w:color w:val="000000"/>
                <w:sz w:val="20"/>
                <w:szCs w:val="20"/>
                <w:vertAlign w:val="superscript"/>
                <w:lang w:val="en-GB" w:eastAsia="zh-CN"/>
              </w:rPr>
              <w:t>SP500</w:t>
            </w:r>
          </w:p>
        </w:tc>
        <w:tc>
          <w:tcPr>
            <w:tcW w:w="564" w:type="pct"/>
            <w:tcBorders>
              <w:top w:val="nil"/>
              <w:left w:val="single" w:sz="4" w:space="0" w:color="auto"/>
              <w:bottom w:val="nil"/>
              <w:right w:val="nil"/>
            </w:tcBorders>
            <w:shd w:val="clear" w:color="auto" w:fill="auto"/>
            <w:noWrap/>
            <w:vAlign w:val="center"/>
            <w:hideMark/>
          </w:tcPr>
          <w:p w14:paraId="460715E4"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0.4484</w:t>
            </w:r>
          </w:p>
        </w:tc>
        <w:tc>
          <w:tcPr>
            <w:tcW w:w="564" w:type="pct"/>
            <w:tcBorders>
              <w:top w:val="nil"/>
              <w:left w:val="nil"/>
              <w:bottom w:val="nil"/>
              <w:right w:val="nil"/>
            </w:tcBorders>
            <w:shd w:val="clear" w:color="auto" w:fill="auto"/>
            <w:noWrap/>
            <w:vAlign w:val="center"/>
            <w:hideMark/>
          </w:tcPr>
          <w:p w14:paraId="18DFB87A"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0.0000</w:t>
            </w:r>
          </w:p>
        </w:tc>
        <w:tc>
          <w:tcPr>
            <w:tcW w:w="564" w:type="pct"/>
            <w:tcBorders>
              <w:top w:val="nil"/>
              <w:left w:val="nil"/>
              <w:bottom w:val="nil"/>
              <w:right w:val="nil"/>
            </w:tcBorders>
            <w:shd w:val="clear" w:color="auto" w:fill="auto"/>
            <w:noWrap/>
            <w:vAlign w:val="center"/>
            <w:hideMark/>
          </w:tcPr>
          <w:p w14:paraId="59B4E255"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0.0162</w:t>
            </w:r>
          </w:p>
        </w:tc>
        <w:tc>
          <w:tcPr>
            <w:tcW w:w="564" w:type="pct"/>
            <w:tcBorders>
              <w:top w:val="nil"/>
              <w:left w:val="nil"/>
              <w:bottom w:val="nil"/>
              <w:right w:val="nil"/>
            </w:tcBorders>
            <w:shd w:val="clear" w:color="auto" w:fill="auto"/>
            <w:noWrap/>
            <w:vAlign w:val="center"/>
            <w:hideMark/>
          </w:tcPr>
          <w:p w14:paraId="0B5BB1B2"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0.2919</w:t>
            </w:r>
          </w:p>
        </w:tc>
        <w:tc>
          <w:tcPr>
            <w:tcW w:w="564" w:type="pct"/>
            <w:tcBorders>
              <w:top w:val="nil"/>
              <w:left w:val="nil"/>
              <w:bottom w:val="nil"/>
              <w:right w:val="nil"/>
            </w:tcBorders>
            <w:shd w:val="clear" w:color="auto" w:fill="auto"/>
            <w:noWrap/>
            <w:vAlign w:val="center"/>
            <w:hideMark/>
          </w:tcPr>
          <w:p w14:paraId="57BCB2D5"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0.0026</w:t>
            </w:r>
          </w:p>
        </w:tc>
        <w:tc>
          <w:tcPr>
            <w:tcW w:w="564" w:type="pct"/>
            <w:tcBorders>
              <w:top w:val="nil"/>
              <w:left w:val="nil"/>
              <w:bottom w:val="nil"/>
              <w:right w:val="nil"/>
            </w:tcBorders>
            <w:shd w:val="clear" w:color="auto" w:fill="auto"/>
            <w:noWrap/>
            <w:vAlign w:val="center"/>
            <w:hideMark/>
          </w:tcPr>
          <w:p w14:paraId="7D2585EB"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0.8538</w:t>
            </w:r>
          </w:p>
        </w:tc>
      </w:tr>
      <w:tr w:rsidR="00C30160" w:rsidRPr="00CE0DE7" w14:paraId="690D93FD" w14:textId="77777777" w:rsidTr="00C24E43">
        <w:trPr>
          <w:trHeight w:val="300"/>
        </w:trPr>
        <w:tc>
          <w:tcPr>
            <w:tcW w:w="1617" w:type="pct"/>
            <w:tcBorders>
              <w:top w:val="nil"/>
              <w:left w:val="nil"/>
              <w:bottom w:val="nil"/>
              <w:right w:val="single" w:sz="4" w:space="0" w:color="auto"/>
            </w:tcBorders>
            <w:shd w:val="clear" w:color="auto" w:fill="auto"/>
            <w:noWrap/>
            <w:vAlign w:val="bottom"/>
            <w:hideMark/>
          </w:tcPr>
          <w:p w14:paraId="53748CCA"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LM</w:t>
            </w:r>
            <w:r w:rsidRPr="00CE0DE7">
              <w:rPr>
                <w:rFonts w:eastAsia="Times New Roman"/>
                <w:i/>
                <w:iCs/>
                <w:color w:val="000000"/>
                <w:sz w:val="20"/>
                <w:szCs w:val="20"/>
                <w:vertAlign w:val="superscript"/>
                <w:lang w:val="en-GB" w:eastAsia="zh-CN"/>
              </w:rPr>
              <w:t>NYSE</w:t>
            </w:r>
          </w:p>
        </w:tc>
        <w:tc>
          <w:tcPr>
            <w:tcW w:w="564" w:type="pct"/>
            <w:tcBorders>
              <w:top w:val="nil"/>
              <w:left w:val="single" w:sz="4" w:space="0" w:color="auto"/>
              <w:bottom w:val="nil"/>
              <w:right w:val="nil"/>
            </w:tcBorders>
            <w:shd w:val="clear" w:color="auto" w:fill="auto"/>
            <w:noWrap/>
            <w:vAlign w:val="center"/>
            <w:hideMark/>
          </w:tcPr>
          <w:p w14:paraId="3949F501"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0.1668</w:t>
            </w:r>
          </w:p>
        </w:tc>
        <w:tc>
          <w:tcPr>
            <w:tcW w:w="564" w:type="pct"/>
            <w:tcBorders>
              <w:top w:val="nil"/>
              <w:left w:val="nil"/>
              <w:bottom w:val="nil"/>
              <w:right w:val="nil"/>
            </w:tcBorders>
            <w:shd w:val="clear" w:color="auto" w:fill="auto"/>
            <w:noWrap/>
            <w:vAlign w:val="center"/>
            <w:hideMark/>
          </w:tcPr>
          <w:p w14:paraId="6548F61C"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0.0000</w:t>
            </w:r>
          </w:p>
        </w:tc>
        <w:tc>
          <w:tcPr>
            <w:tcW w:w="564" w:type="pct"/>
            <w:tcBorders>
              <w:top w:val="nil"/>
              <w:left w:val="nil"/>
              <w:bottom w:val="nil"/>
              <w:right w:val="nil"/>
            </w:tcBorders>
            <w:shd w:val="clear" w:color="auto" w:fill="auto"/>
            <w:noWrap/>
            <w:vAlign w:val="center"/>
            <w:hideMark/>
          </w:tcPr>
          <w:p w14:paraId="3B168CB4"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0.0028</w:t>
            </w:r>
          </w:p>
        </w:tc>
        <w:tc>
          <w:tcPr>
            <w:tcW w:w="564" w:type="pct"/>
            <w:tcBorders>
              <w:top w:val="nil"/>
              <w:left w:val="nil"/>
              <w:bottom w:val="nil"/>
              <w:right w:val="nil"/>
            </w:tcBorders>
            <w:shd w:val="clear" w:color="auto" w:fill="auto"/>
            <w:noWrap/>
            <w:vAlign w:val="center"/>
            <w:hideMark/>
          </w:tcPr>
          <w:p w14:paraId="6B20AAE2"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0.5300</w:t>
            </w:r>
          </w:p>
        </w:tc>
        <w:tc>
          <w:tcPr>
            <w:tcW w:w="564" w:type="pct"/>
            <w:tcBorders>
              <w:top w:val="nil"/>
              <w:left w:val="nil"/>
              <w:bottom w:val="nil"/>
              <w:right w:val="nil"/>
            </w:tcBorders>
            <w:shd w:val="clear" w:color="auto" w:fill="auto"/>
            <w:noWrap/>
            <w:vAlign w:val="center"/>
            <w:hideMark/>
          </w:tcPr>
          <w:p w14:paraId="5F48839B"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0.0552</w:t>
            </w:r>
          </w:p>
        </w:tc>
        <w:tc>
          <w:tcPr>
            <w:tcW w:w="564" w:type="pct"/>
            <w:tcBorders>
              <w:top w:val="nil"/>
              <w:left w:val="nil"/>
              <w:bottom w:val="nil"/>
              <w:right w:val="nil"/>
            </w:tcBorders>
            <w:shd w:val="clear" w:color="auto" w:fill="auto"/>
            <w:noWrap/>
            <w:vAlign w:val="center"/>
            <w:hideMark/>
          </w:tcPr>
          <w:p w14:paraId="7BEDB389"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0.5766</w:t>
            </w:r>
          </w:p>
        </w:tc>
      </w:tr>
      <w:tr w:rsidR="00C30160" w:rsidRPr="00CE0DE7" w14:paraId="423A0524" w14:textId="77777777" w:rsidTr="00C24E43">
        <w:trPr>
          <w:trHeight w:val="300"/>
        </w:trPr>
        <w:tc>
          <w:tcPr>
            <w:tcW w:w="1617" w:type="pct"/>
            <w:tcBorders>
              <w:top w:val="nil"/>
              <w:left w:val="nil"/>
              <w:bottom w:val="single" w:sz="12" w:space="0" w:color="auto"/>
              <w:right w:val="single" w:sz="4" w:space="0" w:color="auto"/>
            </w:tcBorders>
            <w:shd w:val="clear" w:color="auto" w:fill="auto"/>
            <w:noWrap/>
            <w:vAlign w:val="bottom"/>
            <w:hideMark/>
          </w:tcPr>
          <w:p w14:paraId="48F34F9D"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LM</w:t>
            </w:r>
            <w:r w:rsidRPr="00CE0DE7">
              <w:rPr>
                <w:rFonts w:eastAsia="Times New Roman"/>
                <w:i/>
                <w:iCs/>
                <w:color w:val="000000"/>
                <w:sz w:val="20"/>
                <w:szCs w:val="20"/>
                <w:vertAlign w:val="superscript"/>
                <w:lang w:val="en-GB" w:eastAsia="zh-CN"/>
              </w:rPr>
              <w:t>SP500</w:t>
            </w:r>
          </w:p>
        </w:tc>
        <w:tc>
          <w:tcPr>
            <w:tcW w:w="564" w:type="pct"/>
            <w:tcBorders>
              <w:top w:val="nil"/>
              <w:left w:val="single" w:sz="4" w:space="0" w:color="auto"/>
              <w:bottom w:val="single" w:sz="12" w:space="0" w:color="auto"/>
              <w:right w:val="nil"/>
            </w:tcBorders>
            <w:shd w:val="clear" w:color="auto" w:fill="auto"/>
            <w:noWrap/>
            <w:vAlign w:val="center"/>
            <w:hideMark/>
          </w:tcPr>
          <w:p w14:paraId="394219CB"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0.1143</w:t>
            </w:r>
          </w:p>
        </w:tc>
        <w:tc>
          <w:tcPr>
            <w:tcW w:w="564" w:type="pct"/>
            <w:tcBorders>
              <w:top w:val="nil"/>
              <w:left w:val="nil"/>
              <w:bottom w:val="single" w:sz="12" w:space="0" w:color="auto"/>
              <w:right w:val="nil"/>
            </w:tcBorders>
            <w:shd w:val="clear" w:color="auto" w:fill="auto"/>
            <w:noWrap/>
            <w:vAlign w:val="center"/>
            <w:hideMark/>
          </w:tcPr>
          <w:p w14:paraId="37E45FD5"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0.0000</w:t>
            </w:r>
          </w:p>
        </w:tc>
        <w:tc>
          <w:tcPr>
            <w:tcW w:w="564" w:type="pct"/>
            <w:tcBorders>
              <w:top w:val="nil"/>
              <w:left w:val="nil"/>
              <w:bottom w:val="single" w:sz="12" w:space="0" w:color="auto"/>
              <w:right w:val="nil"/>
            </w:tcBorders>
            <w:shd w:val="clear" w:color="auto" w:fill="auto"/>
            <w:noWrap/>
            <w:vAlign w:val="center"/>
            <w:hideMark/>
          </w:tcPr>
          <w:p w14:paraId="4F3D351C"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0.0354</w:t>
            </w:r>
          </w:p>
        </w:tc>
        <w:tc>
          <w:tcPr>
            <w:tcW w:w="564" w:type="pct"/>
            <w:tcBorders>
              <w:top w:val="nil"/>
              <w:left w:val="nil"/>
              <w:bottom w:val="single" w:sz="12" w:space="0" w:color="auto"/>
              <w:right w:val="nil"/>
            </w:tcBorders>
            <w:shd w:val="clear" w:color="auto" w:fill="auto"/>
            <w:noWrap/>
            <w:vAlign w:val="center"/>
            <w:hideMark/>
          </w:tcPr>
          <w:p w14:paraId="7A2B5EFE"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0.2171</w:t>
            </w:r>
          </w:p>
        </w:tc>
        <w:tc>
          <w:tcPr>
            <w:tcW w:w="564" w:type="pct"/>
            <w:tcBorders>
              <w:top w:val="nil"/>
              <w:left w:val="nil"/>
              <w:bottom w:val="single" w:sz="12" w:space="0" w:color="auto"/>
              <w:right w:val="nil"/>
            </w:tcBorders>
            <w:shd w:val="clear" w:color="auto" w:fill="auto"/>
            <w:noWrap/>
            <w:vAlign w:val="center"/>
            <w:hideMark/>
          </w:tcPr>
          <w:p w14:paraId="6CE81EB9"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0.0332</w:t>
            </w:r>
          </w:p>
        </w:tc>
        <w:tc>
          <w:tcPr>
            <w:tcW w:w="564" w:type="pct"/>
            <w:tcBorders>
              <w:top w:val="nil"/>
              <w:left w:val="nil"/>
              <w:bottom w:val="single" w:sz="12" w:space="0" w:color="auto"/>
              <w:right w:val="nil"/>
            </w:tcBorders>
            <w:shd w:val="clear" w:color="auto" w:fill="auto"/>
            <w:noWrap/>
            <w:vAlign w:val="center"/>
            <w:hideMark/>
          </w:tcPr>
          <w:p w14:paraId="1FEF8124"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0.4906</w:t>
            </w:r>
          </w:p>
        </w:tc>
      </w:tr>
      <w:tr w:rsidR="00C30160" w:rsidRPr="00CE0DE7" w14:paraId="33C838A0" w14:textId="77777777" w:rsidTr="00C24E43">
        <w:trPr>
          <w:trHeight w:val="315"/>
        </w:trPr>
        <w:tc>
          <w:tcPr>
            <w:tcW w:w="5000" w:type="pct"/>
            <w:gridSpan w:val="7"/>
            <w:tcBorders>
              <w:top w:val="single" w:sz="12" w:space="0" w:color="auto"/>
              <w:left w:val="nil"/>
              <w:bottom w:val="single" w:sz="12" w:space="0" w:color="auto"/>
              <w:right w:val="nil"/>
            </w:tcBorders>
            <w:shd w:val="clear" w:color="auto" w:fill="auto"/>
            <w:noWrap/>
            <w:vAlign w:val="center"/>
            <w:hideMark/>
          </w:tcPr>
          <w:p w14:paraId="46E3FF5C" w14:textId="77777777" w:rsidR="00C30160" w:rsidRPr="00CE0DE7" w:rsidRDefault="00C30160" w:rsidP="00C24E43">
            <w:pPr>
              <w:jc w:val="center"/>
              <w:rPr>
                <w:rFonts w:eastAsia="Times New Roman"/>
                <w:color w:val="000000"/>
                <w:sz w:val="20"/>
                <w:szCs w:val="20"/>
                <w:lang w:val="en-GB" w:eastAsia="zh-CN"/>
              </w:rPr>
            </w:pPr>
          </w:p>
        </w:tc>
      </w:tr>
      <w:tr w:rsidR="00C30160" w:rsidRPr="00CE0DE7" w14:paraId="04F2EE02" w14:textId="77777777" w:rsidTr="00C24E43">
        <w:trPr>
          <w:trHeight w:val="300"/>
        </w:trPr>
        <w:tc>
          <w:tcPr>
            <w:tcW w:w="1617" w:type="pct"/>
            <w:tcBorders>
              <w:top w:val="single" w:sz="12" w:space="0" w:color="auto"/>
              <w:left w:val="nil"/>
              <w:bottom w:val="nil"/>
              <w:right w:val="single" w:sz="4" w:space="0" w:color="auto"/>
            </w:tcBorders>
            <w:shd w:val="clear" w:color="auto" w:fill="auto"/>
            <w:noWrap/>
            <w:vAlign w:val="bottom"/>
            <w:hideMark/>
          </w:tcPr>
          <w:p w14:paraId="2331218D" w14:textId="77777777" w:rsidR="00C30160" w:rsidRPr="00CE0DE7" w:rsidRDefault="00C30160" w:rsidP="00C24E43">
            <w:pPr>
              <w:jc w:val="center"/>
              <w:rPr>
                <w:rFonts w:eastAsia="Times New Roman"/>
                <w:sz w:val="20"/>
                <w:szCs w:val="20"/>
                <w:lang w:val="en-GB" w:eastAsia="zh-CN"/>
              </w:rPr>
            </w:pPr>
          </w:p>
        </w:tc>
        <w:tc>
          <w:tcPr>
            <w:tcW w:w="3383" w:type="pct"/>
            <w:gridSpan w:val="6"/>
            <w:tcBorders>
              <w:top w:val="single" w:sz="12" w:space="0" w:color="auto"/>
              <w:left w:val="single" w:sz="4" w:space="0" w:color="auto"/>
              <w:bottom w:val="single" w:sz="4" w:space="0" w:color="auto"/>
              <w:right w:val="nil"/>
            </w:tcBorders>
            <w:shd w:val="clear" w:color="auto" w:fill="auto"/>
            <w:noWrap/>
            <w:vAlign w:val="center"/>
            <w:hideMark/>
          </w:tcPr>
          <w:p w14:paraId="2EE0E661"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 xml:space="preserve">X1: </w:t>
            </w:r>
            <w:r w:rsidRPr="00CE0DE7">
              <w:rPr>
                <w:rFonts w:eastAsia="Times New Roman"/>
                <w:i/>
                <w:iCs/>
                <w:color w:val="000000"/>
                <w:sz w:val="22"/>
                <w:szCs w:val="22"/>
                <w:lang w:val="en-GB" w:eastAsia="zh-CN"/>
              </w:rPr>
              <w:t>INDEX</w:t>
            </w:r>
          </w:p>
        </w:tc>
      </w:tr>
      <w:tr w:rsidR="00C30160" w:rsidRPr="00CE0DE7" w14:paraId="5B50744A" w14:textId="77777777" w:rsidTr="00C24E43">
        <w:trPr>
          <w:trHeight w:val="300"/>
        </w:trPr>
        <w:tc>
          <w:tcPr>
            <w:tcW w:w="1617" w:type="pct"/>
            <w:tcBorders>
              <w:top w:val="nil"/>
              <w:left w:val="nil"/>
              <w:bottom w:val="single" w:sz="4" w:space="0" w:color="auto"/>
              <w:right w:val="single" w:sz="4" w:space="0" w:color="auto"/>
            </w:tcBorders>
            <w:shd w:val="clear" w:color="auto" w:fill="auto"/>
            <w:noWrap/>
            <w:vAlign w:val="bottom"/>
            <w:hideMark/>
          </w:tcPr>
          <w:p w14:paraId="76A1833D" w14:textId="77777777" w:rsidR="00C30160" w:rsidRPr="00CE0DE7" w:rsidRDefault="00C30160" w:rsidP="00C24E43">
            <w:pPr>
              <w:jc w:val="center"/>
              <w:rPr>
                <w:rFonts w:eastAsia="Times New Roman"/>
                <w:color w:val="000000"/>
                <w:sz w:val="20"/>
                <w:szCs w:val="20"/>
                <w:lang w:val="en-GB" w:eastAsia="zh-CN"/>
              </w:rPr>
            </w:pPr>
          </w:p>
        </w:tc>
        <w:tc>
          <w:tcPr>
            <w:tcW w:w="564" w:type="pct"/>
            <w:tcBorders>
              <w:top w:val="single" w:sz="4" w:space="0" w:color="auto"/>
              <w:left w:val="single" w:sz="4" w:space="0" w:color="auto"/>
              <w:bottom w:val="single" w:sz="4" w:space="0" w:color="auto"/>
              <w:right w:val="nil"/>
            </w:tcBorders>
            <w:shd w:val="clear" w:color="auto" w:fill="auto"/>
            <w:noWrap/>
            <w:vAlign w:val="center"/>
            <w:hideMark/>
          </w:tcPr>
          <w:p w14:paraId="2D34A410"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X1-&gt;X2</w:t>
            </w:r>
          </w:p>
        </w:tc>
        <w:tc>
          <w:tcPr>
            <w:tcW w:w="564" w:type="pct"/>
            <w:tcBorders>
              <w:top w:val="single" w:sz="4" w:space="0" w:color="auto"/>
              <w:left w:val="nil"/>
              <w:bottom w:val="single" w:sz="4" w:space="0" w:color="auto"/>
              <w:right w:val="nil"/>
            </w:tcBorders>
            <w:shd w:val="clear" w:color="auto" w:fill="auto"/>
            <w:noWrap/>
            <w:vAlign w:val="center"/>
            <w:hideMark/>
          </w:tcPr>
          <w:p w14:paraId="5786B8AD"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X2-&gt;X1</w:t>
            </w:r>
          </w:p>
        </w:tc>
        <w:tc>
          <w:tcPr>
            <w:tcW w:w="564" w:type="pct"/>
            <w:tcBorders>
              <w:top w:val="single" w:sz="4" w:space="0" w:color="auto"/>
              <w:left w:val="nil"/>
              <w:bottom w:val="single" w:sz="4" w:space="0" w:color="auto"/>
              <w:right w:val="nil"/>
            </w:tcBorders>
            <w:shd w:val="clear" w:color="auto" w:fill="auto"/>
            <w:noWrap/>
            <w:vAlign w:val="center"/>
            <w:hideMark/>
          </w:tcPr>
          <w:p w14:paraId="6667ADE5"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X1-&gt;X3</w:t>
            </w:r>
          </w:p>
        </w:tc>
        <w:tc>
          <w:tcPr>
            <w:tcW w:w="564" w:type="pct"/>
            <w:tcBorders>
              <w:top w:val="single" w:sz="4" w:space="0" w:color="auto"/>
              <w:left w:val="nil"/>
              <w:bottom w:val="single" w:sz="4" w:space="0" w:color="auto"/>
              <w:right w:val="nil"/>
            </w:tcBorders>
            <w:shd w:val="clear" w:color="auto" w:fill="auto"/>
            <w:noWrap/>
            <w:vAlign w:val="center"/>
            <w:hideMark/>
          </w:tcPr>
          <w:p w14:paraId="32871D5B"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X3-&gt;X1</w:t>
            </w:r>
          </w:p>
        </w:tc>
        <w:tc>
          <w:tcPr>
            <w:tcW w:w="564" w:type="pct"/>
            <w:tcBorders>
              <w:top w:val="single" w:sz="4" w:space="0" w:color="auto"/>
              <w:left w:val="nil"/>
              <w:bottom w:val="single" w:sz="4" w:space="0" w:color="auto"/>
              <w:right w:val="nil"/>
            </w:tcBorders>
            <w:shd w:val="clear" w:color="auto" w:fill="auto"/>
            <w:noWrap/>
            <w:vAlign w:val="center"/>
            <w:hideMark/>
          </w:tcPr>
          <w:p w14:paraId="047E0CDF"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X2-&gt;X3</w:t>
            </w:r>
          </w:p>
        </w:tc>
        <w:tc>
          <w:tcPr>
            <w:tcW w:w="564" w:type="pct"/>
            <w:tcBorders>
              <w:top w:val="single" w:sz="4" w:space="0" w:color="auto"/>
              <w:left w:val="nil"/>
              <w:bottom w:val="single" w:sz="4" w:space="0" w:color="auto"/>
              <w:right w:val="nil"/>
            </w:tcBorders>
            <w:shd w:val="clear" w:color="auto" w:fill="auto"/>
            <w:noWrap/>
            <w:vAlign w:val="center"/>
            <w:hideMark/>
          </w:tcPr>
          <w:p w14:paraId="72C06E32"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X3-&gt;X2</w:t>
            </w:r>
          </w:p>
        </w:tc>
      </w:tr>
      <w:tr w:rsidR="00C30160" w:rsidRPr="00CE0DE7" w14:paraId="1243B798" w14:textId="77777777" w:rsidTr="00C24E43">
        <w:trPr>
          <w:trHeight w:val="300"/>
        </w:trPr>
        <w:tc>
          <w:tcPr>
            <w:tcW w:w="1617" w:type="pct"/>
            <w:tcBorders>
              <w:top w:val="single" w:sz="4" w:space="0" w:color="auto"/>
              <w:left w:val="nil"/>
              <w:bottom w:val="nil"/>
              <w:right w:val="single" w:sz="4" w:space="0" w:color="auto"/>
            </w:tcBorders>
            <w:shd w:val="clear" w:color="auto" w:fill="auto"/>
            <w:noWrap/>
            <w:vAlign w:val="bottom"/>
            <w:hideMark/>
          </w:tcPr>
          <w:p w14:paraId="388A2C1A"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LM</w:t>
            </w:r>
            <w:r w:rsidRPr="00CE0DE7">
              <w:rPr>
                <w:rFonts w:eastAsia="Times New Roman"/>
                <w:i/>
                <w:iCs/>
                <w:color w:val="000000"/>
                <w:sz w:val="20"/>
                <w:szCs w:val="20"/>
                <w:vertAlign w:val="superscript"/>
                <w:lang w:val="en-GB" w:eastAsia="zh-CN"/>
              </w:rPr>
              <w:t>NYSE</w:t>
            </w:r>
          </w:p>
        </w:tc>
        <w:tc>
          <w:tcPr>
            <w:tcW w:w="564" w:type="pct"/>
            <w:tcBorders>
              <w:top w:val="single" w:sz="4" w:space="0" w:color="auto"/>
              <w:left w:val="single" w:sz="4" w:space="0" w:color="auto"/>
              <w:bottom w:val="nil"/>
              <w:right w:val="nil"/>
            </w:tcBorders>
            <w:shd w:val="clear" w:color="auto" w:fill="auto"/>
            <w:noWrap/>
            <w:vAlign w:val="center"/>
            <w:hideMark/>
          </w:tcPr>
          <w:p w14:paraId="27CAA688"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0.8755</w:t>
            </w:r>
          </w:p>
        </w:tc>
        <w:tc>
          <w:tcPr>
            <w:tcW w:w="564" w:type="pct"/>
            <w:tcBorders>
              <w:top w:val="single" w:sz="4" w:space="0" w:color="auto"/>
              <w:left w:val="nil"/>
              <w:bottom w:val="nil"/>
              <w:right w:val="nil"/>
            </w:tcBorders>
            <w:shd w:val="clear" w:color="auto" w:fill="auto"/>
            <w:noWrap/>
            <w:vAlign w:val="center"/>
            <w:hideMark/>
          </w:tcPr>
          <w:p w14:paraId="24637504"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0.0000</w:t>
            </w:r>
          </w:p>
        </w:tc>
        <w:tc>
          <w:tcPr>
            <w:tcW w:w="564" w:type="pct"/>
            <w:tcBorders>
              <w:top w:val="single" w:sz="4" w:space="0" w:color="auto"/>
              <w:left w:val="nil"/>
              <w:bottom w:val="nil"/>
              <w:right w:val="nil"/>
            </w:tcBorders>
            <w:shd w:val="clear" w:color="auto" w:fill="auto"/>
            <w:noWrap/>
            <w:vAlign w:val="center"/>
            <w:hideMark/>
          </w:tcPr>
          <w:p w14:paraId="168CEA7B"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0.0010</w:t>
            </w:r>
          </w:p>
        </w:tc>
        <w:tc>
          <w:tcPr>
            <w:tcW w:w="564" w:type="pct"/>
            <w:tcBorders>
              <w:top w:val="single" w:sz="4" w:space="0" w:color="auto"/>
              <w:left w:val="nil"/>
              <w:bottom w:val="nil"/>
              <w:right w:val="nil"/>
            </w:tcBorders>
            <w:shd w:val="clear" w:color="auto" w:fill="auto"/>
            <w:noWrap/>
            <w:vAlign w:val="center"/>
            <w:hideMark/>
          </w:tcPr>
          <w:p w14:paraId="370C23DC"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0.4253</w:t>
            </w:r>
          </w:p>
        </w:tc>
        <w:tc>
          <w:tcPr>
            <w:tcW w:w="564" w:type="pct"/>
            <w:tcBorders>
              <w:top w:val="single" w:sz="4" w:space="0" w:color="auto"/>
              <w:left w:val="nil"/>
              <w:bottom w:val="nil"/>
              <w:right w:val="nil"/>
            </w:tcBorders>
            <w:shd w:val="clear" w:color="auto" w:fill="auto"/>
            <w:noWrap/>
            <w:vAlign w:val="center"/>
            <w:hideMark/>
          </w:tcPr>
          <w:p w14:paraId="67C88B15"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0.1185</w:t>
            </w:r>
          </w:p>
        </w:tc>
        <w:tc>
          <w:tcPr>
            <w:tcW w:w="564" w:type="pct"/>
            <w:tcBorders>
              <w:top w:val="single" w:sz="4" w:space="0" w:color="auto"/>
              <w:left w:val="nil"/>
              <w:bottom w:val="nil"/>
              <w:right w:val="nil"/>
            </w:tcBorders>
            <w:shd w:val="clear" w:color="auto" w:fill="auto"/>
            <w:noWrap/>
            <w:vAlign w:val="center"/>
            <w:hideMark/>
          </w:tcPr>
          <w:p w14:paraId="138C8E81"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0.1715</w:t>
            </w:r>
          </w:p>
        </w:tc>
      </w:tr>
      <w:tr w:rsidR="00C30160" w:rsidRPr="00CE0DE7" w14:paraId="1FBA02C1" w14:textId="77777777" w:rsidTr="00C24E43">
        <w:trPr>
          <w:trHeight w:val="300"/>
        </w:trPr>
        <w:tc>
          <w:tcPr>
            <w:tcW w:w="1617" w:type="pct"/>
            <w:tcBorders>
              <w:top w:val="nil"/>
              <w:left w:val="nil"/>
              <w:bottom w:val="nil"/>
              <w:right w:val="single" w:sz="4" w:space="0" w:color="auto"/>
            </w:tcBorders>
            <w:shd w:val="clear" w:color="auto" w:fill="auto"/>
            <w:noWrap/>
            <w:vAlign w:val="bottom"/>
            <w:hideMark/>
          </w:tcPr>
          <w:p w14:paraId="4AE6F5B2"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LM</w:t>
            </w:r>
            <w:r w:rsidRPr="00CE0DE7">
              <w:rPr>
                <w:rFonts w:eastAsia="Times New Roman"/>
                <w:i/>
                <w:iCs/>
                <w:color w:val="000000"/>
                <w:sz w:val="20"/>
                <w:szCs w:val="20"/>
                <w:vertAlign w:val="superscript"/>
                <w:lang w:val="en-GB" w:eastAsia="zh-CN"/>
              </w:rPr>
              <w:t>SP500</w:t>
            </w:r>
          </w:p>
        </w:tc>
        <w:tc>
          <w:tcPr>
            <w:tcW w:w="564" w:type="pct"/>
            <w:tcBorders>
              <w:top w:val="nil"/>
              <w:left w:val="single" w:sz="4" w:space="0" w:color="auto"/>
              <w:bottom w:val="nil"/>
              <w:right w:val="nil"/>
            </w:tcBorders>
            <w:shd w:val="clear" w:color="auto" w:fill="auto"/>
            <w:noWrap/>
            <w:vAlign w:val="center"/>
            <w:hideMark/>
          </w:tcPr>
          <w:p w14:paraId="196C7F57"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0.8608</w:t>
            </w:r>
          </w:p>
        </w:tc>
        <w:tc>
          <w:tcPr>
            <w:tcW w:w="564" w:type="pct"/>
            <w:tcBorders>
              <w:top w:val="nil"/>
              <w:left w:val="nil"/>
              <w:bottom w:val="nil"/>
              <w:right w:val="nil"/>
            </w:tcBorders>
            <w:shd w:val="clear" w:color="auto" w:fill="auto"/>
            <w:noWrap/>
            <w:vAlign w:val="center"/>
            <w:hideMark/>
          </w:tcPr>
          <w:p w14:paraId="725DDFA1"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0.0000</w:t>
            </w:r>
          </w:p>
        </w:tc>
        <w:tc>
          <w:tcPr>
            <w:tcW w:w="564" w:type="pct"/>
            <w:tcBorders>
              <w:top w:val="nil"/>
              <w:left w:val="nil"/>
              <w:bottom w:val="nil"/>
              <w:right w:val="nil"/>
            </w:tcBorders>
            <w:shd w:val="clear" w:color="auto" w:fill="auto"/>
            <w:noWrap/>
            <w:vAlign w:val="center"/>
            <w:hideMark/>
          </w:tcPr>
          <w:p w14:paraId="16591814"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0.0325</w:t>
            </w:r>
          </w:p>
        </w:tc>
        <w:tc>
          <w:tcPr>
            <w:tcW w:w="564" w:type="pct"/>
            <w:tcBorders>
              <w:top w:val="nil"/>
              <w:left w:val="nil"/>
              <w:bottom w:val="nil"/>
              <w:right w:val="nil"/>
            </w:tcBorders>
            <w:shd w:val="clear" w:color="auto" w:fill="auto"/>
            <w:noWrap/>
            <w:vAlign w:val="center"/>
            <w:hideMark/>
          </w:tcPr>
          <w:p w14:paraId="72FD8304"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0.7813</w:t>
            </w:r>
          </w:p>
        </w:tc>
        <w:tc>
          <w:tcPr>
            <w:tcW w:w="564" w:type="pct"/>
            <w:tcBorders>
              <w:top w:val="nil"/>
              <w:left w:val="nil"/>
              <w:bottom w:val="nil"/>
              <w:right w:val="nil"/>
            </w:tcBorders>
            <w:shd w:val="clear" w:color="auto" w:fill="auto"/>
            <w:noWrap/>
            <w:vAlign w:val="center"/>
            <w:hideMark/>
          </w:tcPr>
          <w:p w14:paraId="029822CC"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0.5928</w:t>
            </w:r>
          </w:p>
        </w:tc>
        <w:tc>
          <w:tcPr>
            <w:tcW w:w="564" w:type="pct"/>
            <w:tcBorders>
              <w:top w:val="nil"/>
              <w:left w:val="nil"/>
              <w:bottom w:val="nil"/>
              <w:right w:val="nil"/>
            </w:tcBorders>
            <w:shd w:val="clear" w:color="auto" w:fill="auto"/>
            <w:noWrap/>
            <w:vAlign w:val="center"/>
            <w:hideMark/>
          </w:tcPr>
          <w:p w14:paraId="217BA6C8"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0.6317</w:t>
            </w:r>
          </w:p>
        </w:tc>
      </w:tr>
      <w:tr w:rsidR="00C30160" w:rsidRPr="00CE0DE7" w14:paraId="566A3DD2" w14:textId="77777777" w:rsidTr="00C24E43">
        <w:trPr>
          <w:trHeight w:val="300"/>
        </w:trPr>
        <w:tc>
          <w:tcPr>
            <w:tcW w:w="1617" w:type="pct"/>
            <w:tcBorders>
              <w:top w:val="nil"/>
              <w:left w:val="nil"/>
              <w:bottom w:val="nil"/>
              <w:right w:val="single" w:sz="4" w:space="0" w:color="auto"/>
            </w:tcBorders>
            <w:shd w:val="clear" w:color="auto" w:fill="auto"/>
            <w:noWrap/>
            <w:vAlign w:val="bottom"/>
            <w:hideMark/>
          </w:tcPr>
          <w:p w14:paraId="3E086428"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LM</w:t>
            </w:r>
            <w:r w:rsidRPr="00CE0DE7">
              <w:rPr>
                <w:rFonts w:eastAsia="Times New Roman"/>
                <w:i/>
                <w:iCs/>
                <w:color w:val="000000"/>
                <w:sz w:val="20"/>
                <w:szCs w:val="20"/>
                <w:vertAlign w:val="superscript"/>
                <w:lang w:val="en-GB" w:eastAsia="zh-CN"/>
              </w:rPr>
              <w:t>NYSE</w:t>
            </w:r>
          </w:p>
        </w:tc>
        <w:tc>
          <w:tcPr>
            <w:tcW w:w="564" w:type="pct"/>
            <w:tcBorders>
              <w:top w:val="nil"/>
              <w:left w:val="single" w:sz="4" w:space="0" w:color="auto"/>
              <w:bottom w:val="nil"/>
              <w:right w:val="nil"/>
            </w:tcBorders>
            <w:shd w:val="clear" w:color="auto" w:fill="auto"/>
            <w:noWrap/>
            <w:vAlign w:val="center"/>
            <w:hideMark/>
          </w:tcPr>
          <w:p w14:paraId="62F7154A"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0.6036</w:t>
            </w:r>
          </w:p>
        </w:tc>
        <w:tc>
          <w:tcPr>
            <w:tcW w:w="564" w:type="pct"/>
            <w:tcBorders>
              <w:top w:val="nil"/>
              <w:left w:val="nil"/>
              <w:bottom w:val="nil"/>
              <w:right w:val="nil"/>
            </w:tcBorders>
            <w:shd w:val="clear" w:color="auto" w:fill="auto"/>
            <w:noWrap/>
            <w:vAlign w:val="center"/>
            <w:hideMark/>
          </w:tcPr>
          <w:p w14:paraId="3BF8B204"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0.0000</w:t>
            </w:r>
          </w:p>
        </w:tc>
        <w:tc>
          <w:tcPr>
            <w:tcW w:w="564" w:type="pct"/>
            <w:tcBorders>
              <w:top w:val="nil"/>
              <w:left w:val="nil"/>
              <w:bottom w:val="nil"/>
              <w:right w:val="nil"/>
            </w:tcBorders>
            <w:shd w:val="clear" w:color="auto" w:fill="auto"/>
            <w:noWrap/>
            <w:vAlign w:val="center"/>
            <w:hideMark/>
          </w:tcPr>
          <w:p w14:paraId="4ED22024"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0.0020</w:t>
            </w:r>
          </w:p>
        </w:tc>
        <w:tc>
          <w:tcPr>
            <w:tcW w:w="564" w:type="pct"/>
            <w:tcBorders>
              <w:top w:val="nil"/>
              <w:left w:val="nil"/>
              <w:bottom w:val="nil"/>
              <w:right w:val="nil"/>
            </w:tcBorders>
            <w:shd w:val="clear" w:color="auto" w:fill="auto"/>
            <w:noWrap/>
            <w:vAlign w:val="center"/>
            <w:hideMark/>
          </w:tcPr>
          <w:p w14:paraId="6E27D300"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0.1140</w:t>
            </w:r>
          </w:p>
        </w:tc>
        <w:tc>
          <w:tcPr>
            <w:tcW w:w="564" w:type="pct"/>
            <w:tcBorders>
              <w:top w:val="nil"/>
              <w:left w:val="nil"/>
              <w:bottom w:val="nil"/>
              <w:right w:val="nil"/>
            </w:tcBorders>
            <w:shd w:val="clear" w:color="auto" w:fill="auto"/>
            <w:noWrap/>
            <w:vAlign w:val="center"/>
            <w:hideMark/>
          </w:tcPr>
          <w:p w14:paraId="08D6A39C"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0.0743</w:t>
            </w:r>
          </w:p>
        </w:tc>
        <w:tc>
          <w:tcPr>
            <w:tcW w:w="564" w:type="pct"/>
            <w:tcBorders>
              <w:top w:val="nil"/>
              <w:left w:val="nil"/>
              <w:bottom w:val="nil"/>
              <w:right w:val="nil"/>
            </w:tcBorders>
            <w:shd w:val="clear" w:color="auto" w:fill="auto"/>
            <w:noWrap/>
            <w:vAlign w:val="center"/>
            <w:hideMark/>
          </w:tcPr>
          <w:p w14:paraId="2D4F4DD9"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0.6638</w:t>
            </w:r>
          </w:p>
        </w:tc>
      </w:tr>
      <w:tr w:rsidR="00C30160" w:rsidRPr="00CE0DE7" w14:paraId="6F5E61A4" w14:textId="77777777" w:rsidTr="00C24E43">
        <w:trPr>
          <w:trHeight w:val="300"/>
        </w:trPr>
        <w:tc>
          <w:tcPr>
            <w:tcW w:w="1617" w:type="pct"/>
            <w:tcBorders>
              <w:top w:val="nil"/>
              <w:left w:val="nil"/>
              <w:bottom w:val="nil"/>
              <w:right w:val="single" w:sz="4" w:space="0" w:color="auto"/>
            </w:tcBorders>
            <w:shd w:val="clear" w:color="auto" w:fill="auto"/>
            <w:noWrap/>
            <w:vAlign w:val="bottom"/>
            <w:hideMark/>
          </w:tcPr>
          <w:p w14:paraId="44D27FC6"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LM</w:t>
            </w:r>
            <w:r w:rsidRPr="00CE0DE7">
              <w:rPr>
                <w:rFonts w:eastAsia="Times New Roman"/>
                <w:i/>
                <w:iCs/>
                <w:color w:val="000000"/>
                <w:sz w:val="20"/>
                <w:szCs w:val="20"/>
                <w:vertAlign w:val="superscript"/>
                <w:lang w:val="en-GB" w:eastAsia="zh-CN"/>
              </w:rPr>
              <w:t>SP500</w:t>
            </w:r>
          </w:p>
        </w:tc>
        <w:tc>
          <w:tcPr>
            <w:tcW w:w="564" w:type="pct"/>
            <w:tcBorders>
              <w:top w:val="nil"/>
              <w:left w:val="single" w:sz="4" w:space="0" w:color="auto"/>
              <w:bottom w:val="nil"/>
              <w:right w:val="nil"/>
            </w:tcBorders>
            <w:shd w:val="clear" w:color="auto" w:fill="auto"/>
            <w:noWrap/>
            <w:vAlign w:val="center"/>
            <w:hideMark/>
          </w:tcPr>
          <w:p w14:paraId="5A7CAAA4"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0.5014</w:t>
            </w:r>
          </w:p>
        </w:tc>
        <w:tc>
          <w:tcPr>
            <w:tcW w:w="564" w:type="pct"/>
            <w:tcBorders>
              <w:top w:val="nil"/>
              <w:left w:val="nil"/>
              <w:bottom w:val="nil"/>
              <w:right w:val="nil"/>
            </w:tcBorders>
            <w:shd w:val="clear" w:color="auto" w:fill="auto"/>
            <w:noWrap/>
            <w:vAlign w:val="center"/>
            <w:hideMark/>
          </w:tcPr>
          <w:p w14:paraId="7BAB3C00"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0.0000</w:t>
            </w:r>
          </w:p>
        </w:tc>
        <w:tc>
          <w:tcPr>
            <w:tcW w:w="564" w:type="pct"/>
            <w:tcBorders>
              <w:top w:val="nil"/>
              <w:left w:val="nil"/>
              <w:bottom w:val="nil"/>
              <w:right w:val="nil"/>
            </w:tcBorders>
            <w:shd w:val="clear" w:color="auto" w:fill="auto"/>
            <w:noWrap/>
            <w:vAlign w:val="center"/>
            <w:hideMark/>
          </w:tcPr>
          <w:p w14:paraId="7329D7D0"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0.0368</w:t>
            </w:r>
          </w:p>
        </w:tc>
        <w:tc>
          <w:tcPr>
            <w:tcW w:w="564" w:type="pct"/>
            <w:tcBorders>
              <w:top w:val="nil"/>
              <w:left w:val="nil"/>
              <w:bottom w:val="nil"/>
              <w:right w:val="nil"/>
            </w:tcBorders>
            <w:shd w:val="clear" w:color="auto" w:fill="auto"/>
            <w:noWrap/>
            <w:vAlign w:val="center"/>
            <w:hideMark/>
          </w:tcPr>
          <w:p w14:paraId="274944AB"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0.3498</w:t>
            </w:r>
          </w:p>
        </w:tc>
        <w:tc>
          <w:tcPr>
            <w:tcW w:w="564" w:type="pct"/>
            <w:tcBorders>
              <w:top w:val="nil"/>
              <w:left w:val="nil"/>
              <w:bottom w:val="nil"/>
              <w:right w:val="nil"/>
            </w:tcBorders>
            <w:shd w:val="clear" w:color="auto" w:fill="auto"/>
            <w:noWrap/>
            <w:vAlign w:val="center"/>
            <w:hideMark/>
          </w:tcPr>
          <w:p w14:paraId="40DC2292"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0.0020</w:t>
            </w:r>
          </w:p>
        </w:tc>
        <w:tc>
          <w:tcPr>
            <w:tcW w:w="564" w:type="pct"/>
            <w:tcBorders>
              <w:top w:val="nil"/>
              <w:left w:val="nil"/>
              <w:bottom w:val="nil"/>
              <w:right w:val="nil"/>
            </w:tcBorders>
            <w:shd w:val="clear" w:color="auto" w:fill="auto"/>
            <w:noWrap/>
            <w:vAlign w:val="center"/>
            <w:hideMark/>
          </w:tcPr>
          <w:p w14:paraId="58271BB2"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0.8722</w:t>
            </w:r>
          </w:p>
        </w:tc>
      </w:tr>
      <w:tr w:rsidR="00C30160" w:rsidRPr="00CE0DE7" w14:paraId="5428ADAC" w14:textId="77777777" w:rsidTr="00C24E43">
        <w:trPr>
          <w:trHeight w:val="300"/>
        </w:trPr>
        <w:tc>
          <w:tcPr>
            <w:tcW w:w="1617" w:type="pct"/>
            <w:tcBorders>
              <w:top w:val="nil"/>
              <w:left w:val="nil"/>
              <w:bottom w:val="nil"/>
              <w:right w:val="single" w:sz="4" w:space="0" w:color="auto"/>
            </w:tcBorders>
            <w:shd w:val="clear" w:color="auto" w:fill="auto"/>
            <w:noWrap/>
            <w:vAlign w:val="bottom"/>
            <w:hideMark/>
          </w:tcPr>
          <w:p w14:paraId="12D4B296"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LM</w:t>
            </w:r>
            <w:r w:rsidRPr="00CE0DE7">
              <w:rPr>
                <w:rFonts w:eastAsia="Times New Roman"/>
                <w:i/>
                <w:iCs/>
                <w:color w:val="000000"/>
                <w:sz w:val="20"/>
                <w:szCs w:val="20"/>
                <w:vertAlign w:val="superscript"/>
                <w:lang w:val="en-GB" w:eastAsia="zh-CN"/>
              </w:rPr>
              <w:t>NYSE</w:t>
            </w:r>
          </w:p>
        </w:tc>
        <w:tc>
          <w:tcPr>
            <w:tcW w:w="564" w:type="pct"/>
            <w:tcBorders>
              <w:top w:val="nil"/>
              <w:left w:val="single" w:sz="4" w:space="0" w:color="auto"/>
              <w:bottom w:val="nil"/>
              <w:right w:val="nil"/>
            </w:tcBorders>
            <w:shd w:val="clear" w:color="auto" w:fill="auto"/>
            <w:noWrap/>
            <w:vAlign w:val="center"/>
            <w:hideMark/>
          </w:tcPr>
          <w:p w14:paraId="04D3EE73"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0.1683</w:t>
            </w:r>
          </w:p>
        </w:tc>
        <w:tc>
          <w:tcPr>
            <w:tcW w:w="564" w:type="pct"/>
            <w:tcBorders>
              <w:top w:val="nil"/>
              <w:left w:val="nil"/>
              <w:bottom w:val="nil"/>
              <w:right w:val="nil"/>
            </w:tcBorders>
            <w:shd w:val="clear" w:color="auto" w:fill="auto"/>
            <w:noWrap/>
            <w:vAlign w:val="center"/>
            <w:hideMark/>
          </w:tcPr>
          <w:p w14:paraId="516F6FF8"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0.0000</w:t>
            </w:r>
          </w:p>
        </w:tc>
        <w:tc>
          <w:tcPr>
            <w:tcW w:w="564" w:type="pct"/>
            <w:tcBorders>
              <w:top w:val="nil"/>
              <w:left w:val="nil"/>
              <w:bottom w:val="nil"/>
              <w:right w:val="nil"/>
            </w:tcBorders>
            <w:shd w:val="clear" w:color="auto" w:fill="auto"/>
            <w:noWrap/>
            <w:vAlign w:val="center"/>
            <w:hideMark/>
          </w:tcPr>
          <w:p w14:paraId="3B274DCB"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0.0040</w:t>
            </w:r>
          </w:p>
        </w:tc>
        <w:tc>
          <w:tcPr>
            <w:tcW w:w="564" w:type="pct"/>
            <w:tcBorders>
              <w:top w:val="nil"/>
              <w:left w:val="nil"/>
              <w:bottom w:val="nil"/>
              <w:right w:val="nil"/>
            </w:tcBorders>
            <w:shd w:val="clear" w:color="auto" w:fill="auto"/>
            <w:noWrap/>
            <w:vAlign w:val="center"/>
            <w:hideMark/>
          </w:tcPr>
          <w:p w14:paraId="6DE03045"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0.4389</w:t>
            </w:r>
          </w:p>
        </w:tc>
        <w:tc>
          <w:tcPr>
            <w:tcW w:w="564" w:type="pct"/>
            <w:tcBorders>
              <w:top w:val="nil"/>
              <w:left w:val="nil"/>
              <w:bottom w:val="nil"/>
              <w:right w:val="nil"/>
            </w:tcBorders>
            <w:shd w:val="clear" w:color="auto" w:fill="auto"/>
            <w:noWrap/>
            <w:vAlign w:val="center"/>
            <w:hideMark/>
          </w:tcPr>
          <w:p w14:paraId="4CA8CADD"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0.0669</w:t>
            </w:r>
          </w:p>
        </w:tc>
        <w:tc>
          <w:tcPr>
            <w:tcW w:w="564" w:type="pct"/>
            <w:tcBorders>
              <w:top w:val="nil"/>
              <w:left w:val="nil"/>
              <w:bottom w:val="nil"/>
              <w:right w:val="nil"/>
            </w:tcBorders>
            <w:shd w:val="clear" w:color="auto" w:fill="auto"/>
            <w:noWrap/>
            <w:vAlign w:val="center"/>
            <w:hideMark/>
          </w:tcPr>
          <w:p w14:paraId="027B6D9C"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0.5798</w:t>
            </w:r>
          </w:p>
        </w:tc>
      </w:tr>
      <w:tr w:rsidR="00C30160" w:rsidRPr="00CE0DE7" w14:paraId="3E5D5146" w14:textId="77777777" w:rsidTr="00C24E43">
        <w:trPr>
          <w:trHeight w:val="300"/>
        </w:trPr>
        <w:tc>
          <w:tcPr>
            <w:tcW w:w="1617" w:type="pct"/>
            <w:tcBorders>
              <w:top w:val="nil"/>
              <w:left w:val="nil"/>
              <w:bottom w:val="double" w:sz="4" w:space="0" w:color="auto"/>
              <w:right w:val="single" w:sz="4" w:space="0" w:color="auto"/>
            </w:tcBorders>
            <w:shd w:val="clear" w:color="auto" w:fill="auto"/>
            <w:noWrap/>
            <w:vAlign w:val="bottom"/>
            <w:hideMark/>
          </w:tcPr>
          <w:p w14:paraId="379B7B93" w14:textId="77777777" w:rsidR="00C30160" w:rsidRPr="00CE0DE7" w:rsidRDefault="00C30160" w:rsidP="00C24E43">
            <w:pPr>
              <w:rPr>
                <w:rFonts w:eastAsia="Times New Roman"/>
                <w:color w:val="000000"/>
                <w:sz w:val="20"/>
                <w:szCs w:val="20"/>
                <w:lang w:val="en-GB" w:eastAsia="zh-CN"/>
              </w:rPr>
            </w:pPr>
            <w:r w:rsidRPr="00CE0DE7">
              <w:rPr>
                <w:rFonts w:eastAsia="Times New Roman"/>
                <w:color w:val="000000"/>
                <w:sz w:val="20"/>
                <w:szCs w:val="20"/>
                <w:lang w:val="en-GB" w:eastAsia="zh-CN"/>
              </w:rPr>
              <w:t xml:space="preserve">X2: </w:t>
            </w: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r w:rsidRPr="00CE0DE7">
              <w:rPr>
                <w:rFonts w:eastAsia="Times New Roman"/>
                <w:color w:val="000000"/>
                <w:sz w:val="20"/>
                <w:szCs w:val="20"/>
                <w:lang w:val="en-GB" w:eastAsia="zh-CN"/>
              </w:rPr>
              <w:t xml:space="preserve">; X3: </w:t>
            </w:r>
            <w:r w:rsidRPr="00CE0DE7">
              <w:rPr>
                <w:rFonts w:eastAsia="Times New Roman"/>
                <w:i/>
                <w:iCs/>
                <w:color w:val="000000"/>
                <w:sz w:val="20"/>
                <w:szCs w:val="20"/>
                <w:lang w:val="en-GB" w:eastAsia="zh-CN"/>
              </w:rPr>
              <w:t>LM</w:t>
            </w:r>
            <w:r w:rsidRPr="00CE0DE7">
              <w:rPr>
                <w:rFonts w:eastAsia="Times New Roman"/>
                <w:i/>
                <w:iCs/>
                <w:color w:val="000000"/>
                <w:sz w:val="20"/>
                <w:szCs w:val="20"/>
                <w:vertAlign w:val="superscript"/>
                <w:lang w:val="en-GB" w:eastAsia="zh-CN"/>
              </w:rPr>
              <w:t>SP500</w:t>
            </w:r>
          </w:p>
        </w:tc>
        <w:tc>
          <w:tcPr>
            <w:tcW w:w="564" w:type="pct"/>
            <w:tcBorders>
              <w:top w:val="nil"/>
              <w:left w:val="single" w:sz="4" w:space="0" w:color="auto"/>
              <w:bottom w:val="double" w:sz="4" w:space="0" w:color="auto"/>
              <w:right w:val="nil"/>
            </w:tcBorders>
            <w:shd w:val="clear" w:color="auto" w:fill="auto"/>
            <w:noWrap/>
            <w:vAlign w:val="center"/>
            <w:hideMark/>
          </w:tcPr>
          <w:p w14:paraId="62E089F2"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0.1103</w:t>
            </w:r>
          </w:p>
        </w:tc>
        <w:tc>
          <w:tcPr>
            <w:tcW w:w="564" w:type="pct"/>
            <w:tcBorders>
              <w:top w:val="nil"/>
              <w:left w:val="nil"/>
              <w:bottom w:val="double" w:sz="4" w:space="0" w:color="auto"/>
              <w:right w:val="nil"/>
            </w:tcBorders>
            <w:shd w:val="clear" w:color="auto" w:fill="auto"/>
            <w:noWrap/>
            <w:vAlign w:val="center"/>
            <w:hideMark/>
          </w:tcPr>
          <w:p w14:paraId="5B18F70F"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0.0000</w:t>
            </w:r>
          </w:p>
        </w:tc>
        <w:tc>
          <w:tcPr>
            <w:tcW w:w="564" w:type="pct"/>
            <w:tcBorders>
              <w:top w:val="nil"/>
              <w:left w:val="nil"/>
              <w:bottom w:val="double" w:sz="4" w:space="0" w:color="auto"/>
              <w:right w:val="nil"/>
            </w:tcBorders>
            <w:shd w:val="clear" w:color="auto" w:fill="auto"/>
            <w:noWrap/>
            <w:vAlign w:val="center"/>
            <w:hideMark/>
          </w:tcPr>
          <w:p w14:paraId="67CAD4BC"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0.0598</w:t>
            </w:r>
          </w:p>
        </w:tc>
        <w:tc>
          <w:tcPr>
            <w:tcW w:w="564" w:type="pct"/>
            <w:tcBorders>
              <w:top w:val="nil"/>
              <w:left w:val="nil"/>
              <w:bottom w:val="double" w:sz="4" w:space="0" w:color="auto"/>
              <w:right w:val="nil"/>
            </w:tcBorders>
            <w:shd w:val="clear" w:color="auto" w:fill="auto"/>
            <w:noWrap/>
            <w:vAlign w:val="center"/>
            <w:hideMark/>
          </w:tcPr>
          <w:p w14:paraId="6B502BC7"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0.1459</w:t>
            </w:r>
          </w:p>
        </w:tc>
        <w:tc>
          <w:tcPr>
            <w:tcW w:w="564" w:type="pct"/>
            <w:tcBorders>
              <w:top w:val="nil"/>
              <w:left w:val="nil"/>
              <w:bottom w:val="double" w:sz="4" w:space="0" w:color="auto"/>
              <w:right w:val="nil"/>
            </w:tcBorders>
            <w:shd w:val="clear" w:color="auto" w:fill="auto"/>
            <w:noWrap/>
            <w:vAlign w:val="center"/>
            <w:hideMark/>
          </w:tcPr>
          <w:p w14:paraId="7DAC5851"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0.0221</w:t>
            </w:r>
          </w:p>
        </w:tc>
        <w:tc>
          <w:tcPr>
            <w:tcW w:w="564" w:type="pct"/>
            <w:tcBorders>
              <w:top w:val="nil"/>
              <w:left w:val="nil"/>
              <w:bottom w:val="double" w:sz="4" w:space="0" w:color="auto"/>
              <w:right w:val="nil"/>
            </w:tcBorders>
            <w:shd w:val="clear" w:color="auto" w:fill="auto"/>
            <w:noWrap/>
            <w:vAlign w:val="center"/>
            <w:hideMark/>
          </w:tcPr>
          <w:p w14:paraId="57C51256" w14:textId="77777777" w:rsidR="00C30160" w:rsidRPr="00CE0DE7" w:rsidRDefault="00C30160" w:rsidP="00C24E43">
            <w:pPr>
              <w:jc w:val="center"/>
              <w:rPr>
                <w:rFonts w:eastAsia="Times New Roman"/>
                <w:color w:val="000000"/>
                <w:sz w:val="22"/>
                <w:szCs w:val="22"/>
                <w:lang w:val="en-GB" w:eastAsia="zh-CN"/>
              </w:rPr>
            </w:pPr>
            <w:r w:rsidRPr="00CE0DE7">
              <w:rPr>
                <w:rFonts w:eastAsia="Times New Roman"/>
                <w:color w:val="000000"/>
                <w:sz w:val="22"/>
                <w:szCs w:val="22"/>
                <w:lang w:val="en-GB" w:eastAsia="zh-CN"/>
              </w:rPr>
              <w:t>0.4742</w:t>
            </w:r>
          </w:p>
        </w:tc>
      </w:tr>
    </w:tbl>
    <w:p w14:paraId="319F1E7E" w14:textId="035BA65B" w:rsidR="00C30160" w:rsidRPr="00CE0DE7" w:rsidRDefault="00C30160" w:rsidP="00C30160">
      <w:pPr>
        <w:adjustRightInd w:val="0"/>
        <w:snapToGrid w:val="0"/>
        <w:jc w:val="both"/>
        <w:rPr>
          <w:sz w:val="20"/>
          <w:szCs w:val="20"/>
        </w:rPr>
      </w:pPr>
      <w:r w:rsidRPr="00CE0DE7">
        <w:rPr>
          <w:sz w:val="20"/>
          <w:szCs w:val="20"/>
        </w:rPr>
        <w:t xml:space="preserve">This table </w:t>
      </w:r>
      <w:r w:rsidRPr="00CE0DE7">
        <w:rPr>
          <w:sz w:val="20"/>
          <w:szCs w:val="20"/>
          <w:lang w:eastAsia="zh-CN"/>
        </w:rPr>
        <w:t>summarizes</w:t>
      </w:r>
      <w:r w:rsidRPr="00CE0DE7">
        <w:rPr>
          <w:sz w:val="20"/>
          <w:szCs w:val="20"/>
        </w:rPr>
        <w:t xml:space="preserve"> the </w:t>
      </w:r>
      <w:r w:rsidRPr="00CE0DE7">
        <w:rPr>
          <w:i/>
          <w:sz w:val="20"/>
          <w:szCs w:val="20"/>
        </w:rPr>
        <w:t>p</w:t>
      </w:r>
      <w:r w:rsidRPr="00CE0DE7">
        <w:rPr>
          <w:sz w:val="20"/>
          <w:szCs w:val="20"/>
        </w:rPr>
        <w:t>-value of the chi-square statistics for the Toda-Yamamoto Granger non-causality test with control variables (</w:t>
      </w:r>
      <w:r w:rsidRPr="00CE0DE7">
        <w:rPr>
          <w:i/>
          <w:sz w:val="20"/>
          <w:szCs w:val="20"/>
        </w:rPr>
        <w:t>PD, PE, DFSP, TMSP,</w:t>
      </w:r>
      <w:r w:rsidRPr="00CE0DE7">
        <w:rPr>
          <w:sz w:val="20"/>
          <w:szCs w:val="20"/>
        </w:rPr>
        <w:t xml:space="preserve"> </w:t>
      </w:r>
      <w:r w:rsidRPr="00CE0DE7">
        <w:rPr>
          <w:i/>
          <w:sz w:val="20"/>
          <w:szCs w:val="20"/>
        </w:rPr>
        <w:t xml:space="preserve">RREL </w:t>
      </w:r>
      <w:r w:rsidRPr="00CE0DE7">
        <w:rPr>
          <w:sz w:val="20"/>
          <w:szCs w:val="20"/>
        </w:rPr>
        <w:t xml:space="preserve">and </w:t>
      </w:r>
      <w:r w:rsidRPr="00CE0DE7">
        <w:rPr>
          <w:i/>
          <w:sz w:val="20"/>
          <w:szCs w:val="20"/>
        </w:rPr>
        <w:t>CAY</w:t>
      </w:r>
      <w:r w:rsidRPr="00CE0DE7">
        <w:rPr>
          <w:sz w:val="20"/>
          <w:szCs w:val="20"/>
        </w:rPr>
        <w:t xml:space="preserve">) between the stock returns and Liu (2006) liquidity measure, and between the VRP and Liu (2006) liquidity measure. The analysis uses monthly data </w:t>
      </w:r>
      <w:r w:rsidRPr="00CE0DE7">
        <w:rPr>
          <w:sz w:val="20"/>
          <w:szCs w:val="20"/>
          <w:lang w:eastAsia="zh-CN"/>
        </w:rPr>
        <w:t>for</w:t>
      </w:r>
      <w:r w:rsidRPr="00CE0DE7">
        <w:rPr>
          <w:sz w:val="20"/>
          <w:szCs w:val="20"/>
        </w:rPr>
        <w:t xml:space="preserve"> </w:t>
      </w:r>
      <w:r w:rsidRPr="00CE0DE7">
        <w:rPr>
          <w:sz w:val="20"/>
          <w:szCs w:val="20"/>
          <w:lang w:eastAsia="zh-CN"/>
        </w:rPr>
        <w:t xml:space="preserve">the </w:t>
      </w:r>
      <w:r w:rsidRPr="00CE0DE7">
        <w:rPr>
          <w:sz w:val="20"/>
          <w:szCs w:val="20"/>
        </w:rPr>
        <w:t xml:space="preserve">full sample </w:t>
      </w:r>
      <w:r w:rsidRPr="00CE0DE7">
        <w:rPr>
          <w:sz w:val="20"/>
          <w:szCs w:val="20"/>
          <w:lang w:eastAsia="zh-CN"/>
        </w:rPr>
        <w:t xml:space="preserve">from </w:t>
      </w:r>
      <w:r w:rsidRPr="00CE0DE7">
        <w:rPr>
          <w:sz w:val="20"/>
          <w:szCs w:val="20"/>
        </w:rPr>
        <w:t>January 1990 to December 201</w:t>
      </w:r>
      <w:r w:rsidR="004F7745" w:rsidRPr="00CE0DE7">
        <w:rPr>
          <w:rFonts w:hint="eastAsia"/>
          <w:sz w:val="20"/>
          <w:szCs w:val="20"/>
          <w:lang w:eastAsia="zh-CN"/>
        </w:rPr>
        <w:t>8</w:t>
      </w:r>
      <w:r w:rsidRPr="00CE0DE7">
        <w:rPr>
          <w:sz w:val="20"/>
          <w:szCs w:val="20"/>
        </w:rPr>
        <w:t xml:space="preserve">. </w:t>
      </w:r>
    </w:p>
    <w:p w14:paraId="4061A296" w14:textId="77777777" w:rsidR="00C30160" w:rsidRPr="00CE0DE7" w:rsidRDefault="00C30160" w:rsidP="00C30160">
      <w:pPr>
        <w:adjustRightInd w:val="0"/>
        <w:snapToGrid w:val="0"/>
        <w:jc w:val="both"/>
        <w:rPr>
          <w:b/>
          <w:bCs/>
        </w:rPr>
      </w:pPr>
    </w:p>
    <w:p w14:paraId="7CA73406" w14:textId="77777777" w:rsidR="00C30160" w:rsidRPr="00CE0DE7" w:rsidRDefault="00C30160" w:rsidP="00C30160">
      <w:pPr>
        <w:adjustRightInd w:val="0"/>
        <w:snapToGrid w:val="0"/>
        <w:jc w:val="both"/>
        <w:rPr>
          <w:b/>
          <w:bCs/>
        </w:rPr>
      </w:pPr>
    </w:p>
    <w:p w14:paraId="3583BAB9" w14:textId="77777777" w:rsidR="00C30160" w:rsidRPr="00CE0DE7" w:rsidRDefault="00C30160" w:rsidP="00C30160">
      <w:pPr>
        <w:adjustRightInd w:val="0"/>
        <w:snapToGrid w:val="0"/>
        <w:jc w:val="both"/>
        <w:rPr>
          <w:b/>
          <w:bCs/>
        </w:rPr>
      </w:pPr>
    </w:p>
    <w:p w14:paraId="199F1E74" w14:textId="77777777" w:rsidR="00C30160" w:rsidRPr="00CE0DE7" w:rsidRDefault="00C30160" w:rsidP="00C30160">
      <w:pPr>
        <w:adjustRightInd w:val="0"/>
        <w:snapToGrid w:val="0"/>
        <w:jc w:val="both"/>
        <w:rPr>
          <w:b/>
          <w:bCs/>
        </w:rPr>
      </w:pPr>
    </w:p>
    <w:p w14:paraId="08601A6A" w14:textId="77777777" w:rsidR="00C30160" w:rsidRPr="00CE0DE7" w:rsidRDefault="00C30160" w:rsidP="00C30160">
      <w:pPr>
        <w:adjustRightInd w:val="0"/>
        <w:snapToGrid w:val="0"/>
        <w:jc w:val="both"/>
        <w:rPr>
          <w:b/>
          <w:bCs/>
        </w:rPr>
      </w:pPr>
    </w:p>
    <w:p w14:paraId="69E218EA" w14:textId="77777777" w:rsidR="00C30160" w:rsidRPr="00CE0DE7" w:rsidRDefault="00C30160" w:rsidP="00C30160">
      <w:pPr>
        <w:adjustRightInd w:val="0"/>
        <w:snapToGrid w:val="0"/>
        <w:jc w:val="both"/>
        <w:rPr>
          <w:b/>
          <w:bCs/>
        </w:rPr>
      </w:pPr>
    </w:p>
    <w:p w14:paraId="21E2C2FE" w14:textId="77777777" w:rsidR="00C30160" w:rsidRPr="00CE0DE7" w:rsidRDefault="00C30160" w:rsidP="00C30160">
      <w:pPr>
        <w:adjustRightInd w:val="0"/>
        <w:snapToGrid w:val="0"/>
        <w:jc w:val="both"/>
        <w:rPr>
          <w:b/>
          <w:bCs/>
        </w:rPr>
      </w:pPr>
    </w:p>
    <w:p w14:paraId="135F5907" w14:textId="77777777" w:rsidR="00C30160" w:rsidRPr="00CE0DE7" w:rsidRDefault="00C30160" w:rsidP="00C30160">
      <w:pPr>
        <w:adjustRightInd w:val="0"/>
        <w:snapToGrid w:val="0"/>
        <w:jc w:val="both"/>
        <w:rPr>
          <w:b/>
          <w:bCs/>
        </w:rPr>
      </w:pPr>
    </w:p>
    <w:p w14:paraId="4BE71159" w14:textId="77777777" w:rsidR="00C30160" w:rsidRPr="00CE0DE7" w:rsidRDefault="00C30160" w:rsidP="00C30160">
      <w:pPr>
        <w:adjustRightInd w:val="0"/>
        <w:snapToGrid w:val="0"/>
        <w:jc w:val="both"/>
        <w:rPr>
          <w:b/>
          <w:bCs/>
        </w:rPr>
      </w:pPr>
    </w:p>
    <w:p w14:paraId="7A9158D2" w14:textId="77777777" w:rsidR="00C30160" w:rsidRPr="00CE0DE7" w:rsidRDefault="00C30160" w:rsidP="00C30160">
      <w:pPr>
        <w:adjustRightInd w:val="0"/>
        <w:snapToGrid w:val="0"/>
        <w:jc w:val="both"/>
        <w:rPr>
          <w:b/>
          <w:bCs/>
        </w:rPr>
      </w:pPr>
    </w:p>
    <w:p w14:paraId="35097A28" w14:textId="77777777" w:rsidR="00C30160" w:rsidRPr="00CE0DE7" w:rsidRDefault="00C30160" w:rsidP="00C30160">
      <w:pPr>
        <w:adjustRightInd w:val="0"/>
        <w:snapToGrid w:val="0"/>
        <w:jc w:val="both"/>
        <w:rPr>
          <w:b/>
          <w:bCs/>
        </w:rPr>
      </w:pPr>
    </w:p>
    <w:p w14:paraId="47A032C3" w14:textId="77777777" w:rsidR="00C30160" w:rsidRPr="00CE0DE7" w:rsidRDefault="00C30160" w:rsidP="00C30160">
      <w:pPr>
        <w:adjustRightInd w:val="0"/>
        <w:snapToGrid w:val="0"/>
        <w:jc w:val="both"/>
        <w:rPr>
          <w:b/>
          <w:bCs/>
        </w:rPr>
      </w:pPr>
    </w:p>
    <w:p w14:paraId="67C841B2" w14:textId="77777777" w:rsidR="00C30160" w:rsidRPr="00CE0DE7" w:rsidRDefault="00C30160" w:rsidP="00C30160">
      <w:pPr>
        <w:adjustRightInd w:val="0"/>
        <w:snapToGrid w:val="0"/>
        <w:jc w:val="both"/>
        <w:rPr>
          <w:b/>
          <w:bCs/>
        </w:rPr>
      </w:pPr>
    </w:p>
    <w:p w14:paraId="088D4839" w14:textId="77777777" w:rsidR="00C30160" w:rsidRPr="00CE0DE7" w:rsidRDefault="00C30160" w:rsidP="00C30160">
      <w:pPr>
        <w:adjustRightInd w:val="0"/>
        <w:snapToGrid w:val="0"/>
        <w:jc w:val="both"/>
        <w:rPr>
          <w:b/>
          <w:bCs/>
        </w:rPr>
      </w:pPr>
    </w:p>
    <w:p w14:paraId="2F185E2B" w14:textId="77777777" w:rsidR="00C30160" w:rsidRPr="00CE0DE7" w:rsidRDefault="00C30160" w:rsidP="00C30160">
      <w:pPr>
        <w:adjustRightInd w:val="0"/>
        <w:snapToGrid w:val="0"/>
        <w:jc w:val="both"/>
        <w:rPr>
          <w:b/>
          <w:bCs/>
        </w:rPr>
      </w:pPr>
    </w:p>
    <w:p w14:paraId="54E15895" w14:textId="77777777" w:rsidR="00C30160" w:rsidRPr="00CE0DE7" w:rsidRDefault="00C30160" w:rsidP="00C30160">
      <w:pPr>
        <w:adjustRightInd w:val="0"/>
        <w:snapToGrid w:val="0"/>
        <w:jc w:val="both"/>
        <w:rPr>
          <w:b/>
          <w:bCs/>
        </w:rPr>
      </w:pPr>
    </w:p>
    <w:p w14:paraId="64103879" w14:textId="77777777" w:rsidR="00C30160" w:rsidRPr="00CE0DE7" w:rsidRDefault="00C30160" w:rsidP="00C30160">
      <w:pPr>
        <w:adjustRightInd w:val="0"/>
        <w:snapToGrid w:val="0"/>
        <w:jc w:val="both"/>
        <w:rPr>
          <w:b/>
          <w:bCs/>
        </w:rPr>
      </w:pPr>
    </w:p>
    <w:p w14:paraId="5D536CD2" w14:textId="77777777" w:rsidR="00C30160" w:rsidRPr="00CE0DE7" w:rsidRDefault="00C30160" w:rsidP="00C30160">
      <w:pPr>
        <w:adjustRightInd w:val="0"/>
        <w:snapToGrid w:val="0"/>
        <w:jc w:val="both"/>
        <w:rPr>
          <w:b/>
          <w:bCs/>
        </w:rPr>
      </w:pPr>
    </w:p>
    <w:p w14:paraId="64829F96" w14:textId="77777777" w:rsidR="00C30160" w:rsidRPr="00CE0DE7" w:rsidRDefault="00C30160" w:rsidP="00C30160">
      <w:pPr>
        <w:adjustRightInd w:val="0"/>
        <w:snapToGrid w:val="0"/>
        <w:jc w:val="both"/>
        <w:rPr>
          <w:b/>
          <w:bCs/>
        </w:rPr>
      </w:pPr>
    </w:p>
    <w:p w14:paraId="02311B88" w14:textId="77777777" w:rsidR="00C30160" w:rsidRPr="00CE0DE7" w:rsidRDefault="00C30160" w:rsidP="00C30160">
      <w:pPr>
        <w:adjustRightInd w:val="0"/>
        <w:snapToGrid w:val="0"/>
        <w:jc w:val="both"/>
        <w:rPr>
          <w:b/>
          <w:bCs/>
        </w:rPr>
      </w:pPr>
    </w:p>
    <w:p w14:paraId="30F9E24F" w14:textId="3212E56D" w:rsidR="00C30160" w:rsidRDefault="00C30160" w:rsidP="00C30160">
      <w:pPr>
        <w:adjustRightInd w:val="0"/>
        <w:snapToGrid w:val="0"/>
        <w:jc w:val="both"/>
        <w:rPr>
          <w:b/>
          <w:bCs/>
        </w:rPr>
      </w:pPr>
    </w:p>
    <w:p w14:paraId="19F84E88" w14:textId="77777777" w:rsidR="004C1F68" w:rsidRPr="00CE0DE7" w:rsidRDefault="004C1F68" w:rsidP="00C30160">
      <w:pPr>
        <w:adjustRightInd w:val="0"/>
        <w:snapToGrid w:val="0"/>
        <w:jc w:val="both"/>
        <w:rPr>
          <w:b/>
          <w:bCs/>
        </w:rPr>
      </w:pPr>
    </w:p>
    <w:p w14:paraId="7D6BC97D" w14:textId="77777777" w:rsidR="00C30160" w:rsidRPr="00CE0DE7" w:rsidRDefault="00C30160" w:rsidP="00C30160">
      <w:pPr>
        <w:adjustRightInd w:val="0"/>
        <w:snapToGrid w:val="0"/>
        <w:jc w:val="both"/>
        <w:rPr>
          <w:b/>
          <w:bCs/>
        </w:rPr>
      </w:pPr>
    </w:p>
    <w:p w14:paraId="2B1DBA9F" w14:textId="77777777" w:rsidR="00C30160" w:rsidRPr="00CE0DE7" w:rsidRDefault="00C30160" w:rsidP="00C30160">
      <w:pPr>
        <w:adjustRightInd w:val="0"/>
        <w:snapToGrid w:val="0"/>
        <w:jc w:val="both"/>
        <w:rPr>
          <w:b/>
          <w:bCs/>
        </w:rPr>
      </w:pPr>
    </w:p>
    <w:p w14:paraId="5121CAC3" w14:textId="77777777" w:rsidR="00FE16D4" w:rsidRPr="00CE0DE7" w:rsidRDefault="00FE16D4" w:rsidP="00C30160">
      <w:pPr>
        <w:adjustRightInd w:val="0"/>
        <w:snapToGrid w:val="0"/>
        <w:jc w:val="both"/>
        <w:rPr>
          <w:b/>
          <w:bCs/>
          <w:lang w:eastAsia="zh-CN"/>
        </w:rPr>
      </w:pPr>
    </w:p>
    <w:p w14:paraId="10CA363B" w14:textId="77777777" w:rsidR="00272A52" w:rsidRPr="00CE0DE7" w:rsidRDefault="00272A52" w:rsidP="00C30160">
      <w:pPr>
        <w:adjustRightInd w:val="0"/>
        <w:snapToGrid w:val="0"/>
        <w:jc w:val="both"/>
        <w:rPr>
          <w:b/>
          <w:bCs/>
          <w:lang w:eastAsia="zh-CN"/>
        </w:rPr>
      </w:pPr>
    </w:p>
    <w:p w14:paraId="2E8D2321" w14:textId="77777777" w:rsidR="00C30160" w:rsidRPr="00CE0DE7" w:rsidRDefault="00C30160" w:rsidP="00C30160">
      <w:pPr>
        <w:adjustRightInd w:val="0"/>
        <w:snapToGrid w:val="0"/>
        <w:jc w:val="both"/>
        <w:rPr>
          <w:b/>
          <w:bCs/>
          <w:sz w:val="20"/>
          <w:szCs w:val="20"/>
        </w:rPr>
      </w:pPr>
      <w:r w:rsidRPr="00CE0DE7">
        <w:rPr>
          <w:b/>
          <w:bCs/>
          <w:sz w:val="20"/>
          <w:szCs w:val="20"/>
        </w:rPr>
        <w:lastRenderedPageBreak/>
        <w:t xml:space="preserve">Table 9. VRP, illiquidity, and the four systematic factors </w:t>
      </w:r>
    </w:p>
    <w:p w14:paraId="778979C2" w14:textId="77777777" w:rsidR="00C30160" w:rsidRPr="00CE0DE7" w:rsidRDefault="00C30160" w:rsidP="00C30160">
      <w:pPr>
        <w:adjustRightInd w:val="0"/>
        <w:snapToGrid w:val="0"/>
        <w:rPr>
          <w:b/>
          <w:sz w:val="20"/>
          <w:szCs w:val="20"/>
        </w:rPr>
      </w:pPr>
    </w:p>
    <w:p w14:paraId="70110055" w14:textId="77777777" w:rsidR="00C30160" w:rsidRPr="00CE0DE7" w:rsidRDefault="00C30160" w:rsidP="00C30160">
      <w:pPr>
        <w:adjustRightInd w:val="0"/>
        <w:snapToGrid w:val="0"/>
        <w:rPr>
          <w:sz w:val="20"/>
          <w:szCs w:val="20"/>
        </w:rPr>
      </w:pPr>
      <w:r w:rsidRPr="00CE0DE7">
        <w:rPr>
          <w:sz w:val="20"/>
          <w:szCs w:val="20"/>
        </w:rPr>
        <w:t>Panel A</w:t>
      </w:r>
      <w:r w:rsidRPr="00CE0DE7">
        <w:rPr>
          <w:b/>
          <w:sz w:val="20"/>
          <w:szCs w:val="20"/>
        </w:rPr>
        <w:t xml:space="preserve">. </w:t>
      </w:r>
      <w:r w:rsidRPr="00CE0DE7">
        <w:rPr>
          <w:i/>
          <w:sz w:val="20"/>
          <w:szCs w:val="20"/>
          <w:lang w:eastAsia="zh-CN"/>
        </w:rPr>
        <w:t xml:space="preserve">VRP </w:t>
      </w:r>
      <w:r w:rsidRPr="00CE0DE7">
        <w:rPr>
          <w:sz w:val="20"/>
          <w:szCs w:val="20"/>
        </w:rPr>
        <w:t>&amp; the four systematic factors (</w:t>
      </w:r>
      <w:r w:rsidRPr="00CE0DE7">
        <w:rPr>
          <w:rFonts w:ascii="Cambria" w:hAnsi="Cambria"/>
          <w:i/>
          <w:sz w:val="20"/>
          <w:szCs w:val="20"/>
        </w:rPr>
        <w:t>R</w:t>
      </w:r>
      <w:r w:rsidRPr="00CE0DE7">
        <w:rPr>
          <w:rFonts w:ascii="Cambria" w:hAnsi="Cambria"/>
          <w:i/>
          <w:sz w:val="20"/>
          <w:szCs w:val="20"/>
          <w:vertAlign w:val="subscript"/>
        </w:rPr>
        <w:t>m</w:t>
      </w:r>
      <w:r w:rsidRPr="00CE0DE7">
        <w:rPr>
          <w:rFonts w:ascii="Cambria" w:hAnsi="Cambria"/>
          <w:i/>
          <w:sz w:val="20"/>
          <w:szCs w:val="20"/>
        </w:rPr>
        <w:t xml:space="preserve"> – R</w:t>
      </w:r>
      <w:r w:rsidRPr="00CE0DE7">
        <w:rPr>
          <w:rFonts w:ascii="Cambria" w:hAnsi="Cambria"/>
          <w:i/>
          <w:sz w:val="20"/>
          <w:szCs w:val="20"/>
          <w:vertAlign w:val="subscript"/>
        </w:rPr>
        <w:t>f</w:t>
      </w:r>
      <w:r w:rsidRPr="00CE0DE7">
        <w:rPr>
          <w:sz w:val="20"/>
          <w:szCs w:val="20"/>
        </w:rPr>
        <w:t xml:space="preserve">, </w:t>
      </w:r>
      <w:r w:rsidRPr="00CE0DE7">
        <w:rPr>
          <w:i/>
          <w:sz w:val="20"/>
          <w:szCs w:val="20"/>
        </w:rPr>
        <w:t>SMB, HML</w:t>
      </w:r>
      <w:r w:rsidRPr="00CE0DE7">
        <w:rPr>
          <w:sz w:val="20"/>
          <w:szCs w:val="20"/>
        </w:rPr>
        <w:t xml:space="preserve"> and </w:t>
      </w:r>
      <w:r w:rsidRPr="00CE0DE7">
        <w:rPr>
          <w:i/>
          <w:sz w:val="20"/>
          <w:szCs w:val="20"/>
        </w:rPr>
        <w:t>MOM</w:t>
      </w:r>
      <w:r w:rsidRPr="00CE0DE7">
        <w:rPr>
          <w:sz w:val="20"/>
          <w:szCs w:val="20"/>
        </w:rPr>
        <w:t>)</w:t>
      </w:r>
    </w:p>
    <w:tbl>
      <w:tblPr>
        <w:tblW w:w="5000" w:type="pct"/>
        <w:tblLook w:val="04A0" w:firstRow="1" w:lastRow="0" w:firstColumn="1" w:lastColumn="0" w:noHBand="0" w:noVBand="1"/>
      </w:tblPr>
      <w:tblGrid>
        <w:gridCol w:w="997"/>
        <w:gridCol w:w="1840"/>
        <w:gridCol w:w="1031"/>
        <w:gridCol w:w="1033"/>
        <w:gridCol w:w="1031"/>
        <w:gridCol w:w="1033"/>
        <w:gridCol w:w="1031"/>
        <w:gridCol w:w="1031"/>
      </w:tblGrid>
      <w:tr w:rsidR="00C30160" w:rsidRPr="00CE0DE7" w14:paraId="4A389352" w14:textId="77777777" w:rsidTr="00C24E43">
        <w:trPr>
          <w:trHeight w:val="298"/>
        </w:trPr>
        <w:tc>
          <w:tcPr>
            <w:tcW w:w="553" w:type="pct"/>
            <w:tcBorders>
              <w:top w:val="double" w:sz="4" w:space="0" w:color="auto"/>
              <w:left w:val="nil"/>
              <w:bottom w:val="single" w:sz="4" w:space="0" w:color="auto"/>
              <w:right w:val="single" w:sz="4" w:space="0" w:color="auto"/>
            </w:tcBorders>
            <w:shd w:val="clear" w:color="auto" w:fill="auto"/>
            <w:noWrap/>
            <w:vAlign w:val="center"/>
            <w:hideMark/>
          </w:tcPr>
          <w:p w14:paraId="5746BCA1" w14:textId="77777777" w:rsidR="00C30160" w:rsidRPr="00CE0DE7" w:rsidRDefault="00C30160" w:rsidP="00C24E43">
            <w:pPr>
              <w:rPr>
                <w:rFonts w:eastAsia="Times New Roman"/>
                <w:sz w:val="20"/>
                <w:szCs w:val="20"/>
                <w:lang w:val="en-GB" w:eastAsia="zh-CN"/>
              </w:rPr>
            </w:pPr>
          </w:p>
        </w:tc>
        <w:tc>
          <w:tcPr>
            <w:tcW w:w="1019"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FBF612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w:t>
            </w:r>
          </w:p>
        </w:tc>
        <w:tc>
          <w:tcPr>
            <w:tcW w:w="1143" w:type="pct"/>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BFEE7E3"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p>
        </w:tc>
        <w:tc>
          <w:tcPr>
            <w:tcW w:w="1143" w:type="pct"/>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D12DDAE"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p>
        </w:tc>
        <w:tc>
          <w:tcPr>
            <w:tcW w:w="1143" w:type="pct"/>
            <w:gridSpan w:val="2"/>
            <w:tcBorders>
              <w:top w:val="double" w:sz="4" w:space="0" w:color="auto"/>
              <w:left w:val="single" w:sz="4" w:space="0" w:color="auto"/>
              <w:bottom w:val="single" w:sz="4" w:space="0" w:color="auto"/>
              <w:right w:val="nil"/>
            </w:tcBorders>
            <w:shd w:val="clear" w:color="auto" w:fill="auto"/>
            <w:noWrap/>
            <w:vAlign w:val="center"/>
            <w:hideMark/>
          </w:tcPr>
          <w:p w14:paraId="57CF63E8"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p>
        </w:tc>
      </w:tr>
      <w:tr w:rsidR="00C30160" w:rsidRPr="00CE0DE7" w14:paraId="4EB725E0" w14:textId="77777777" w:rsidTr="00C24E43">
        <w:trPr>
          <w:trHeight w:val="259"/>
        </w:trPr>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77789B0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097D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Sample period</w:t>
            </w:r>
          </w:p>
        </w:tc>
        <w:tc>
          <w:tcPr>
            <w:tcW w:w="571" w:type="pct"/>
            <w:tcBorders>
              <w:top w:val="single" w:sz="4" w:space="0" w:color="auto"/>
              <w:left w:val="single" w:sz="4" w:space="0" w:color="auto"/>
              <w:bottom w:val="single" w:sz="4" w:space="0" w:color="auto"/>
              <w:right w:val="nil"/>
            </w:tcBorders>
            <w:shd w:val="clear" w:color="auto" w:fill="auto"/>
            <w:noWrap/>
            <w:vAlign w:val="center"/>
            <w:hideMark/>
          </w:tcPr>
          <w:p w14:paraId="0B2DD86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14:paraId="78D4350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c>
          <w:tcPr>
            <w:tcW w:w="571" w:type="pct"/>
            <w:tcBorders>
              <w:top w:val="single" w:sz="4" w:space="0" w:color="auto"/>
              <w:left w:val="single" w:sz="4" w:space="0" w:color="auto"/>
              <w:bottom w:val="single" w:sz="4" w:space="0" w:color="auto"/>
              <w:right w:val="nil"/>
            </w:tcBorders>
            <w:shd w:val="clear" w:color="auto" w:fill="auto"/>
            <w:noWrap/>
            <w:vAlign w:val="center"/>
            <w:hideMark/>
          </w:tcPr>
          <w:p w14:paraId="0002EAD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14:paraId="0AF814D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c>
          <w:tcPr>
            <w:tcW w:w="571" w:type="pct"/>
            <w:tcBorders>
              <w:top w:val="single" w:sz="4" w:space="0" w:color="auto"/>
              <w:left w:val="single" w:sz="4" w:space="0" w:color="auto"/>
              <w:bottom w:val="single" w:sz="4" w:space="0" w:color="auto"/>
              <w:right w:val="nil"/>
            </w:tcBorders>
            <w:shd w:val="clear" w:color="auto" w:fill="auto"/>
            <w:noWrap/>
            <w:vAlign w:val="center"/>
            <w:hideMark/>
          </w:tcPr>
          <w:p w14:paraId="6A447B0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571" w:type="pct"/>
            <w:tcBorders>
              <w:top w:val="single" w:sz="4" w:space="0" w:color="auto"/>
              <w:left w:val="nil"/>
              <w:bottom w:val="single" w:sz="4" w:space="0" w:color="auto"/>
              <w:right w:val="nil"/>
            </w:tcBorders>
            <w:shd w:val="clear" w:color="auto" w:fill="auto"/>
            <w:noWrap/>
            <w:vAlign w:val="center"/>
            <w:hideMark/>
          </w:tcPr>
          <w:p w14:paraId="6030E46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r>
      <w:tr w:rsidR="00C30160" w:rsidRPr="00CE0DE7" w14:paraId="205FEB7C" w14:textId="77777777" w:rsidTr="00C24E43">
        <w:trPr>
          <w:trHeight w:val="259"/>
        </w:trPr>
        <w:tc>
          <w:tcPr>
            <w:tcW w:w="553" w:type="pct"/>
            <w:vMerge w:val="restart"/>
            <w:tcBorders>
              <w:top w:val="single" w:sz="4" w:space="0" w:color="auto"/>
              <w:left w:val="nil"/>
              <w:bottom w:val="nil"/>
              <w:right w:val="single" w:sz="4" w:space="0" w:color="auto"/>
            </w:tcBorders>
            <w:shd w:val="clear" w:color="auto" w:fill="auto"/>
            <w:noWrap/>
            <w:vAlign w:val="center"/>
            <w:hideMark/>
          </w:tcPr>
          <w:p w14:paraId="6334CFC6"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R</w:t>
            </w:r>
            <w:r w:rsidRPr="00CE0DE7">
              <w:rPr>
                <w:rFonts w:eastAsia="Times New Roman"/>
                <w:i/>
                <w:iCs/>
                <w:color w:val="000000"/>
                <w:sz w:val="20"/>
                <w:szCs w:val="20"/>
                <w:vertAlign w:val="subscript"/>
                <w:lang w:val="en-GB" w:eastAsia="zh-CN"/>
              </w:rPr>
              <w:t>m</w:t>
            </w:r>
            <w:r w:rsidRPr="00CE0DE7">
              <w:rPr>
                <w:rFonts w:eastAsia="Times New Roman"/>
                <w:i/>
                <w:iCs/>
                <w:color w:val="000000"/>
                <w:sz w:val="20"/>
                <w:szCs w:val="20"/>
                <w:lang w:val="en-GB" w:eastAsia="zh-CN"/>
              </w:rPr>
              <w:t xml:space="preserve"> – R</w:t>
            </w:r>
            <w:r w:rsidRPr="00CE0DE7">
              <w:rPr>
                <w:rFonts w:eastAsia="Times New Roman"/>
                <w:i/>
                <w:iCs/>
                <w:color w:val="000000"/>
                <w:sz w:val="20"/>
                <w:szCs w:val="20"/>
                <w:vertAlign w:val="subscript"/>
                <w:lang w:val="en-GB" w:eastAsia="zh-CN"/>
              </w:rPr>
              <w:t>f</w:t>
            </w:r>
          </w:p>
        </w:tc>
        <w:tc>
          <w:tcPr>
            <w:tcW w:w="1019" w:type="pct"/>
            <w:tcBorders>
              <w:top w:val="single" w:sz="4" w:space="0" w:color="auto"/>
              <w:left w:val="single" w:sz="4" w:space="0" w:color="auto"/>
              <w:bottom w:val="nil"/>
              <w:right w:val="single" w:sz="4" w:space="0" w:color="auto"/>
            </w:tcBorders>
            <w:shd w:val="clear" w:color="auto" w:fill="auto"/>
            <w:noWrap/>
            <w:vAlign w:val="center"/>
            <w:hideMark/>
          </w:tcPr>
          <w:p w14:paraId="7C13D11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571" w:type="pct"/>
            <w:tcBorders>
              <w:top w:val="single" w:sz="4" w:space="0" w:color="auto"/>
              <w:left w:val="single" w:sz="4" w:space="0" w:color="auto"/>
              <w:bottom w:val="nil"/>
              <w:right w:val="nil"/>
            </w:tcBorders>
            <w:shd w:val="clear" w:color="auto" w:fill="auto"/>
            <w:noWrap/>
            <w:vAlign w:val="center"/>
            <w:hideMark/>
          </w:tcPr>
          <w:p w14:paraId="1F4A653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single" w:sz="4" w:space="0" w:color="auto"/>
              <w:left w:val="nil"/>
              <w:bottom w:val="nil"/>
              <w:right w:val="single" w:sz="4" w:space="0" w:color="auto"/>
            </w:tcBorders>
            <w:shd w:val="clear" w:color="auto" w:fill="auto"/>
            <w:noWrap/>
            <w:vAlign w:val="center"/>
            <w:hideMark/>
          </w:tcPr>
          <w:p w14:paraId="04197F1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0.7861</w:t>
            </w:r>
          </w:p>
        </w:tc>
        <w:tc>
          <w:tcPr>
            <w:tcW w:w="571" w:type="pct"/>
            <w:tcBorders>
              <w:top w:val="single" w:sz="4" w:space="0" w:color="auto"/>
              <w:left w:val="single" w:sz="4" w:space="0" w:color="auto"/>
              <w:bottom w:val="nil"/>
              <w:right w:val="nil"/>
            </w:tcBorders>
            <w:shd w:val="clear" w:color="auto" w:fill="auto"/>
            <w:noWrap/>
            <w:vAlign w:val="center"/>
            <w:hideMark/>
          </w:tcPr>
          <w:p w14:paraId="612D713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single" w:sz="4" w:space="0" w:color="auto"/>
              <w:left w:val="nil"/>
              <w:bottom w:val="nil"/>
              <w:right w:val="single" w:sz="4" w:space="0" w:color="auto"/>
            </w:tcBorders>
            <w:shd w:val="clear" w:color="auto" w:fill="auto"/>
            <w:noWrap/>
            <w:vAlign w:val="center"/>
            <w:hideMark/>
          </w:tcPr>
          <w:p w14:paraId="275D3F5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0.1321</w:t>
            </w:r>
          </w:p>
        </w:tc>
        <w:tc>
          <w:tcPr>
            <w:tcW w:w="571" w:type="pct"/>
            <w:tcBorders>
              <w:top w:val="single" w:sz="4" w:space="0" w:color="auto"/>
              <w:left w:val="single" w:sz="4" w:space="0" w:color="auto"/>
              <w:bottom w:val="nil"/>
              <w:right w:val="nil"/>
            </w:tcBorders>
            <w:shd w:val="clear" w:color="auto" w:fill="auto"/>
            <w:noWrap/>
            <w:vAlign w:val="center"/>
            <w:hideMark/>
          </w:tcPr>
          <w:p w14:paraId="3F53F02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0.0009</w:t>
            </w:r>
          </w:p>
        </w:tc>
        <w:tc>
          <w:tcPr>
            <w:tcW w:w="571" w:type="pct"/>
            <w:tcBorders>
              <w:top w:val="single" w:sz="4" w:space="0" w:color="auto"/>
              <w:left w:val="nil"/>
              <w:bottom w:val="nil"/>
              <w:right w:val="nil"/>
            </w:tcBorders>
            <w:shd w:val="clear" w:color="auto" w:fill="auto"/>
            <w:noWrap/>
            <w:vAlign w:val="center"/>
            <w:hideMark/>
          </w:tcPr>
          <w:p w14:paraId="1231ED0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0.2764</w:t>
            </w:r>
          </w:p>
        </w:tc>
      </w:tr>
      <w:tr w:rsidR="00C30160" w:rsidRPr="00CE0DE7" w14:paraId="1743058C" w14:textId="77777777" w:rsidTr="00C24E43">
        <w:trPr>
          <w:trHeight w:val="259"/>
        </w:trPr>
        <w:tc>
          <w:tcPr>
            <w:tcW w:w="553" w:type="pct"/>
            <w:vMerge/>
            <w:tcBorders>
              <w:top w:val="nil"/>
              <w:left w:val="nil"/>
              <w:bottom w:val="nil"/>
              <w:right w:val="single" w:sz="4" w:space="0" w:color="auto"/>
            </w:tcBorders>
            <w:vAlign w:val="center"/>
            <w:hideMark/>
          </w:tcPr>
          <w:p w14:paraId="1AD9ACC5"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2BC5C84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571" w:type="pct"/>
            <w:tcBorders>
              <w:top w:val="nil"/>
              <w:left w:val="single" w:sz="4" w:space="0" w:color="auto"/>
              <w:bottom w:val="nil"/>
              <w:right w:val="nil"/>
            </w:tcBorders>
            <w:shd w:val="clear" w:color="auto" w:fill="auto"/>
            <w:noWrap/>
            <w:vAlign w:val="center"/>
            <w:hideMark/>
          </w:tcPr>
          <w:p w14:paraId="5DA1F76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nil"/>
              <w:left w:val="nil"/>
              <w:bottom w:val="nil"/>
              <w:right w:val="single" w:sz="4" w:space="0" w:color="auto"/>
            </w:tcBorders>
            <w:shd w:val="clear" w:color="auto" w:fill="auto"/>
            <w:noWrap/>
            <w:vAlign w:val="center"/>
            <w:hideMark/>
          </w:tcPr>
          <w:p w14:paraId="299E1F6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0.8390</w:t>
            </w:r>
          </w:p>
        </w:tc>
        <w:tc>
          <w:tcPr>
            <w:tcW w:w="571" w:type="pct"/>
            <w:tcBorders>
              <w:top w:val="nil"/>
              <w:left w:val="single" w:sz="4" w:space="0" w:color="auto"/>
              <w:bottom w:val="nil"/>
              <w:right w:val="nil"/>
            </w:tcBorders>
            <w:shd w:val="clear" w:color="auto" w:fill="auto"/>
            <w:noWrap/>
            <w:vAlign w:val="center"/>
            <w:hideMark/>
          </w:tcPr>
          <w:p w14:paraId="3227E0E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nil"/>
              <w:left w:val="nil"/>
              <w:bottom w:val="nil"/>
              <w:right w:val="single" w:sz="4" w:space="0" w:color="auto"/>
            </w:tcBorders>
            <w:shd w:val="clear" w:color="auto" w:fill="auto"/>
            <w:noWrap/>
            <w:vAlign w:val="center"/>
            <w:hideMark/>
          </w:tcPr>
          <w:p w14:paraId="3EECBF8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0.3054</w:t>
            </w:r>
          </w:p>
        </w:tc>
        <w:tc>
          <w:tcPr>
            <w:tcW w:w="571" w:type="pct"/>
            <w:tcBorders>
              <w:top w:val="nil"/>
              <w:left w:val="single" w:sz="4" w:space="0" w:color="auto"/>
              <w:bottom w:val="nil"/>
              <w:right w:val="nil"/>
            </w:tcBorders>
            <w:shd w:val="clear" w:color="auto" w:fill="auto"/>
            <w:noWrap/>
            <w:vAlign w:val="center"/>
            <w:hideMark/>
          </w:tcPr>
          <w:p w14:paraId="1B7BCF2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0.0024</w:t>
            </w:r>
          </w:p>
        </w:tc>
        <w:tc>
          <w:tcPr>
            <w:tcW w:w="571" w:type="pct"/>
            <w:tcBorders>
              <w:top w:val="nil"/>
              <w:left w:val="nil"/>
              <w:bottom w:val="nil"/>
              <w:right w:val="nil"/>
            </w:tcBorders>
            <w:shd w:val="clear" w:color="auto" w:fill="auto"/>
            <w:noWrap/>
            <w:vAlign w:val="center"/>
            <w:hideMark/>
          </w:tcPr>
          <w:p w14:paraId="77C68E0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0.3979</w:t>
            </w:r>
          </w:p>
        </w:tc>
      </w:tr>
      <w:tr w:rsidR="00C30160" w:rsidRPr="00CE0DE7" w14:paraId="5630DEE5" w14:textId="77777777" w:rsidTr="00C24E43">
        <w:trPr>
          <w:trHeight w:val="259"/>
        </w:trPr>
        <w:tc>
          <w:tcPr>
            <w:tcW w:w="553" w:type="pct"/>
            <w:vMerge/>
            <w:tcBorders>
              <w:top w:val="nil"/>
              <w:left w:val="nil"/>
              <w:bottom w:val="nil"/>
              <w:right w:val="single" w:sz="4" w:space="0" w:color="auto"/>
            </w:tcBorders>
            <w:vAlign w:val="center"/>
            <w:hideMark/>
          </w:tcPr>
          <w:p w14:paraId="01389A77"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738A691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571" w:type="pct"/>
            <w:tcBorders>
              <w:top w:val="nil"/>
              <w:left w:val="single" w:sz="4" w:space="0" w:color="auto"/>
              <w:bottom w:val="nil"/>
              <w:right w:val="nil"/>
            </w:tcBorders>
            <w:shd w:val="clear" w:color="auto" w:fill="auto"/>
            <w:noWrap/>
            <w:vAlign w:val="center"/>
            <w:hideMark/>
          </w:tcPr>
          <w:p w14:paraId="1FEEC1D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nil"/>
              <w:left w:val="nil"/>
              <w:bottom w:val="nil"/>
              <w:right w:val="single" w:sz="4" w:space="0" w:color="auto"/>
            </w:tcBorders>
            <w:shd w:val="clear" w:color="auto" w:fill="auto"/>
            <w:noWrap/>
            <w:vAlign w:val="center"/>
            <w:hideMark/>
          </w:tcPr>
          <w:p w14:paraId="258E5D4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0.7900</w:t>
            </w:r>
          </w:p>
        </w:tc>
        <w:tc>
          <w:tcPr>
            <w:tcW w:w="571" w:type="pct"/>
            <w:tcBorders>
              <w:top w:val="nil"/>
              <w:left w:val="single" w:sz="4" w:space="0" w:color="auto"/>
              <w:bottom w:val="nil"/>
              <w:right w:val="nil"/>
            </w:tcBorders>
            <w:shd w:val="clear" w:color="auto" w:fill="auto"/>
            <w:noWrap/>
            <w:vAlign w:val="center"/>
            <w:hideMark/>
          </w:tcPr>
          <w:p w14:paraId="619DF57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nil"/>
              <w:left w:val="nil"/>
              <w:bottom w:val="nil"/>
              <w:right w:val="single" w:sz="4" w:space="0" w:color="auto"/>
            </w:tcBorders>
            <w:shd w:val="clear" w:color="auto" w:fill="auto"/>
            <w:noWrap/>
            <w:vAlign w:val="center"/>
            <w:hideMark/>
          </w:tcPr>
          <w:p w14:paraId="03DDB8C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0.2473</w:t>
            </w:r>
          </w:p>
        </w:tc>
        <w:tc>
          <w:tcPr>
            <w:tcW w:w="571" w:type="pct"/>
            <w:tcBorders>
              <w:top w:val="nil"/>
              <w:left w:val="single" w:sz="4" w:space="0" w:color="auto"/>
              <w:bottom w:val="nil"/>
              <w:right w:val="nil"/>
            </w:tcBorders>
            <w:shd w:val="clear" w:color="auto" w:fill="auto"/>
            <w:noWrap/>
            <w:vAlign w:val="center"/>
            <w:hideMark/>
          </w:tcPr>
          <w:p w14:paraId="6C079EF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0.0037</w:t>
            </w:r>
          </w:p>
        </w:tc>
        <w:tc>
          <w:tcPr>
            <w:tcW w:w="571" w:type="pct"/>
            <w:tcBorders>
              <w:top w:val="nil"/>
              <w:left w:val="nil"/>
              <w:bottom w:val="nil"/>
              <w:right w:val="nil"/>
            </w:tcBorders>
            <w:shd w:val="clear" w:color="auto" w:fill="auto"/>
            <w:noWrap/>
            <w:vAlign w:val="center"/>
            <w:hideMark/>
          </w:tcPr>
          <w:p w14:paraId="7B6B15D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0.3415</w:t>
            </w:r>
          </w:p>
        </w:tc>
      </w:tr>
      <w:tr w:rsidR="00C30160" w:rsidRPr="00CE0DE7" w14:paraId="3F19C119" w14:textId="77777777" w:rsidTr="00C24E43">
        <w:trPr>
          <w:trHeight w:val="259"/>
        </w:trPr>
        <w:tc>
          <w:tcPr>
            <w:tcW w:w="553" w:type="pct"/>
            <w:vMerge/>
            <w:tcBorders>
              <w:top w:val="nil"/>
              <w:left w:val="nil"/>
              <w:bottom w:val="nil"/>
              <w:right w:val="single" w:sz="4" w:space="0" w:color="auto"/>
            </w:tcBorders>
            <w:vAlign w:val="center"/>
            <w:hideMark/>
          </w:tcPr>
          <w:p w14:paraId="2BE3EDA8"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6221002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571" w:type="pct"/>
            <w:tcBorders>
              <w:top w:val="nil"/>
              <w:left w:val="single" w:sz="4" w:space="0" w:color="auto"/>
              <w:bottom w:val="nil"/>
              <w:right w:val="nil"/>
            </w:tcBorders>
            <w:shd w:val="clear" w:color="auto" w:fill="auto"/>
            <w:noWrap/>
            <w:vAlign w:val="center"/>
            <w:hideMark/>
          </w:tcPr>
          <w:p w14:paraId="2710966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nil"/>
              <w:left w:val="nil"/>
              <w:bottom w:val="nil"/>
              <w:right w:val="single" w:sz="4" w:space="0" w:color="auto"/>
            </w:tcBorders>
            <w:shd w:val="clear" w:color="auto" w:fill="auto"/>
            <w:noWrap/>
            <w:vAlign w:val="center"/>
            <w:hideMark/>
          </w:tcPr>
          <w:p w14:paraId="42663E3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0.7605</w:t>
            </w:r>
          </w:p>
        </w:tc>
        <w:tc>
          <w:tcPr>
            <w:tcW w:w="571" w:type="pct"/>
            <w:tcBorders>
              <w:top w:val="nil"/>
              <w:left w:val="single" w:sz="4" w:space="0" w:color="auto"/>
              <w:bottom w:val="nil"/>
              <w:right w:val="nil"/>
            </w:tcBorders>
            <w:shd w:val="clear" w:color="auto" w:fill="auto"/>
            <w:noWrap/>
            <w:vAlign w:val="center"/>
            <w:hideMark/>
          </w:tcPr>
          <w:p w14:paraId="676D8D2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nil"/>
              <w:left w:val="nil"/>
              <w:bottom w:val="nil"/>
              <w:right w:val="single" w:sz="4" w:space="0" w:color="auto"/>
            </w:tcBorders>
            <w:shd w:val="clear" w:color="auto" w:fill="auto"/>
            <w:noWrap/>
            <w:vAlign w:val="center"/>
            <w:hideMark/>
          </w:tcPr>
          <w:p w14:paraId="70CE2FA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0.2452</w:t>
            </w:r>
          </w:p>
        </w:tc>
        <w:tc>
          <w:tcPr>
            <w:tcW w:w="571" w:type="pct"/>
            <w:tcBorders>
              <w:top w:val="nil"/>
              <w:left w:val="single" w:sz="4" w:space="0" w:color="auto"/>
              <w:bottom w:val="nil"/>
              <w:right w:val="nil"/>
            </w:tcBorders>
            <w:shd w:val="clear" w:color="auto" w:fill="auto"/>
            <w:noWrap/>
            <w:vAlign w:val="center"/>
            <w:hideMark/>
          </w:tcPr>
          <w:p w14:paraId="3107AD0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0.0028</w:t>
            </w:r>
          </w:p>
        </w:tc>
        <w:tc>
          <w:tcPr>
            <w:tcW w:w="571" w:type="pct"/>
            <w:tcBorders>
              <w:top w:val="nil"/>
              <w:left w:val="nil"/>
              <w:bottom w:val="nil"/>
              <w:right w:val="nil"/>
            </w:tcBorders>
            <w:shd w:val="clear" w:color="auto" w:fill="auto"/>
            <w:noWrap/>
            <w:vAlign w:val="center"/>
            <w:hideMark/>
          </w:tcPr>
          <w:p w14:paraId="0E85D3C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0.3278</w:t>
            </w:r>
          </w:p>
        </w:tc>
      </w:tr>
      <w:tr w:rsidR="00C30160" w:rsidRPr="00CE0DE7" w14:paraId="6BE64503" w14:textId="77777777" w:rsidTr="00C24E43">
        <w:trPr>
          <w:trHeight w:val="259"/>
        </w:trPr>
        <w:tc>
          <w:tcPr>
            <w:tcW w:w="553" w:type="pct"/>
            <w:vMerge/>
            <w:tcBorders>
              <w:top w:val="nil"/>
              <w:left w:val="nil"/>
              <w:bottom w:val="single" w:sz="4" w:space="0" w:color="auto"/>
              <w:right w:val="single" w:sz="4" w:space="0" w:color="auto"/>
            </w:tcBorders>
            <w:vAlign w:val="center"/>
            <w:hideMark/>
          </w:tcPr>
          <w:p w14:paraId="5A11AD14"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single" w:sz="4" w:space="0" w:color="auto"/>
              <w:right w:val="single" w:sz="4" w:space="0" w:color="auto"/>
            </w:tcBorders>
            <w:shd w:val="clear" w:color="auto" w:fill="auto"/>
            <w:noWrap/>
            <w:vAlign w:val="center"/>
            <w:hideMark/>
          </w:tcPr>
          <w:p w14:paraId="7329BFA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571" w:type="pct"/>
            <w:tcBorders>
              <w:top w:val="nil"/>
              <w:left w:val="single" w:sz="4" w:space="0" w:color="auto"/>
              <w:bottom w:val="single" w:sz="4" w:space="0" w:color="auto"/>
              <w:right w:val="nil"/>
            </w:tcBorders>
            <w:shd w:val="clear" w:color="auto" w:fill="auto"/>
            <w:noWrap/>
            <w:vAlign w:val="center"/>
            <w:hideMark/>
          </w:tcPr>
          <w:p w14:paraId="23AAD01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nil"/>
              <w:left w:val="nil"/>
              <w:bottom w:val="single" w:sz="4" w:space="0" w:color="auto"/>
              <w:right w:val="single" w:sz="4" w:space="0" w:color="auto"/>
            </w:tcBorders>
            <w:shd w:val="clear" w:color="auto" w:fill="auto"/>
            <w:noWrap/>
            <w:vAlign w:val="center"/>
            <w:hideMark/>
          </w:tcPr>
          <w:p w14:paraId="6AFD315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0.7741</w:t>
            </w:r>
          </w:p>
        </w:tc>
        <w:tc>
          <w:tcPr>
            <w:tcW w:w="571" w:type="pct"/>
            <w:tcBorders>
              <w:top w:val="nil"/>
              <w:left w:val="single" w:sz="4" w:space="0" w:color="auto"/>
              <w:bottom w:val="single" w:sz="4" w:space="0" w:color="auto"/>
              <w:right w:val="nil"/>
            </w:tcBorders>
            <w:shd w:val="clear" w:color="auto" w:fill="auto"/>
            <w:noWrap/>
            <w:vAlign w:val="center"/>
            <w:hideMark/>
          </w:tcPr>
          <w:p w14:paraId="0E5B62B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nil"/>
              <w:left w:val="nil"/>
              <w:bottom w:val="single" w:sz="4" w:space="0" w:color="auto"/>
              <w:right w:val="single" w:sz="4" w:space="0" w:color="auto"/>
            </w:tcBorders>
            <w:shd w:val="clear" w:color="auto" w:fill="auto"/>
            <w:noWrap/>
            <w:vAlign w:val="center"/>
            <w:hideMark/>
          </w:tcPr>
          <w:p w14:paraId="62E6439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0.3090</w:t>
            </w:r>
          </w:p>
        </w:tc>
        <w:tc>
          <w:tcPr>
            <w:tcW w:w="571" w:type="pct"/>
            <w:tcBorders>
              <w:top w:val="nil"/>
              <w:left w:val="single" w:sz="4" w:space="0" w:color="auto"/>
              <w:bottom w:val="single" w:sz="4" w:space="0" w:color="auto"/>
              <w:right w:val="nil"/>
            </w:tcBorders>
            <w:shd w:val="clear" w:color="auto" w:fill="auto"/>
            <w:noWrap/>
            <w:vAlign w:val="center"/>
            <w:hideMark/>
          </w:tcPr>
          <w:p w14:paraId="36BB0A0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0.0039</w:t>
            </w:r>
          </w:p>
        </w:tc>
        <w:tc>
          <w:tcPr>
            <w:tcW w:w="571" w:type="pct"/>
            <w:tcBorders>
              <w:top w:val="nil"/>
              <w:left w:val="nil"/>
              <w:bottom w:val="single" w:sz="4" w:space="0" w:color="auto"/>
              <w:right w:val="nil"/>
            </w:tcBorders>
            <w:shd w:val="clear" w:color="auto" w:fill="auto"/>
            <w:noWrap/>
            <w:vAlign w:val="center"/>
            <w:hideMark/>
          </w:tcPr>
          <w:p w14:paraId="407BE3F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0.2496</w:t>
            </w:r>
          </w:p>
        </w:tc>
      </w:tr>
      <w:tr w:rsidR="00C30160" w:rsidRPr="00CE0DE7" w14:paraId="6AB18D5F" w14:textId="77777777" w:rsidTr="00C24E43">
        <w:trPr>
          <w:trHeight w:val="259"/>
        </w:trPr>
        <w:tc>
          <w:tcPr>
            <w:tcW w:w="553" w:type="pct"/>
            <w:vMerge w:val="restart"/>
            <w:tcBorders>
              <w:top w:val="single" w:sz="4" w:space="0" w:color="auto"/>
              <w:left w:val="nil"/>
              <w:bottom w:val="nil"/>
              <w:right w:val="single" w:sz="4" w:space="0" w:color="auto"/>
            </w:tcBorders>
            <w:shd w:val="clear" w:color="auto" w:fill="auto"/>
            <w:noWrap/>
            <w:vAlign w:val="center"/>
            <w:hideMark/>
          </w:tcPr>
          <w:p w14:paraId="7BF277B3"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SMB</w:t>
            </w:r>
          </w:p>
        </w:tc>
        <w:tc>
          <w:tcPr>
            <w:tcW w:w="1019" w:type="pct"/>
            <w:tcBorders>
              <w:top w:val="single" w:sz="4" w:space="0" w:color="auto"/>
              <w:left w:val="single" w:sz="4" w:space="0" w:color="auto"/>
              <w:bottom w:val="nil"/>
              <w:right w:val="single" w:sz="4" w:space="0" w:color="auto"/>
            </w:tcBorders>
            <w:shd w:val="clear" w:color="auto" w:fill="auto"/>
            <w:noWrap/>
            <w:vAlign w:val="center"/>
            <w:hideMark/>
          </w:tcPr>
          <w:p w14:paraId="1FE718B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571" w:type="pct"/>
            <w:tcBorders>
              <w:top w:val="single" w:sz="4" w:space="0" w:color="auto"/>
              <w:left w:val="single" w:sz="4" w:space="0" w:color="auto"/>
              <w:bottom w:val="nil"/>
              <w:right w:val="nil"/>
            </w:tcBorders>
            <w:shd w:val="clear" w:color="auto" w:fill="auto"/>
            <w:noWrap/>
            <w:vAlign w:val="center"/>
            <w:hideMark/>
          </w:tcPr>
          <w:p w14:paraId="7FAC2D1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0.4406</w:t>
            </w:r>
          </w:p>
        </w:tc>
        <w:tc>
          <w:tcPr>
            <w:tcW w:w="571" w:type="pct"/>
            <w:tcBorders>
              <w:top w:val="single" w:sz="4" w:space="0" w:color="auto"/>
              <w:left w:val="nil"/>
              <w:bottom w:val="nil"/>
              <w:right w:val="single" w:sz="4" w:space="0" w:color="auto"/>
            </w:tcBorders>
            <w:shd w:val="clear" w:color="auto" w:fill="auto"/>
            <w:noWrap/>
            <w:vAlign w:val="center"/>
            <w:hideMark/>
          </w:tcPr>
          <w:p w14:paraId="0B4A10C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0.1232</w:t>
            </w:r>
          </w:p>
        </w:tc>
        <w:tc>
          <w:tcPr>
            <w:tcW w:w="571" w:type="pct"/>
            <w:tcBorders>
              <w:top w:val="single" w:sz="4" w:space="0" w:color="auto"/>
              <w:left w:val="single" w:sz="4" w:space="0" w:color="auto"/>
              <w:bottom w:val="nil"/>
              <w:right w:val="nil"/>
            </w:tcBorders>
            <w:shd w:val="clear" w:color="auto" w:fill="auto"/>
            <w:noWrap/>
            <w:vAlign w:val="center"/>
            <w:hideMark/>
          </w:tcPr>
          <w:p w14:paraId="3371E12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0.0262</w:t>
            </w:r>
          </w:p>
        </w:tc>
        <w:tc>
          <w:tcPr>
            <w:tcW w:w="571" w:type="pct"/>
            <w:tcBorders>
              <w:top w:val="single" w:sz="4" w:space="0" w:color="auto"/>
              <w:left w:val="nil"/>
              <w:bottom w:val="nil"/>
              <w:right w:val="single" w:sz="4" w:space="0" w:color="auto"/>
            </w:tcBorders>
            <w:shd w:val="clear" w:color="auto" w:fill="auto"/>
            <w:noWrap/>
            <w:vAlign w:val="center"/>
            <w:hideMark/>
          </w:tcPr>
          <w:p w14:paraId="32D8817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0.1235</w:t>
            </w:r>
          </w:p>
        </w:tc>
        <w:tc>
          <w:tcPr>
            <w:tcW w:w="571" w:type="pct"/>
            <w:tcBorders>
              <w:top w:val="single" w:sz="4" w:space="0" w:color="auto"/>
              <w:left w:val="single" w:sz="4" w:space="0" w:color="auto"/>
              <w:bottom w:val="nil"/>
              <w:right w:val="nil"/>
            </w:tcBorders>
            <w:shd w:val="clear" w:color="auto" w:fill="auto"/>
            <w:noWrap/>
            <w:vAlign w:val="center"/>
            <w:hideMark/>
          </w:tcPr>
          <w:p w14:paraId="36EBB7A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0.0169</w:t>
            </w:r>
          </w:p>
        </w:tc>
        <w:tc>
          <w:tcPr>
            <w:tcW w:w="571" w:type="pct"/>
            <w:tcBorders>
              <w:top w:val="single" w:sz="4" w:space="0" w:color="auto"/>
              <w:left w:val="nil"/>
              <w:bottom w:val="nil"/>
              <w:right w:val="nil"/>
            </w:tcBorders>
            <w:shd w:val="clear" w:color="auto" w:fill="auto"/>
            <w:noWrap/>
            <w:vAlign w:val="center"/>
            <w:hideMark/>
          </w:tcPr>
          <w:p w14:paraId="0BF254F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0.9841</w:t>
            </w:r>
          </w:p>
        </w:tc>
      </w:tr>
      <w:tr w:rsidR="00C30160" w:rsidRPr="00CE0DE7" w14:paraId="6266A6AD" w14:textId="77777777" w:rsidTr="00C24E43">
        <w:trPr>
          <w:trHeight w:val="259"/>
        </w:trPr>
        <w:tc>
          <w:tcPr>
            <w:tcW w:w="553" w:type="pct"/>
            <w:vMerge/>
            <w:tcBorders>
              <w:top w:val="nil"/>
              <w:left w:val="nil"/>
              <w:bottom w:val="nil"/>
              <w:right w:val="single" w:sz="4" w:space="0" w:color="auto"/>
            </w:tcBorders>
            <w:vAlign w:val="center"/>
            <w:hideMark/>
          </w:tcPr>
          <w:p w14:paraId="38895DF6"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08E6882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571" w:type="pct"/>
            <w:tcBorders>
              <w:top w:val="nil"/>
              <w:left w:val="single" w:sz="4" w:space="0" w:color="auto"/>
              <w:bottom w:val="nil"/>
              <w:right w:val="nil"/>
            </w:tcBorders>
            <w:shd w:val="clear" w:color="auto" w:fill="auto"/>
            <w:noWrap/>
            <w:vAlign w:val="center"/>
            <w:hideMark/>
          </w:tcPr>
          <w:p w14:paraId="0F01F53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0.4985</w:t>
            </w:r>
          </w:p>
        </w:tc>
        <w:tc>
          <w:tcPr>
            <w:tcW w:w="571" w:type="pct"/>
            <w:tcBorders>
              <w:top w:val="nil"/>
              <w:left w:val="nil"/>
              <w:bottom w:val="nil"/>
              <w:right w:val="single" w:sz="4" w:space="0" w:color="auto"/>
            </w:tcBorders>
            <w:shd w:val="clear" w:color="auto" w:fill="auto"/>
            <w:noWrap/>
            <w:vAlign w:val="center"/>
            <w:hideMark/>
          </w:tcPr>
          <w:p w14:paraId="59292FE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0.2270</w:t>
            </w:r>
          </w:p>
        </w:tc>
        <w:tc>
          <w:tcPr>
            <w:tcW w:w="571" w:type="pct"/>
            <w:tcBorders>
              <w:top w:val="nil"/>
              <w:left w:val="single" w:sz="4" w:space="0" w:color="auto"/>
              <w:bottom w:val="nil"/>
              <w:right w:val="nil"/>
            </w:tcBorders>
            <w:shd w:val="clear" w:color="auto" w:fill="auto"/>
            <w:noWrap/>
            <w:vAlign w:val="center"/>
            <w:hideMark/>
          </w:tcPr>
          <w:p w14:paraId="1C1F5A2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0.0489</w:t>
            </w:r>
          </w:p>
        </w:tc>
        <w:tc>
          <w:tcPr>
            <w:tcW w:w="571" w:type="pct"/>
            <w:tcBorders>
              <w:top w:val="nil"/>
              <w:left w:val="nil"/>
              <w:bottom w:val="nil"/>
              <w:right w:val="single" w:sz="4" w:space="0" w:color="auto"/>
            </w:tcBorders>
            <w:shd w:val="clear" w:color="auto" w:fill="auto"/>
            <w:noWrap/>
            <w:vAlign w:val="center"/>
            <w:hideMark/>
          </w:tcPr>
          <w:p w14:paraId="79D17A1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0.0815</w:t>
            </w:r>
          </w:p>
        </w:tc>
        <w:tc>
          <w:tcPr>
            <w:tcW w:w="571" w:type="pct"/>
            <w:tcBorders>
              <w:top w:val="nil"/>
              <w:left w:val="single" w:sz="4" w:space="0" w:color="auto"/>
              <w:bottom w:val="nil"/>
              <w:right w:val="nil"/>
            </w:tcBorders>
            <w:shd w:val="clear" w:color="auto" w:fill="auto"/>
            <w:noWrap/>
            <w:vAlign w:val="center"/>
            <w:hideMark/>
          </w:tcPr>
          <w:p w14:paraId="7445462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0.0542</w:t>
            </w:r>
          </w:p>
        </w:tc>
        <w:tc>
          <w:tcPr>
            <w:tcW w:w="571" w:type="pct"/>
            <w:tcBorders>
              <w:top w:val="nil"/>
              <w:left w:val="nil"/>
              <w:bottom w:val="nil"/>
              <w:right w:val="nil"/>
            </w:tcBorders>
            <w:shd w:val="clear" w:color="auto" w:fill="auto"/>
            <w:noWrap/>
            <w:vAlign w:val="center"/>
            <w:hideMark/>
          </w:tcPr>
          <w:p w14:paraId="20A12DC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0.9490</w:t>
            </w:r>
          </w:p>
        </w:tc>
      </w:tr>
      <w:tr w:rsidR="00C30160" w:rsidRPr="00CE0DE7" w14:paraId="700F22C3" w14:textId="77777777" w:rsidTr="00C24E43">
        <w:trPr>
          <w:trHeight w:val="259"/>
        </w:trPr>
        <w:tc>
          <w:tcPr>
            <w:tcW w:w="553" w:type="pct"/>
            <w:vMerge/>
            <w:tcBorders>
              <w:top w:val="nil"/>
              <w:left w:val="nil"/>
              <w:bottom w:val="nil"/>
              <w:right w:val="single" w:sz="4" w:space="0" w:color="auto"/>
            </w:tcBorders>
            <w:vAlign w:val="center"/>
            <w:hideMark/>
          </w:tcPr>
          <w:p w14:paraId="17152433"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211A7AD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571" w:type="pct"/>
            <w:tcBorders>
              <w:top w:val="nil"/>
              <w:left w:val="single" w:sz="4" w:space="0" w:color="auto"/>
              <w:bottom w:val="nil"/>
              <w:right w:val="nil"/>
            </w:tcBorders>
            <w:shd w:val="clear" w:color="auto" w:fill="auto"/>
            <w:noWrap/>
            <w:vAlign w:val="center"/>
            <w:hideMark/>
          </w:tcPr>
          <w:p w14:paraId="0FE75A6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0.2800</w:t>
            </w:r>
          </w:p>
        </w:tc>
        <w:tc>
          <w:tcPr>
            <w:tcW w:w="571" w:type="pct"/>
            <w:tcBorders>
              <w:top w:val="nil"/>
              <w:left w:val="nil"/>
              <w:bottom w:val="nil"/>
              <w:right w:val="single" w:sz="4" w:space="0" w:color="auto"/>
            </w:tcBorders>
            <w:shd w:val="clear" w:color="auto" w:fill="auto"/>
            <w:noWrap/>
            <w:vAlign w:val="center"/>
            <w:hideMark/>
          </w:tcPr>
          <w:p w14:paraId="3984FD0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0.4068</w:t>
            </w:r>
          </w:p>
        </w:tc>
        <w:tc>
          <w:tcPr>
            <w:tcW w:w="571" w:type="pct"/>
            <w:tcBorders>
              <w:top w:val="nil"/>
              <w:left w:val="single" w:sz="4" w:space="0" w:color="auto"/>
              <w:bottom w:val="nil"/>
              <w:right w:val="nil"/>
            </w:tcBorders>
            <w:shd w:val="clear" w:color="auto" w:fill="auto"/>
            <w:noWrap/>
            <w:vAlign w:val="center"/>
            <w:hideMark/>
          </w:tcPr>
          <w:p w14:paraId="3DEB27C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0.0916</w:t>
            </w:r>
          </w:p>
        </w:tc>
        <w:tc>
          <w:tcPr>
            <w:tcW w:w="571" w:type="pct"/>
            <w:tcBorders>
              <w:top w:val="nil"/>
              <w:left w:val="nil"/>
              <w:bottom w:val="nil"/>
              <w:right w:val="single" w:sz="4" w:space="0" w:color="auto"/>
            </w:tcBorders>
            <w:shd w:val="clear" w:color="auto" w:fill="auto"/>
            <w:noWrap/>
            <w:vAlign w:val="center"/>
            <w:hideMark/>
          </w:tcPr>
          <w:p w14:paraId="0161759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0.1417</w:t>
            </w:r>
          </w:p>
        </w:tc>
        <w:tc>
          <w:tcPr>
            <w:tcW w:w="571" w:type="pct"/>
            <w:tcBorders>
              <w:top w:val="nil"/>
              <w:left w:val="single" w:sz="4" w:space="0" w:color="auto"/>
              <w:bottom w:val="nil"/>
              <w:right w:val="nil"/>
            </w:tcBorders>
            <w:shd w:val="clear" w:color="auto" w:fill="auto"/>
            <w:noWrap/>
            <w:vAlign w:val="center"/>
            <w:hideMark/>
          </w:tcPr>
          <w:p w14:paraId="12E86D6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0.2394</w:t>
            </w:r>
          </w:p>
        </w:tc>
        <w:tc>
          <w:tcPr>
            <w:tcW w:w="571" w:type="pct"/>
            <w:tcBorders>
              <w:top w:val="nil"/>
              <w:left w:val="nil"/>
              <w:bottom w:val="nil"/>
              <w:right w:val="nil"/>
            </w:tcBorders>
            <w:shd w:val="clear" w:color="auto" w:fill="auto"/>
            <w:noWrap/>
            <w:vAlign w:val="center"/>
            <w:hideMark/>
          </w:tcPr>
          <w:p w14:paraId="79BA02E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0.8191</w:t>
            </w:r>
          </w:p>
        </w:tc>
      </w:tr>
      <w:tr w:rsidR="00C30160" w:rsidRPr="00CE0DE7" w14:paraId="1BD28F62" w14:textId="77777777" w:rsidTr="00C24E43">
        <w:trPr>
          <w:trHeight w:val="259"/>
        </w:trPr>
        <w:tc>
          <w:tcPr>
            <w:tcW w:w="553" w:type="pct"/>
            <w:vMerge/>
            <w:tcBorders>
              <w:top w:val="nil"/>
              <w:left w:val="nil"/>
              <w:bottom w:val="nil"/>
              <w:right w:val="single" w:sz="4" w:space="0" w:color="auto"/>
            </w:tcBorders>
            <w:vAlign w:val="center"/>
            <w:hideMark/>
          </w:tcPr>
          <w:p w14:paraId="0FB58136"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412ABD8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571" w:type="pct"/>
            <w:tcBorders>
              <w:top w:val="nil"/>
              <w:left w:val="single" w:sz="4" w:space="0" w:color="auto"/>
              <w:bottom w:val="nil"/>
              <w:right w:val="nil"/>
            </w:tcBorders>
            <w:shd w:val="clear" w:color="auto" w:fill="auto"/>
            <w:noWrap/>
            <w:vAlign w:val="center"/>
            <w:hideMark/>
          </w:tcPr>
          <w:p w14:paraId="1FB58D6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0.2898</w:t>
            </w:r>
          </w:p>
        </w:tc>
        <w:tc>
          <w:tcPr>
            <w:tcW w:w="571" w:type="pct"/>
            <w:tcBorders>
              <w:top w:val="nil"/>
              <w:left w:val="nil"/>
              <w:bottom w:val="nil"/>
              <w:right w:val="single" w:sz="4" w:space="0" w:color="auto"/>
            </w:tcBorders>
            <w:shd w:val="clear" w:color="auto" w:fill="auto"/>
            <w:noWrap/>
            <w:vAlign w:val="center"/>
            <w:hideMark/>
          </w:tcPr>
          <w:p w14:paraId="12FE8C7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0.3159</w:t>
            </w:r>
          </w:p>
        </w:tc>
        <w:tc>
          <w:tcPr>
            <w:tcW w:w="571" w:type="pct"/>
            <w:tcBorders>
              <w:top w:val="nil"/>
              <w:left w:val="single" w:sz="4" w:space="0" w:color="auto"/>
              <w:bottom w:val="nil"/>
              <w:right w:val="nil"/>
            </w:tcBorders>
            <w:shd w:val="clear" w:color="auto" w:fill="auto"/>
            <w:noWrap/>
            <w:vAlign w:val="center"/>
            <w:hideMark/>
          </w:tcPr>
          <w:p w14:paraId="4A5EDE0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0.0393</w:t>
            </w:r>
          </w:p>
        </w:tc>
        <w:tc>
          <w:tcPr>
            <w:tcW w:w="571" w:type="pct"/>
            <w:tcBorders>
              <w:top w:val="nil"/>
              <w:left w:val="nil"/>
              <w:bottom w:val="nil"/>
              <w:right w:val="single" w:sz="4" w:space="0" w:color="auto"/>
            </w:tcBorders>
            <w:shd w:val="clear" w:color="auto" w:fill="auto"/>
            <w:noWrap/>
            <w:vAlign w:val="center"/>
            <w:hideMark/>
          </w:tcPr>
          <w:p w14:paraId="3479CDD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0.1165</w:t>
            </w:r>
          </w:p>
        </w:tc>
        <w:tc>
          <w:tcPr>
            <w:tcW w:w="571" w:type="pct"/>
            <w:tcBorders>
              <w:top w:val="nil"/>
              <w:left w:val="single" w:sz="4" w:space="0" w:color="auto"/>
              <w:bottom w:val="nil"/>
              <w:right w:val="nil"/>
            </w:tcBorders>
            <w:shd w:val="clear" w:color="auto" w:fill="auto"/>
            <w:noWrap/>
            <w:vAlign w:val="center"/>
            <w:hideMark/>
          </w:tcPr>
          <w:p w14:paraId="3FD9F27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0.0560</w:t>
            </w:r>
          </w:p>
        </w:tc>
        <w:tc>
          <w:tcPr>
            <w:tcW w:w="571" w:type="pct"/>
            <w:tcBorders>
              <w:top w:val="nil"/>
              <w:left w:val="nil"/>
              <w:bottom w:val="nil"/>
              <w:right w:val="nil"/>
            </w:tcBorders>
            <w:shd w:val="clear" w:color="auto" w:fill="auto"/>
            <w:noWrap/>
            <w:vAlign w:val="center"/>
            <w:hideMark/>
          </w:tcPr>
          <w:p w14:paraId="27379EC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0.6984</w:t>
            </w:r>
          </w:p>
        </w:tc>
      </w:tr>
      <w:tr w:rsidR="00C30160" w:rsidRPr="00CE0DE7" w14:paraId="1CAE758F" w14:textId="77777777" w:rsidTr="00C24E43">
        <w:trPr>
          <w:trHeight w:val="259"/>
        </w:trPr>
        <w:tc>
          <w:tcPr>
            <w:tcW w:w="553" w:type="pct"/>
            <w:vMerge/>
            <w:tcBorders>
              <w:top w:val="nil"/>
              <w:left w:val="nil"/>
              <w:bottom w:val="single" w:sz="4" w:space="0" w:color="auto"/>
              <w:right w:val="single" w:sz="4" w:space="0" w:color="auto"/>
            </w:tcBorders>
            <w:vAlign w:val="center"/>
            <w:hideMark/>
          </w:tcPr>
          <w:p w14:paraId="77D375B2"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single" w:sz="4" w:space="0" w:color="auto"/>
              <w:right w:val="single" w:sz="4" w:space="0" w:color="auto"/>
            </w:tcBorders>
            <w:shd w:val="clear" w:color="auto" w:fill="auto"/>
            <w:noWrap/>
            <w:vAlign w:val="center"/>
            <w:hideMark/>
          </w:tcPr>
          <w:p w14:paraId="0657185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571" w:type="pct"/>
            <w:tcBorders>
              <w:top w:val="nil"/>
              <w:left w:val="single" w:sz="4" w:space="0" w:color="auto"/>
              <w:bottom w:val="single" w:sz="4" w:space="0" w:color="auto"/>
              <w:right w:val="nil"/>
            </w:tcBorders>
            <w:shd w:val="clear" w:color="auto" w:fill="auto"/>
            <w:noWrap/>
            <w:vAlign w:val="center"/>
            <w:hideMark/>
          </w:tcPr>
          <w:p w14:paraId="564E747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0.3265</w:t>
            </w:r>
          </w:p>
        </w:tc>
        <w:tc>
          <w:tcPr>
            <w:tcW w:w="571" w:type="pct"/>
            <w:tcBorders>
              <w:top w:val="nil"/>
              <w:left w:val="nil"/>
              <w:bottom w:val="single" w:sz="4" w:space="0" w:color="auto"/>
              <w:right w:val="single" w:sz="4" w:space="0" w:color="auto"/>
            </w:tcBorders>
            <w:shd w:val="clear" w:color="auto" w:fill="auto"/>
            <w:noWrap/>
            <w:vAlign w:val="center"/>
            <w:hideMark/>
          </w:tcPr>
          <w:p w14:paraId="1AD5BF9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0.2221</w:t>
            </w:r>
          </w:p>
        </w:tc>
        <w:tc>
          <w:tcPr>
            <w:tcW w:w="571" w:type="pct"/>
            <w:tcBorders>
              <w:top w:val="nil"/>
              <w:left w:val="single" w:sz="4" w:space="0" w:color="auto"/>
              <w:bottom w:val="single" w:sz="4" w:space="0" w:color="auto"/>
              <w:right w:val="nil"/>
            </w:tcBorders>
            <w:shd w:val="clear" w:color="auto" w:fill="auto"/>
            <w:noWrap/>
            <w:vAlign w:val="center"/>
            <w:hideMark/>
          </w:tcPr>
          <w:p w14:paraId="1522A6B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0.0115</w:t>
            </w:r>
          </w:p>
        </w:tc>
        <w:tc>
          <w:tcPr>
            <w:tcW w:w="571" w:type="pct"/>
            <w:tcBorders>
              <w:top w:val="nil"/>
              <w:left w:val="nil"/>
              <w:bottom w:val="single" w:sz="4" w:space="0" w:color="auto"/>
              <w:right w:val="single" w:sz="4" w:space="0" w:color="auto"/>
            </w:tcBorders>
            <w:shd w:val="clear" w:color="auto" w:fill="auto"/>
            <w:noWrap/>
            <w:vAlign w:val="center"/>
            <w:hideMark/>
          </w:tcPr>
          <w:p w14:paraId="6D63A00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0.1024</w:t>
            </w:r>
          </w:p>
        </w:tc>
        <w:tc>
          <w:tcPr>
            <w:tcW w:w="571" w:type="pct"/>
            <w:tcBorders>
              <w:top w:val="nil"/>
              <w:left w:val="single" w:sz="4" w:space="0" w:color="auto"/>
              <w:bottom w:val="single" w:sz="4" w:space="0" w:color="auto"/>
              <w:right w:val="nil"/>
            </w:tcBorders>
            <w:shd w:val="clear" w:color="auto" w:fill="auto"/>
            <w:noWrap/>
            <w:vAlign w:val="center"/>
            <w:hideMark/>
          </w:tcPr>
          <w:p w14:paraId="21FF716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0.0234</w:t>
            </w:r>
          </w:p>
        </w:tc>
        <w:tc>
          <w:tcPr>
            <w:tcW w:w="571" w:type="pct"/>
            <w:tcBorders>
              <w:top w:val="nil"/>
              <w:left w:val="nil"/>
              <w:bottom w:val="single" w:sz="4" w:space="0" w:color="auto"/>
              <w:right w:val="nil"/>
            </w:tcBorders>
            <w:shd w:val="clear" w:color="auto" w:fill="auto"/>
            <w:noWrap/>
            <w:vAlign w:val="center"/>
            <w:hideMark/>
          </w:tcPr>
          <w:p w14:paraId="5FAD76A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0.9498</w:t>
            </w:r>
          </w:p>
        </w:tc>
      </w:tr>
      <w:tr w:rsidR="00C30160" w:rsidRPr="00CE0DE7" w14:paraId="10FC27C9" w14:textId="77777777" w:rsidTr="00C24E43">
        <w:trPr>
          <w:trHeight w:val="259"/>
        </w:trPr>
        <w:tc>
          <w:tcPr>
            <w:tcW w:w="553" w:type="pct"/>
            <w:vMerge w:val="restart"/>
            <w:tcBorders>
              <w:top w:val="single" w:sz="4" w:space="0" w:color="auto"/>
              <w:left w:val="nil"/>
              <w:bottom w:val="nil"/>
              <w:right w:val="single" w:sz="4" w:space="0" w:color="auto"/>
            </w:tcBorders>
            <w:shd w:val="clear" w:color="auto" w:fill="auto"/>
            <w:noWrap/>
            <w:vAlign w:val="center"/>
            <w:hideMark/>
          </w:tcPr>
          <w:p w14:paraId="6BE0B6F4"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HML</w:t>
            </w:r>
          </w:p>
        </w:tc>
        <w:tc>
          <w:tcPr>
            <w:tcW w:w="1019" w:type="pct"/>
            <w:tcBorders>
              <w:top w:val="single" w:sz="4" w:space="0" w:color="auto"/>
              <w:left w:val="single" w:sz="4" w:space="0" w:color="auto"/>
              <w:bottom w:val="nil"/>
              <w:right w:val="single" w:sz="4" w:space="0" w:color="auto"/>
            </w:tcBorders>
            <w:shd w:val="clear" w:color="auto" w:fill="auto"/>
            <w:noWrap/>
            <w:vAlign w:val="center"/>
            <w:hideMark/>
          </w:tcPr>
          <w:p w14:paraId="26D79DD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571" w:type="pct"/>
            <w:tcBorders>
              <w:top w:val="single" w:sz="4" w:space="0" w:color="auto"/>
              <w:left w:val="single" w:sz="4" w:space="0" w:color="auto"/>
              <w:bottom w:val="nil"/>
              <w:right w:val="nil"/>
            </w:tcBorders>
            <w:shd w:val="clear" w:color="auto" w:fill="auto"/>
            <w:noWrap/>
            <w:vAlign w:val="center"/>
            <w:hideMark/>
          </w:tcPr>
          <w:p w14:paraId="38CEE38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0.0180</w:t>
            </w:r>
          </w:p>
        </w:tc>
        <w:tc>
          <w:tcPr>
            <w:tcW w:w="571" w:type="pct"/>
            <w:tcBorders>
              <w:top w:val="single" w:sz="4" w:space="0" w:color="auto"/>
              <w:left w:val="nil"/>
              <w:bottom w:val="nil"/>
              <w:right w:val="single" w:sz="4" w:space="0" w:color="auto"/>
            </w:tcBorders>
            <w:shd w:val="clear" w:color="auto" w:fill="auto"/>
            <w:noWrap/>
            <w:vAlign w:val="center"/>
            <w:hideMark/>
          </w:tcPr>
          <w:p w14:paraId="73FA674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0.0316</w:t>
            </w:r>
          </w:p>
        </w:tc>
        <w:tc>
          <w:tcPr>
            <w:tcW w:w="571" w:type="pct"/>
            <w:tcBorders>
              <w:top w:val="single" w:sz="4" w:space="0" w:color="auto"/>
              <w:left w:val="single" w:sz="4" w:space="0" w:color="auto"/>
              <w:bottom w:val="nil"/>
              <w:right w:val="nil"/>
            </w:tcBorders>
            <w:shd w:val="clear" w:color="auto" w:fill="auto"/>
            <w:noWrap/>
            <w:vAlign w:val="center"/>
            <w:hideMark/>
          </w:tcPr>
          <w:p w14:paraId="685947C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0.0001</w:t>
            </w:r>
          </w:p>
        </w:tc>
        <w:tc>
          <w:tcPr>
            <w:tcW w:w="571" w:type="pct"/>
            <w:tcBorders>
              <w:top w:val="single" w:sz="4" w:space="0" w:color="auto"/>
              <w:left w:val="nil"/>
              <w:bottom w:val="nil"/>
              <w:right w:val="single" w:sz="4" w:space="0" w:color="auto"/>
            </w:tcBorders>
            <w:shd w:val="clear" w:color="auto" w:fill="auto"/>
            <w:noWrap/>
            <w:vAlign w:val="center"/>
            <w:hideMark/>
          </w:tcPr>
          <w:p w14:paraId="4423FC5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0.1733</w:t>
            </w:r>
          </w:p>
        </w:tc>
        <w:tc>
          <w:tcPr>
            <w:tcW w:w="571" w:type="pct"/>
            <w:tcBorders>
              <w:top w:val="single" w:sz="4" w:space="0" w:color="auto"/>
              <w:left w:val="single" w:sz="4" w:space="0" w:color="auto"/>
              <w:bottom w:val="nil"/>
              <w:right w:val="nil"/>
            </w:tcBorders>
            <w:shd w:val="clear" w:color="auto" w:fill="auto"/>
            <w:noWrap/>
            <w:vAlign w:val="center"/>
            <w:hideMark/>
          </w:tcPr>
          <w:p w14:paraId="3394FF1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0.0002</w:t>
            </w:r>
          </w:p>
        </w:tc>
        <w:tc>
          <w:tcPr>
            <w:tcW w:w="571" w:type="pct"/>
            <w:tcBorders>
              <w:top w:val="single" w:sz="4" w:space="0" w:color="auto"/>
              <w:left w:val="nil"/>
              <w:bottom w:val="nil"/>
              <w:right w:val="nil"/>
            </w:tcBorders>
            <w:shd w:val="clear" w:color="auto" w:fill="auto"/>
            <w:noWrap/>
            <w:vAlign w:val="center"/>
            <w:hideMark/>
          </w:tcPr>
          <w:p w14:paraId="760AA22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0.4932</w:t>
            </w:r>
          </w:p>
        </w:tc>
      </w:tr>
      <w:tr w:rsidR="00C30160" w:rsidRPr="00CE0DE7" w14:paraId="7CF1AFC0" w14:textId="77777777" w:rsidTr="00C24E43">
        <w:trPr>
          <w:trHeight w:val="259"/>
        </w:trPr>
        <w:tc>
          <w:tcPr>
            <w:tcW w:w="553" w:type="pct"/>
            <w:vMerge/>
            <w:tcBorders>
              <w:top w:val="nil"/>
              <w:left w:val="nil"/>
              <w:bottom w:val="nil"/>
              <w:right w:val="single" w:sz="4" w:space="0" w:color="auto"/>
            </w:tcBorders>
            <w:vAlign w:val="center"/>
            <w:hideMark/>
          </w:tcPr>
          <w:p w14:paraId="348F0DAE"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6F0CA6D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571" w:type="pct"/>
            <w:tcBorders>
              <w:top w:val="nil"/>
              <w:left w:val="single" w:sz="4" w:space="0" w:color="auto"/>
              <w:bottom w:val="nil"/>
              <w:right w:val="nil"/>
            </w:tcBorders>
            <w:shd w:val="clear" w:color="auto" w:fill="auto"/>
            <w:noWrap/>
            <w:vAlign w:val="center"/>
            <w:hideMark/>
          </w:tcPr>
          <w:p w14:paraId="536AB0F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0.0468</w:t>
            </w:r>
          </w:p>
        </w:tc>
        <w:tc>
          <w:tcPr>
            <w:tcW w:w="571" w:type="pct"/>
            <w:tcBorders>
              <w:top w:val="nil"/>
              <w:left w:val="nil"/>
              <w:bottom w:val="nil"/>
              <w:right w:val="single" w:sz="4" w:space="0" w:color="auto"/>
            </w:tcBorders>
            <w:shd w:val="clear" w:color="auto" w:fill="auto"/>
            <w:noWrap/>
            <w:vAlign w:val="center"/>
            <w:hideMark/>
          </w:tcPr>
          <w:p w14:paraId="3F1412F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0.0181</w:t>
            </w:r>
          </w:p>
        </w:tc>
        <w:tc>
          <w:tcPr>
            <w:tcW w:w="571" w:type="pct"/>
            <w:tcBorders>
              <w:top w:val="nil"/>
              <w:left w:val="single" w:sz="4" w:space="0" w:color="auto"/>
              <w:bottom w:val="nil"/>
              <w:right w:val="nil"/>
            </w:tcBorders>
            <w:shd w:val="clear" w:color="auto" w:fill="auto"/>
            <w:noWrap/>
            <w:vAlign w:val="center"/>
            <w:hideMark/>
          </w:tcPr>
          <w:p w14:paraId="0027F3F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0.0004</w:t>
            </w:r>
          </w:p>
        </w:tc>
        <w:tc>
          <w:tcPr>
            <w:tcW w:w="571" w:type="pct"/>
            <w:tcBorders>
              <w:top w:val="nil"/>
              <w:left w:val="nil"/>
              <w:bottom w:val="nil"/>
              <w:right w:val="single" w:sz="4" w:space="0" w:color="auto"/>
            </w:tcBorders>
            <w:shd w:val="clear" w:color="auto" w:fill="auto"/>
            <w:noWrap/>
            <w:vAlign w:val="center"/>
            <w:hideMark/>
          </w:tcPr>
          <w:p w14:paraId="17C6C54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0.1472</w:t>
            </w:r>
          </w:p>
        </w:tc>
        <w:tc>
          <w:tcPr>
            <w:tcW w:w="571" w:type="pct"/>
            <w:tcBorders>
              <w:top w:val="nil"/>
              <w:left w:val="single" w:sz="4" w:space="0" w:color="auto"/>
              <w:bottom w:val="nil"/>
              <w:right w:val="nil"/>
            </w:tcBorders>
            <w:shd w:val="clear" w:color="auto" w:fill="auto"/>
            <w:noWrap/>
            <w:vAlign w:val="center"/>
            <w:hideMark/>
          </w:tcPr>
          <w:p w14:paraId="3F8A6B3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0.0001</w:t>
            </w:r>
          </w:p>
        </w:tc>
        <w:tc>
          <w:tcPr>
            <w:tcW w:w="571" w:type="pct"/>
            <w:tcBorders>
              <w:top w:val="nil"/>
              <w:left w:val="nil"/>
              <w:bottom w:val="nil"/>
              <w:right w:val="nil"/>
            </w:tcBorders>
            <w:shd w:val="clear" w:color="auto" w:fill="auto"/>
            <w:noWrap/>
            <w:vAlign w:val="center"/>
            <w:hideMark/>
          </w:tcPr>
          <w:p w14:paraId="3C3FF6F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0.4321</w:t>
            </w:r>
          </w:p>
        </w:tc>
      </w:tr>
      <w:tr w:rsidR="00C30160" w:rsidRPr="00CE0DE7" w14:paraId="690A8337" w14:textId="77777777" w:rsidTr="00C24E43">
        <w:trPr>
          <w:trHeight w:val="259"/>
        </w:trPr>
        <w:tc>
          <w:tcPr>
            <w:tcW w:w="553" w:type="pct"/>
            <w:vMerge/>
            <w:tcBorders>
              <w:top w:val="nil"/>
              <w:left w:val="nil"/>
              <w:bottom w:val="nil"/>
              <w:right w:val="single" w:sz="4" w:space="0" w:color="auto"/>
            </w:tcBorders>
            <w:vAlign w:val="center"/>
            <w:hideMark/>
          </w:tcPr>
          <w:p w14:paraId="5EF05308"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44AE448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571" w:type="pct"/>
            <w:tcBorders>
              <w:top w:val="nil"/>
              <w:left w:val="single" w:sz="4" w:space="0" w:color="auto"/>
              <w:bottom w:val="nil"/>
              <w:right w:val="nil"/>
            </w:tcBorders>
            <w:shd w:val="clear" w:color="auto" w:fill="auto"/>
            <w:noWrap/>
            <w:vAlign w:val="center"/>
            <w:hideMark/>
          </w:tcPr>
          <w:p w14:paraId="6C87DB1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0.0076</w:t>
            </w:r>
          </w:p>
        </w:tc>
        <w:tc>
          <w:tcPr>
            <w:tcW w:w="571" w:type="pct"/>
            <w:tcBorders>
              <w:top w:val="nil"/>
              <w:left w:val="nil"/>
              <w:bottom w:val="nil"/>
              <w:right w:val="single" w:sz="4" w:space="0" w:color="auto"/>
            </w:tcBorders>
            <w:shd w:val="clear" w:color="auto" w:fill="auto"/>
            <w:noWrap/>
            <w:vAlign w:val="center"/>
            <w:hideMark/>
          </w:tcPr>
          <w:p w14:paraId="32ECD85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0.0164</w:t>
            </w:r>
          </w:p>
        </w:tc>
        <w:tc>
          <w:tcPr>
            <w:tcW w:w="571" w:type="pct"/>
            <w:tcBorders>
              <w:top w:val="nil"/>
              <w:left w:val="single" w:sz="4" w:space="0" w:color="auto"/>
              <w:bottom w:val="nil"/>
              <w:right w:val="nil"/>
            </w:tcBorders>
            <w:shd w:val="clear" w:color="auto" w:fill="auto"/>
            <w:noWrap/>
            <w:vAlign w:val="center"/>
            <w:hideMark/>
          </w:tcPr>
          <w:p w14:paraId="4334A3D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0.0002</w:t>
            </w:r>
          </w:p>
        </w:tc>
        <w:tc>
          <w:tcPr>
            <w:tcW w:w="571" w:type="pct"/>
            <w:tcBorders>
              <w:top w:val="nil"/>
              <w:left w:val="nil"/>
              <w:bottom w:val="nil"/>
              <w:right w:val="single" w:sz="4" w:space="0" w:color="auto"/>
            </w:tcBorders>
            <w:shd w:val="clear" w:color="auto" w:fill="auto"/>
            <w:noWrap/>
            <w:vAlign w:val="center"/>
            <w:hideMark/>
          </w:tcPr>
          <w:p w14:paraId="557DB92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0.1126</w:t>
            </w:r>
          </w:p>
        </w:tc>
        <w:tc>
          <w:tcPr>
            <w:tcW w:w="571" w:type="pct"/>
            <w:tcBorders>
              <w:top w:val="nil"/>
              <w:left w:val="single" w:sz="4" w:space="0" w:color="auto"/>
              <w:bottom w:val="nil"/>
              <w:right w:val="nil"/>
            </w:tcBorders>
            <w:shd w:val="clear" w:color="auto" w:fill="auto"/>
            <w:noWrap/>
            <w:vAlign w:val="center"/>
            <w:hideMark/>
          </w:tcPr>
          <w:p w14:paraId="533515C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0.0005</w:t>
            </w:r>
          </w:p>
        </w:tc>
        <w:tc>
          <w:tcPr>
            <w:tcW w:w="571" w:type="pct"/>
            <w:tcBorders>
              <w:top w:val="nil"/>
              <w:left w:val="nil"/>
              <w:bottom w:val="nil"/>
              <w:right w:val="nil"/>
            </w:tcBorders>
            <w:shd w:val="clear" w:color="auto" w:fill="auto"/>
            <w:noWrap/>
            <w:vAlign w:val="center"/>
            <w:hideMark/>
          </w:tcPr>
          <w:p w14:paraId="3690B8B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0.7369</w:t>
            </w:r>
          </w:p>
        </w:tc>
      </w:tr>
      <w:tr w:rsidR="00C30160" w:rsidRPr="00CE0DE7" w14:paraId="6C4B729D" w14:textId="77777777" w:rsidTr="00C24E43">
        <w:trPr>
          <w:trHeight w:val="259"/>
        </w:trPr>
        <w:tc>
          <w:tcPr>
            <w:tcW w:w="553" w:type="pct"/>
            <w:vMerge/>
            <w:tcBorders>
              <w:top w:val="nil"/>
              <w:left w:val="nil"/>
              <w:bottom w:val="nil"/>
              <w:right w:val="single" w:sz="4" w:space="0" w:color="auto"/>
            </w:tcBorders>
            <w:vAlign w:val="center"/>
            <w:hideMark/>
          </w:tcPr>
          <w:p w14:paraId="5358CD2A"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10C3AB9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571" w:type="pct"/>
            <w:tcBorders>
              <w:top w:val="nil"/>
              <w:left w:val="single" w:sz="4" w:space="0" w:color="auto"/>
              <w:bottom w:val="nil"/>
              <w:right w:val="nil"/>
            </w:tcBorders>
            <w:shd w:val="clear" w:color="auto" w:fill="auto"/>
            <w:noWrap/>
            <w:vAlign w:val="center"/>
            <w:hideMark/>
          </w:tcPr>
          <w:p w14:paraId="3D9A5F7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0.0069</w:t>
            </w:r>
          </w:p>
        </w:tc>
        <w:tc>
          <w:tcPr>
            <w:tcW w:w="571" w:type="pct"/>
            <w:tcBorders>
              <w:top w:val="nil"/>
              <w:left w:val="nil"/>
              <w:bottom w:val="nil"/>
              <w:right w:val="single" w:sz="4" w:space="0" w:color="auto"/>
            </w:tcBorders>
            <w:shd w:val="clear" w:color="auto" w:fill="auto"/>
            <w:noWrap/>
            <w:vAlign w:val="center"/>
            <w:hideMark/>
          </w:tcPr>
          <w:p w14:paraId="664D97D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0.0227</w:t>
            </w:r>
          </w:p>
        </w:tc>
        <w:tc>
          <w:tcPr>
            <w:tcW w:w="571" w:type="pct"/>
            <w:tcBorders>
              <w:top w:val="nil"/>
              <w:left w:val="single" w:sz="4" w:space="0" w:color="auto"/>
              <w:bottom w:val="nil"/>
              <w:right w:val="nil"/>
            </w:tcBorders>
            <w:shd w:val="clear" w:color="auto" w:fill="auto"/>
            <w:noWrap/>
            <w:vAlign w:val="center"/>
            <w:hideMark/>
          </w:tcPr>
          <w:p w14:paraId="49C63E9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0.0001</w:t>
            </w:r>
          </w:p>
        </w:tc>
        <w:tc>
          <w:tcPr>
            <w:tcW w:w="571" w:type="pct"/>
            <w:tcBorders>
              <w:top w:val="nil"/>
              <w:left w:val="nil"/>
              <w:bottom w:val="nil"/>
              <w:right w:val="single" w:sz="4" w:space="0" w:color="auto"/>
            </w:tcBorders>
            <w:shd w:val="clear" w:color="auto" w:fill="auto"/>
            <w:noWrap/>
            <w:vAlign w:val="center"/>
            <w:hideMark/>
          </w:tcPr>
          <w:p w14:paraId="555BDE8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0.1579</w:t>
            </w:r>
          </w:p>
        </w:tc>
        <w:tc>
          <w:tcPr>
            <w:tcW w:w="571" w:type="pct"/>
            <w:tcBorders>
              <w:top w:val="nil"/>
              <w:left w:val="single" w:sz="4" w:space="0" w:color="auto"/>
              <w:bottom w:val="nil"/>
              <w:right w:val="nil"/>
            </w:tcBorders>
            <w:shd w:val="clear" w:color="auto" w:fill="auto"/>
            <w:noWrap/>
            <w:vAlign w:val="center"/>
            <w:hideMark/>
          </w:tcPr>
          <w:p w14:paraId="4074B94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0.0002</w:t>
            </w:r>
          </w:p>
        </w:tc>
        <w:tc>
          <w:tcPr>
            <w:tcW w:w="571" w:type="pct"/>
            <w:tcBorders>
              <w:top w:val="nil"/>
              <w:left w:val="nil"/>
              <w:bottom w:val="nil"/>
              <w:right w:val="nil"/>
            </w:tcBorders>
            <w:shd w:val="clear" w:color="auto" w:fill="auto"/>
            <w:noWrap/>
            <w:vAlign w:val="center"/>
            <w:hideMark/>
          </w:tcPr>
          <w:p w14:paraId="58F5E47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0.6261</w:t>
            </w:r>
          </w:p>
        </w:tc>
      </w:tr>
      <w:tr w:rsidR="00C30160" w:rsidRPr="00CE0DE7" w14:paraId="58913D46" w14:textId="77777777" w:rsidTr="00C24E43">
        <w:trPr>
          <w:trHeight w:val="259"/>
        </w:trPr>
        <w:tc>
          <w:tcPr>
            <w:tcW w:w="553" w:type="pct"/>
            <w:vMerge/>
            <w:tcBorders>
              <w:top w:val="nil"/>
              <w:left w:val="nil"/>
              <w:bottom w:val="single" w:sz="4" w:space="0" w:color="auto"/>
              <w:right w:val="single" w:sz="4" w:space="0" w:color="auto"/>
            </w:tcBorders>
            <w:vAlign w:val="center"/>
            <w:hideMark/>
          </w:tcPr>
          <w:p w14:paraId="2578DDC2"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single" w:sz="4" w:space="0" w:color="auto"/>
              <w:right w:val="single" w:sz="4" w:space="0" w:color="auto"/>
            </w:tcBorders>
            <w:shd w:val="clear" w:color="auto" w:fill="auto"/>
            <w:noWrap/>
            <w:vAlign w:val="center"/>
            <w:hideMark/>
          </w:tcPr>
          <w:p w14:paraId="28E0248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571" w:type="pct"/>
            <w:tcBorders>
              <w:top w:val="nil"/>
              <w:left w:val="single" w:sz="4" w:space="0" w:color="auto"/>
              <w:bottom w:val="single" w:sz="4" w:space="0" w:color="auto"/>
              <w:right w:val="nil"/>
            </w:tcBorders>
            <w:shd w:val="clear" w:color="auto" w:fill="auto"/>
            <w:noWrap/>
            <w:vAlign w:val="center"/>
            <w:hideMark/>
          </w:tcPr>
          <w:p w14:paraId="39E6531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0.0130</w:t>
            </w:r>
          </w:p>
        </w:tc>
        <w:tc>
          <w:tcPr>
            <w:tcW w:w="571" w:type="pct"/>
            <w:tcBorders>
              <w:top w:val="nil"/>
              <w:left w:val="nil"/>
              <w:bottom w:val="single" w:sz="4" w:space="0" w:color="auto"/>
              <w:right w:val="single" w:sz="4" w:space="0" w:color="auto"/>
            </w:tcBorders>
            <w:shd w:val="clear" w:color="auto" w:fill="auto"/>
            <w:noWrap/>
            <w:vAlign w:val="center"/>
            <w:hideMark/>
          </w:tcPr>
          <w:p w14:paraId="540D8EF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0.1080</w:t>
            </w:r>
          </w:p>
        </w:tc>
        <w:tc>
          <w:tcPr>
            <w:tcW w:w="571" w:type="pct"/>
            <w:tcBorders>
              <w:top w:val="nil"/>
              <w:left w:val="single" w:sz="4" w:space="0" w:color="auto"/>
              <w:bottom w:val="single" w:sz="4" w:space="0" w:color="auto"/>
              <w:right w:val="nil"/>
            </w:tcBorders>
            <w:shd w:val="clear" w:color="auto" w:fill="auto"/>
            <w:noWrap/>
            <w:vAlign w:val="center"/>
            <w:hideMark/>
          </w:tcPr>
          <w:p w14:paraId="273260C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0.0001</w:t>
            </w:r>
          </w:p>
        </w:tc>
        <w:tc>
          <w:tcPr>
            <w:tcW w:w="571" w:type="pct"/>
            <w:tcBorders>
              <w:top w:val="nil"/>
              <w:left w:val="nil"/>
              <w:bottom w:val="single" w:sz="4" w:space="0" w:color="auto"/>
              <w:right w:val="single" w:sz="4" w:space="0" w:color="auto"/>
            </w:tcBorders>
            <w:shd w:val="clear" w:color="auto" w:fill="auto"/>
            <w:noWrap/>
            <w:vAlign w:val="center"/>
            <w:hideMark/>
          </w:tcPr>
          <w:p w14:paraId="52B6FA2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0.1703</w:t>
            </w:r>
          </w:p>
        </w:tc>
        <w:tc>
          <w:tcPr>
            <w:tcW w:w="571" w:type="pct"/>
            <w:tcBorders>
              <w:top w:val="nil"/>
              <w:left w:val="single" w:sz="4" w:space="0" w:color="auto"/>
              <w:bottom w:val="single" w:sz="4" w:space="0" w:color="auto"/>
              <w:right w:val="nil"/>
            </w:tcBorders>
            <w:shd w:val="clear" w:color="auto" w:fill="auto"/>
            <w:noWrap/>
            <w:vAlign w:val="center"/>
            <w:hideMark/>
          </w:tcPr>
          <w:p w14:paraId="50A841F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0.0008</w:t>
            </w:r>
          </w:p>
        </w:tc>
        <w:tc>
          <w:tcPr>
            <w:tcW w:w="571" w:type="pct"/>
            <w:tcBorders>
              <w:top w:val="nil"/>
              <w:left w:val="nil"/>
              <w:bottom w:val="single" w:sz="4" w:space="0" w:color="auto"/>
              <w:right w:val="nil"/>
            </w:tcBorders>
            <w:shd w:val="clear" w:color="auto" w:fill="auto"/>
            <w:noWrap/>
            <w:vAlign w:val="center"/>
            <w:hideMark/>
          </w:tcPr>
          <w:p w14:paraId="61F6EA8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0.5498</w:t>
            </w:r>
          </w:p>
        </w:tc>
      </w:tr>
      <w:tr w:rsidR="00C30160" w:rsidRPr="00CE0DE7" w14:paraId="49AAE8EA" w14:textId="77777777" w:rsidTr="00C24E43">
        <w:trPr>
          <w:trHeight w:val="259"/>
        </w:trPr>
        <w:tc>
          <w:tcPr>
            <w:tcW w:w="553" w:type="pct"/>
            <w:vMerge w:val="restart"/>
            <w:tcBorders>
              <w:top w:val="single" w:sz="4" w:space="0" w:color="auto"/>
              <w:left w:val="nil"/>
              <w:bottom w:val="nil"/>
              <w:right w:val="single" w:sz="4" w:space="0" w:color="auto"/>
            </w:tcBorders>
            <w:shd w:val="clear" w:color="auto" w:fill="auto"/>
            <w:noWrap/>
            <w:vAlign w:val="center"/>
            <w:hideMark/>
          </w:tcPr>
          <w:p w14:paraId="56E891A7"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MOM</w:t>
            </w:r>
          </w:p>
        </w:tc>
        <w:tc>
          <w:tcPr>
            <w:tcW w:w="1019" w:type="pct"/>
            <w:tcBorders>
              <w:top w:val="single" w:sz="4" w:space="0" w:color="auto"/>
              <w:left w:val="single" w:sz="4" w:space="0" w:color="auto"/>
              <w:bottom w:val="nil"/>
              <w:right w:val="single" w:sz="4" w:space="0" w:color="auto"/>
            </w:tcBorders>
            <w:shd w:val="clear" w:color="auto" w:fill="auto"/>
            <w:noWrap/>
            <w:vAlign w:val="center"/>
            <w:hideMark/>
          </w:tcPr>
          <w:p w14:paraId="33288AB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571" w:type="pct"/>
            <w:tcBorders>
              <w:top w:val="single" w:sz="4" w:space="0" w:color="auto"/>
              <w:left w:val="single" w:sz="4" w:space="0" w:color="auto"/>
              <w:bottom w:val="nil"/>
              <w:right w:val="nil"/>
            </w:tcBorders>
            <w:shd w:val="clear" w:color="auto" w:fill="auto"/>
            <w:noWrap/>
            <w:vAlign w:val="center"/>
            <w:hideMark/>
          </w:tcPr>
          <w:p w14:paraId="355F2AA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0.0235</w:t>
            </w:r>
          </w:p>
        </w:tc>
        <w:tc>
          <w:tcPr>
            <w:tcW w:w="571" w:type="pct"/>
            <w:tcBorders>
              <w:top w:val="single" w:sz="4" w:space="0" w:color="auto"/>
              <w:left w:val="nil"/>
              <w:bottom w:val="nil"/>
              <w:right w:val="single" w:sz="4" w:space="0" w:color="auto"/>
            </w:tcBorders>
            <w:shd w:val="clear" w:color="auto" w:fill="auto"/>
            <w:noWrap/>
            <w:vAlign w:val="center"/>
            <w:hideMark/>
          </w:tcPr>
          <w:p w14:paraId="1EF553F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0.2698</w:t>
            </w:r>
          </w:p>
        </w:tc>
        <w:tc>
          <w:tcPr>
            <w:tcW w:w="571" w:type="pct"/>
            <w:tcBorders>
              <w:top w:val="single" w:sz="4" w:space="0" w:color="auto"/>
              <w:left w:val="single" w:sz="4" w:space="0" w:color="auto"/>
              <w:bottom w:val="nil"/>
              <w:right w:val="nil"/>
            </w:tcBorders>
            <w:shd w:val="clear" w:color="auto" w:fill="auto"/>
            <w:noWrap/>
            <w:vAlign w:val="center"/>
            <w:hideMark/>
          </w:tcPr>
          <w:p w14:paraId="44A3F7A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0.0051</w:t>
            </w:r>
          </w:p>
        </w:tc>
        <w:tc>
          <w:tcPr>
            <w:tcW w:w="571" w:type="pct"/>
            <w:tcBorders>
              <w:top w:val="single" w:sz="4" w:space="0" w:color="auto"/>
              <w:left w:val="nil"/>
              <w:bottom w:val="nil"/>
              <w:right w:val="single" w:sz="4" w:space="0" w:color="auto"/>
            </w:tcBorders>
            <w:shd w:val="clear" w:color="auto" w:fill="auto"/>
            <w:noWrap/>
            <w:vAlign w:val="center"/>
            <w:hideMark/>
          </w:tcPr>
          <w:p w14:paraId="6160032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0.2238</w:t>
            </w:r>
          </w:p>
        </w:tc>
        <w:tc>
          <w:tcPr>
            <w:tcW w:w="571" w:type="pct"/>
            <w:tcBorders>
              <w:top w:val="single" w:sz="4" w:space="0" w:color="auto"/>
              <w:left w:val="single" w:sz="4" w:space="0" w:color="auto"/>
              <w:bottom w:val="nil"/>
              <w:right w:val="nil"/>
            </w:tcBorders>
            <w:shd w:val="clear" w:color="auto" w:fill="auto"/>
            <w:noWrap/>
            <w:vAlign w:val="center"/>
            <w:hideMark/>
          </w:tcPr>
          <w:p w14:paraId="3B66C2D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0.0003</w:t>
            </w:r>
          </w:p>
        </w:tc>
        <w:tc>
          <w:tcPr>
            <w:tcW w:w="571" w:type="pct"/>
            <w:tcBorders>
              <w:top w:val="single" w:sz="4" w:space="0" w:color="auto"/>
              <w:left w:val="nil"/>
              <w:bottom w:val="nil"/>
              <w:right w:val="nil"/>
            </w:tcBorders>
            <w:shd w:val="clear" w:color="auto" w:fill="auto"/>
            <w:noWrap/>
            <w:vAlign w:val="center"/>
            <w:hideMark/>
          </w:tcPr>
          <w:p w14:paraId="704CB43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0.2805</w:t>
            </w:r>
          </w:p>
        </w:tc>
      </w:tr>
      <w:tr w:rsidR="00C30160" w:rsidRPr="00CE0DE7" w14:paraId="5BDF5435" w14:textId="77777777" w:rsidTr="00C24E43">
        <w:trPr>
          <w:trHeight w:val="259"/>
        </w:trPr>
        <w:tc>
          <w:tcPr>
            <w:tcW w:w="553" w:type="pct"/>
            <w:vMerge/>
            <w:tcBorders>
              <w:top w:val="nil"/>
              <w:left w:val="nil"/>
              <w:bottom w:val="nil"/>
              <w:right w:val="single" w:sz="4" w:space="0" w:color="auto"/>
            </w:tcBorders>
            <w:vAlign w:val="center"/>
            <w:hideMark/>
          </w:tcPr>
          <w:p w14:paraId="3CB63CBD"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3644EF6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571" w:type="pct"/>
            <w:tcBorders>
              <w:top w:val="nil"/>
              <w:left w:val="single" w:sz="4" w:space="0" w:color="auto"/>
              <w:bottom w:val="nil"/>
              <w:right w:val="nil"/>
            </w:tcBorders>
            <w:shd w:val="clear" w:color="auto" w:fill="auto"/>
            <w:noWrap/>
            <w:vAlign w:val="center"/>
            <w:hideMark/>
          </w:tcPr>
          <w:p w14:paraId="0DA247D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0.0145</w:t>
            </w:r>
          </w:p>
        </w:tc>
        <w:tc>
          <w:tcPr>
            <w:tcW w:w="571" w:type="pct"/>
            <w:tcBorders>
              <w:top w:val="nil"/>
              <w:left w:val="nil"/>
              <w:bottom w:val="nil"/>
              <w:right w:val="single" w:sz="4" w:space="0" w:color="auto"/>
            </w:tcBorders>
            <w:shd w:val="clear" w:color="auto" w:fill="auto"/>
            <w:noWrap/>
            <w:vAlign w:val="center"/>
            <w:hideMark/>
          </w:tcPr>
          <w:p w14:paraId="25AA1C9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0.3602</w:t>
            </w:r>
          </w:p>
        </w:tc>
        <w:tc>
          <w:tcPr>
            <w:tcW w:w="571" w:type="pct"/>
            <w:tcBorders>
              <w:top w:val="nil"/>
              <w:left w:val="single" w:sz="4" w:space="0" w:color="auto"/>
              <w:bottom w:val="nil"/>
              <w:right w:val="nil"/>
            </w:tcBorders>
            <w:shd w:val="clear" w:color="auto" w:fill="auto"/>
            <w:noWrap/>
            <w:vAlign w:val="center"/>
            <w:hideMark/>
          </w:tcPr>
          <w:p w14:paraId="0A182D9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0.0076</w:t>
            </w:r>
          </w:p>
        </w:tc>
        <w:tc>
          <w:tcPr>
            <w:tcW w:w="571" w:type="pct"/>
            <w:tcBorders>
              <w:top w:val="nil"/>
              <w:left w:val="nil"/>
              <w:bottom w:val="nil"/>
              <w:right w:val="single" w:sz="4" w:space="0" w:color="auto"/>
            </w:tcBorders>
            <w:shd w:val="clear" w:color="auto" w:fill="auto"/>
            <w:noWrap/>
            <w:vAlign w:val="center"/>
            <w:hideMark/>
          </w:tcPr>
          <w:p w14:paraId="5C98E38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0.2220</w:t>
            </w:r>
          </w:p>
        </w:tc>
        <w:tc>
          <w:tcPr>
            <w:tcW w:w="571" w:type="pct"/>
            <w:tcBorders>
              <w:top w:val="nil"/>
              <w:left w:val="single" w:sz="4" w:space="0" w:color="auto"/>
              <w:bottom w:val="nil"/>
              <w:right w:val="nil"/>
            </w:tcBorders>
            <w:shd w:val="clear" w:color="auto" w:fill="auto"/>
            <w:noWrap/>
            <w:vAlign w:val="center"/>
            <w:hideMark/>
          </w:tcPr>
          <w:p w14:paraId="705E63D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nil"/>
              <w:left w:val="nil"/>
              <w:bottom w:val="nil"/>
              <w:right w:val="nil"/>
            </w:tcBorders>
            <w:shd w:val="clear" w:color="auto" w:fill="auto"/>
            <w:noWrap/>
            <w:vAlign w:val="center"/>
            <w:hideMark/>
          </w:tcPr>
          <w:p w14:paraId="70287A0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0.1929</w:t>
            </w:r>
          </w:p>
        </w:tc>
      </w:tr>
      <w:tr w:rsidR="00C30160" w:rsidRPr="00CE0DE7" w14:paraId="33828B2F" w14:textId="77777777" w:rsidTr="00C24E43">
        <w:trPr>
          <w:trHeight w:val="259"/>
        </w:trPr>
        <w:tc>
          <w:tcPr>
            <w:tcW w:w="553" w:type="pct"/>
            <w:vMerge/>
            <w:tcBorders>
              <w:top w:val="nil"/>
              <w:left w:val="nil"/>
              <w:bottom w:val="nil"/>
              <w:right w:val="single" w:sz="4" w:space="0" w:color="auto"/>
            </w:tcBorders>
            <w:vAlign w:val="center"/>
            <w:hideMark/>
          </w:tcPr>
          <w:p w14:paraId="21AE6F77"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3BF6E58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571" w:type="pct"/>
            <w:tcBorders>
              <w:top w:val="nil"/>
              <w:left w:val="single" w:sz="4" w:space="0" w:color="auto"/>
              <w:bottom w:val="nil"/>
              <w:right w:val="nil"/>
            </w:tcBorders>
            <w:shd w:val="clear" w:color="auto" w:fill="auto"/>
            <w:noWrap/>
            <w:vAlign w:val="center"/>
            <w:hideMark/>
          </w:tcPr>
          <w:p w14:paraId="09D00F7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0.0133</w:t>
            </w:r>
          </w:p>
        </w:tc>
        <w:tc>
          <w:tcPr>
            <w:tcW w:w="571" w:type="pct"/>
            <w:tcBorders>
              <w:top w:val="nil"/>
              <w:left w:val="nil"/>
              <w:bottom w:val="nil"/>
              <w:right w:val="single" w:sz="4" w:space="0" w:color="auto"/>
            </w:tcBorders>
            <w:shd w:val="clear" w:color="auto" w:fill="auto"/>
            <w:noWrap/>
            <w:vAlign w:val="center"/>
            <w:hideMark/>
          </w:tcPr>
          <w:p w14:paraId="0DEEDEA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0.1485</w:t>
            </w:r>
          </w:p>
        </w:tc>
        <w:tc>
          <w:tcPr>
            <w:tcW w:w="571" w:type="pct"/>
            <w:tcBorders>
              <w:top w:val="nil"/>
              <w:left w:val="single" w:sz="4" w:space="0" w:color="auto"/>
              <w:bottom w:val="nil"/>
              <w:right w:val="nil"/>
            </w:tcBorders>
            <w:shd w:val="clear" w:color="auto" w:fill="auto"/>
            <w:noWrap/>
            <w:vAlign w:val="center"/>
            <w:hideMark/>
          </w:tcPr>
          <w:p w14:paraId="1FE0F8B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0.0155</w:t>
            </w:r>
          </w:p>
        </w:tc>
        <w:tc>
          <w:tcPr>
            <w:tcW w:w="571" w:type="pct"/>
            <w:tcBorders>
              <w:top w:val="nil"/>
              <w:left w:val="nil"/>
              <w:bottom w:val="nil"/>
              <w:right w:val="single" w:sz="4" w:space="0" w:color="auto"/>
            </w:tcBorders>
            <w:shd w:val="clear" w:color="auto" w:fill="auto"/>
            <w:noWrap/>
            <w:vAlign w:val="center"/>
            <w:hideMark/>
          </w:tcPr>
          <w:p w14:paraId="14B1B5C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0.1805</w:t>
            </w:r>
          </w:p>
        </w:tc>
        <w:tc>
          <w:tcPr>
            <w:tcW w:w="571" w:type="pct"/>
            <w:tcBorders>
              <w:top w:val="nil"/>
              <w:left w:val="single" w:sz="4" w:space="0" w:color="auto"/>
              <w:bottom w:val="nil"/>
              <w:right w:val="nil"/>
            </w:tcBorders>
            <w:shd w:val="clear" w:color="auto" w:fill="auto"/>
            <w:noWrap/>
            <w:vAlign w:val="center"/>
            <w:hideMark/>
          </w:tcPr>
          <w:p w14:paraId="0098845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nil"/>
              <w:left w:val="nil"/>
              <w:bottom w:val="nil"/>
              <w:right w:val="nil"/>
            </w:tcBorders>
            <w:shd w:val="clear" w:color="auto" w:fill="auto"/>
            <w:noWrap/>
            <w:vAlign w:val="center"/>
            <w:hideMark/>
          </w:tcPr>
          <w:p w14:paraId="7618E12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0.2256</w:t>
            </w:r>
          </w:p>
        </w:tc>
      </w:tr>
      <w:tr w:rsidR="00C30160" w:rsidRPr="00CE0DE7" w14:paraId="3AEF2D03" w14:textId="77777777" w:rsidTr="00C24E43">
        <w:trPr>
          <w:trHeight w:val="259"/>
        </w:trPr>
        <w:tc>
          <w:tcPr>
            <w:tcW w:w="553" w:type="pct"/>
            <w:vMerge/>
            <w:tcBorders>
              <w:top w:val="nil"/>
              <w:left w:val="nil"/>
              <w:bottom w:val="nil"/>
              <w:right w:val="single" w:sz="4" w:space="0" w:color="auto"/>
            </w:tcBorders>
            <w:vAlign w:val="center"/>
            <w:hideMark/>
          </w:tcPr>
          <w:p w14:paraId="32224C63"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68D9424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571" w:type="pct"/>
            <w:tcBorders>
              <w:top w:val="nil"/>
              <w:left w:val="single" w:sz="4" w:space="0" w:color="auto"/>
              <w:bottom w:val="nil"/>
              <w:right w:val="nil"/>
            </w:tcBorders>
            <w:shd w:val="clear" w:color="auto" w:fill="auto"/>
            <w:noWrap/>
            <w:vAlign w:val="center"/>
            <w:hideMark/>
          </w:tcPr>
          <w:p w14:paraId="71D0DFE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0.0407</w:t>
            </w:r>
          </w:p>
        </w:tc>
        <w:tc>
          <w:tcPr>
            <w:tcW w:w="571" w:type="pct"/>
            <w:tcBorders>
              <w:top w:val="nil"/>
              <w:left w:val="nil"/>
              <w:bottom w:val="nil"/>
              <w:right w:val="single" w:sz="4" w:space="0" w:color="auto"/>
            </w:tcBorders>
            <w:shd w:val="clear" w:color="auto" w:fill="auto"/>
            <w:noWrap/>
            <w:vAlign w:val="center"/>
            <w:hideMark/>
          </w:tcPr>
          <w:p w14:paraId="752B9F8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0.1761</w:t>
            </w:r>
          </w:p>
        </w:tc>
        <w:tc>
          <w:tcPr>
            <w:tcW w:w="571" w:type="pct"/>
            <w:tcBorders>
              <w:top w:val="nil"/>
              <w:left w:val="single" w:sz="4" w:space="0" w:color="auto"/>
              <w:bottom w:val="nil"/>
              <w:right w:val="nil"/>
            </w:tcBorders>
            <w:shd w:val="clear" w:color="auto" w:fill="auto"/>
            <w:noWrap/>
            <w:vAlign w:val="center"/>
            <w:hideMark/>
          </w:tcPr>
          <w:p w14:paraId="2592DD0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0.0091</w:t>
            </w:r>
          </w:p>
        </w:tc>
        <w:tc>
          <w:tcPr>
            <w:tcW w:w="571" w:type="pct"/>
            <w:tcBorders>
              <w:top w:val="nil"/>
              <w:left w:val="nil"/>
              <w:bottom w:val="nil"/>
              <w:right w:val="single" w:sz="4" w:space="0" w:color="auto"/>
            </w:tcBorders>
            <w:shd w:val="clear" w:color="auto" w:fill="auto"/>
            <w:noWrap/>
            <w:vAlign w:val="center"/>
            <w:hideMark/>
          </w:tcPr>
          <w:p w14:paraId="0E35FBD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0.3197</w:t>
            </w:r>
          </w:p>
        </w:tc>
        <w:tc>
          <w:tcPr>
            <w:tcW w:w="571" w:type="pct"/>
            <w:tcBorders>
              <w:top w:val="nil"/>
              <w:left w:val="single" w:sz="4" w:space="0" w:color="auto"/>
              <w:bottom w:val="nil"/>
              <w:right w:val="nil"/>
            </w:tcBorders>
            <w:shd w:val="clear" w:color="auto" w:fill="auto"/>
            <w:noWrap/>
            <w:vAlign w:val="center"/>
            <w:hideMark/>
          </w:tcPr>
          <w:p w14:paraId="480AED4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nil"/>
              <w:left w:val="nil"/>
              <w:bottom w:val="nil"/>
              <w:right w:val="nil"/>
            </w:tcBorders>
            <w:shd w:val="clear" w:color="auto" w:fill="auto"/>
            <w:noWrap/>
            <w:vAlign w:val="center"/>
            <w:hideMark/>
          </w:tcPr>
          <w:p w14:paraId="663C860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0.1750</w:t>
            </w:r>
          </w:p>
        </w:tc>
      </w:tr>
      <w:tr w:rsidR="00C30160" w:rsidRPr="00CE0DE7" w14:paraId="48EBD0DF" w14:textId="77777777" w:rsidTr="00C24E43">
        <w:trPr>
          <w:trHeight w:val="259"/>
        </w:trPr>
        <w:tc>
          <w:tcPr>
            <w:tcW w:w="553" w:type="pct"/>
            <w:vMerge/>
            <w:tcBorders>
              <w:top w:val="nil"/>
              <w:left w:val="nil"/>
              <w:bottom w:val="double" w:sz="4" w:space="0" w:color="auto"/>
              <w:right w:val="single" w:sz="4" w:space="0" w:color="auto"/>
            </w:tcBorders>
            <w:vAlign w:val="center"/>
            <w:hideMark/>
          </w:tcPr>
          <w:p w14:paraId="049E9DD7"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double" w:sz="4" w:space="0" w:color="auto"/>
              <w:right w:val="single" w:sz="4" w:space="0" w:color="auto"/>
            </w:tcBorders>
            <w:shd w:val="clear" w:color="auto" w:fill="auto"/>
            <w:noWrap/>
            <w:vAlign w:val="center"/>
            <w:hideMark/>
          </w:tcPr>
          <w:p w14:paraId="5419FB1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571" w:type="pct"/>
            <w:tcBorders>
              <w:top w:val="nil"/>
              <w:left w:val="single" w:sz="4" w:space="0" w:color="auto"/>
              <w:bottom w:val="double" w:sz="4" w:space="0" w:color="auto"/>
              <w:right w:val="nil"/>
            </w:tcBorders>
            <w:shd w:val="clear" w:color="auto" w:fill="auto"/>
            <w:noWrap/>
            <w:vAlign w:val="center"/>
            <w:hideMark/>
          </w:tcPr>
          <w:p w14:paraId="03C2DE8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0.0492</w:t>
            </w:r>
          </w:p>
        </w:tc>
        <w:tc>
          <w:tcPr>
            <w:tcW w:w="571" w:type="pct"/>
            <w:tcBorders>
              <w:top w:val="nil"/>
              <w:left w:val="nil"/>
              <w:bottom w:val="double" w:sz="4" w:space="0" w:color="auto"/>
              <w:right w:val="single" w:sz="4" w:space="0" w:color="auto"/>
            </w:tcBorders>
            <w:shd w:val="clear" w:color="auto" w:fill="auto"/>
            <w:noWrap/>
            <w:vAlign w:val="center"/>
            <w:hideMark/>
          </w:tcPr>
          <w:p w14:paraId="65E0935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0.4034</w:t>
            </w:r>
          </w:p>
        </w:tc>
        <w:tc>
          <w:tcPr>
            <w:tcW w:w="571" w:type="pct"/>
            <w:tcBorders>
              <w:top w:val="nil"/>
              <w:left w:val="single" w:sz="4" w:space="0" w:color="auto"/>
              <w:bottom w:val="double" w:sz="4" w:space="0" w:color="auto"/>
              <w:right w:val="nil"/>
            </w:tcBorders>
            <w:shd w:val="clear" w:color="auto" w:fill="auto"/>
            <w:noWrap/>
            <w:vAlign w:val="center"/>
            <w:hideMark/>
          </w:tcPr>
          <w:p w14:paraId="7381AC2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0.0106</w:t>
            </w:r>
          </w:p>
        </w:tc>
        <w:tc>
          <w:tcPr>
            <w:tcW w:w="571" w:type="pct"/>
            <w:tcBorders>
              <w:top w:val="nil"/>
              <w:left w:val="nil"/>
              <w:bottom w:val="double" w:sz="4" w:space="0" w:color="auto"/>
              <w:right w:val="single" w:sz="4" w:space="0" w:color="auto"/>
            </w:tcBorders>
            <w:shd w:val="clear" w:color="auto" w:fill="auto"/>
            <w:noWrap/>
            <w:vAlign w:val="center"/>
            <w:hideMark/>
          </w:tcPr>
          <w:p w14:paraId="50B6207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0.2697</w:t>
            </w:r>
          </w:p>
        </w:tc>
        <w:tc>
          <w:tcPr>
            <w:tcW w:w="571" w:type="pct"/>
            <w:tcBorders>
              <w:top w:val="nil"/>
              <w:left w:val="single" w:sz="4" w:space="0" w:color="auto"/>
              <w:bottom w:val="double" w:sz="4" w:space="0" w:color="auto"/>
              <w:right w:val="nil"/>
            </w:tcBorders>
            <w:shd w:val="clear" w:color="auto" w:fill="auto"/>
            <w:noWrap/>
            <w:vAlign w:val="center"/>
            <w:hideMark/>
          </w:tcPr>
          <w:p w14:paraId="76078BF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0.0012</w:t>
            </w:r>
          </w:p>
        </w:tc>
        <w:tc>
          <w:tcPr>
            <w:tcW w:w="571" w:type="pct"/>
            <w:tcBorders>
              <w:top w:val="nil"/>
              <w:left w:val="nil"/>
              <w:bottom w:val="double" w:sz="4" w:space="0" w:color="auto"/>
              <w:right w:val="nil"/>
            </w:tcBorders>
            <w:shd w:val="clear" w:color="auto" w:fill="auto"/>
            <w:noWrap/>
            <w:vAlign w:val="center"/>
            <w:hideMark/>
          </w:tcPr>
          <w:p w14:paraId="1A9107F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0.3847</w:t>
            </w:r>
          </w:p>
        </w:tc>
      </w:tr>
    </w:tbl>
    <w:p w14:paraId="19B8C6B1" w14:textId="77777777" w:rsidR="00C30160" w:rsidRPr="00CE0DE7" w:rsidRDefault="00C30160" w:rsidP="00C30160">
      <w:pPr>
        <w:adjustRightInd w:val="0"/>
        <w:snapToGrid w:val="0"/>
        <w:rPr>
          <w:sz w:val="20"/>
          <w:szCs w:val="20"/>
        </w:rPr>
      </w:pPr>
    </w:p>
    <w:p w14:paraId="60AB394F" w14:textId="77777777" w:rsidR="00C30160" w:rsidRPr="00CE0DE7" w:rsidRDefault="00C30160" w:rsidP="00C30160">
      <w:pPr>
        <w:adjustRightInd w:val="0"/>
        <w:snapToGrid w:val="0"/>
        <w:rPr>
          <w:sz w:val="20"/>
          <w:szCs w:val="20"/>
        </w:rPr>
      </w:pPr>
      <w:r w:rsidRPr="00CE0DE7">
        <w:rPr>
          <w:sz w:val="20"/>
          <w:szCs w:val="20"/>
        </w:rPr>
        <w:t>Panel B:</w:t>
      </w:r>
      <w:r w:rsidRPr="00CE0DE7">
        <w:rPr>
          <w:b/>
          <w:sz w:val="20"/>
          <w:szCs w:val="20"/>
        </w:rPr>
        <w:t xml:space="preserve"> </w:t>
      </w:r>
      <w:r w:rsidRPr="00CE0DE7">
        <w:rPr>
          <w:i/>
          <w:sz w:val="20"/>
          <w:szCs w:val="20"/>
          <w:lang w:eastAsia="zh-CN"/>
        </w:rPr>
        <w:t xml:space="preserve">ILLIQ </w:t>
      </w:r>
      <w:r w:rsidRPr="00CE0DE7">
        <w:rPr>
          <w:sz w:val="20"/>
          <w:szCs w:val="20"/>
        </w:rPr>
        <w:t>&amp; the four systematic factors (</w:t>
      </w:r>
      <w:r w:rsidRPr="00CE0DE7">
        <w:rPr>
          <w:rFonts w:ascii="Cambria" w:hAnsi="Cambria"/>
          <w:i/>
          <w:sz w:val="20"/>
          <w:szCs w:val="20"/>
        </w:rPr>
        <w:t>R</w:t>
      </w:r>
      <w:r w:rsidRPr="00CE0DE7">
        <w:rPr>
          <w:rFonts w:ascii="Cambria" w:hAnsi="Cambria"/>
          <w:i/>
          <w:sz w:val="20"/>
          <w:szCs w:val="20"/>
          <w:vertAlign w:val="subscript"/>
        </w:rPr>
        <w:t>m</w:t>
      </w:r>
      <w:r w:rsidRPr="00CE0DE7">
        <w:rPr>
          <w:rFonts w:ascii="Cambria" w:hAnsi="Cambria"/>
          <w:i/>
          <w:sz w:val="20"/>
          <w:szCs w:val="20"/>
        </w:rPr>
        <w:t xml:space="preserve"> – R</w:t>
      </w:r>
      <w:r w:rsidRPr="00CE0DE7">
        <w:rPr>
          <w:rFonts w:ascii="Cambria" w:hAnsi="Cambria"/>
          <w:i/>
          <w:sz w:val="20"/>
          <w:szCs w:val="20"/>
          <w:vertAlign w:val="subscript"/>
        </w:rPr>
        <w:t>f</w:t>
      </w:r>
      <w:r w:rsidRPr="00CE0DE7">
        <w:rPr>
          <w:sz w:val="20"/>
          <w:szCs w:val="20"/>
        </w:rPr>
        <w:t xml:space="preserve">, </w:t>
      </w:r>
      <w:r w:rsidRPr="00CE0DE7">
        <w:rPr>
          <w:i/>
          <w:sz w:val="20"/>
          <w:szCs w:val="20"/>
        </w:rPr>
        <w:t>SMB, HML</w:t>
      </w:r>
      <w:r w:rsidRPr="00CE0DE7">
        <w:rPr>
          <w:sz w:val="20"/>
          <w:szCs w:val="20"/>
        </w:rPr>
        <w:t xml:space="preserve"> and </w:t>
      </w:r>
      <w:r w:rsidRPr="00CE0DE7">
        <w:rPr>
          <w:i/>
          <w:sz w:val="20"/>
          <w:szCs w:val="20"/>
        </w:rPr>
        <w:t>MOM</w:t>
      </w:r>
      <w:r w:rsidRPr="00CE0DE7">
        <w:rPr>
          <w:sz w:val="20"/>
          <w:szCs w:val="20"/>
        </w:rPr>
        <w:t>)</w:t>
      </w:r>
    </w:p>
    <w:tbl>
      <w:tblPr>
        <w:tblW w:w="5040" w:type="pct"/>
        <w:tblLook w:val="04A0" w:firstRow="1" w:lastRow="0" w:firstColumn="1" w:lastColumn="0" w:noHBand="0" w:noVBand="1"/>
      </w:tblPr>
      <w:tblGrid>
        <w:gridCol w:w="1306"/>
        <w:gridCol w:w="2403"/>
        <w:gridCol w:w="1347"/>
        <w:gridCol w:w="1348"/>
        <w:gridCol w:w="1347"/>
        <w:gridCol w:w="1348"/>
      </w:tblGrid>
      <w:tr w:rsidR="00C30160" w:rsidRPr="00CE0DE7" w14:paraId="4AC6D415" w14:textId="77777777" w:rsidTr="00C24E43">
        <w:trPr>
          <w:trHeight w:val="263"/>
        </w:trPr>
        <w:tc>
          <w:tcPr>
            <w:tcW w:w="717" w:type="pct"/>
            <w:tcBorders>
              <w:top w:val="double" w:sz="4" w:space="0" w:color="auto"/>
              <w:bottom w:val="single" w:sz="4" w:space="0" w:color="auto"/>
              <w:right w:val="single" w:sz="4" w:space="0" w:color="auto"/>
            </w:tcBorders>
            <w:shd w:val="clear" w:color="auto" w:fill="auto"/>
            <w:noWrap/>
            <w:vAlign w:val="center"/>
            <w:hideMark/>
          </w:tcPr>
          <w:p w14:paraId="23C270B4" w14:textId="77777777" w:rsidR="00C30160" w:rsidRPr="00CE0DE7" w:rsidRDefault="00C30160" w:rsidP="00C24E43">
            <w:pPr>
              <w:rPr>
                <w:rFonts w:eastAsia="Times New Roman"/>
                <w:sz w:val="20"/>
                <w:szCs w:val="20"/>
                <w:lang w:eastAsia="zh-CN"/>
              </w:rPr>
            </w:pPr>
          </w:p>
        </w:tc>
        <w:tc>
          <w:tcPr>
            <w:tcW w:w="1320"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56A7D8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w:t>
            </w:r>
          </w:p>
        </w:tc>
        <w:tc>
          <w:tcPr>
            <w:tcW w:w="1481" w:type="pct"/>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15EC9F0"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1481" w:type="pct"/>
            <w:gridSpan w:val="2"/>
            <w:tcBorders>
              <w:top w:val="double" w:sz="4" w:space="0" w:color="auto"/>
              <w:left w:val="single" w:sz="4" w:space="0" w:color="auto"/>
            </w:tcBorders>
            <w:shd w:val="clear" w:color="auto" w:fill="auto"/>
            <w:noWrap/>
            <w:vAlign w:val="center"/>
            <w:hideMark/>
          </w:tcPr>
          <w:p w14:paraId="7C75B5A7"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r>
      <w:tr w:rsidR="00C30160" w:rsidRPr="00CE0DE7" w14:paraId="3EDD4EAD" w14:textId="77777777" w:rsidTr="00C24E43">
        <w:trPr>
          <w:trHeight w:val="228"/>
        </w:trPr>
        <w:tc>
          <w:tcPr>
            <w:tcW w:w="717" w:type="pct"/>
            <w:tcBorders>
              <w:top w:val="single" w:sz="4" w:space="0" w:color="auto"/>
              <w:bottom w:val="single" w:sz="4" w:space="0" w:color="auto"/>
              <w:right w:val="single" w:sz="4" w:space="0" w:color="auto"/>
            </w:tcBorders>
            <w:shd w:val="clear" w:color="auto" w:fill="auto"/>
            <w:noWrap/>
            <w:vAlign w:val="center"/>
            <w:hideMark/>
          </w:tcPr>
          <w:p w14:paraId="48C312C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w:t>
            </w:r>
          </w:p>
        </w:tc>
        <w:tc>
          <w:tcPr>
            <w:tcW w:w="1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349E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Sample period</w:t>
            </w:r>
          </w:p>
        </w:tc>
        <w:tc>
          <w:tcPr>
            <w:tcW w:w="740" w:type="pct"/>
            <w:tcBorders>
              <w:top w:val="single" w:sz="4" w:space="0" w:color="auto"/>
              <w:left w:val="single" w:sz="4" w:space="0" w:color="auto"/>
              <w:bottom w:val="single" w:sz="4" w:space="0" w:color="auto"/>
            </w:tcBorders>
            <w:shd w:val="clear" w:color="auto" w:fill="auto"/>
            <w:noWrap/>
            <w:vAlign w:val="center"/>
            <w:hideMark/>
          </w:tcPr>
          <w:p w14:paraId="3F263FC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741" w:type="pct"/>
            <w:tcBorders>
              <w:top w:val="single" w:sz="4" w:space="0" w:color="auto"/>
              <w:bottom w:val="single" w:sz="4" w:space="0" w:color="auto"/>
              <w:right w:val="single" w:sz="4" w:space="0" w:color="auto"/>
            </w:tcBorders>
            <w:shd w:val="clear" w:color="auto" w:fill="auto"/>
            <w:noWrap/>
            <w:vAlign w:val="center"/>
            <w:hideMark/>
          </w:tcPr>
          <w:p w14:paraId="3969F66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c>
          <w:tcPr>
            <w:tcW w:w="740" w:type="pct"/>
            <w:tcBorders>
              <w:top w:val="single" w:sz="4" w:space="0" w:color="auto"/>
              <w:left w:val="single" w:sz="4" w:space="0" w:color="auto"/>
              <w:bottom w:val="single" w:sz="4" w:space="0" w:color="auto"/>
            </w:tcBorders>
            <w:shd w:val="clear" w:color="auto" w:fill="auto"/>
            <w:noWrap/>
            <w:vAlign w:val="center"/>
            <w:hideMark/>
          </w:tcPr>
          <w:p w14:paraId="311DEAD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741" w:type="pct"/>
            <w:tcBorders>
              <w:top w:val="single" w:sz="4" w:space="0" w:color="auto"/>
              <w:bottom w:val="single" w:sz="4" w:space="0" w:color="auto"/>
            </w:tcBorders>
            <w:shd w:val="clear" w:color="auto" w:fill="auto"/>
            <w:noWrap/>
            <w:vAlign w:val="center"/>
            <w:hideMark/>
          </w:tcPr>
          <w:p w14:paraId="63C605E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r>
      <w:tr w:rsidR="00C30160" w:rsidRPr="00CE0DE7" w14:paraId="6861603E" w14:textId="77777777" w:rsidTr="00C24E43">
        <w:trPr>
          <w:trHeight w:val="228"/>
        </w:trPr>
        <w:tc>
          <w:tcPr>
            <w:tcW w:w="717" w:type="pct"/>
            <w:vMerge w:val="restart"/>
            <w:tcBorders>
              <w:top w:val="single" w:sz="4" w:space="0" w:color="auto"/>
              <w:right w:val="single" w:sz="4" w:space="0" w:color="auto"/>
            </w:tcBorders>
            <w:shd w:val="clear" w:color="auto" w:fill="auto"/>
            <w:noWrap/>
            <w:vAlign w:val="center"/>
            <w:hideMark/>
          </w:tcPr>
          <w:p w14:paraId="4B2021EE"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R</w:t>
            </w:r>
            <w:r w:rsidRPr="00CE0DE7">
              <w:rPr>
                <w:rFonts w:eastAsia="Times New Roman"/>
                <w:i/>
                <w:iCs/>
                <w:color w:val="000000"/>
                <w:sz w:val="20"/>
                <w:szCs w:val="20"/>
                <w:vertAlign w:val="subscript"/>
                <w:lang w:val="en-GB" w:eastAsia="zh-CN"/>
              </w:rPr>
              <w:t>m</w:t>
            </w:r>
            <w:r w:rsidRPr="00CE0DE7">
              <w:rPr>
                <w:rFonts w:eastAsia="Times New Roman"/>
                <w:i/>
                <w:iCs/>
                <w:color w:val="000000"/>
                <w:sz w:val="20"/>
                <w:szCs w:val="20"/>
                <w:lang w:val="en-GB" w:eastAsia="zh-CN"/>
              </w:rPr>
              <w:t xml:space="preserve"> – R</w:t>
            </w:r>
            <w:r w:rsidRPr="00CE0DE7">
              <w:rPr>
                <w:rFonts w:eastAsia="Times New Roman"/>
                <w:i/>
                <w:iCs/>
                <w:color w:val="000000"/>
                <w:sz w:val="20"/>
                <w:szCs w:val="20"/>
                <w:vertAlign w:val="subscript"/>
                <w:lang w:val="en-GB" w:eastAsia="zh-CN"/>
              </w:rPr>
              <w:t>f</w:t>
            </w:r>
          </w:p>
        </w:tc>
        <w:tc>
          <w:tcPr>
            <w:tcW w:w="1320" w:type="pct"/>
            <w:tcBorders>
              <w:top w:val="single" w:sz="4" w:space="0" w:color="auto"/>
              <w:left w:val="single" w:sz="4" w:space="0" w:color="auto"/>
              <w:right w:val="single" w:sz="4" w:space="0" w:color="auto"/>
            </w:tcBorders>
            <w:shd w:val="clear" w:color="auto" w:fill="auto"/>
            <w:noWrap/>
            <w:vAlign w:val="center"/>
            <w:hideMark/>
          </w:tcPr>
          <w:p w14:paraId="2AC2948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40" w:type="pct"/>
            <w:tcBorders>
              <w:top w:val="single" w:sz="4" w:space="0" w:color="auto"/>
              <w:left w:val="single" w:sz="4" w:space="0" w:color="auto"/>
            </w:tcBorders>
            <w:shd w:val="clear" w:color="auto" w:fill="auto"/>
            <w:noWrap/>
            <w:vAlign w:val="center"/>
            <w:hideMark/>
          </w:tcPr>
          <w:p w14:paraId="05C9F76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0.5007</w:t>
            </w:r>
          </w:p>
        </w:tc>
        <w:tc>
          <w:tcPr>
            <w:tcW w:w="741" w:type="pct"/>
            <w:tcBorders>
              <w:top w:val="single" w:sz="4" w:space="0" w:color="auto"/>
              <w:right w:val="single" w:sz="4" w:space="0" w:color="auto"/>
            </w:tcBorders>
            <w:shd w:val="clear" w:color="auto" w:fill="auto"/>
            <w:noWrap/>
            <w:vAlign w:val="center"/>
            <w:hideMark/>
          </w:tcPr>
          <w:p w14:paraId="3025393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top w:val="single" w:sz="4" w:space="0" w:color="auto"/>
              <w:left w:val="single" w:sz="4" w:space="0" w:color="auto"/>
            </w:tcBorders>
            <w:shd w:val="clear" w:color="auto" w:fill="auto"/>
            <w:noWrap/>
            <w:vAlign w:val="center"/>
            <w:hideMark/>
          </w:tcPr>
          <w:p w14:paraId="1F116E3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0.2928</w:t>
            </w:r>
          </w:p>
        </w:tc>
        <w:tc>
          <w:tcPr>
            <w:tcW w:w="741" w:type="pct"/>
            <w:tcBorders>
              <w:top w:val="single" w:sz="4" w:space="0" w:color="auto"/>
            </w:tcBorders>
            <w:shd w:val="clear" w:color="auto" w:fill="auto"/>
            <w:noWrap/>
            <w:vAlign w:val="center"/>
            <w:hideMark/>
          </w:tcPr>
          <w:p w14:paraId="7ABE0F6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3F31EE24" w14:textId="77777777" w:rsidTr="00C24E43">
        <w:trPr>
          <w:trHeight w:val="228"/>
        </w:trPr>
        <w:tc>
          <w:tcPr>
            <w:tcW w:w="717" w:type="pct"/>
            <w:vMerge/>
            <w:tcBorders>
              <w:right w:val="single" w:sz="4" w:space="0" w:color="auto"/>
            </w:tcBorders>
            <w:vAlign w:val="center"/>
            <w:hideMark/>
          </w:tcPr>
          <w:p w14:paraId="7AB62088" w14:textId="77777777" w:rsidR="00C30160" w:rsidRPr="00CE0DE7" w:rsidRDefault="00C30160" w:rsidP="00C24E43">
            <w:pPr>
              <w:rPr>
                <w:rFonts w:eastAsia="Times New Roman"/>
                <w:i/>
                <w:iCs/>
                <w:color w:val="000000"/>
                <w:sz w:val="20"/>
                <w:szCs w:val="20"/>
                <w:lang w:val="en-GB" w:eastAsia="zh-CN"/>
              </w:rPr>
            </w:pPr>
          </w:p>
        </w:tc>
        <w:tc>
          <w:tcPr>
            <w:tcW w:w="1320" w:type="pct"/>
            <w:tcBorders>
              <w:left w:val="single" w:sz="4" w:space="0" w:color="auto"/>
              <w:right w:val="single" w:sz="4" w:space="0" w:color="auto"/>
            </w:tcBorders>
            <w:shd w:val="clear" w:color="auto" w:fill="auto"/>
            <w:noWrap/>
            <w:vAlign w:val="center"/>
            <w:hideMark/>
          </w:tcPr>
          <w:p w14:paraId="380B04D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40" w:type="pct"/>
            <w:tcBorders>
              <w:left w:val="single" w:sz="4" w:space="0" w:color="auto"/>
            </w:tcBorders>
            <w:shd w:val="clear" w:color="auto" w:fill="auto"/>
            <w:noWrap/>
            <w:vAlign w:val="center"/>
            <w:hideMark/>
          </w:tcPr>
          <w:p w14:paraId="19C529E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0.9420</w:t>
            </w:r>
          </w:p>
        </w:tc>
        <w:tc>
          <w:tcPr>
            <w:tcW w:w="741" w:type="pct"/>
            <w:tcBorders>
              <w:right w:val="single" w:sz="4" w:space="0" w:color="auto"/>
            </w:tcBorders>
            <w:shd w:val="clear" w:color="auto" w:fill="auto"/>
            <w:noWrap/>
            <w:vAlign w:val="center"/>
            <w:hideMark/>
          </w:tcPr>
          <w:p w14:paraId="3BE6856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left w:val="single" w:sz="4" w:space="0" w:color="auto"/>
            </w:tcBorders>
            <w:shd w:val="clear" w:color="auto" w:fill="auto"/>
            <w:noWrap/>
            <w:vAlign w:val="center"/>
            <w:hideMark/>
          </w:tcPr>
          <w:p w14:paraId="1598702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0.2562</w:t>
            </w:r>
          </w:p>
        </w:tc>
        <w:tc>
          <w:tcPr>
            <w:tcW w:w="741" w:type="pct"/>
            <w:shd w:val="clear" w:color="auto" w:fill="auto"/>
            <w:noWrap/>
            <w:vAlign w:val="center"/>
            <w:hideMark/>
          </w:tcPr>
          <w:p w14:paraId="1413305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27A8CB18" w14:textId="77777777" w:rsidTr="00C24E43">
        <w:trPr>
          <w:trHeight w:val="228"/>
        </w:trPr>
        <w:tc>
          <w:tcPr>
            <w:tcW w:w="717" w:type="pct"/>
            <w:vMerge/>
            <w:tcBorders>
              <w:right w:val="single" w:sz="4" w:space="0" w:color="auto"/>
            </w:tcBorders>
            <w:vAlign w:val="center"/>
            <w:hideMark/>
          </w:tcPr>
          <w:p w14:paraId="7989BCEE" w14:textId="77777777" w:rsidR="00C30160" w:rsidRPr="00CE0DE7" w:rsidRDefault="00C30160" w:rsidP="00C24E43">
            <w:pPr>
              <w:rPr>
                <w:rFonts w:eastAsia="Times New Roman"/>
                <w:i/>
                <w:iCs/>
                <w:color w:val="000000"/>
                <w:sz w:val="20"/>
                <w:szCs w:val="20"/>
                <w:lang w:val="en-GB" w:eastAsia="zh-CN"/>
              </w:rPr>
            </w:pPr>
          </w:p>
        </w:tc>
        <w:tc>
          <w:tcPr>
            <w:tcW w:w="1320" w:type="pct"/>
            <w:tcBorders>
              <w:left w:val="single" w:sz="4" w:space="0" w:color="auto"/>
              <w:right w:val="single" w:sz="4" w:space="0" w:color="auto"/>
            </w:tcBorders>
            <w:shd w:val="clear" w:color="auto" w:fill="auto"/>
            <w:noWrap/>
            <w:vAlign w:val="center"/>
            <w:hideMark/>
          </w:tcPr>
          <w:p w14:paraId="3421FF3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40" w:type="pct"/>
            <w:tcBorders>
              <w:left w:val="single" w:sz="4" w:space="0" w:color="auto"/>
            </w:tcBorders>
            <w:shd w:val="clear" w:color="auto" w:fill="auto"/>
            <w:noWrap/>
            <w:vAlign w:val="center"/>
            <w:hideMark/>
          </w:tcPr>
          <w:p w14:paraId="17485AC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0.6895</w:t>
            </w:r>
          </w:p>
        </w:tc>
        <w:tc>
          <w:tcPr>
            <w:tcW w:w="741" w:type="pct"/>
            <w:tcBorders>
              <w:right w:val="single" w:sz="4" w:space="0" w:color="auto"/>
            </w:tcBorders>
            <w:shd w:val="clear" w:color="auto" w:fill="auto"/>
            <w:noWrap/>
            <w:vAlign w:val="center"/>
            <w:hideMark/>
          </w:tcPr>
          <w:p w14:paraId="4DCEC1C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left w:val="single" w:sz="4" w:space="0" w:color="auto"/>
            </w:tcBorders>
            <w:shd w:val="clear" w:color="auto" w:fill="auto"/>
            <w:noWrap/>
            <w:vAlign w:val="center"/>
            <w:hideMark/>
          </w:tcPr>
          <w:p w14:paraId="0FEBFDE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0.7998</w:t>
            </w:r>
          </w:p>
        </w:tc>
        <w:tc>
          <w:tcPr>
            <w:tcW w:w="741" w:type="pct"/>
            <w:shd w:val="clear" w:color="auto" w:fill="auto"/>
            <w:noWrap/>
            <w:vAlign w:val="center"/>
            <w:hideMark/>
          </w:tcPr>
          <w:p w14:paraId="6B794DC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36B5511F" w14:textId="77777777" w:rsidTr="00C24E43">
        <w:trPr>
          <w:trHeight w:val="228"/>
        </w:trPr>
        <w:tc>
          <w:tcPr>
            <w:tcW w:w="717" w:type="pct"/>
            <w:vMerge/>
            <w:tcBorders>
              <w:right w:val="single" w:sz="4" w:space="0" w:color="auto"/>
            </w:tcBorders>
            <w:vAlign w:val="center"/>
            <w:hideMark/>
          </w:tcPr>
          <w:p w14:paraId="11841371" w14:textId="77777777" w:rsidR="00C30160" w:rsidRPr="00CE0DE7" w:rsidRDefault="00C30160" w:rsidP="00C24E43">
            <w:pPr>
              <w:rPr>
                <w:rFonts w:eastAsia="Times New Roman"/>
                <w:i/>
                <w:iCs/>
                <w:color w:val="000000"/>
                <w:sz w:val="20"/>
                <w:szCs w:val="20"/>
                <w:lang w:val="en-GB" w:eastAsia="zh-CN"/>
              </w:rPr>
            </w:pPr>
          </w:p>
        </w:tc>
        <w:tc>
          <w:tcPr>
            <w:tcW w:w="1320" w:type="pct"/>
            <w:tcBorders>
              <w:left w:val="single" w:sz="4" w:space="0" w:color="auto"/>
              <w:right w:val="single" w:sz="4" w:space="0" w:color="auto"/>
            </w:tcBorders>
            <w:shd w:val="clear" w:color="auto" w:fill="auto"/>
            <w:noWrap/>
            <w:vAlign w:val="center"/>
            <w:hideMark/>
          </w:tcPr>
          <w:p w14:paraId="12EA809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40" w:type="pct"/>
            <w:tcBorders>
              <w:left w:val="single" w:sz="4" w:space="0" w:color="auto"/>
            </w:tcBorders>
            <w:shd w:val="clear" w:color="auto" w:fill="auto"/>
            <w:noWrap/>
            <w:vAlign w:val="center"/>
            <w:hideMark/>
          </w:tcPr>
          <w:p w14:paraId="4954C11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0.7288</w:t>
            </w:r>
          </w:p>
        </w:tc>
        <w:tc>
          <w:tcPr>
            <w:tcW w:w="741" w:type="pct"/>
            <w:tcBorders>
              <w:right w:val="single" w:sz="4" w:space="0" w:color="auto"/>
            </w:tcBorders>
            <w:shd w:val="clear" w:color="auto" w:fill="auto"/>
            <w:noWrap/>
            <w:vAlign w:val="center"/>
            <w:hideMark/>
          </w:tcPr>
          <w:p w14:paraId="5380F9E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left w:val="single" w:sz="4" w:space="0" w:color="auto"/>
            </w:tcBorders>
            <w:shd w:val="clear" w:color="auto" w:fill="auto"/>
            <w:noWrap/>
            <w:vAlign w:val="center"/>
            <w:hideMark/>
          </w:tcPr>
          <w:p w14:paraId="15FF1B1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0.8567</w:t>
            </w:r>
          </w:p>
        </w:tc>
        <w:tc>
          <w:tcPr>
            <w:tcW w:w="741" w:type="pct"/>
            <w:shd w:val="clear" w:color="auto" w:fill="auto"/>
            <w:noWrap/>
            <w:vAlign w:val="center"/>
            <w:hideMark/>
          </w:tcPr>
          <w:p w14:paraId="76BFCA0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5F3E055B" w14:textId="77777777" w:rsidTr="00C24E43">
        <w:trPr>
          <w:trHeight w:val="228"/>
        </w:trPr>
        <w:tc>
          <w:tcPr>
            <w:tcW w:w="717" w:type="pct"/>
            <w:vMerge/>
            <w:tcBorders>
              <w:bottom w:val="single" w:sz="4" w:space="0" w:color="auto"/>
              <w:right w:val="single" w:sz="4" w:space="0" w:color="auto"/>
            </w:tcBorders>
            <w:vAlign w:val="center"/>
            <w:hideMark/>
          </w:tcPr>
          <w:p w14:paraId="64F5D41F" w14:textId="77777777" w:rsidR="00C30160" w:rsidRPr="00CE0DE7" w:rsidRDefault="00C30160" w:rsidP="00C24E43">
            <w:pPr>
              <w:rPr>
                <w:rFonts w:eastAsia="Times New Roman"/>
                <w:i/>
                <w:iCs/>
                <w:color w:val="000000"/>
                <w:sz w:val="20"/>
                <w:szCs w:val="20"/>
                <w:lang w:val="en-GB" w:eastAsia="zh-CN"/>
              </w:rPr>
            </w:pPr>
          </w:p>
        </w:tc>
        <w:tc>
          <w:tcPr>
            <w:tcW w:w="1320" w:type="pct"/>
            <w:tcBorders>
              <w:left w:val="single" w:sz="4" w:space="0" w:color="auto"/>
              <w:bottom w:val="single" w:sz="4" w:space="0" w:color="auto"/>
              <w:right w:val="single" w:sz="4" w:space="0" w:color="auto"/>
            </w:tcBorders>
            <w:shd w:val="clear" w:color="auto" w:fill="auto"/>
            <w:noWrap/>
            <w:vAlign w:val="center"/>
            <w:hideMark/>
          </w:tcPr>
          <w:p w14:paraId="45D79C8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40" w:type="pct"/>
            <w:tcBorders>
              <w:left w:val="single" w:sz="4" w:space="0" w:color="auto"/>
              <w:bottom w:val="single" w:sz="4" w:space="0" w:color="auto"/>
            </w:tcBorders>
            <w:shd w:val="clear" w:color="auto" w:fill="auto"/>
            <w:noWrap/>
            <w:vAlign w:val="center"/>
            <w:hideMark/>
          </w:tcPr>
          <w:p w14:paraId="7B9BC24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0.2030</w:t>
            </w:r>
          </w:p>
        </w:tc>
        <w:tc>
          <w:tcPr>
            <w:tcW w:w="741" w:type="pct"/>
            <w:tcBorders>
              <w:bottom w:val="single" w:sz="4" w:space="0" w:color="auto"/>
              <w:right w:val="single" w:sz="4" w:space="0" w:color="auto"/>
            </w:tcBorders>
            <w:shd w:val="clear" w:color="auto" w:fill="auto"/>
            <w:noWrap/>
            <w:vAlign w:val="center"/>
            <w:hideMark/>
          </w:tcPr>
          <w:p w14:paraId="2178E73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left w:val="single" w:sz="4" w:space="0" w:color="auto"/>
              <w:bottom w:val="single" w:sz="4" w:space="0" w:color="auto"/>
            </w:tcBorders>
            <w:shd w:val="clear" w:color="auto" w:fill="auto"/>
            <w:noWrap/>
            <w:vAlign w:val="center"/>
            <w:hideMark/>
          </w:tcPr>
          <w:p w14:paraId="364B4FD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0.5648</w:t>
            </w:r>
          </w:p>
        </w:tc>
        <w:tc>
          <w:tcPr>
            <w:tcW w:w="741" w:type="pct"/>
            <w:tcBorders>
              <w:bottom w:val="single" w:sz="4" w:space="0" w:color="auto"/>
            </w:tcBorders>
            <w:shd w:val="clear" w:color="auto" w:fill="auto"/>
            <w:noWrap/>
            <w:vAlign w:val="center"/>
            <w:hideMark/>
          </w:tcPr>
          <w:p w14:paraId="0242FF0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0A34BA38" w14:textId="77777777" w:rsidTr="00C24E43">
        <w:trPr>
          <w:trHeight w:val="228"/>
        </w:trPr>
        <w:tc>
          <w:tcPr>
            <w:tcW w:w="717" w:type="pct"/>
            <w:vMerge w:val="restart"/>
            <w:tcBorders>
              <w:top w:val="single" w:sz="4" w:space="0" w:color="auto"/>
              <w:right w:val="single" w:sz="4" w:space="0" w:color="auto"/>
            </w:tcBorders>
            <w:shd w:val="clear" w:color="auto" w:fill="auto"/>
            <w:noWrap/>
            <w:vAlign w:val="center"/>
            <w:hideMark/>
          </w:tcPr>
          <w:p w14:paraId="69606A25"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SMB</w:t>
            </w:r>
          </w:p>
        </w:tc>
        <w:tc>
          <w:tcPr>
            <w:tcW w:w="1320" w:type="pct"/>
            <w:tcBorders>
              <w:top w:val="single" w:sz="4" w:space="0" w:color="auto"/>
              <w:left w:val="single" w:sz="4" w:space="0" w:color="auto"/>
              <w:right w:val="single" w:sz="4" w:space="0" w:color="auto"/>
            </w:tcBorders>
            <w:shd w:val="clear" w:color="auto" w:fill="auto"/>
            <w:noWrap/>
            <w:vAlign w:val="center"/>
            <w:hideMark/>
          </w:tcPr>
          <w:p w14:paraId="32D5087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40" w:type="pct"/>
            <w:tcBorders>
              <w:top w:val="single" w:sz="4" w:space="0" w:color="auto"/>
              <w:left w:val="single" w:sz="4" w:space="0" w:color="auto"/>
            </w:tcBorders>
            <w:shd w:val="clear" w:color="auto" w:fill="auto"/>
            <w:noWrap/>
            <w:vAlign w:val="center"/>
            <w:hideMark/>
          </w:tcPr>
          <w:p w14:paraId="31B2ED8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0.0600</w:t>
            </w:r>
          </w:p>
        </w:tc>
        <w:tc>
          <w:tcPr>
            <w:tcW w:w="741" w:type="pct"/>
            <w:tcBorders>
              <w:top w:val="single" w:sz="4" w:space="0" w:color="auto"/>
              <w:right w:val="single" w:sz="4" w:space="0" w:color="auto"/>
            </w:tcBorders>
            <w:shd w:val="clear" w:color="auto" w:fill="auto"/>
            <w:noWrap/>
            <w:vAlign w:val="center"/>
            <w:hideMark/>
          </w:tcPr>
          <w:p w14:paraId="384F89F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0.0016</w:t>
            </w:r>
          </w:p>
        </w:tc>
        <w:tc>
          <w:tcPr>
            <w:tcW w:w="740" w:type="pct"/>
            <w:tcBorders>
              <w:top w:val="single" w:sz="4" w:space="0" w:color="auto"/>
              <w:left w:val="single" w:sz="4" w:space="0" w:color="auto"/>
            </w:tcBorders>
            <w:shd w:val="clear" w:color="auto" w:fill="auto"/>
            <w:noWrap/>
            <w:vAlign w:val="center"/>
            <w:hideMark/>
          </w:tcPr>
          <w:p w14:paraId="5E6CC9D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0.0270</w:t>
            </w:r>
          </w:p>
        </w:tc>
        <w:tc>
          <w:tcPr>
            <w:tcW w:w="741" w:type="pct"/>
            <w:tcBorders>
              <w:top w:val="single" w:sz="4" w:space="0" w:color="auto"/>
            </w:tcBorders>
            <w:shd w:val="clear" w:color="auto" w:fill="auto"/>
            <w:noWrap/>
            <w:vAlign w:val="center"/>
            <w:hideMark/>
          </w:tcPr>
          <w:p w14:paraId="0E87C8F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0.3229</w:t>
            </w:r>
          </w:p>
        </w:tc>
      </w:tr>
      <w:tr w:rsidR="00C30160" w:rsidRPr="00CE0DE7" w14:paraId="1B5CEF28" w14:textId="77777777" w:rsidTr="00C24E43">
        <w:trPr>
          <w:trHeight w:val="228"/>
        </w:trPr>
        <w:tc>
          <w:tcPr>
            <w:tcW w:w="717" w:type="pct"/>
            <w:vMerge/>
            <w:tcBorders>
              <w:right w:val="single" w:sz="4" w:space="0" w:color="auto"/>
            </w:tcBorders>
            <w:vAlign w:val="center"/>
            <w:hideMark/>
          </w:tcPr>
          <w:p w14:paraId="23D8A2B4" w14:textId="77777777" w:rsidR="00C30160" w:rsidRPr="00CE0DE7" w:rsidRDefault="00C30160" w:rsidP="00C24E43">
            <w:pPr>
              <w:rPr>
                <w:rFonts w:eastAsia="Times New Roman"/>
                <w:i/>
                <w:iCs/>
                <w:color w:val="000000"/>
                <w:sz w:val="20"/>
                <w:szCs w:val="20"/>
                <w:lang w:val="en-GB" w:eastAsia="zh-CN"/>
              </w:rPr>
            </w:pPr>
          </w:p>
        </w:tc>
        <w:tc>
          <w:tcPr>
            <w:tcW w:w="1320" w:type="pct"/>
            <w:tcBorders>
              <w:left w:val="single" w:sz="4" w:space="0" w:color="auto"/>
              <w:right w:val="single" w:sz="4" w:space="0" w:color="auto"/>
            </w:tcBorders>
            <w:shd w:val="clear" w:color="auto" w:fill="auto"/>
            <w:noWrap/>
            <w:vAlign w:val="center"/>
            <w:hideMark/>
          </w:tcPr>
          <w:p w14:paraId="48E69B3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40" w:type="pct"/>
            <w:tcBorders>
              <w:left w:val="single" w:sz="4" w:space="0" w:color="auto"/>
            </w:tcBorders>
            <w:shd w:val="clear" w:color="auto" w:fill="auto"/>
            <w:noWrap/>
            <w:vAlign w:val="center"/>
            <w:hideMark/>
          </w:tcPr>
          <w:p w14:paraId="51DEA12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0.0513</w:t>
            </w:r>
          </w:p>
        </w:tc>
        <w:tc>
          <w:tcPr>
            <w:tcW w:w="741" w:type="pct"/>
            <w:tcBorders>
              <w:right w:val="single" w:sz="4" w:space="0" w:color="auto"/>
            </w:tcBorders>
            <w:shd w:val="clear" w:color="auto" w:fill="auto"/>
            <w:noWrap/>
            <w:vAlign w:val="center"/>
            <w:hideMark/>
          </w:tcPr>
          <w:p w14:paraId="64D8D97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0.0241</w:t>
            </w:r>
          </w:p>
        </w:tc>
        <w:tc>
          <w:tcPr>
            <w:tcW w:w="740" w:type="pct"/>
            <w:tcBorders>
              <w:left w:val="single" w:sz="4" w:space="0" w:color="auto"/>
            </w:tcBorders>
            <w:shd w:val="clear" w:color="auto" w:fill="auto"/>
            <w:noWrap/>
            <w:vAlign w:val="center"/>
            <w:hideMark/>
          </w:tcPr>
          <w:p w14:paraId="6E1A851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0.0312</w:t>
            </w:r>
          </w:p>
        </w:tc>
        <w:tc>
          <w:tcPr>
            <w:tcW w:w="741" w:type="pct"/>
            <w:shd w:val="clear" w:color="auto" w:fill="auto"/>
            <w:noWrap/>
            <w:vAlign w:val="center"/>
            <w:hideMark/>
          </w:tcPr>
          <w:p w14:paraId="0A70904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0.9712</w:t>
            </w:r>
          </w:p>
        </w:tc>
      </w:tr>
      <w:tr w:rsidR="00C30160" w:rsidRPr="00CE0DE7" w14:paraId="12CD8276" w14:textId="77777777" w:rsidTr="00C24E43">
        <w:trPr>
          <w:trHeight w:val="228"/>
        </w:trPr>
        <w:tc>
          <w:tcPr>
            <w:tcW w:w="717" w:type="pct"/>
            <w:vMerge/>
            <w:tcBorders>
              <w:right w:val="single" w:sz="4" w:space="0" w:color="auto"/>
            </w:tcBorders>
            <w:vAlign w:val="center"/>
            <w:hideMark/>
          </w:tcPr>
          <w:p w14:paraId="574F9DCF" w14:textId="77777777" w:rsidR="00C30160" w:rsidRPr="00CE0DE7" w:rsidRDefault="00C30160" w:rsidP="00C24E43">
            <w:pPr>
              <w:rPr>
                <w:rFonts w:eastAsia="Times New Roman"/>
                <w:i/>
                <w:iCs/>
                <w:color w:val="000000"/>
                <w:sz w:val="20"/>
                <w:szCs w:val="20"/>
                <w:lang w:val="en-GB" w:eastAsia="zh-CN"/>
              </w:rPr>
            </w:pPr>
          </w:p>
        </w:tc>
        <w:tc>
          <w:tcPr>
            <w:tcW w:w="1320" w:type="pct"/>
            <w:tcBorders>
              <w:left w:val="single" w:sz="4" w:space="0" w:color="auto"/>
              <w:right w:val="single" w:sz="4" w:space="0" w:color="auto"/>
            </w:tcBorders>
            <w:shd w:val="clear" w:color="auto" w:fill="auto"/>
            <w:noWrap/>
            <w:vAlign w:val="center"/>
            <w:hideMark/>
          </w:tcPr>
          <w:p w14:paraId="2465E49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40" w:type="pct"/>
            <w:tcBorders>
              <w:left w:val="single" w:sz="4" w:space="0" w:color="auto"/>
            </w:tcBorders>
            <w:shd w:val="clear" w:color="auto" w:fill="auto"/>
            <w:noWrap/>
            <w:vAlign w:val="center"/>
            <w:hideMark/>
          </w:tcPr>
          <w:p w14:paraId="73FF5F4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0.0635</w:t>
            </w:r>
          </w:p>
        </w:tc>
        <w:tc>
          <w:tcPr>
            <w:tcW w:w="741" w:type="pct"/>
            <w:tcBorders>
              <w:right w:val="single" w:sz="4" w:space="0" w:color="auto"/>
            </w:tcBorders>
            <w:shd w:val="clear" w:color="auto" w:fill="auto"/>
            <w:noWrap/>
            <w:vAlign w:val="center"/>
            <w:hideMark/>
          </w:tcPr>
          <w:p w14:paraId="26F617C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0.0882</w:t>
            </w:r>
          </w:p>
        </w:tc>
        <w:tc>
          <w:tcPr>
            <w:tcW w:w="740" w:type="pct"/>
            <w:tcBorders>
              <w:left w:val="single" w:sz="4" w:space="0" w:color="auto"/>
            </w:tcBorders>
            <w:shd w:val="clear" w:color="auto" w:fill="auto"/>
            <w:noWrap/>
            <w:vAlign w:val="center"/>
            <w:hideMark/>
          </w:tcPr>
          <w:p w14:paraId="49FA2A8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0.2804</w:t>
            </w:r>
          </w:p>
        </w:tc>
        <w:tc>
          <w:tcPr>
            <w:tcW w:w="741" w:type="pct"/>
            <w:shd w:val="clear" w:color="auto" w:fill="auto"/>
            <w:noWrap/>
            <w:vAlign w:val="center"/>
            <w:hideMark/>
          </w:tcPr>
          <w:p w14:paraId="1D3EF1C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0.8991</w:t>
            </w:r>
          </w:p>
        </w:tc>
      </w:tr>
      <w:tr w:rsidR="00C30160" w:rsidRPr="00CE0DE7" w14:paraId="3E20B03E" w14:textId="77777777" w:rsidTr="00C24E43">
        <w:trPr>
          <w:trHeight w:val="228"/>
        </w:trPr>
        <w:tc>
          <w:tcPr>
            <w:tcW w:w="717" w:type="pct"/>
            <w:vMerge/>
            <w:tcBorders>
              <w:right w:val="single" w:sz="4" w:space="0" w:color="auto"/>
            </w:tcBorders>
            <w:vAlign w:val="center"/>
            <w:hideMark/>
          </w:tcPr>
          <w:p w14:paraId="71129A51" w14:textId="77777777" w:rsidR="00C30160" w:rsidRPr="00CE0DE7" w:rsidRDefault="00C30160" w:rsidP="00C24E43">
            <w:pPr>
              <w:rPr>
                <w:rFonts w:eastAsia="Times New Roman"/>
                <w:i/>
                <w:iCs/>
                <w:color w:val="000000"/>
                <w:sz w:val="20"/>
                <w:szCs w:val="20"/>
                <w:lang w:val="en-GB" w:eastAsia="zh-CN"/>
              </w:rPr>
            </w:pPr>
          </w:p>
        </w:tc>
        <w:tc>
          <w:tcPr>
            <w:tcW w:w="1320" w:type="pct"/>
            <w:tcBorders>
              <w:left w:val="single" w:sz="4" w:space="0" w:color="auto"/>
              <w:right w:val="single" w:sz="4" w:space="0" w:color="auto"/>
            </w:tcBorders>
            <w:shd w:val="clear" w:color="auto" w:fill="auto"/>
            <w:noWrap/>
            <w:vAlign w:val="center"/>
            <w:hideMark/>
          </w:tcPr>
          <w:p w14:paraId="71B7112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40" w:type="pct"/>
            <w:tcBorders>
              <w:left w:val="single" w:sz="4" w:space="0" w:color="auto"/>
            </w:tcBorders>
            <w:shd w:val="clear" w:color="auto" w:fill="auto"/>
            <w:noWrap/>
            <w:vAlign w:val="center"/>
            <w:hideMark/>
          </w:tcPr>
          <w:p w14:paraId="17191AF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0.1345</w:t>
            </w:r>
          </w:p>
        </w:tc>
        <w:tc>
          <w:tcPr>
            <w:tcW w:w="741" w:type="pct"/>
            <w:tcBorders>
              <w:right w:val="single" w:sz="4" w:space="0" w:color="auto"/>
            </w:tcBorders>
            <w:shd w:val="clear" w:color="auto" w:fill="auto"/>
            <w:noWrap/>
            <w:vAlign w:val="center"/>
            <w:hideMark/>
          </w:tcPr>
          <w:p w14:paraId="392D73C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0.1102</w:t>
            </w:r>
          </w:p>
        </w:tc>
        <w:tc>
          <w:tcPr>
            <w:tcW w:w="740" w:type="pct"/>
            <w:tcBorders>
              <w:left w:val="single" w:sz="4" w:space="0" w:color="auto"/>
            </w:tcBorders>
            <w:shd w:val="clear" w:color="auto" w:fill="auto"/>
            <w:noWrap/>
            <w:vAlign w:val="center"/>
            <w:hideMark/>
          </w:tcPr>
          <w:p w14:paraId="1FBFED5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0.1663</w:t>
            </w:r>
          </w:p>
        </w:tc>
        <w:tc>
          <w:tcPr>
            <w:tcW w:w="741" w:type="pct"/>
            <w:shd w:val="clear" w:color="auto" w:fill="auto"/>
            <w:noWrap/>
            <w:vAlign w:val="center"/>
            <w:hideMark/>
          </w:tcPr>
          <w:p w14:paraId="2100FE1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0.9210</w:t>
            </w:r>
          </w:p>
        </w:tc>
      </w:tr>
      <w:tr w:rsidR="00C30160" w:rsidRPr="00CE0DE7" w14:paraId="334B9417" w14:textId="77777777" w:rsidTr="00C24E43">
        <w:trPr>
          <w:trHeight w:val="228"/>
        </w:trPr>
        <w:tc>
          <w:tcPr>
            <w:tcW w:w="717" w:type="pct"/>
            <w:vMerge/>
            <w:tcBorders>
              <w:bottom w:val="single" w:sz="4" w:space="0" w:color="auto"/>
              <w:right w:val="single" w:sz="4" w:space="0" w:color="auto"/>
            </w:tcBorders>
            <w:vAlign w:val="center"/>
            <w:hideMark/>
          </w:tcPr>
          <w:p w14:paraId="071605FB" w14:textId="77777777" w:rsidR="00C30160" w:rsidRPr="00CE0DE7" w:rsidRDefault="00C30160" w:rsidP="00C24E43">
            <w:pPr>
              <w:rPr>
                <w:rFonts w:eastAsia="Times New Roman"/>
                <w:i/>
                <w:iCs/>
                <w:color w:val="000000"/>
                <w:sz w:val="20"/>
                <w:szCs w:val="20"/>
                <w:lang w:val="en-GB" w:eastAsia="zh-CN"/>
              </w:rPr>
            </w:pPr>
          </w:p>
        </w:tc>
        <w:tc>
          <w:tcPr>
            <w:tcW w:w="1320" w:type="pct"/>
            <w:tcBorders>
              <w:left w:val="single" w:sz="4" w:space="0" w:color="auto"/>
              <w:bottom w:val="single" w:sz="4" w:space="0" w:color="auto"/>
              <w:right w:val="single" w:sz="4" w:space="0" w:color="auto"/>
            </w:tcBorders>
            <w:shd w:val="clear" w:color="auto" w:fill="auto"/>
            <w:noWrap/>
            <w:vAlign w:val="center"/>
            <w:hideMark/>
          </w:tcPr>
          <w:p w14:paraId="72F01E4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40" w:type="pct"/>
            <w:tcBorders>
              <w:left w:val="single" w:sz="4" w:space="0" w:color="auto"/>
              <w:bottom w:val="single" w:sz="4" w:space="0" w:color="auto"/>
            </w:tcBorders>
            <w:shd w:val="clear" w:color="auto" w:fill="auto"/>
            <w:noWrap/>
            <w:vAlign w:val="center"/>
            <w:hideMark/>
          </w:tcPr>
          <w:p w14:paraId="00C6C7E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0.2190</w:t>
            </w:r>
          </w:p>
        </w:tc>
        <w:tc>
          <w:tcPr>
            <w:tcW w:w="741" w:type="pct"/>
            <w:tcBorders>
              <w:bottom w:val="single" w:sz="4" w:space="0" w:color="auto"/>
              <w:right w:val="single" w:sz="4" w:space="0" w:color="auto"/>
            </w:tcBorders>
            <w:shd w:val="clear" w:color="auto" w:fill="auto"/>
            <w:noWrap/>
            <w:vAlign w:val="center"/>
            <w:hideMark/>
          </w:tcPr>
          <w:p w14:paraId="64EF228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0.0590</w:t>
            </w:r>
          </w:p>
        </w:tc>
        <w:tc>
          <w:tcPr>
            <w:tcW w:w="740" w:type="pct"/>
            <w:tcBorders>
              <w:left w:val="single" w:sz="4" w:space="0" w:color="auto"/>
              <w:bottom w:val="single" w:sz="4" w:space="0" w:color="auto"/>
            </w:tcBorders>
            <w:shd w:val="clear" w:color="auto" w:fill="auto"/>
            <w:noWrap/>
            <w:vAlign w:val="center"/>
            <w:hideMark/>
          </w:tcPr>
          <w:p w14:paraId="450DB2A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0.1604</w:t>
            </w:r>
          </w:p>
        </w:tc>
        <w:tc>
          <w:tcPr>
            <w:tcW w:w="741" w:type="pct"/>
            <w:tcBorders>
              <w:bottom w:val="single" w:sz="4" w:space="0" w:color="auto"/>
            </w:tcBorders>
            <w:shd w:val="clear" w:color="auto" w:fill="auto"/>
            <w:noWrap/>
            <w:vAlign w:val="center"/>
            <w:hideMark/>
          </w:tcPr>
          <w:p w14:paraId="398B626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0.7632</w:t>
            </w:r>
          </w:p>
        </w:tc>
      </w:tr>
      <w:tr w:rsidR="00C30160" w:rsidRPr="00CE0DE7" w14:paraId="5D5C09A8" w14:textId="77777777" w:rsidTr="00C24E43">
        <w:trPr>
          <w:trHeight w:val="228"/>
        </w:trPr>
        <w:tc>
          <w:tcPr>
            <w:tcW w:w="717" w:type="pct"/>
            <w:vMerge w:val="restart"/>
            <w:tcBorders>
              <w:top w:val="single" w:sz="4" w:space="0" w:color="auto"/>
              <w:right w:val="single" w:sz="4" w:space="0" w:color="auto"/>
            </w:tcBorders>
            <w:shd w:val="clear" w:color="auto" w:fill="auto"/>
            <w:noWrap/>
            <w:vAlign w:val="center"/>
            <w:hideMark/>
          </w:tcPr>
          <w:p w14:paraId="757CFB70"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HML</w:t>
            </w:r>
          </w:p>
        </w:tc>
        <w:tc>
          <w:tcPr>
            <w:tcW w:w="1320" w:type="pct"/>
            <w:tcBorders>
              <w:top w:val="single" w:sz="4" w:space="0" w:color="auto"/>
              <w:left w:val="single" w:sz="4" w:space="0" w:color="auto"/>
              <w:right w:val="single" w:sz="4" w:space="0" w:color="auto"/>
            </w:tcBorders>
            <w:shd w:val="clear" w:color="auto" w:fill="auto"/>
            <w:noWrap/>
            <w:vAlign w:val="center"/>
            <w:hideMark/>
          </w:tcPr>
          <w:p w14:paraId="56C6E3A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40" w:type="pct"/>
            <w:tcBorders>
              <w:top w:val="single" w:sz="4" w:space="0" w:color="auto"/>
              <w:left w:val="single" w:sz="4" w:space="0" w:color="auto"/>
            </w:tcBorders>
            <w:shd w:val="clear" w:color="auto" w:fill="auto"/>
            <w:noWrap/>
            <w:vAlign w:val="center"/>
            <w:hideMark/>
          </w:tcPr>
          <w:p w14:paraId="27189A7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0.1485</w:t>
            </w:r>
          </w:p>
        </w:tc>
        <w:tc>
          <w:tcPr>
            <w:tcW w:w="741" w:type="pct"/>
            <w:tcBorders>
              <w:top w:val="single" w:sz="4" w:space="0" w:color="auto"/>
              <w:right w:val="single" w:sz="4" w:space="0" w:color="auto"/>
            </w:tcBorders>
            <w:shd w:val="clear" w:color="auto" w:fill="auto"/>
            <w:noWrap/>
            <w:vAlign w:val="center"/>
            <w:hideMark/>
          </w:tcPr>
          <w:p w14:paraId="75EBB44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0.4093</w:t>
            </w:r>
          </w:p>
        </w:tc>
        <w:tc>
          <w:tcPr>
            <w:tcW w:w="740" w:type="pct"/>
            <w:tcBorders>
              <w:top w:val="single" w:sz="4" w:space="0" w:color="auto"/>
              <w:left w:val="single" w:sz="4" w:space="0" w:color="auto"/>
            </w:tcBorders>
            <w:shd w:val="clear" w:color="auto" w:fill="auto"/>
            <w:noWrap/>
            <w:vAlign w:val="center"/>
            <w:hideMark/>
          </w:tcPr>
          <w:p w14:paraId="6E70063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0.0183</w:t>
            </w:r>
          </w:p>
        </w:tc>
        <w:tc>
          <w:tcPr>
            <w:tcW w:w="741" w:type="pct"/>
            <w:tcBorders>
              <w:top w:val="single" w:sz="4" w:space="0" w:color="auto"/>
            </w:tcBorders>
            <w:shd w:val="clear" w:color="auto" w:fill="auto"/>
            <w:noWrap/>
            <w:vAlign w:val="center"/>
            <w:hideMark/>
          </w:tcPr>
          <w:p w14:paraId="5AAA967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0.2683</w:t>
            </w:r>
          </w:p>
        </w:tc>
      </w:tr>
      <w:tr w:rsidR="00C30160" w:rsidRPr="00CE0DE7" w14:paraId="44980B80" w14:textId="77777777" w:rsidTr="00C24E43">
        <w:trPr>
          <w:trHeight w:val="228"/>
        </w:trPr>
        <w:tc>
          <w:tcPr>
            <w:tcW w:w="717" w:type="pct"/>
            <w:vMerge/>
            <w:tcBorders>
              <w:right w:val="single" w:sz="4" w:space="0" w:color="auto"/>
            </w:tcBorders>
            <w:vAlign w:val="center"/>
            <w:hideMark/>
          </w:tcPr>
          <w:p w14:paraId="2EEB607A" w14:textId="77777777" w:rsidR="00C30160" w:rsidRPr="00CE0DE7" w:rsidRDefault="00C30160" w:rsidP="00C24E43">
            <w:pPr>
              <w:rPr>
                <w:rFonts w:eastAsia="Times New Roman"/>
                <w:i/>
                <w:iCs/>
                <w:color w:val="000000"/>
                <w:sz w:val="20"/>
                <w:szCs w:val="20"/>
                <w:lang w:val="en-GB" w:eastAsia="zh-CN"/>
              </w:rPr>
            </w:pPr>
          </w:p>
        </w:tc>
        <w:tc>
          <w:tcPr>
            <w:tcW w:w="1320" w:type="pct"/>
            <w:tcBorders>
              <w:left w:val="single" w:sz="4" w:space="0" w:color="auto"/>
              <w:right w:val="single" w:sz="4" w:space="0" w:color="auto"/>
            </w:tcBorders>
            <w:shd w:val="clear" w:color="auto" w:fill="auto"/>
            <w:noWrap/>
            <w:vAlign w:val="center"/>
            <w:hideMark/>
          </w:tcPr>
          <w:p w14:paraId="16E0F81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40" w:type="pct"/>
            <w:tcBorders>
              <w:left w:val="single" w:sz="4" w:space="0" w:color="auto"/>
            </w:tcBorders>
            <w:shd w:val="clear" w:color="auto" w:fill="auto"/>
            <w:noWrap/>
            <w:vAlign w:val="center"/>
            <w:hideMark/>
          </w:tcPr>
          <w:p w14:paraId="4F9B81E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0.1108</w:t>
            </w:r>
          </w:p>
        </w:tc>
        <w:tc>
          <w:tcPr>
            <w:tcW w:w="741" w:type="pct"/>
            <w:tcBorders>
              <w:right w:val="single" w:sz="4" w:space="0" w:color="auto"/>
            </w:tcBorders>
            <w:shd w:val="clear" w:color="auto" w:fill="auto"/>
            <w:noWrap/>
            <w:vAlign w:val="center"/>
            <w:hideMark/>
          </w:tcPr>
          <w:p w14:paraId="1BD316B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0.2406</w:t>
            </w:r>
          </w:p>
        </w:tc>
        <w:tc>
          <w:tcPr>
            <w:tcW w:w="740" w:type="pct"/>
            <w:tcBorders>
              <w:left w:val="single" w:sz="4" w:space="0" w:color="auto"/>
            </w:tcBorders>
            <w:shd w:val="clear" w:color="auto" w:fill="auto"/>
            <w:noWrap/>
            <w:vAlign w:val="center"/>
            <w:hideMark/>
          </w:tcPr>
          <w:p w14:paraId="0C1B533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0.0181</w:t>
            </w:r>
          </w:p>
        </w:tc>
        <w:tc>
          <w:tcPr>
            <w:tcW w:w="741" w:type="pct"/>
            <w:shd w:val="clear" w:color="auto" w:fill="auto"/>
            <w:noWrap/>
            <w:vAlign w:val="center"/>
            <w:hideMark/>
          </w:tcPr>
          <w:p w14:paraId="0F54D5B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0.2467</w:t>
            </w:r>
          </w:p>
        </w:tc>
      </w:tr>
      <w:tr w:rsidR="00C30160" w:rsidRPr="00CE0DE7" w14:paraId="16E15353" w14:textId="77777777" w:rsidTr="00C24E43">
        <w:trPr>
          <w:trHeight w:val="228"/>
        </w:trPr>
        <w:tc>
          <w:tcPr>
            <w:tcW w:w="717" w:type="pct"/>
            <w:vMerge/>
            <w:tcBorders>
              <w:right w:val="single" w:sz="4" w:space="0" w:color="auto"/>
            </w:tcBorders>
            <w:vAlign w:val="center"/>
            <w:hideMark/>
          </w:tcPr>
          <w:p w14:paraId="17FDF98E" w14:textId="77777777" w:rsidR="00C30160" w:rsidRPr="00CE0DE7" w:rsidRDefault="00C30160" w:rsidP="00C24E43">
            <w:pPr>
              <w:rPr>
                <w:rFonts w:eastAsia="Times New Roman"/>
                <w:i/>
                <w:iCs/>
                <w:color w:val="000000"/>
                <w:sz w:val="20"/>
                <w:szCs w:val="20"/>
                <w:lang w:val="en-GB" w:eastAsia="zh-CN"/>
              </w:rPr>
            </w:pPr>
          </w:p>
        </w:tc>
        <w:tc>
          <w:tcPr>
            <w:tcW w:w="1320" w:type="pct"/>
            <w:tcBorders>
              <w:left w:val="single" w:sz="4" w:space="0" w:color="auto"/>
              <w:right w:val="single" w:sz="4" w:space="0" w:color="auto"/>
            </w:tcBorders>
            <w:shd w:val="clear" w:color="auto" w:fill="auto"/>
            <w:noWrap/>
            <w:vAlign w:val="center"/>
            <w:hideMark/>
          </w:tcPr>
          <w:p w14:paraId="055B7E1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40" w:type="pct"/>
            <w:tcBorders>
              <w:left w:val="single" w:sz="4" w:space="0" w:color="auto"/>
            </w:tcBorders>
            <w:shd w:val="clear" w:color="auto" w:fill="auto"/>
            <w:noWrap/>
            <w:vAlign w:val="center"/>
            <w:hideMark/>
          </w:tcPr>
          <w:p w14:paraId="22006F4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0.1168</w:t>
            </w:r>
          </w:p>
        </w:tc>
        <w:tc>
          <w:tcPr>
            <w:tcW w:w="741" w:type="pct"/>
            <w:tcBorders>
              <w:right w:val="single" w:sz="4" w:space="0" w:color="auto"/>
            </w:tcBorders>
            <w:shd w:val="clear" w:color="auto" w:fill="auto"/>
            <w:noWrap/>
            <w:vAlign w:val="center"/>
            <w:hideMark/>
          </w:tcPr>
          <w:p w14:paraId="05BAB2F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0.3329</w:t>
            </w:r>
          </w:p>
        </w:tc>
        <w:tc>
          <w:tcPr>
            <w:tcW w:w="740" w:type="pct"/>
            <w:tcBorders>
              <w:left w:val="single" w:sz="4" w:space="0" w:color="auto"/>
            </w:tcBorders>
            <w:shd w:val="clear" w:color="auto" w:fill="auto"/>
            <w:noWrap/>
            <w:vAlign w:val="center"/>
            <w:hideMark/>
          </w:tcPr>
          <w:p w14:paraId="667181D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0.0138</w:t>
            </w:r>
          </w:p>
        </w:tc>
        <w:tc>
          <w:tcPr>
            <w:tcW w:w="741" w:type="pct"/>
            <w:shd w:val="clear" w:color="auto" w:fill="auto"/>
            <w:noWrap/>
            <w:vAlign w:val="center"/>
            <w:hideMark/>
          </w:tcPr>
          <w:p w14:paraId="2B8E8DC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0.3671</w:t>
            </w:r>
          </w:p>
        </w:tc>
      </w:tr>
      <w:tr w:rsidR="00C30160" w:rsidRPr="00CE0DE7" w14:paraId="649D9B50" w14:textId="77777777" w:rsidTr="00C24E43">
        <w:trPr>
          <w:trHeight w:val="228"/>
        </w:trPr>
        <w:tc>
          <w:tcPr>
            <w:tcW w:w="717" w:type="pct"/>
            <w:vMerge/>
            <w:tcBorders>
              <w:right w:val="single" w:sz="4" w:space="0" w:color="auto"/>
            </w:tcBorders>
            <w:vAlign w:val="center"/>
            <w:hideMark/>
          </w:tcPr>
          <w:p w14:paraId="5D4656B1" w14:textId="77777777" w:rsidR="00C30160" w:rsidRPr="00CE0DE7" w:rsidRDefault="00C30160" w:rsidP="00C24E43">
            <w:pPr>
              <w:rPr>
                <w:rFonts w:eastAsia="Times New Roman"/>
                <w:i/>
                <w:iCs/>
                <w:color w:val="000000"/>
                <w:sz w:val="20"/>
                <w:szCs w:val="20"/>
                <w:lang w:val="en-GB" w:eastAsia="zh-CN"/>
              </w:rPr>
            </w:pPr>
          </w:p>
        </w:tc>
        <w:tc>
          <w:tcPr>
            <w:tcW w:w="1320" w:type="pct"/>
            <w:tcBorders>
              <w:left w:val="single" w:sz="4" w:space="0" w:color="auto"/>
              <w:right w:val="single" w:sz="4" w:space="0" w:color="auto"/>
            </w:tcBorders>
            <w:shd w:val="clear" w:color="auto" w:fill="auto"/>
            <w:noWrap/>
            <w:vAlign w:val="center"/>
            <w:hideMark/>
          </w:tcPr>
          <w:p w14:paraId="6E789F5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40" w:type="pct"/>
            <w:tcBorders>
              <w:left w:val="single" w:sz="4" w:space="0" w:color="auto"/>
            </w:tcBorders>
            <w:shd w:val="clear" w:color="auto" w:fill="auto"/>
            <w:noWrap/>
            <w:vAlign w:val="center"/>
            <w:hideMark/>
          </w:tcPr>
          <w:p w14:paraId="24859AA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0.2676</w:t>
            </w:r>
          </w:p>
        </w:tc>
        <w:tc>
          <w:tcPr>
            <w:tcW w:w="741" w:type="pct"/>
            <w:tcBorders>
              <w:right w:val="single" w:sz="4" w:space="0" w:color="auto"/>
            </w:tcBorders>
            <w:shd w:val="clear" w:color="auto" w:fill="auto"/>
            <w:noWrap/>
            <w:vAlign w:val="center"/>
            <w:hideMark/>
          </w:tcPr>
          <w:p w14:paraId="348BE98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0.7816</w:t>
            </w:r>
          </w:p>
        </w:tc>
        <w:tc>
          <w:tcPr>
            <w:tcW w:w="740" w:type="pct"/>
            <w:tcBorders>
              <w:left w:val="single" w:sz="4" w:space="0" w:color="auto"/>
            </w:tcBorders>
            <w:shd w:val="clear" w:color="auto" w:fill="auto"/>
            <w:noWrap/>
            <w:vAlign w:val="center"/>
            <w:hideMark/>
          </w:tcPr>
          <w:p w14:paraId="768B354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0.0438</w:t>
            </w:r>
          </w:p>
        </w:tc>
        <w:tc>
          <w:tcPr>
            <w:tcW w:w="741" w:type="pct"/>
            <w:shd w:val="clear" w:color="auto" w:fill="auto"/>
            <w:noWrap/>
            <w:vAlign w:val="center"/>
            <w:hideMark/>
          </w:tcPr>
          <w:p w14:paraId="55882FC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0.6183</w:t>
            </w:r>
          </w:p>
        </w:tc>
      </w:tr>
      <w:tr w:rsidR="00C30160" w:rsidRPr="00CE0DE7" w14:paraId="2809C23F" w14:textId="77777777" w:rsidTr="00C24E43">
        <w:trPr>
          <w:trHeight w:val="228"/>
        </w:trPr>
        <w:tc>
          <w:tcPr>
            <w:tcW w:w="717" w:type="pct"/>
            <w:vMerge/>
            <w:tcBorders>
              <w:bottom w:val="single" w:sz="4" w:space="0" w:color="auto"/>
              <w:right w:val="single" w:sz="4" w:space="0" w:color="auto"/>
            </w:tcBorders>
            <w:vAlign w:val="center"/>
            <w:hideMark/>
          </w:tcPr>
          <w:p w14:paraId="0D5C4AD8" w14:textId="77777777" w:rsidR="00C30160" w:rsidRPr="00CE0DE7" w:rsidRDefault="00C30160" w:rsidP="00C24E43">
            <w:pPr>
              <w:rPr>
                <w:rFonts w:eastAsia="Times New Roman"/>
                <w:i/>
                <w:iCs/>
                <w:color w:val="000000"/>
                <w:sz w:val="20"/>
                <w:szCs w:val="20"/>
                <w:lang w:val="en-GB" w:eastAsia="zh-CN"/>
              </w:rPr>
            </w:pPr>
          </w:p>
        </w:tc>
        <w:tc>
          <w:tcPr>
            <w:tcW w:w="1320" w:type="pct"/>
            <w:tcBorders>
              <w:left w:val="single" w:sz="4" w:space="0" w:color="auto"/>
              <w:bottom w:val="single" w:sz="4" w:space="0" w:color="auto"/>
              <w:right w:val="single" w:sz="4" w:space="0" w:color="auto"/>
            </w:tcBorders>
            <w:shd w:val="clear" w:color="auto" w:fill="auto"/>
            <w:noWrap/>
            <w:vAlign w:val="center"/>
            <w:hideMark/>
          </w:tcPr>
          <w:p w14:paraId="28B000D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40" w:type="pct"/>
            <w:tcBorders>
              <w:left w:val="single" w:sz="4" w:space="0" w:color="auto"/>
              <w:bottom w:val="single" w:sz="4" w:space="0" w:color="auto"/>
            </w:tcBorders>
            <w:shd w:val="clear" w:color="auto" w:fill="auto"/>
            <w:noWrap/>
            <w:vAlign w:val="center"/>
            <w:hideMark/>
          </w:tcPr>
          <w:p w14:paraId="031CC65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0.3138</w:t>
            </w:r>
          </w:p>
        </w:tc>
        <w:tc>
          <w:tcPr>
            <w:tcW w:w="741" w:type="pct"/>
            <w:tcBorders>
              <w:bottom w:val="single" w:sz="4" w:space="0" w:color="auto"/>
              <w:right w:val="single" w:sz="4" w:space="0" w:color="auto"/>
            </w:tcBorders>
            <w:shd w:val="clear" w:color="auto" w:fill="auto"/>
            <w:noWrap/>
            <w:vAlign w:val="center"/>
            <w:hideMark/>
          </w:tcPr>
          <w:p w14:paraId="01F1E51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0.6890</w:t>
            </w:r>
          </w:p>
        </w:tc>
        <w:tc>
          <w:tcPr>
            <w:tcW w:w="740" w:type="pct"/>
            <w:tcBorders>
              <w:left w:val="single" w:sz="4" w:space="0" w:color="auto"/>
              <w:bottom w:val="single" w:sz="4" w:space="0" w:color="auto"/>
            </w:tcBorders>
            <w:shd w:val="clear" w:color="auto" w:fill="auto"/>
            <w:noWrap/>
            <w:vAlign w:val="center"/>
            <w:hideMark/>
          </w:tcPr>
          <w:p w14:paraId="37EDF23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0.0507</w:t>
            </w:r>
          </w:p>
        </w:tc>
        <w:tc>
          <w:tcPr>
            <w:tcW w:w="741" w:type="pct"/>
            <w:tcBorders>
              <w:bottom w:val="single" w:sz="4" w:space="0" w:color="auto"/>
            </w:tcBorders>
            <w:shd w:val="clear" w:color="auto" w:fill="auto"/>
            <w:noWrap/>
            <w:vAlign w:val="center"/>
            <w:hideMark/>
          </w:tcPr>
          <w:p w14:paraId="3E719FB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0.6267</w:t>
            </w:r>
          </w:p>
        </w:tc>
      </w:tr>
      <w:tr w:rsidR="00C30160" w:rsidRPr="00CE0DE7" w14:paraId="48F3BF3E" w14:textId="77777777" w:rsidTr="00C24E43">
        <w:trPr>
          <w:trHeight w:val="228"/>
        </w:trPr>
        <w:tc>
          <w:tcPr>
            <w:tcW w:w="717" w:type="pct"/>
            <w:vMerge w:val="restart"/>
            <w:tcBorders>
              <w:top w:val="single" w:sz="4" w:space="0" w:color="auto"/>
              <w:right w:val="single" w:sz="4" w:space="0" w:color="auto"/>
            </w:tcBorders>
            <w:shd w:val="clear" w:color="auto" w:fill="auto"/>
            <w:noWrap/>
            <w:vAlign w:val="center"/>
            <w:hideMark/>
          </w:tcPr>
          <w:p w14:paraId="196DA14A"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MOM</w:t>
            </w:r>
          </w:p>
        </w:tc>
        <w:tc>
          <w:tcPr>
            <w:tcW w:w="1320" w:type="pct"/>
            <w:tcBorders>
              <w:top w:val="single" w:sz="4" w:space="0" w:color="auto"/>
              <w:left w:val="single" w:sz="4" w:space="0" w:color="auto"/>
              <w:right w:val="single" w:sz="4" w:space="0" w:color="auto"/>
            </w:tcBorders>
            <w:shd w:val="clear" w:color="auto" w:fill="auto"/>
            <w:noWrap/>
            <w:vAlign w:val="center"/>
            <w:hideMark/>
          </w:tcPr>
          <w:p w14:paraId="1DD1426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40" w:type="pct"/>
            <w:tcBorders>
              <w:top w:val="single" w:sz="4" w:space="0" w:color="auto"/>
              <w:left w:val="single" w:sz="4" w:space="0" w:color="auto"/>
            </w:tcBorders>
            <w:shd w:val="clear" w:color="auto" w:fill="auto"/>
            <w:noWrap/>
            <w:vAlign w:val="center"/>
            <w:hideMark/>
          </w:tcPr>
          <w:p w14:paraId="7FEDAEA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0.9676</w:t>
            </w:r>
          </w:p>
        </w:tc>
        <w:tc>
          <w:tcPr>
            <w:tcW w:w="741" w:type="pct"/>
            <w:tcBorders>
              <w:top w:val="single" w:sz="4" w:space="0" w:color="auto"/>
              <w:right w:val="single" w:sz="4" w:space="0" w:color="auto"/>
            </w:tcBorders>
            <w:shd w:val="clear" w:color="auto" w:fill="auto"/>
            <w:noWrap/>
            <w:vAlign w:val="center"/>
            <w:hideMark/>
          </w:tcPr>
          <w:p w14:paraId="5C51335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top w:val="single" w:sz="4" w:space="0" w:color="auto"/>
              <w:left w:val="single" w:sz="4" w:space="0" w:color="auto"/>
            </w:tcBorders>
            <w:shd w:val="clear" w:color="auto" w:fill="auto"/>
            <w:noWrap/>
            <w:vAlign w:val="center"/>
            <w:hideMark/>
          </w:tcPr>
          <w:p w14:paraId="322AD31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0.2695</w:t>
            </w:r>
          </w:p>
        </w:tc>
        <w:tc>
          <w:tcPr>
            <w:tcW w:w="741" w:type="pct"/>
            <w:tcBorders>
              <w:top w:val="single" w:sz="4" w:space="0" w:color="auto"/>
            </w:tcBorders>
            <w:shd w:val="clear" w:color="auto" w:fill="auto"/>
            <w:noWrap/>
            <w:vAlign w:val="center"/>
            <w:hideMark/>
          </w:tcPr>
          <w:p w14:paraId="2FF0EE5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532A2E6A" w14:textId="77777777" w:rsidTr="00C24E43">
        <w:trPr>
          <w:trHeight w:val="228"/>
        </w:trPr>
        <w:tc>
          <w:tcPr>
            <w:tcW w:w="717" w:type="pct"/>
            <w:vMerge/>
            <w:tcBorders>
              <w:right w:val="single" w:sz="4" w:space="0" w:color="auto"/>
            </w:tcBorders>
            <w:vAlign w:val="center"/>
            <w:hideMark/>
          </w:tcPr>
          <w:p w14:paraId="49FC863D" w14:textId="77777777" w:rsidR="00C30160" w:rsidRPr="00CE0DE7" w:rsidRDefault="00C30160" w:rsidP="00C24E43">
            <w:pPr>
              <w:rPr>
                <w:rFonts w:eastAsia="Times New Roman"/>
                <w:i/>
                <w:iCs/>
                <w:color w:val="000000"/>
                <w:sz w:val="20"/>
                <w:szCs w:val="20"/>
                <w:lang w:val="en-GB" w:eastAsia="zh-CN"/>
              </w:rPr>
            </w:pPr>
          </w:p>
        </w:tc>
        <w:tc>
          <w:tcPr>
            <w:tcW w:w="1320" w:type="pct"/>
            <w:tcBorders>
              <w:left w:val="single" w:sz="4" w:space="0" w:color="auto"/>
              <w:right w:val="single" w:sz="4" w:space="0" w:color="auto"/>
            </w:tcBorders>
            <w:shd w:val="clear" w:color="auto" w:fill="auto"/>
            <w:noWrap/>
            <w:vAlign w:val="center"/>
            <w:hideMark/>
          </w:tcPr>
          <w:p w14:paraId="77B6AE6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40" w:type="pct"/>
            <w:tcBorders>
              <w:left w:val="single" w:sz="4" w:space="0" w:color="auto"/>
            </w:tcBorders>
            <w:shd w:val="clear" w:color="auto" w:fill="auto"/>
            <w:noWrap/>
            <w:vAlign w:val="center"/>
            <w:hideMark/>
          </w:tcPr>
          <w:p w14:paraId="364D498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0.9107</w:t>
            </w:r>
          </w:p>
        </w:tc>
        <w:tc>
          <w:tcPr>
            <w:tcW w:w="741" w:type="pct"/>
            <w:tcBorders>
              <w:right w:val="single" w:sz="4" w:space="0" w:color="auto"/>
            </w:tcBorders>
            <w:shd w:val="clear" w:color="auto" w:fill="auto"/>
            <w:noWrap/>
            <w:vAlign w:val="center"/>
            <w:hideMark/>
          </w:tcPr>
          <w:p w14:paraId="4E0AD58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left w:val="single" w:sz="4" w:space="0" w:color="auto"/>
            </w:tcBorders>
            <w:shd w:val="clear" w:color="auto" w:fill="auto"/>
            <w:noWrap/>
            <w:vAlign w:val="center"/>
            <w:hideMark/>
          </w:tcPr>
          <w:p w14:paraId="10AE5DD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0.2012</w:t>
            </w:r>
          </w:p>
        </w:tc>
        <w:tc>
          <w:tcPr>
            <w:tcW w:w="741" w:type="pct"/>
            <w:shd w:val="clear" w:color="auto" w:fill="auto"/>
            <w:noWrap/>
            <w:vAlign w:val="center"/>
            <w:hideMark/>
          </w:tcPr>
          <w:p w14:paraId="0C527A4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4232FFA0" w14:textId="77777777" w:rsidTr="00C24E43">
        <w:trPr>
          <w:trHeight w:val="228"/>
        </w:trPr>
        <w:tc>
          <w:tcPr>
            <w:tcW w:w="717" w:type="pct"/>
            <w:vMerge/>
            <w:tcBorders>
              <w:right w:val="single" w:sz="4" w:space="0" w:color="auto"/>
            </w:tcBorders>
            <w:vAlign w:val="center"/>
            <w:hideMark/>
          </w:tcPr>
          <w:p w14:paraId="144387EE" w14:textId="77777777" w:rsidR="00C30160" w:rsidRPr="00CE0DE7" w:rsidRDefault="00C30160" w:rsidP="00C24E43">
            <w:pPr>
              <w:rPr>
                <w:rFonts w:eastAsia="Times New Roman"/>
                <w:i/>
                <w:iCs/>
                <w:color w:val="000000"/>
                <w:sz w:val="20"/>
                <w:szCs w:val="20"/>
                <w:lang w:val="en-GB" w:eastAsia="zh-CN"/>
              </w:rPr>
            </w:pPr>
          </w:p>
        </w:tc>
        <w:tc>
          <w:tcPr>
            <w:tcW w:w="1320" w:type="pct"/>
            <w:tcBorders>
              <w:left w:val="single" w:sz="4" w:space="0" w:color="auto"/>
              <w:right w:val="single" w:sz="4" w:space="0" w:color="auto"/>
            </w:tcBorders>
            <w:shd w:val="clear" w:color="auto" w:fill="auto"/>
            <w:noWrap/>
            <w:vAlign w:val="center"/>
            <w:hideMark/>
          </w:tcPr>
          <w:p w14:paraId="7DC26CC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40" w:type="pct"/>
            <w:tcBorders>
              <w:left w:val="single" w:sz="4" w:space="0" w:color="auto"/>
            </w:tcBorders>
            <w:shd w:val="clear" w:color="auto" w:fill="auto"/>
            <w:noWrap/>
            <w:vAlign w:val="center"/>
            <w:hideMark/>
          </w:tcPr>
          <w:p w14:paraId="26D32A4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0.3170</w:t>
            </w:r>
          </w:p>
        </w:tc>
        <w:tc>
          <w:tcPr>
            <w:tcW w:w="741" w:type="pct"/>
            <w:tcBorders>
              <w:right w:val="single" w:sz="4" w:space="0" w:color="auto"/>
            </w:tcBorders>
            <w:shd w:val="clear" w:color="auto" w:fill="auto"/>
            <w:noWrap/>
            <w:vAlign w:val="center"/>
            <w:hideMark/>
          </w:tcPr>
          <w:p w14:paraId="0E0939D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left w:val="single" w:sz="4" w:space="0" w:color="auto"/>
            </w:tcBorders>
            <w:shd w:val="clear" w:color="auto" w:fill="auto"/>
            <w:noWrap/>
            <w:vAlign w:val="center"/>
            <w:hideMark/>
          </w:tcPr>
          <w:p w14:paraId="12FBA28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0.2730</w:t>
            </w:r>
          </w:p>
        </w:tc>
        <w:tc>
          <w:tcPr>
            <w:tcW w:w="741" w:type="pct"/>
            <w:shd w:val="clear" w:color="auto" w:fill="auto"/>
            <w:noWrap/>
            <w:vAlign w:val="center"/>
            <w:hideMark/>
          </w:tcPr>
          <w:p w14:paraId="5A95DC5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560B8918" w14:textId="77777777" w:rsidTr="00C24E43">
        <w:trPr>
          <w:trHeight w:val="228"/>
        </w:trPr>
        <w:tc>
          <w:tcPr>
            <w:tcW w:w="717" w:type="pct"/>
            <w:vMerge/>
            <w:tcBorders>
              <w:right w:val="single" w:sz="4" w:space="0" w:color="auto"/>
            </w:tcBorders>
            <w:vAlign w:val="center"/>
            <w:hideMark/>
          </w:tcPr>
          <w:p w14:paraId="398566EE" w14:textId="77777777" w:rsidR="00C30160" w:rsidRPr="00CE0DE7" w:rsidRDefault="00C30160" w:rsidP="00C24E43">
            <w:pPr>
              <w:rPr>
                <w:rFonts w:eastAsia="Times New Roman"/>
                <w:i/>
                <w:iCs/>
                <w:color w:val="000000"/>
                <w:sz w:val="20"/>
                <w:szCs w:val="20"/>
                <w:lang w:val="en-GB" w:eastAsia="zh-CN"/>
              </w:rPr>
            </w:pPr>
          </w:p>
        </w:tc>
        <w:tc>
          <w:tcPr>
            <w:tcW w:w="1320" w:type="pct"/>
            <w:tcBorders>
              <w:left w:val="single" w:sz="4" w:space="0" w:color="auto"/>
              <w:right w:val="single" w:sz="4" w:space="0" w:color="auto"/>
            </w:tcBorders>
            <w:shd w:val="clear" w:color="auto" w:fill="auto"/>
            <w:noWrap/>
            <w:vAlign w:val="center"/>
            <w:hideMark/>
          </w:tcPr>
          <w:p w14:paraId="4DCA8F1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40" w:type="pct"/>
            <w:tcBorders>
              <w:left w:val="single" w:sz="4" w:space="0" w:color="auto"/>
            </w:tcBorders>
            <w:shd w:val="clear" w:color="auto" w:fill="auto"/>
            <w:noWrap/>
            <w:vAlign w:val="center"/>
            <w:hideMark/>
          </w:tcPr>
          <w:p w14:paraId="6EDFCB3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0.8567</w:t>
            </w:r>
          </w:p>
        </w:tc>
        <w:tc>
          <w:tcPr>
            <w:tcW w:w="741" w:type="pct"/>
            <w:tcBorders>
              <w:right w:val="single" w:sz="4" w:space="0" w:color="auto"/>
            </w:tcBorders>
            <w:shd w:val="clear" w:color="auto" w:fill="auto"/>
            <w:noWrap/>
            <w:vAlign w:val="center"/>
            <w:hideMark/>
          </w:tcPr>
          <w:p w14:paraId="1A837B0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left w:val="single" w:sz="4" w:space="0" w:color="auto"/>
            </w:tcBorders>
            <w:shd w:val="clear" w:color="auto" w:fill="auto"/>
            <w:noWrap/>
            <w:vAlign w:val="center"/>
            <w:hideMark/>
          </w:tcPr>
          <w:p w14:paraId="4113C68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0.2912</w:t>
            </w:r>
          </w:p>
        </w:tc>
        <w:tc>
          <w:tcPr>
            <w:tcW w:w="741" w:type="pct"/>
            <w:shd w:val="clear" w:color="auto" w:fill="auto"/>
            <w:noWrap/>
            <w:vAlign w:val="center"/>
            <w:hideMark/>
          </w:tcPr>
          <w:p w14:paraId="2EB44D7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2D98D74A" w14:textId="77777777" w:rsidTr="00C24E43">
        <w:trPr>
          <w:trHeight w:val="228"/>
        </w:trPr>
        <w:tc>
          <w:tcPr>
            <w:tcW w:w="717" w:type="pct"/>
            <w:vMerge/>
            <w:tcBorders>
              <w:bottom w:val="double" w:sz="4" w:space="0" w:color="auto"/>
              <w:right w:val="single" w:sz="4" w:space="0" w:color="auto"/>
            </w:tcBorders>
            <w:vAlign w:val="center"/>
            <w:hideMark/>
          </w:tcPr>
          <w:p w14:paraId="13973B88" w14:textId="77777777" w:rsidR="00C30160" w:rsidRPr="00CE0DE7" w:rsidRDefault="00C30160" w:rsidP="00C24E43">
            <w:pPr>
              <w:rPr>
                <w:rFonts w:eastAsia="Times New Roman"/>
                <w:i/>
                <w:iCs/>
                <w:color w:val="000000"/>
                <w:sz w:val="20"/>
                <w:szCs w:val="20"/>
                <w:lang w:val="en-GB" w:eastAsia="zh-CN"/>
              </w:rPr>
            </w:pPr>
          </w:p>
        </w:tc>
        <w:tc>
          <w:tcPr>
            <w:tcW w:w="1320" w:type="pct"/>
            <w:tcBorders>
              <w:left w:val="single" w:sz="4" w:space="0" w:color="auto"/>
              <w:bottom w:val="double" w:sz="4" w:space="0" w:color="auto"/>
              <w:right w:val="single" w:sz="4" w:space="0" w:color="auto"/>
            </w:tcBorders>
            <w:shd w:val="clear" w:color="auto" w:fill="auto"/>
            <w:noWrap/>
            <w:vAlign w:val="center"/>
            <w:hideMark/>
          </w:tcPr>
          <w:p w14:paraId="2BD393C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40" w:type="pct"/>
            <w:tcBorders>
              <w:left w:val="single" w:sz="4" w:space="0" w:color="auto"/>
              <w:bottom w:val="double" w:sz="4" w:space="0" w:color="auto"/>
            </w:tcBorders>
            <w:shd w:val="clear" w:color="auto" w:fill="auto"/>
            <w:noWrap/>
            <w:vAlign w:val="center"/>
            <w:hideMark/>
          </w:tcPr>
          <w:p w14:paraId="6ED8AB5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0.7110</w:t>
            </w:r>
          </w:p>
        </w:tc>
        <w:tc>
          <w:tcPr>
            <w:tcW w:w="741" w:type="pct"/>
            <w:tcBorders>
              <w:bottom w:val="double" w:sz="4" w:space="0" w:color="auto"/>
              <w:right w:val="single" w:sz="4" w:space="0" w:color="auto"/>
            </w:tcBorders>
            <w:shd w:val="clear" w:color="auto" w:fill="auto"/>
            <w:noWrap/>
            <w:vAlign w:val="center"/>
            <w:hideMark/>
          </w:tcPr>
          <w:p w14:paraId="0932A42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left w:val="single" w:sz="4" w:space="0" w:color="auto"/>
              <w:bottom w:val="double" w:sz="4" w:space="0" w:color="auto"/>
            </w:tcBorders>
            <w:shd w:val="clear" w:color="auto" w:fill="auto"/>
            <w:noWrap/>
            <w:vAlign w:val="center"/>
            <w:hideMark/>
          </w:tcPr>
          <w:p w14:paraId="76CFCA1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0.1846</w:t>
            </w:r>
          </w:p>
        </w:tc>
        <w:tc>
          <w:tcPr>
            <w:tcW w:w="741" w:type="pct"/>
            <w:tcBorders>
              <w:bottom w:val="double" w:sz="4" w:space="0" w:color="auto"/>
            </w:tcBorders>
            <w:shd w:val="clear" w:color="auto" w:fill="auto"/>
            <w:noWrap/>
            <w:vAlign w:val="center"/>
            <w:hideMark/>
          </w:tcPr>
          <w:p w14:paraId="1C88224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bl>
    <w:p w14:paraId="0A98C804" w14:textId="53CAF999" w:rsidR="00C30160" w:rsidRPr="00CE0DE7" w:rsidRDefault="00C30160" w:rsidP="00C30160">
      <w:pPr>
        <w:adjustRightInd w:val="0"/>
        <w:snapToGrid w:val="0"/>
        <w:jc w:val="both"/>
        <w:rPr>
          <w:sz w:val="20"/>
          <w:szCs w:val="20"/>
        </w:rPr>
      </w:pPr>
      <w:r w:rsidRPr="00CE0DE7">
        <w:rPr>
          <w:sz w:val="20"/>
          <w:szCs w:val="20"/>
        </w:rPr>
        <w:t xml:space="preserve">This table </w:t>
      </w:r>
      <w:r w:rsidRPr="00CE0DE7">
        <w:rPr>
          <w:rFonts w:hint="eastAsia"/>
          <w:sz w:val="20"/>
          <w:szCs w:val="20"/>
          <w:lang w:eastAsia="zh-CN"/>
        </w:rPr>
        <w:t>summarizes t</w:t>
      </w:r>
      <w:r w:rsidRPr="00CE0DE7">
        <w:rPr>
          <w:sz w:val="20"/>
          <w:szCs w:val="20"/>
        </w:rPr>
        <w:t xml:space="preserve">he </w:t>
      </w:r>
      <w:r w:rsidRPr="00CE0DE7">
        <w:rPr>
          <w:i/>
          <w:sz w:val="20"/>
          <w:szCs w:val="20"/>
        </w:rPr>
        <w:t>p</w:t>
      </w:r>
      <w:r w:rsidRPr="00CE0DE7">
        <w:rPr>
          <w:sz w:val="20"/>
          <w:szCs w:val="20"/>
        </w:rPr>
        <w:t xml:space="preserve">-value of the chi-square statistics for the Toda-Yamamoto Granger non-causality tests between </w:t>
      </w:r>
      <w:r w:rsidRPr="00CE0DE7">
        <w:rPr>
          <w:i/>
          <w:sz w:val="20"/>
          <w:szCs w:val="20"/>
        </w:rPr>
        <w:t>VRP</w:t>
      </w:r>
      <w:r w:rsidRPr="00CE0DE7">
        <w:rPr>
          <w:sz w:val="20"/>
          <w:szCs w:val="20"/>
        </w:rPr>
        <w:t xml:space="preserve"> and risk factors (</w:t>
      </w:r>
      <w:r w:rsidRPr="00CE0DE7">
        <w:rPr>
          <w:rFonts w:ascii="Cambria" w:hAnsi="Cambria"/>
          <w:i/>
          <w:sz w:val="20"/>
          <w:szCs w:val="20"/>
        </w:rPr>
        <w:t>R</w:t>
      </w:r>
      <w:r w:rsidRPr="00CE0DE7">
        <w:rPr>
          <w:rFonts w:ascii="Cambria" w:hAnsi="Cambria"/>
          <w:i/>
          <w:sz w:val="20"/>
          <w:szCs w:val="20"/>
          <w:vertAlign w:val="subscript"/>
        </w:rPr>
        <w:t>m</w:t>
      </w:r>
      <w:r w:rsidRPr="00CE0DE7">
        <w:rPr>
          <w:rFonts w:ascii="Cambria" w:hAnsi="Cambria"/>
          <w:i/>
          <w:sz w:val="20"/>
          <w:szCs w:val="20"/>
        </w:rPr>
        <w:t xml:space="preserve"> – R</w:t>
      </w:r>
      <w:r w:rsidRPr="00CE0DE7">
        <w:rPr>
          <w:rFonts w:ascii="Cambria" w:hAnsi="Cambria"/>
          <w:i/>
          <w:sz w:val="20"/>
          <w:szCs w:val="20"/>
          <w:vertAlign w:val="subscript"/>
        </w:rPr>
        <w:t>f</w:t>
      </w:r>
      <w:r w:rsidRPr="00CE0DE7">
        <w:rPr>
          <w:sz w:val="20"/>
          <w:szCs w:val="20"/>
        </w:rPr>
        <w:t xml:space="preserve">, </w:t>
      </w:r>
      <w:r w:rsidRPr="00CE0DE7">
        <w:rPr>
          <w:i/>
          <w:sz w:val="20"/>
          <w:szCs w:val="20"/>
        </w:rPr>
        <w:t>SMB, HML</w:t>
      </w:r>
      <w:r w:rsidRPr="00CE0DE7">
        <w:rPr>
          <w:sz w:val="20"/>
          <w:szCs w:val="20"/>
        </w:rPr>
        <w:t xml:space="preserve"> and </w:t>
      </w:r>
      <w:r w:rsidRPr="00CE0DE7">
        <w:rPr>
          <w:i/>
          <w:sz w:val="20"/>
          <w:szCs w:val="20"/>
        </w:rPr>
        <w:t>MOM</w:t>
      </w:r>
      <w:r w:rsidRPr="00CE0DE7">
        <w:rPr>
          <w:sz w:val="20"/>
          <w:szCs w:val="20"/>
        </w:rPr>
        <w:t xml:space="preserve">) (Panel A), and between illiquidity and </w:t>
      </w:r>
      <w:r w:rsidRPr="00CE0DE7">
        <w:rPr>
          <w:rFonts w:hint="eastAsia"/>
          <w:sz w:val="20"/>
          <w:szCs w:val="20"/>
          <w:lang w:eastAsia="zh-CN"/>
        </w:rPr>
        <w:t xml:space="preserve">same </w:t>
      </w:r>
      <w:r w:rsidRPr="00CE0DE7">
        <w:rPr>
          <w:sz w:val="20"/>
          <w:szCs w:val="20"/>
        </w:rPr>
        <w:t xml:space="preserve">risk factors (Panel B). The analysis uses monthly data from the full sample period </w:t>
      </w:r>
      <w:r w:rsidRPr="00CE0DE7">
        <w:rPr>
          <w:sz w:val="20"/>
          <w:szCs w:val="20"/>
          <w:lang w:eastAsia="zh-CN"/>
        </w:rPr>
        <w:t>from January 1990 to December 2018, and four sub-samples from January 1990</w:t>
      </w:r>
      <w:r w:rsidR="00B26548" w:rsidRPr="00CE0DE7">
        <w:rPr>
          <w:rFonts w:hint="eastAsia"/>
          <w:sz w:val="20"/>
          <w:szCs w:val="20"/>
          <w:lang w:eastAsia="zh-CN"/>
        </w:rPr>
        <w:t xml:space="preserve"> to </w:t>
      </w:r>
      <w:r w:rsidRPr="00CE0DE7">
        <w:rPr>
          <w:sz w:val="20"/>
          <w:szCs w:val="20"/>
          <w:lang w:eastAsia="zh-CN"/>
        </w:rPr>
        <w:t>December 2012, January 1992</w:t>
      </w:r>
      <w:r w:rsidR="00B26548" w:rsidRPr="00CE0DE7">
        <w:rPr>
          <w:rFonts w:hint="eastAsia"/>
          <w:sz w:val="20"/>
          <w:szCs w:val="20"/>
          <w:lang w:eastAsia="zh-CN"/>
        </w:rPr>
        <w:t xml:space="preserve"> to </w:t>
      </w:r>
      <w:r w:rsidRPr="00CE0DE7">
        <w:rPr>
          <w:sz w:val="20"/>
          <w:szCs w:val="20"/>
          <w:lang w:eastAsia="zh-CN"/>
        </w:rPr>
        <w:t>December 2014, January 1994</w:t>
      </w:r>
      <w:r w:rsidR="00B26548" w:rsidRPr="00CE0DE7">
        <w:rPr>
          <w:rFonts w:hint="eastAsia"/>
          <w:sz w:val="20"/>
          <w:szCs w:val="20"/>
          <w:lang w:eastAsia="zh-CN"/>
        </w:rPr>
        <w:t xml:space="preserve"> to </w:t>
      </w:r>
      <w:r w:rsidRPr="00CE0DE7">
        <w:rPr>
          <w:sz w:val="20"/>
          <w:szCs w:val="20"/>
          <w:lang w:eastAsia="zh-CN"/>
        </w:rPr>
        <w:t>December 2016, and January 1996</w:t>
      </w:r>
      <w:r w:rsidR="00B26548" w:rsidRPr="00CE0DE7">
        <w:rPr>
          <w:rFonts w:hint="eastAsia"/>
          <w:sz w:val="20"/>
          <w:szCs w:val="20"/>
          <w:lang w:eastAsia="zh-CN"/>
        </w:rPr>
        <w:t xml:space="preserve"> to </w:t>
      </w:r>
      <w:r w:rsidRPr="00CE0DE7">
        <w:rPr>
          <w:sz w:val="20"/>
          <w:szCs w:val="20"/>
          <w:lang w:eastAsia="zh-CN"/>
        </w:rPr>
        <w:t>December 2018</w:t>
      </w:r>
      <w:r w:rsidRPr="00CE0DE7">
        <w:rPr>
          <w:sz w:val="20"/>
          <w:szCs w:val="20"/>
        </w:rPr>
        <w:t xml:space="preserve">. </w:t>
      </w:r>
    </w:p>
    <w:p w14:paraId="223DF59B" w14:textId="4910FCDC" w:rsidR="00C30160" w:rsidRDefault="00C30160" w:rsidP="00C30160">
      <w:pPr>
        <w:adjustRightInd w:val="0"/>
        <w:snapToGrid w:val="0"/>
        <w:jc w:val="both"/>
        <w:rPr>
          <w:sz w:val="20"/>
          <w:szCs w:val="20"/>
        </w:rPr>
      </w:pPr>
    </w:p>
    <w:p w14:paraId="2BC16BD9" w14:textId="77777777" w:rsidR="004C1F68" w:rsidRPr="00CE0DE7" w:rsidRDefault="004C1F68" w:rsidP="00C30160">
      <w:pPr>
        <w:adjustRightInd w:val="0"/>
        <w:snapToGrid w:val="0"/>
        <w:jc w:val="both"/>
        <w:rPr>
          <w:sz w:val="20"/>
          <w:szCs w:val="20"/>
        </w:rPr>
      </w:pPr>
    </w:p>
    <w:p w14:paraId="3E03FEF8" w14:textId="77777777" w:rsidR="00C30160" w:rsidRPr="00CE0DE7" w:rsidRDefault="00C30160" w:rsidP="00C30160">
      <w:pPr>
        <w:adjustRightInd w:val="0"/>
        <w:snapToGrid w:val="0"/>
        <w:rPr>
          <w:b/>
          <w:sz w:val="20"/>
          <w:szCs w:val="20"/>
          <w:lang w:eastAsia="zh-CN"/>
        </w:rPr>
      </w:pPr>
      <w:r w:rsidRPr="00CE0DE7">
        <w:rPr>
          <w:b/>
          <w:sz w:val="20"/>
          <w:szCs w:val="20"/>
          <w:lang w:eastAsia="zh-CN"/>
        </w:rPr>
        <w:lastRenderedPageBreak/>
        <w:t xml:space="preserve">Table 10. </w:t>
      </w:r>
      <w:r w:rsidRPr="00CE0DE7">
        <w:rPr>
          <w:b/>
          <w:sz w:val="20"/>
          <w:szCs w:val="20"/>
        </w:rPr>
        <w:t>VRP, illiquidity, and the four systematic factors</w:t>
      </w:r>
      <w:r w:rsidRPr="00CE0DE7">
        <w:rPr>
          <w:b/>
          <w:sz w:val="20"/>
          <w:szCs w:val="20"/>
          <w:lang w:eastAsia="zh-CN"/>
        </w:rPr>
        <w:t xml:space="preserve"> with control variables</w:t>
      </w:r>
    </w:p>
    <w:p w14:paraId="3A594AC2" w14:textId="77777777" w:rsidR="00C30160" w:rsidRPr="00CE0DE7" w:rsidRDefault="00C30160" w:rsidP="00C30160">
      <w:pPr>
        <w:adjustRightInd w:val="0"/>
        <w:snapToGrid w:val="0"/>
        <w:jc w:val="both"/>
        <w:rPr>
          <w:sz w:val="20"/>
          <w:szCs w:val="20"/>
        </w:rPr>
      </w:pPr>
    </w:p>
    <w:p w14:paraId="0E95C614" w14:textId="77777777" w:rsidR="00C30160" w:rsidRPr="00CE0DE7" w:rsidRDefault="00C30160" w:rsidP="00C30160">
      <w:pPr>
        <w:adjustRightInd w:val="0"/>
        <w:snapToGrid w:val="0"/>
        <w:rPr>
          <w:sz w:val="20"/>
          <w:szCs w:val="20"/>
        </w:rPr>
      </w:pPr>
      <w:r w:rsidRPr="00CE0DE7">
        <w:rPr>
          <w:sz w:val="20"/>
          <w:szCs w:val="20"/>
        </w:rPr>
        <w:t>Panel A</w:t>
      </w:r>
      <w:r w:rsidRPr="00CE0DE7">
        <w:rPr>
          <w:b/>
          <w:sz w:val="20"/>
          <w:szCs w:val="20"/>
        </w:rPr>
        <w:t xml:space="preserve">. </w:t>
      </w:r>
      <w:r w:rsidRPr="00CE0DE7">
        <w:rPr>
          <w:i/>
          <w:sz w:val="20"/>
          <w:szCs w:val="20"/>
          <w:lang w:eastAsia="zh-CN"/>
        </w:rPr>
        <w:t xml:space="preserve">VRP </w:t>
      </w:r>
      <w:r w:rsidRPr="00CE0DE7">
        <w:rPr>
          <w:sz w:val="20"/>
          <w:szCs w:val="20"/>
        </w:rPr>
        <w:t>&amp; the four systematic factors (</w:t>
      </w:r>
      <w:r w:rsidRPr="00CE0DE7">
        <w:rPr>
          <w:rFonts w:ascii="Cambria" w:hAnsi="Cambria"/>
          <w:i/>
          <w:sz w:val="20"/>
          <w:szCs w:val="20"/>
        </w:rPr>
        <w:t>R</w:t>
      </w:r>
      <w:r w:rsidRPr="00CE0DE7">
        <w:rPr>
          <w:rFonts w:ascii="Cambria" w:hAnsi="Cambria"/>
          <w:i/>
          <w:sz w:val="20"/>
          <w:szCs w:val="20"/>
          <w:vertAlign w:val="subscript"/>
        </w:rPr>
        <w:t>m</w:t>
      </w:r>
      <w:r w:rsidRPr="00CE0DE7">
        <w:rPr>
          <w:rFonts w:ascii="Cambria" w:hAnsi="Cambria"/>
          <w:i/>
          <w:sz w:val="20"/>
          <w:szCs w:val="20"/>
        </w:rPr>
        <w:t xml:space="preserve"> – R</w:t>
      </w:r>
      <w:r w:rsidRPr="00CE0DE7">
        <w:rPr>
          <w:rFonts w:ascii="Cambria" w:hAnsi="Cambria"/>
          <w:i/>
          <w:sz w:val="20"/>
          <w:szCs w:val="20"/>
          <w:vertAlign w:val="subscript"/>
        </w:rPr>
        <w:t>f</w:t>
      </w:r>
      <w:r w:rsidRPr="00CE0DE7">
        <w:rPr>
          <w:sz w:val="20"/>
          <w:szCs w:val="20"/>
        </w:rPr>
        <w:t xml:space="preserve">, </w:t>
      </w:r>
      <w:r w:rsidRPr="00CE0DE7">
        <w:rPr>
          <w:i/>
          <w:sz w:val="20"/>
          <w:szCs w:val="20"/>
        </w:rPr>
        <w:t>SMB, HML</w:t>
      </w:r>
      <w:r w:rsidRPr="00CE0DE7">
        <w:rPr>
          <w:sz w:val="20"/>
          <w:szCs w:val="20"/>
        </w:rPr>
        <w:t xml:space="preserve"> and </w:t>
      </w:r>
      <w:r w:rsidRPr="00CE0DE7">
        <w:rPr>
          <w:i/>
          <w:sz w:val="20"/>
          <w:szCs w:val="20"/>
        </w:rPr>
        <w:t>MOM</w:t>
      </w:r>
      <w:r w:rsidRPr="00CE0DE7">
        <w:rPr>
          <w:sz w:val="20"/>
          <w:szCs w:val="20"/>
        </w:rPr>
        <w:t>)</w:t>
      </w:r>
    </w:p>
    <w:tbl>
      <w:tblPr>
        <w:tblW w:w="5000" w:type="pct"/>
        <w:tblLook w:val="04A0" w:firstRow="1" w:lastRow="0" w:firstColumn="1" w:lastColumn="0" w:noHBand="0" w:noVBand="1"/>
      </w:tblPr>
      <w:tblGrid>
        <w:gridCol w:w="997"/>
        <w:gridCol w:w="1840"/>
        <w:gridCol w:w="1031"/>
        <w:gridCol w:w="1033"/>
        <w:gridCol w:w="1031"/>
        <w:gridCol w:w="1033"/>
        <w:gridCol w:w="1031"/>
        <w:gridCol w:w="1031"/>
      </w:tblGrid>
      <w:tr w:rsidR="00C30160" w:rsidRPr="00CE0DE7" w14:paraId="29406D2B" w14:textId="77777777" w:rsidTr="00C24E43">
        <w:trPr>
          <w:trHeight w:val="298"/>
        </w:trPr>
        <w:tc>
          <w:tcPr>
            <w:tcW w:w="552" w:type="pct"/>
            <w:tcBorders>
              <w:top w:val="double" w:sz="4" w:space="0" w:color="auto"/>
              <w:left w:val="nil"/>
              <w:bottom w:val="single" w:sz="4" w:space="0" w:color="auto"/>
              <w:right w:val="single" w:sz="4" w:space="0" w:color="auto"/>
            </w:tcBorders>
            <w:shd w:val="clear" w:color="auto" w:fill="auto"/>
            <w:noWrap/>
            <w:vAlign w:val="center"/>
            <w:hideMark/>
          </w:tcPr>
          <w:p w14:paraId="22DC9953" w14:textId="77777777" w:rsidR="00C30160" w:rsidRPr="00CE0DE7" w:rsidRDefault="00C30160" w:rsidP="00C24E43">
            <w:pPr>
              <w:rPr>
                <w:rFonts w:eastAsia="Times New Roman"/>
                <w:sz w:val="20"/>
                <w:szCs w:val="20"/>
                <w:lang w:val="en-GB" w:eastAsia="zh-CN"/>
              </w:rPr>
            </w:pPr>
          </w:p>
        </w:tc>
        <w:tc>
          <w:tcPr>
            <w:tcW w:w="1019"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3F2D78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w:t>
            </w:r>
          </w:p>
        </w:tc>
        <w:tc>
          <w:tcPr>
            <w:tcW w:w="1143" w:type="pct"/>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64214E1"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BTZ</w:t>
            </w:r>
          </w:p>
        </w:tc>
        <w:tc>
          <w:tcPr>
            <w:tcW w:w="1143" w:type="pct"/>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027CB3E"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CW</w:t>
            </w:r>
          </w:p>
        </w:tc>
        <w:tc>
          <w:tcPr>
            <w:tcW w:w="1142" w:type="pct"/>
            <w:gridSpan w:val="2"/>
            <w:tcBorders>
              <w:top w:val="double" w:sz="4" w:space="0" w:color="auto"/>
              <w:left w:val="single" w:sz="4" w:space="0" w:color="auto"/>
              <w:bottom w:val="single" w:sz="4" w:space="0" w:color="auto"/>
              <w:right w:val="nil"/>
            </w:tcBorders>
            <w:shd w:val="clear" w:color="auto" w:fill="auto"/>
            <w:noWrap/>
            <w:vAlign w:val="center"/>
            <w:hideMark/>
          </w:tcPr>
          <w:p w14:paraId="11ACB24A"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VRP</w:t>
            </w:r>
            <w:r w:rsidRPr="00CE0DE7">
              <w:rPr>
                <w:rFonts w:eastAsia="Times New Roman"/>
                <w:i/>
                <w:iCs/>
                <w:color w:val="000000"/>
                <w:sz w:val="20"/>
                <w:szCs w:val="20"/>
                <w:vertAlign w:val="superscript"/>
                <w:lang w:val="en-GB" w:eastAsia="zh-CN"/>
              </w:rPr>
              <w:t>DY</w:t>
            </w:r>
          </w:p>
        </w:tc>
      </w:tr>
      <w:tr w:rsidR="00C30160" w:rsidRPr="00CE0DE7" w14:paraId="588E22EC" w14:textId="77777777" w:rsidTr="00C24E43">
        <w:trPr>
          <w:trHeight w:val="259"/>
        </w:trPr>
        <w:tc>
          <w:tcPr>
            <w:tcW w:w="552" w:type="pct"/>
            <w:tcBorders>
              <w:top w:val="single" w:sz="4" w:space="0" w:color="auto"/>
              <w:left w:val="nil"/>
              <w:bottom w:val="single" w:sz="4" w:space="0" w:color="auto"/>
              <w:right w:val="single" w:sz="4" w:space="0" w:color="auto"/>
            </w:tcBorders>
            <w:shd w:val="clear" w:color="auto" w:fill="auto"/>
            <w:noWrap/>
            <w:vAlign w:val="center"/>
            <w:hideMark/>
          </w:tcPr>
          <w:p w14:paraId="27A8D9E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B4ED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Sample period</w:t>
            </w:r>
          </w:p>
        </w:tc>
        <w:tc>
          <w:tcPr>
            <w:tcW w:w="571" w:type="pct"/>
            <w:tcBorders>
              <w:top w:val="single" w:sz="4" w:space="0" w:color="auto"/>
              <w:left w:val="single" w:sz="4" w:space="0" w:color="auto"/>
              <w:bottom w:val="single" w:sz="4" w:space="0" w:color="auto"/>
              <w:right w:val="nil"/>
            </w:tcBorders>
            <w:shd w:val="clear" w:color="auto" w:fill="auto"/>
            <w:noWrap/>
            <w:vAlign w:val="center"/>
            <w:hideMark/>
          </w:tcPr>
          <w:p w14:paraId="13CBD67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14:paraId="0DEE3BB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c>
          <w:tcPr>
            <w:tcW w:w="571" w:type="pct"/>
            <w:tcBorders>
              <w:top w:val="single" w:sz="4" w:space="0" w:color="auto"/>
              <w:left w:val="single" w:sz="4" w:space="0" w:color="auto"/>
              <w:bottom w:val="single" w:sz="4" w:space="0" w:color="auto"/>
              <w:right w:val="nil"/>
            </w:tcBorders>
            <w:shd w:val="clear" w:color="auto" w:fill="auto"/>
            <w:noWrap/>
            <w:vAlign w:val="center"/>
            <w:hideMark/>
          </w:tcPr>
          <w:p w14:paraId="07768C3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14:paraId="69EDE98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c>
          <w:tcPr>
            <w:tcW w:w="571" w:type="pct"/>
            <w:tcBorders>
              <w:top w:val="single" w:sz="4" w:space="0" w:color="auto"/>
              <w:left w:val="single" w:sz="4" w:space="0" w:color="auto"/>
              <w:bottom w:val="single" w:sz="4" w:space="0" w:color="auto"/>
              <w:right w:val="nil"/>
            </w:tcBorders>
            <w:shd w:val="clear" w:color="auto" w:fill="auto"/>
            <w:noWrap/>
            <w:vAlign w:val="center"/>
            <w:hideMark/>
          </w:tcPr>
          <w:p w14:paraId="6725C2A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571" w:type="pct"/>
            <w:tcBorders>
              <w:top w:val="single" w:sz="4" w:space="0" w:color="auto"/>
              <w:left w:val="nil"/>
              <w:bottom w:val="single" w:sz="4" w:space="0" w:color="auto"/>
              <w:right w:val="nil"/>
            </w:tcBorders>
            <w:shd w:val="clear" w:color="auto" w:fill="auto"/>
            <w:noWrap/>
            <w:vAlign w:val="center"/>
            <w:hideMark/>
          </w:tcPr>
          <w:p w14:paraId="2EAA5BB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r>
      <w:tr w:rsidR="00C30160" w:rsidRPr="00CE0DE7" w14:paraId="0349F711" w14:textId="77777777" w:rsidTr="00C24E43">
        <w:trPr>
          <w:trHeight w:val="259"/>
        </w:trPr>
        <w:tc>
          <w:tcPr>
            <w:tcW w:w="552" w:type="pct"/>
            <w:vMerge w:val="restart"/>
            <w:tcBorders>
              <w:top w:val="single" w:sz="4" w:space="0" w:color="auto"/>
              <w:left w:val="nil"/>
              <w:bottom w:val="nil"/>
              <w:right w:val="single" w:sz="4" w:space="0" w:color="auto"/>
            </w:tcBorders>
            <w:shd w:val="clear" w:color="auto" w:fill="auto"/>
            <w:noWrap/>
            <w:vAlign w:val="center"/>
            <w:hideMark/>
          </w:tcPr>
          <w:p w14:paraId="5FDE9997"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R</w:t>
            </w:r>
            <w:r w:rsidRPr="00CE0DE7">
              <w:rPr>
                <w:rFonts w:eastAsia="Times New Roman"/>
                <w:i/>
                <w:iCs/>
                <w:color w:val="000000"/>
                <w:sz w:val="20"/>
                <w:szCs w:val="20"/>
                <w:vertAlign w:val="subscript"/>
                <w:lang w:val="en-GB" w:eastAsia="zh-CN"/>
              </w:rPr>
              <w:t>m</w:t>
            </w:r>
            <w:r w:rsidRPr="00CE0DE7">
              <w:rPr>
                <w:rFonts w:eastAsia="Times New Roman"/>
                <w:i/>
                <w:iCs/>
                <w:color w:val="000000"/>
                <w:sz w:val="20"/>
                <w:szCs w:val="20"/>
                <w:lang w:val="en-GB" w:eastAsia="zh-CN"/>
              </w:rPr>
              <w:t xml:space="preserve"> – R</w:t>
            </w:r>
            <w:r w:rsidRPr="00CE0DE7">
              <w:rPr>
                <w:rFonts w:eastAsia="Times New Roman"/>
                <w:i/>
                <w:iCs/>
                <w:color w:val="000000"/>
                <w:sz w:val="20"/>
                <w:szCs w:val="20"/>
                <w:vertAlign w:val="subscript"/>
                <w:lang w:val="en-GB" w:eastAsia="zh-CN"/>
              </w:rPr>
              <w:t>f</w:t>
            </w:r>
          </w:p>
        </w:tc>
        <w:tc>
          <w:tcPr>
            <w:tcW w:w="1019" w:type="pct"/>
            <w:tcBorders>
              <w:top w:val="single" w:sz="4" w:space="0" w:color="auto"/>
              <w:left w:val="single" w:sz="4" w:space="0" w:color="auto"/>
              <w:bottom w:val="nil"/>
              <w:right w:val="single" w:sz="4" w:space="0" w:color="auto"/>
            </w:tcBorders>
            <w:shd w:val="clear" w:color="auto" w:fill="auto"/>
            <w:noWrap/>
            <w:vAlign w:val="center"/>
            <w:hideMark/>
          </w:tcPr>
          <w:p w14:paraId="79B7183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571" w:type="pct"/>
            <w:tcBorders>
              <w:top w:val="single" w:sz="4" w:space="0" w:color="auto"/>
              <w:left w:val="single" w:sz="4" w:space="0" w:color="auto"/>
              <w:bottom w:val="nil"/>
              <w:right w:val="nil"/>
            </w:tcBorders>
            <w:shd w:val="clear" w:color="auto" w:fill="auto"/>
            <w:noWrap/>
            <w:vAlign w:val="center"/>
            <w:hideMark/>
          </w:tcPr>
          <w:p w14:paraId="0029A29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2" w:type="pct"/>
            <w:tcBorders>
              <w:top w:val="single" w:sz="4" w:space="0" w:color="auto"/>
              <w:left w:val="nil"/>
              <w:bottom w:val="nil"/>
              <w:right w:val="single" w:sz="4" w:space="0" w:color="auto"/>
            </w:tcBorders>
            <w:shd w:val="clear" w:color="auto" w:fill="auto"/>
            <w:noWrap/>
            <w:vAlign w:val="center"/>
            <w:hideMark/>
          </w:tcPr>
          <w:p w14:paraId="584F712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0.8361</w:t>
            </w:r>
          </w:p>
        </w:tc>
        <w:tc>
          <w:tcPr>
            <w:tcW w:w="571" w:type="pct"/>
            <w:tcBorders>
              <w:top w:val="single" w:sz="4" w:space="0" w:color="auto"/>
              <w:left w:val="single" w:sz="4" w:space="0" w:color="auto"/>
              <w:bottom w:val="nil"/>
              <w:right w:val="nil"/>
            </w:tcBorders>
            <w:shd w:val="clear" w:color="auto" w:fill="auto"/>
            <w:noWrap/>
            <w:vAlign w:val="center"/>
            <w:hideMark/>
          </w:tcPr>
          <w:p w14:paraId="7AB5513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2" w:type="pct"/>
            <w:tcBorders>
              <w:top w:val="single" w:sz="4" w:space="0" w:color="auto"/>
              <w:left w:val="nil"/>
              <w:bottom w:val="nil"/>
              <w:right w:val="single" w:sz="4" w:space="0" w:color="auto"/>
            </w:tcBorders>
            <w:shd w:val="clear" w:color="auto" w:fill="auto"/>
            <w:noWrap/>
            <w:vAlign w:val="center"/>
            <w:hideMark/>
          </w:tcPr>
          <w:p w14:paraId="18F8B37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0.6514</w:t>
            </w:r>
          </w:p>
        </w:tc>
        <w:tc>
          <w:tcPr>
            <w:tcW w:w="571" w:type="pct"/>
            <w:tcBorders>
              <w:top w:val="single" w:sz="4" w:space="0" w:color="auto"/>
              <w:left w:val="single" w:sz="4" w:space="0" w:color="auto"/>
              <w:bottom w:val="nil"/>
              <w:right w:val="nil"/>
            </w:tcBorders>
            <w:shd w:val="clear" w:color="auto" w:fill="auto"/>
            <w:noWrap/>
            <w:vAlign w:val="center"/>
            <w:hideMark/>
          </w:tcPr>
          <w:p w14:paraId="1809E76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single" w:sz="4" w:space="0" w:color="auto"/>
              <w:left w:val="nil"/>
              <w:bottom w:val="nil"/>
              <w:right w:val="nil"/>
            </w:tcBorders>
            <w:shd w:val="clear" w:color="auto" w:fill="auto"/>
            <w:noWrap/>
            <w:vAlign w:val="center"/>
            <w:hideMark/>
          </w:tcPr>
          <w:p w14:paraId="4EFE0D1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0.2656</w:t>
            </w:r>
          </w:p>
        </w:tc>
      </w:tr>
      <w:tr w:rsidR="00C30160" w:rsidRPr="00CE0DE7" w14:paraId="25EA4C23" w14:textId="77777777" w:rsidTr="00C24E43">
        <w:trPr>
          <w:trHeight w:val="259"/>
        </w:trPr>
        <w:tc>
          <w:tcPr>
            <w:tcW w:w="552" w:type="pct"/>
            <w:vMerge/>
            <w:tcBorders>
              <w:top w:val="nil"/>
              <w:left w:val="nil"/>
              <w:bottom w:val="nil"/>
              <w:right w:val="single" w:sz="4" w:space="0" w:color="auto"/>
            </w:tcBorders>
            <w:vAlign w:val="center"/>
            <w:hideMark/>
          </w:tcPr>
          <w:p w14:paraId="4797FF5F"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2D2CC23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571" w:type="pct"/>
            <w:tcBorders>
              <w:top w:val="nil"/>
              <w:left w:val="single" w:sz="4" w:space="0" w:color="auto"/>
              <w:bottom w:val="nil"/>
              <w:right w:val="nil"/>
            </w:tcBorders>
            <w:shd w:val="clear" w:color="auto" w:fill="auto"/>
            <w:noWrap/>
            <w:vAlign w:val="center"/>
            <w:hideMark/>
          </w:tcPr>
          <w:p w14:paraId="2922CB1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2" w:type="pct"/>
            <w:tcBorders>
              <w:top w:val="nil"/>
              <w:left w:val="nil"/>
              <w:bottom w:val="nil"/>
              <w:right w:val="single" w:sz="4" w:space="0" w:color="auto"/>
            </w:tcBorders>
            <w:shd w:val="clear" w:color="auto" w:fill="auto"/>
            <w:noWrap/>
            <w:vAlign w:val="center"/>
            <w:hideMark/>
          </w:tcPr>
          <w:p w14:paraId="36D6CDE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0.8504</w:t>
            </w:r>
          </w:p>
        </w:tc>
        <w:tc>
          <w:tcPr>
            <w:tcW w:w="571" w:type="pct"/>
            <w:tcBorders>
              <w:top w:val="nil"/>
              <w:left w:val="single" w:sz="4" w:space="0" w:color="auto"/>
              <w:bottom w:val="nil"/>
              <w:right w:val="nil"/>
            </w:tcBorders>
            <w:shd w:val="clear" w:color="auto" w:fill="auto"/>
            <w:noWrap/>
            <w:vAlign w:val="center"/>
            <w:hideMark/>
          </w:tcPr>
          <w:p w14:paraId="69A71EB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2" w:type="pct"/>
            <w:tcBorders>
              <w:top w:val="nil"/>
              <w:left w:val="nil"/>
              <w:bottom w:val="nil"/>
              <w:right w:val="single" w:sz="4" w:space="0" w:color="auto"/>
            </w:tcBorders>
            <w:shd w:val="clear" w:color="auto" w:fill="auto"/>
            <w:noWrap/>
            <w:vAlign w:val="center"/>
            <w:hideMark/>
          </w:tcPr>
          <w:p w14:paraId="4B524AF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0.2956</w:t>
            </w:r>
          </w:p>
        </w:tc>
        <w:tc>
          <w:tcPr>
            <w:tcW w:w="571" w:type="pct"/>
            <w:tcBorders>
              <w:top w:val="nil"/>
              <w:left w:val="single" w:sz="4" w:space="0" w:color="auto"/>
              <w:bottom w:val="nil"/>
              <w:right w:val="nil"/>
            </w:tcBorders>
            <w:shd w:val="clear" w:color="auto" w:fill="auto"/>
            <w:noWrap/>
            <w:vAlign w:val="center"/>
            <w:hideMark/>
          </w:tcPr>
          <w:p w14:paraId="2F12C29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0.0001</w:t>
            </w:r>
          </w:p>
        </w:tc>
        <w:tc>
          <w:tcPr>
            <w:tcW w:w="571" w:type="pct"/>
            <w:tcBorders>
              <w:top w:val="nil"/>
              <w:left w:val="nil"/>
              <w:bottom w:val="nil"/>
              <w:right w:val="nil"/>
            </w:tcBorders>
            <w:shd w:val="clear" w:color="auto" w:fill="auto"/>
            <w:noWrap/>
            <w:vAlign w:val="center"/>
            <w:hideMark/>
          </w:tcPr>
          <w:p w14:paraId="7DBF108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0.2077</w:t>
            </w:r>
          </w:p>
        </w:tc>
      </w:tr>
      <w:tr w:rsidR="00C30160" w:rsidRPr="00CE0DE7" w14:paraId="7FEED3F0" w14:textId="77777777" w:rsidTr="00C24E43">
        <w:trPr>
          <w:trHeight w:val="259"/>
        </w:trPr>
        <w:tc>
          <w:tcPr>
            <w:tcW w:w="552" w:type="pct"/>
            <w:vMerge/>
            <w:tcBorders>
              <w:top w:val="nil"/>
              <w:left w:val="nil"/>
              <w:bottom w:val="nil"/>
              <w:right w:val="single" w:sz="4" w:space="0" w:color="auto"/>
            </w:tcBorders>
            <w:vAlign w:val="center"/>
            <w:hideMark/>
          </w:tcPr>
          <w:p w14:paraId="287791A4"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0E1AF98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571" w:type="pct"/>
            <w:tcBorders>
              <w:top w:val="nil"/>
              <w:left w:val="single" w:sz="4" w:space="0" w:color="auto"/>
              <w:bottom w:val="nil"/>
              <w:right w:val="nil"/>
            </w:tcBorders>
            <w:shd w:val="clear" w:color="auto" w:fill="auto"/>
            <w:noWrap/>
            <w:vAlign w:val="center"/>
            <w:hideMark/>
          </w:tcPr>
          <w:p w14:paraId="3BE3655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2" w:type="pct"/>
            <w:tcBorders>
              <w:top w:val="nil"/>
              <w:left w:val="nil"/>
              <w:bottom w:val="nil"/>
              <w:right w:val="single" w:sz="4" w:space="0" w:color="auto"/>
            </w:tcBorders>
            <w:shd w:val="clear" w:color="auto" w:fill="auto"/>
            <w:noWrap/>
            <w:vAlign w:val="center"/>
            <w:hideMark/>
          </w:tcPr>
          <w:p w14:paraId="1DB2B3E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0.1424</w:t>
            </w:r>
          </w:p>
        </w:tc>
        <w:tc>
          <w:tcPr>
            <w:tcW w:w="571" w:type="pct"/>
            <w:tcBorders>
              <w:top w:val="nil"/>
              <w:left w:val="single" w:sz="4" w:space="0" w:color="auto"/>
              <w:bottom w:val="nil"/>
              <w:right w:val="nil"/>
            </w:tcBorders>
            <w:shd w:val="clear" w:color="auto" w:fill="auto"/>
            <w:noWrap/>
            <w:vAlign w:val="center"/>
            <w:hideMark/>
          </w:tcPr>
          <w:p w14:paraId="6BABCEA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2" w:type="pct"/>
            <w:tcBorders>
              <w:top w:val="nil"/>
              <w:left w:val="nil"/>
              <w:bottom w:val="nil"/>
              <w:right w:val="single" w:sz="4" w:space="0" w:color="auto"/>
            </w:tcBorders>
            <w:shd w:val="clear" w:color="auto" w:fill="auto"/>
            <w:noWrap/>
            <w:vAlign w:val="center"/>
            <w:hideMark/>
          </w:tcPr>
          <w:p w14:paraId="39249A1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0.5407</w:t>
            </w:r>
          </w:p>
        </w:tc>
        <w:tc>
          <w:tcPr>
            <w:tcW w:w="571" w:type="pct"/>
            <w:tcBorders>
              <w:top w:val="nil"/>
              <w:left w:val="single" w:sz="4" w:space="0" w:color="auto"/>
              <w:bottom w:val="nil"/>
              <w:right w:val="nil"/>
            </w:tcBorders>
            <w:shd w:val="clear" w:color="auto" w:fill="auto"/>
            <w:noWrap/>
            <w:vAlign w:val="center"/>
            <w:hideMark/>
          </w:tcPr>
          <w:p w14:paraId="4C37422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0.0001</w:t>
            </w:r>
          </w:p>
        </w:tc>
        <w:tc>
          <w:tcPr>
            <w:tcW w:w="571" w:type="pct"/>
            <w:tcBorders>
              <w:top w:val="nil"/>
              <w:left w:val="nil"/>
              <w:bottom w:val="nil"/>
              <w:right w:val="nil"/>
            </w:tcBorders>
            <w:shd w:val="clear" w:color="auto" w:fill="auto"/>
            <w:noWrap/>
            <w:vAlign w:val="center"/>
            <w:hideMark/>
          </w:tcPr>
          <w:p w14:paraId="7EF108E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0.1296</w:t>
            </w:r>
          </w:p>
        </w:tc>
      </w:tr>
      <w:tr w:rsidR="00C30160" w:rsidRPr="00CE0DE7" w14:paraId="6AFD6A01" w14:textId="77777777" w:rsidTr="00C24E43">
        <w:trPr>
          <w:trHeight w:val="259"/>
        </w:trPr>
        <w:tc>
          <w:tcPr>
            <w:tcW w:w="552" w:type="pct"/>
            <w:vMerge/>
            <w:tcBorders>
              <w:top w:val="nil"/>
              <w:left w:val="nil"/>
              <w:bottom w:val="nil"/>
              <w:right w:val="single" w:sz="4" w:space="0" w:color="auto"/>
            </w:tcBorders>
            <w:vAlign w:val="center"/>
            <w:hideMark/>
          </w:tcPr>
          <w:p w14:paraId="0845988D"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70F9FE2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571" w:type="pct"/>
            <w:tcBorders>
              <w:top w:val="nil"/>
              <w:left w:val="single" w:sz="4" w:space="0" w:color="auto"/>
              <w:bottom w:val="nil"/>
              <w:right w:val="nil"/>
            </w:tcBorders>
            <w:shd w:val="clear" w:color="auto" w:fill="auto"/>
            <w:noWrap/>
            <w:vAlign w:val="center"/>
            <w:hideMark/>
          </w:tcPr>
          <w:p w14:paraId="419859C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2" w:type="pct"/>
            <w:tcBorders>
              <w:top w:val="nil"/>
              <w:left w:val="nil"/>
              <w:bottom w:val="nil"/>
              <w:right w:val="single" w:sz="4" w:space="0" w:color="auto"/>
            </w:tcBorders>
            <w:shd w:val="clear" w:color="auto" w:fill="auto"/>
            <w:noWrap/>
            <w:vAlign w:val="center"/>
            <w:hideMark/>
          </w:tcPr>
          <w:p w14:paraId="0CB96DA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0.1563</w:t>
            </w:r>
          </w:p>
        </w:tc>
        <w:tc>
          <w:tcPr>
            <w:tcW w:w="571" w:type="pct"/>
            <w:tcBorders>
              <w:top w:val="nil"/>
              <w:left w:val="single" w:sz="4" w:space="0" w:color="auto"/>
              <w:bottom w:val="nil"/>
              <w:right w:val="nil"/>
            </w:tcBorders>
            <w:shd w:val="clear" w:color="auto" w:fill="auto"/>
            <w:noWrap/>
            <w:vAlign w:val="center"/>
            <w:hideMark/>
          </w:tcPr>
          <w:p w14:paraId="40AF8BC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2" w:type="pct"/>
            <w:tcBorders>
              <w:top w:val="nil"/>
              <w:left w:val="nil"/>
              <w:bottom w:val="nil"/>
              <w:right w:val="single" w:sz="4" w:space="0" w:color="auto"/>
            </w:tcBorders>
            <w:shd w:val="clear" w:color="auto" w:fill="auto"/>
            <w:noWrap/>
            <w:vAlign w:val="center"/>
            <w:hideMark/>
          </w:tcPr>
          <w:p w14:paraId="29917C4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0.7945</w:t>
            </w:r>
          </w:p>
        </w:tc>
        <w:tc>
          <w:tcPr>
            <w:tcW w:w="571" w:type="pct"/>
            <w:tcBorders>
              <w:top w:val="nil"/>
              <w:left w:val="single" w:sz="4" w:space="0" w:color="auto"/>
              <w:bottom w:val="nil"/>
              <w:right w:val="nil"/>
            </w:tcBorders>
            <w:shd w:val="clear" w:color="auto" w:fill="auto"/>
            <w:noWrap/>
            <w:vAlign w:val="center"/>
            <w:hideMark/>
          </w:tcPr>
          <w:p w14:paraId="4D5876D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0.0001</w:t>
            </w:r>
          </w:p>
        </w:tc>
        <w:tc>
          <w:tcPr>
            <w:tcW w:w="571" w:type="pct"/>
            <w:tcBorders>
              <w:top w:val="nil"/>
              <w:left w:val="nil"/>
              <w:bottom w:val="nil"/>
              <w:right w:val="nil"/>
            </w:tcBorders>
            <w:shd w:val="clear" w:color="auto" w:fill="auto"/>
            <w:noWrap/>
            <w:vAlign w:val="center"/>
            <w:hideMark/>
          </w:tcPr>
          <w:p w14:paraId="55D517C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0.1300</w:t>
            </w:r>
          </w:p>
        </w:tc>
      </w:tr>
      <w:tr w:rsidR="00C30160" w:rsidRPr="00CE0DE7" w14:paraId="108C5CC0" w14:textId="77777777" w:rsidTr="00C24E43">
        <w:trPr>
          <w:trHeight w:val="259"/>
        </w:trPr>
        <w:tc>
          <w:tcPr>
            <w:tcW w:w="552" w:type="pct"/>
            <w:vMerge/>
            <w:tcBorders>
              <w:top w:val="nil"/>
              <w:left w:val="nil"/>
              <w:bottom w:val="single" w:sz="4" w:space="0" w:color="auto"/>
              <w:right w:val="single" w:sz="4" w:space="0" w:color="auto"/>
            </w:tcBorders>
            <w:vAlign w:val="center"/>
            <w:hideMark/>
          </w:tcPr>
          <w:p w14:paraId="16D8A439"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single" w:sz="4" w:space="0" w:color="auto"/>
              <w:right w:val="single" w:sz="4" w:space="0" w:color="auto"/>
            </w:tcBorders>
            <w:shd w:val="clear" w:color="auto" w:fill="auto"/>
            <w:noWrap/>
            <w:vAlign w:val="center"/>
            <w:hideMark/>
          </w:tcPr>
          <w:p w14:paraId="1020DBE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571" w:type="pct"/>
            <w:tcBorders>
              <w:top w:val="nil"/>
              <w:left w:val="single" w:sz="4" w:space="0" w:color="auto"/>
              <w:bottom w:val="single" w:sz="4" w:space="0" w:color="auto"/>
              <w:right w:val="nil"/>
            </w:tcBorders>
            <w:shd w:val="clear" w:color="auto" w:fill="auto"/>
            <w:noWrap/>
            <w:vAlign w:val="center"/>
            <w:hideMark/>
          </w:tcPr>
          <w:p w14:paraId="57A1D5E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2" w:type="pct"/>
            <w:tcBorders>
              <w:top w:val="nil"/>
              <w:left w:val="nil"/>
              <w:bottom w:val="single" w:sz="4" w:space="0" w:color="auto"/>
              <w:right w:val="single" w:sz="4" w:space="0" w:color="auto"/>
            </w:tcBorders>
            <w:shd w:val="clear" w:color="auto" w:fill="auto"/>
            <w:noWrap/>
            <w:vAlign w:val="center"/>
            <w:hideMark/>
          </w:tcPr>
          <w:p w14:paraId="76990C8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0.6079</w:t>
            </w:r>
          </w:p>
        </w:tc>
        <w:tc>
          <w:tcPr>
            <w:tcW w:w="571" w:type="pct"/>
            <w:tcBorders>
              <w:top w:val="nil"/>
              <w:left w:val="single" w:sz="4" w:space="0" w:color="auto"/>
              <w:bottom w:val="single" w:sz="4" w:space="0" w:color="auto"/>
              <w:right w:val="nil"/>
            </w:tcBorders>
            <w:shd w:val="clear" w:color="auto" w:fill="auto"/>
            <w:noWrap/>
            <w:vAlign w:val="center"/>
            <w:hideMark/>
          </w:tcPr>
          <w:p w14:paraId="6883C8E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2" w:type="pct"/>
            <w:tcBorders>
              <w:top w:val="nil"/>
              <w:left w:val="nil"/>
              <w:bottom w:val="single" w:sz="4" w:space="0" w:color="auto"/>
              <w:right w:val="single" w:sz="4" w:space="0" w:color="auto"/>
            </w:tcBorders>
            <w:shd w:val="clear" w:color="auto" w:fill="auto"/>
            <w:noWrap/>
            <w:vAlign w:val="center"/>
            <w:hideMark/>
          </w:tcPr>
          <w:p w14:paraId="22BE2E3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0.8517</w:t>
            </w:r>
          </w:p>
        </w:tc>
        <w:tc>
          <w:tcPr>
            <w:tcW w:w="571" w:type="pct"/>
            <w:tcBorders>
              <w:top w:val="nil"/>
              <w:left w:val="single" w:sz="4" w:space="0" w:color="auto"/>
              <w:bottom w:val="single" w:sz="4" w:space="0" w:color="auto"/>
              <w:right w:val="nil"/>
            </w:tcBorders>
            <w:shd w:val="clear" w:color="auto" w:fill="auto"/>
            <w:noWrap/>
            <w:vAlign w:val="center"/>
            <w:hideMark/>
          </w:tcPr>
          <w:p w14:paraId="74FEC81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0.0001</w:t>
            </w:r>
          </w:p>
        </w:tc>
        <w:tc>
          <w:tcPr>
            <w:tcW w:w="571" w:type="pct"/>
            <w:tcBorders>
              <w:top w:val="nil"/>
              <w:left w:val="nil"/>
              <w:bottom w:val="single" w:sz="4" w:space="0" w:color="auto"/>
              <w:right w:val="nil"/>
            </w:tcBorders>
            <w:shd w:val="clear" w:color="auto" w:fill="auto"/>
            <w:noWrap/>
            <w:vAlign w:val="center"/>
            <w:hideMark/>
          </w:tcPr>
          <w:p w14:paraId="6D4F26B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0.2405</w:t>
            </w:r>
          </w:p>
        </w:tc>
      </w:tr>
      <w:tr w:rsidR="00C30160" w:rsidRPr="00CE0DE7" w14:paraId="50E9F1C2" w14:textId="77777777" w:rsidTr="00C24E43">
        <w:trPr>
          <w:trHeight w:val="259"/>
        </w:trPr>
        <w:tc>
          <w:tcPr>
            <w:tcW w:w="552" w:type="pct"/>
            <w:vMerge w:val="restart"/>
            <w:tcBorders>
              <w:top w:val="single" w:sz="4" w:space="0" w:color="auto"/>
              <w:left w:val="nil"/>
              <w:bottom w:val="nil"/>
              <w:right w:val="single" w:sz="4" w:space="0" w:color="auto"/>
            </w:tcBorders>
            <w:shd w:val="clear" w:color="auto" w:fill="auto"/>
            <w:noWrap/>
            <w:vAlign w:val="center"/>
            <w:hideMark/>
          </w:tcPr>
          <w:p w14:paraId="73CEDC62"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SMB</w:t>
            </w:r>
          </w:p>
        </w:tc>
        <w:tc>
          <w:tcPr>
            <w:tcW w:w="1019" w:type="pct"/>
            <w:tcBorders>
              <w:top w:val="single" w:sz="4" w:space="0" w:color="auto"/>
              <w:left w:val="single" w:sz="4" w:space="0" w:color="auto"/>
              <w:bottom w:val="nil"/>
              <w:right w:val="single" w:sz="4" w:space="0" w:color="auto"/>
            </w:tcBorders>
            <w:shd w:val="clear" w:color="auto" w:fill="auto"/>
            <w:noWrap/>
            <w:vAlign w:val="center"/>
            <w:hideMark/>
          </w:tcPr>
          <w:p w14:paraId="61E9830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571" w:type="pct"/>
            <w:tcBorders>
              <w:top w:val="single" w:sz="4" w:space="0" w:color="auto"/>
              <w:left w:val="single" w:sz="4" w:space="0" w:color="auto"/>
              <w:bottom w:val="nil"/>
              <w:right w:val="nil"/>
            </w:tcBorders>
            <w:shd w:val="clear" w:color="auto" w:fill="auto"/>
            <w:noWrap/>
            <w:vAlign w:val="center"/>
            <w:hideMark/>
          </w:tcPr>
          <w:p w14:paraId="56538A5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0.6872</w:t>
            </w:r>
          </w:p>
        </w:tc>
        <w:tc>
          <w:tcPr>
            <w:tcW w:w="572" w:type="pct"/>
            <w:tcBorders>
              <w:top w:val="single" w:sz="4" w:space="0" w:color="auto"/>
              <w:left w:val="nil"/>
              <w:bottom w:val="nil"/>
              <w:right w:val="single" w:sz="4" w:space="0" w:color="auto"/>
            </w:tcBorders>
            <w:shd w:val="clear" w:color="auto" w:fill="auto"/>
            <w:noWrap/>
            <w:vAlign w:val="center"/>
            <w:hideMark/>
          </w:tcPr>
          <w:p w14:paraId="5DEE0DC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0.2295</w:t>
            </w:r>
          </w:p>
        </w:tc>
        <w:tc>
          <w:tcPr>
            <w:tcW w:w="571" w:type="pct"/>
            <w:tcBorders>
              <w:top w:val="single" w:sz="4" w:space="0" w:color="auto"/>
              <w:left w:val="single" w:sz="4" w:space="0" w:color="auto"/>
              <w:bottom w:val="nil"/>
              <w:right w:val="nil"/>
            </w:tcBorders>
            <w:shd w:val="clear" w:color="auto" w:fill="auto"/>
            <w:noWrap/>
            <w:vAlign w:val="center"/>
            <w:hideMark/>
          </w:tcPr>
          <w:p w14:paraId="1094838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0.0436</w:t>
            </w:r>
          </w:p>
        </w:tc>
        <w:tc>
          <w:tcPr>
            <w:tcW w:w="572" w:type="pct"/>
            <w:tcBorders>
              <w:top w:val="single" w:sz="4" w:space="0" w:color="auto"/>
              <w:left w:val="nil"/>
              <w:bottom w:val="nil"/>
              <w:right w:val="single" w:sz="4" w:space="0" w:color="auto"/>
            </w:tcBorders>
            <w:shd w:val="clear" w:color="auto" w:fill="auto"/>
            <w:noWrap/>
            <w:vAlign w:val="center"/>
            <w:hideMark/>
          </w:tcPr>
          <w:p w14:paraId="2C85ECB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0.0166</w:t>
            </w:r>
          </w:p>
        </w:tc>
        <w:tc>
          <w:tcPr>
            <w:tcW w:w="571" w:type="pct"/>
            <w:tcBorders>
              <w:top w:val="single" w:sz="4" w:space="0" w:color="auto"/>
              <w:left w:val="single" w:sz="4" w:space="0" w:color="auto"/>
              <w:bottom w:val="nil"/>
              <w:right w:val="nil"/>
            </w:tcBorders>
            <w:shd w:val="clear" w:color="auto" w:fill="auto"/>
            <w:noWrap/>
            <w:vAlign w:val="center"/>
            <w:hideMark/>
          </w:tcPr>
          <w:p w14:paraId="28D7F8A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0.0016</w:t>
            </w:r>
          </w:p>
        </w:tc>
        <w:tc>
          <w:tcPr>
            <w:tcW w:w="571" w:type="pct"/>
            <w:tcBorders>
              <w:top w:val="single" w:sz="4" w:space="0" w:color="auto"/>
              <w:left w:val="nil"/>
              <w:bottom w:val="nil"/>
              <w:right w:val="nil"/>
            </w:tcBorders>
            <w:shd w:val="clear" w:color="auto" w:fill="auto"/>
            <w:noWrap/>
            <w:vAlign w:val="center"/>
            <w:hideMark/>
          </w:tcPr>
          <w:p w14:paraId="006C2C3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0.8717</w:t>
            </w:r>
          </w:p>
        </w:tc>
      </w:tr>
      <w:tr w:rsidR="00C30160" w:rsidRPr="00CE0DE7" w14:paraId="4EB9E39D" w14:textId="77777777" w:rsidTr="00C24E43">
        <w:trPr>
          <w:trHeight w:val="259"/>
        </w:trPr>
        <w:tc>
          <w:tcPr>
            <w:tcW w:w="552" w:type="pct"/>
            <w:vMerge/>
            <w:tcBorders>
              <w:top w:val="nil"/>
              <w:left w:val="nil"/>
              <w:bottom w:val="nil"/>
              <w:right w:val="single" w:sz="4" w:space="0" w:color="auto"/>
            </w:tcBorders>
            <w:vAlign w:val="center"/>
            <w:hideMark/>
          </w:tcPr>
          <w:p w14:paraId="39EC71E6"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3EDA625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571" w:type="pct"/>
            <w:tcBorders>
              <w:top w:val="nil"/>
              <w:left w:val="single" w:sz="4" w:space="0" w:color="auto"/>
              <w:bottom w:val="nil"/>
              <w:right w:val="nil"/>
            </w:tcBorders>
            <w:shd w:val="clear" w:color="auto" w:fill="auto"/>
            <w:noWrap/>
            <w:vAlign w:val="center"/>
            <w:hideMark/>
          </w:tcPr>
          <w:p w14:paraId="5AFC738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0.9520</w:t>
            </w:r>
          </w:p>
        </w:tc>
        <w:tc>
          <w:tcPr>
            <w:tcW w:w="572" w:type="pct"/>
            <w:tcBorders>
              <w:top w:val="nil"/>
              <w:left w:val="nil"/>
              <w:bottom w:val="nil"/>
              <w:right w:val="single" w:sz="4" w:space="0" w:color="auto"/>
            </w:tcBorders>
            <w:shd w:val="clear" w:color="auto" w:fill="auto"/>
            <w:noWrap/>
            <w:vAlign w:val="center"/>
            <w:hideMark/>
          </w:tcPr>
          <w:p w14:paraId="21E8276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0.3340</w:t>
            </w:r>
          </w:p>
        </w:tc>
        <w:tc>
          <w:tcPr>
            <w:tcW w:w="571" w:type="pct"/>
            <w:tcBorders>
              <w:top w:val="nil"/>
              <w:left w:val="single" w:sz="4" w:space="0" w:color="auto"/>
              <w:bottom w:val="nil"/>
              <w:right w:val="nil"/>
            </w:tcBorders>
            <w:shd w:val="clear" w:color="auto" w:fill="auto"/>
            <w:noWrap/>
            <w:vAlign w:val="center"/>
            <w:hideMark/>
          </w:tcPr>
          <w:p w14:paraId="623B965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0.0847</w:t>
            </w:r>
          </w:p>
        </w:tc>
        <w:tc>
          <w:tcPr>
            <w:tcW w:w="572" w:type="pct"/>
            <w:tcBorders>
              <w:top w:val="nil"/>
              <w:left w:val="nil"/>
              <w:bottom w:val="nil"/>
              <w:right w:val="single" w:sz="4" w:space="0" w:color="auto"/>
            </w:tcBorders>
            <w:shd w:val="clear" w:color="auto" w:fill="auto"/>
            <w:noWrap/>
            <w:vAlign w:val="center"/>
            <w:hideMark/>
          </w:tcPr>
          <w:p w14:paraId="230298B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0.0493</w:t>
            </w:r>
          </w:p>
        </w:tc>
        <w:tc>
          <w:tcPr>
            <w:tcW w:w="571" w:type="pct"/>
            <w:tcBorders>
              <w:top w:val="nil"/>
              <w:left w:val="single" w:sz="4" w:space="0" w:color="auto"/>
              <w:bottom w:val="nil"/>
              <w:right w:val="nil"/>
            </w:tcBorders>
            <w:shd w:val="clear" w:color="auto" w:fill="auto"/>
            <w:noWrap/>
            <w:vAlign w:val="center"/>
            <w:hideMark/>
          </w:tcPr>
          <w:p w14:paraId="35A95E8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0.0041</w:t>
            </w:r>
          </w:p>
        </w:tc>
        <w:tc>
          <w:tcPr>
            <w:tcW w:w="571" w:type="pct"/>
            <w:tcBorders>
              <w:top w:val="nil"/>
              <w:left w:val="nil"/>
              <w:bottom w:val="nil"/>
              <w:right w:val="nil"/>
            </w:tcBorders>
            <w:shd w:val="clear" w:color="auto" w:fill="auto"/>
            <w:noWrap/>
            <w:vAlign w:val="center"/>
            <w:hideMark/>
          </w:tcPr>
          <w:p w14:paraId="3D9D184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0.9806</w:t>
            </w:r>
          </w:p>
        </w:tc>
      </w:tr>
      <w:tr w:rsidR="00C30160" w:rsidRPr="00CE0DE7" w14:paraId="6F805CAE" w14:textId="77777777" w:rsidTr="00C24E43">
        <w:trPr>
          <w:trHeight w:val="259"/>
        </w:trPr>
        <w:tc>
          <w:tcPr>
            <w:tcW w:w="552" w:type="pct"/>
            <w:vMerge/>
            <w:tcBorders>
              <w:top w:val="nil"/>
              <w:left w:val="nil"/>
              <w:bottom w:val="nil"/>
              <w:right w:val="single" w:sz="4" w:space="0" w:color="auto"/>
            </w:tcBorders>
            <w:vAlign w:val="center"/>
            <w:hideMark/>
          </w:tcPr>
          <w:p w14:paraId="4C5DED3A"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4A62B93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571" w:type="pct"/>
            <w:tcBorders>
              <w:top w:val="nil"/>
              <w:left w:val="single" w:sz="4" w:space="0" w:color="auto"/>
              <w:bottom w:val="nil"/>
              <w:right w:val="nil"/>
            </w:tcBorders>
            <w:shd w:val="clear" w:color="auto" w:fill="auto"/>
            <w:noWrap/>
            <w:vAlign w:val="center"/>
            <w:hideMark/>
          </w:tcPr>
          <w:p w14:paraId="48674E9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0.8066</w:t>
            </w:r>
          </w:p>
        </w:tc>
        <w:tc>
          <w:tcPr>
            <w:tcW w:w="572" w:type="pct"/>
            <w:tcBorders>
              <w:top w:val="nil"/>
              <w:left w:val="nil"/>
              <w:bottom w:val="nil"/>
              <w:right w:val="single" w:sz="4" w:space="0" w:color="auto"/>
            </w:tcBorders>
            <w:shd w:val="clear" w:color="auto" w:fill="auto"/>
            <w:noWrap/>
            <w:vAlign w:val="center"/>
            <w:hideMark/>
          </w:tcPr>
          <w:p w14:paraId="3E3EBCC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0.5056</w:t>
            </w:r>
          </w:p>
        </w:tc>
        <w:tc>
          <w:tcPr>
            <w:tcW w:w="571" w:type="pct"/>
            <w:tcBorders>
              <w:top w:val="nil"/>
              <w:left w:val="single" w:sz="4" w:space="0" w:color="auto"/>
              <w:bottom w:val="nil"/>
              <w:right w:val="nil"/>
            </w:tcBorders>
            <w:shd w:val="clear" w:color="auto" w:fill="auto"/>
            <w:noWrap/>
            <w:vAlign w:val="center"/>
            <w:hideMark/>
          </w:tcPr>
          <w:p w14:paraId="07DC70B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0.0800</w:t>
            </w:r>
          </w:p>
        </w:tc>
        <w:tc>
          <w:tcPr>
            <w:tcW w:w="572" w:type="pct"/>
            <w:tcBorders>
              <w:top w:val="nil"/>
              <w:left w:val="nil"/>
              <w:bottom w:val="nil"/>
              <w:right w:val="single" w:sz="4" w:space="0" w:color="auto"/>
            </w:tcBorders>
            <w:shd w:val="clear" w:color="auto" w:fill="auto"/>
            <w:noWrap/>
            <w:vAlign w:val="center"/>
            <w:hideMark/>
          </w:tcPr>
          <w:p w14:paraId="2EDDCBB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0.0406</w:t>
            </w:r>
          </w:p>
        </w:tc>
        <w:tc>
          <w:tcPr>
            <w:tcW w:w="571" w:type="pct"/>
            <w:tcBorders>
              <w:top w:val="nil"/>
              <w:left w:val="single" w:sz="4" w:space="0" w:color="auto"/>
              <w:bottom w:val="nil"/>
              <w:right w:val="nil"/>
            </w:tcBorders>
            <w:shd w:val="clear" w:color="auto" w:fill="auto"/>
            <w:noWrap/>
            <w:vAlign w:val="center"/>
            <w:hideMark/>
          </w:tcPr>
          <w:p w14:paraId="0DDD092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0.0035</w:t>
            </w:r>
          </w:p>
        </w:tc>
        <w:tc>
          <w:tcPr>
            <w:tcW w:w="571" w:type="pct"/>
            <w:tcBorders>
              <w:top w:val="nil"/>
              <w:left w:val="nil"/>
              <w:bottom w:val="nil"/>
              <w:right w:val="nil"/>
            </w:tcBorders>
            <w:shd w:val="clear" w:color="auto" w:fill="auto"/>
            <w:noWrap/>
            <w:vAlign w:val="center"/>
            <w:hideMark/>
          </w:tcPr>
          <w:p w14:paraId="73B485D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0.9337</w:t>
            </w:r>
          </w:p>
        </w:tc>
      </w:tr>
      <w:tr w:rsidR="00C30160" w:rsidRPr="00CE0DE7" w14:paraId="2FFA9833" w14:textId="77777777" w:rsidTr="00C24E43">
        <w:trPr>
          <w:trHeight w:val="259"/>
        </w:trPr>
        <w:tc>
          <w:tcPr>
            <w:tcW w:w="552" w:type="pct"/>
            <w:vMerge/>
            <w:tcBorders>
              <w:top w:val="nil"/>
              <w:left w:val="nil"/>
              <w:bottom w:val="nil"/>
              <w:right w:val="single" w:sz="4" w:space="0" w:color="auto"/>
            </w:tcBorders>
            <w:vAlign w:val="center"/>
            <w:hideMark/>
          </w:tcPr>
          <w:p w14:paraId="2A70608B"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34348C8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571" w:type="pct"/>
            <w:tcBorders>
              <w:top w:val="nil"/>
              <w:left w:val="single" w:sz="4" w:space="0" w:color="auto"/>
              <w:bottom w:val="nil"/>
              <w:right w:val="nil"/>
            </w:tcBorders>
            <w:shd w:val="clear" w:color="auto" w:fill="auto"/>
            <w:noWrap/>
            <w:vAlign w:val="center"/>
            <w:hideMark/>
          </w:tcPr>
          <w:p w14:paraId="5F004E0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0.6685</w:t>
            </w:r>
          </w:p>
        </w:tc>
        <w:tc>
          <w:tcPr>
            <w:tcW w:w="572" w:type="pct"/>
            <w:tcBorders>
              <w:top w:val="nil"/>
              <w:left w:val="nil"/>
              <w:bottom w:val="nil"/>
              <w:right w:val="single" w:sz="4" w:space="0" w:color="auto"/>
            </w:tcBorders>
            <w:shd w:val="clear" w:color="auto" w:fill="auto"/>
            <w:noWrap/>
            <w:vAlign w:val="center"/>
            <w:hideMark/>
          </w:tcPr>
          <w:p w14:paraId="29BDDF0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0.4041</w:t>
            </w:r>
          </w:p>
        </w:tc>
        <w:tc>
          <w:tcPr>
            <w:tcW w:w="571" w:type="pct"/>
            <w:tcBorders>
              <w:top w:val="nil"/>
              <w:left w:val="single" w:sz="4" w:space="0" w:color="auto"/>
              <w:bottom w:val="nil"/>
              <w:right w:val="nil"/>
            </w:tcBorders>
            <w:shd w:val="clear" w:color="auto" w:fill="auto"/>
            <w:noWrap/>
            <w:vAlign w:val="center"/>
            <w:hideMark/>
          </w:tcPr>
          <w:p w14:paraId="7421AE6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0.0707</w:t>
            </w:r>
          </w:p>
        </w:tc>
        <w:tc>
          <w:tcPr>
            <w:tcW w:w="572" w:type="pct"/>
            <w:tcBorders>
              <w:top w:val="nil"/>
              <w:left w:val="nil"/>
              <w:bottom w:val="nil"/>
              <w:right w:val="single" w:sz="4" w:space="0" w:color="auto"/>
            </w:tcBorders>
            <w:shd w:val="clear" w:color="auto" w:fill="auto"/>
            <w:noWrap/>
            <w:vAlign w:val="center"/>
            <w:hideMark/>
          </w:tcPr>
          <w:p w14:paraId="4B2CEC0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0.0334</w:t>
            </w:r>
          </w:p>
        </w:tc>
        <w:tc>
          <w:tcPr>
            <w:tcW w:w="571" w:type="pct"/>
            <w:tcBorders>
              <w:top w:val="nil"/>
              <w:left w:val="single" w:sz="4" w:space="0" w:color="auto"/>
              <w:bottom w:val="nil"/>
              <w:right w:val="nil"/>
            </w:tcBorders>
            <w:shd w:val="clear" w:color="auto" w:fill="auto"/>
            <w:noWrap/>
            <w:vAlign w:val="center"/>
            <w:hideMark/>
          </w:tcPr>
          <w:p w14:paraId="15689CF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0.0015</w:t>
            </w:r>
          </w:p>
        </w:tc>
        <w:tc>
          <w:tcPr>
            <w:tcW w:w="571" w:type="pct"/>
            <w:tcBorders>
              <w:top w:val="nil"/>
              <w:left w:val="nil"/>
              <w:bottom w:val="nil"/>
              <w:right w:val="nil"/>
            </w:tcBorders>
            <w:shd w:val="clear" w:color="auto" w:fill="auto"/>
            <w:noWrap/>
            <w:vAlign w:val="center"/>
            <w:hideMark/>
          </w:tcPr>
          <w:p w14:paraId="6959AAC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0.8932</w:t>
            </w:r>
          </w:p>
        </w:tc>
      </w:tr>
      <w:tr w:rsidR="00C30160" w:rsidRPr="00CE0DE7" w14:paraId="3F01105A" w14:textId="77777777" w:rsidTr="00C24E43">
        <w:trPr>
          <w:trHeight w:val="259"/>
        </w:trPr>
        <w:tc>
          <w:tcPr>
            <w:tcW w:w="552" w:type="pct"/>
            <w:vMerge/>
            <w:tcBorders>
              <w:top w:val="nil"/>
              <w:left w:val="nil"/>
              <w:bottom w:val="single" w:sz="4" w:space="0" w:color="auto"/>
              <w:right w:val="single" w:sz="4" w:space="0" w:color="auto"/>
            </w:tcBorders>
            <w:vAlign w:val="center"/>
            <w:hideMark/>
          </w:tcPr>
          <w:p w14:paraId="3BAD9D91"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single" w:sz="4" w:space="0" w:color="auto"/>
              <w:right w:val="single" w:sz="4" w:space="0" w:color="auto"/>
            </w:tcBorders>
            <w:shd w:val="clear" w:color="auto" w:fill="auto"/>
            <w:noWrap/>
            <w:vAlign w:val="center"/>
            <w:hideMark/>
          </w:tcPr>
          <w:p w14:paraId="0E8290A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571" w:type="pct"/>
            <w:tcBorders>
              <w:top w:val="nil"/>
              <w:left w:val="single" w:sz="4" w:space="0" w:color="auto"/>
              <w:bottom w:val="single" w:sz="4" w:space="0" w:color="auto"/>
              <w:right w:val="nil"/>
            </w:tcBorders>
            <w:shd w:val="clear" w:color="auto" w:fill="auto"/>
            <w:noWrap/>
            <w:vAlign w:val="center"/>
            <w:hideMark/>
          </w:tcPr>
          <w:p w14:paraId="41F338D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0.5871</w:t>
            </w:r>
          </w:p>
        </w:tc>
        <w:tc>
          <w:tcPr>
            <w:tcW w:w="572" w:type="pct"/>
            <w:tcBorders>
              <w:top w:val="nil"/>
              <w:left w:val="nil"/>
              <w:bottom w:val="single" w:sz="4" w:space="0" w:color="auto"/>
              <w:right w:val="single" w:sz="4" w:space="0" w:color="auto"/>
            </w:tcBorders>
            <w:shd w:val="clear" w:color="auto" w:fill="auto"/>
            <w:noWrap/>
            <w:vAlign w:val="center"/>
            <w:hideMark/>
          </w:tcPr>
          <w:p w14:paraId="2AD9885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0.3203</w:t>
            </w:r>
          </w:p>
        </w:tc>
        <w:tc>
          <w:tcPr>
            <w:tcW w:w="571" w:type="pct"/>
            <w:tcBorders>
              <w:top w:val="nil"/>
              <w:left w:val="single" w:sz="4" w:space="0" w:color="auto"/>
              <w:bottom w:val="single" w:sz="4" w:space="0" w:color="auto"/>
              <w:right w:val="nil"/>
            </w:tcBorders>
            <w:shd w:val="clear" w:color="auto" w:fill="auto"/>
            <w:noWrap/>
            <w:vAlign w:val="center"/>
            <w:hideMark/>
          </w:tcPr>
          <w:p w14:paraId="764F8C4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0.0566</w:t>
            </w:r>
          </w:p>
        </w:tc>
        <w:tc>
          <w:tcPr>
            <w:tcW w:w="572" w:type="pct"/>
            <w:tcBorders>
              <w:top w:val="nil"/>
              <w:left w:val="nil"/>
              <w:bottom w:val="single" w:sz="4" w:space="0" w:color="auto"/>
              <w:right w:val="single" w:sz="4" w:space="0" w:color="auto"/>
            </w:tcBorders>
            <w:shd w:val="clear" w:color="auto" w:fill="auto"/>
            <w:noWrap/>
            <w:vAlign w:val="center"/>
            <w:hideMark/>
          </w:tcPr>
          <w:p w14:paraId="64C64FF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0.0329</w:t>
            </w:r>
          </w:p>
        </w:tc>
        <w:tc>
          <w:tcPr>
            <w:tcW w:w="571" w:type="pct"/>
            <w:tcBorders>
              <w:top w:val="nil"/>
              <w:left w:val="single" w:sz="4" w:space="0" w:color="auto"/>
              <w:bottom w:val="single" w:sz="4" w:space="0" w:color="auto"/>
              <w:right w:val="nil"/>
            </w:tcBorders>
            <w:shd w:val="clear" w:color="auto" w:fill="auto"/>
            <w:noWrap/>
            <w:vAlign w:val="center"/>
            <w:hideMark/>
          </w:tcPr>
          <w:p w14:paraId="26F7C46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0.0034</w:t>
            </w:r>
          </w:p>
        </w:tc>
        <w:tc>
          <w:tcPr>
            <w:tcW w:w="571" w:type="pct"/>
            <w:tcBorders>
              <w:top w:val="nil"/>
              <w:left w:val="nil"/>
              <w:bottom w:val="single" w:sz="4" w:space="0" w:color="auto"/>
              <w:right w:val="nil"/>
            </w:tcBorders>
            <w:shd w:val="clear" w:color="auto" w:fill="auto"/>
            <w:noWrap/>
            <w:vAlign w:val="center"/>
            <w:hideMark/>
          </w:tcPr>
          <w:p w14:paraId="0A356F7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0.8549</w:t>
            </w:r>
          </w:p>
        </w:tc>
      </w:tr>
      <w:tr w:rsidR="00C30160" w:rsidRPr="00CE0DE7" w14:paraId="69CB51CA" w14:textId="77777777" w:rsidTr="00C24E43">
        <w:trPr>
          <w:trHeight w:val="259"/>
        </w:trPr>
        <w:tc>
          <w:tcPr>
            <w:tcW w:w="552" w:type="pct"/>
            <w:vMerge w:val="restart"/>
            <w:tcBorders>
              <w:top w:val="single" w:sz="4" w:space="0" w:color="auto"/>
              <w:left w:val="nil"/>
              <w:bottom w:val="nil"/>
              <w:right w:val="single" w:sz="4" w:space="0" w:color="auto"/>
            </w:tcBorders>
            <w:shd w:val="clear" w:color="auto" w:fill="auto"/>
            <w:noWrap/>
            <w:vAlign w:val="center"/>
            <w:hideMark/>
          </w:tcPr>
          <w:p w14:paraId="26DD1F6B"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HML</w:t>
            </w:r>
          </w:p>
        </w:tc>
        <w:tc>
          <w:tcPr>
            <w:tcW w:w="1019" w:type="pct"/>
            <w:tcBorders>
              <w:top w:val="single" w:sz="4" w:space="0" w:color="auto"/>
              <w:left w:val="single" w:sz="4" w:space="0" w:color="auto"/>
              <w:bottom w:val="nil"/>
              <w:right w:val="single" w:sz="4" w:space="0" w:color="auto"/>
            </w:tcBorders>
            <w:shd w:val="clear" w:color="auto" w:fill="auto"/>
            <w:noWrap/>
            <w:vAlign w:val="center"/>
            <w:hideMark/>
          </w:tcPr>
          <w:p w14:paraId="0C0B13B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571" w:type="pct"/>
            <w:tcBorders>
              <w:top w:val="single" w:sz="4" w:space="0" w:color="auto"/>
              <w:left w:val="single" w:sz="4" w:space="0" w:color="auto"/>
              <w:bottom w:val="nil"/>
              <w:right w:val="nil"/>
            </w:tcBorders>
            <w:shd w:val="clear" w:color="auto" w:fill="auto"/>
            <w:noWrap/>
            <w:vAlign w:val="center"/>
            <w:hideMark/>
          </w:tcPr>
          <w:p w14:paraId="2000A7D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0.0068</w:t>
            </w:r>
          </w:p>
        </w:tc>
        <w:tc>
          <w:tcPr>
            <w:tcW w:w="572" w:type="pct"/>
            <w:tcBorders>
              <w:top w:val="single" w:sz="4" w:space="0" w:color="auto"/>
              <w:left w:val="nil"/>
              <w:bottom w:val="nil"/>
              <w:right w:val="single" w:sz="4" w:space="0" w:color="auto"/>
            </w:tcBorders>
            <w:shd w:val="clear" w:color="auto" w:fill="auto"/>
            <w:noWrap/>
            <w:vAlign w:val="center"/>
            <w:hideMark/>
          </w:tcPr>
          <w:p w14:paraId="5433410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0.1080</w:t>
            </w:r>
          </w:p>
        </w:tc>
        <w:tc>
          <w:tcPr>
            <w:tcW w:w="571" w:type="pct"/>
            <w:tcBorders>
              <w:top w:val="single" w:sz="4" w:space="0" w:color="auto"/>
              <w:left w:val="single" w:sz="4" w:space="0" w:color="auto"/>
              <w:bottom w:val="nil"/>
              <w:right w:val="nil"/>
            </w:tcBorders>
            <w:shd w:val="clear" w:color="auto" w:fill="auto"/>
            <w:noWrap/>
            <w:vAlign w:val="center"/>
            <w:hideMark/>
          </w:tcPr>
          <w:p w14:paraId="4D51F77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0.0004</w:t>
            </w:r>
          </w:p>
        </w:tc>
        <w:tc>
          <w:tcPr>
            <w:tcW w:w="572" w:type="pct"/>
            <w:tcBorders>
              <w:top w:val="single" w:sz="4" w:space="0" w:color="auto"/>
              <w:left w:val="nil"/>
              <w:bottom w:val="nil"/>
              <w:right w:val="single" w:sz="4" w:space="0" w:color="auto"/>
            </w:tcBorders>
            <w:shd w:val="clear" w:color="auto" w:fill="auto"/>
            <w:noWrap/>
            <w:vAlign w:val="center"/>
            <w:hideMark/>
          </w:tcPr>
          <w:p w14:paraId="5C9069B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0.1844</w:t>
            </w:r>
          </w:p>
        </w:tc>
        <w:tc>
          <w:tcPr>
            <w:tcW w:w="571" w:type="pct"/>
            <w:tcBorders>
              <w:top w:val="single" w:sz="4" w:space="0" w:color="auto"/>
              <w:left w:val="single" w:sz="4" w:space="0" w:color="auto"/>
              <w:bottom w:val="nil"/>
              <w:right w:val="nil"/>
            </w:tcBorders>
            <w:shd w:val="clear" w:color="auto" w:fill="auto"/>
            <w:noWrap/>
            <w:vAlign w:val="center"/>
            <w:hideMark/>
          </w:tcPr>
          <w:p w14:paraId="2B34CCF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single" w:sz="4" w:space="0" w:color="auto"/>
              <w:left w:val="nil"/>
              <w:bottom w:val="nil"/>
              <w:right w:val="nil"/>
            </w:tcBorders>
            <w:shd w:val="clear" w:color="auto" w:fill="auto"/>
            <w:noWrap/>
            <w:vAlign w:val="center"/>
            <w:hideMark/>
          </w:tcPr>
          <w:p w14:paraId="23A771F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0.4468</w:t>
            </w:r>
          </w:p>
        </w:tc>
      </w:tr>
      <w:tr w:rsidR="00C30160" w:rsidRPr="00CE0DE7" w14:paraId="1A793EFA" w14:textId="77777777" w:rsidTr="00C24E43">
        <w:trPr>
          <w:trHeight w:val="259"/>
        </w:trPr>
        <w:tc>
          <w:tcPr>
            <w:tcW w:w="552" w:type="pct"/>
            <w:vMerge/>
            <w:tcBorders>
              <w:top w:val="nil"/>
              <w:left w:val="nil"/>
              <w:bottom w:val="nil"/>
              <w:right w:val="single" w:sz="4" w:space="0" w:color="auto"/>
            </w:tcBorders>
            <w:vAlign w:val="center"/>
            <w:hideMark/>
          </w:tcPr>
          <w:p w14:paraId="380D9C68"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7D361C7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571" w:type="pct"/>
            <w:tcBorders>
              <w:top w:val="nil"/>
              <w:left w:val="single" w:sz="4" w:space="0" w:color="auto"/>
              <w:bottom w:val="nil"/>
              <w:right w:val="nil"/>
            </w:tcBorders>
            <w:shd w:val="clear" w:color="auto" w:fill="auto"/>
            <w:noWrap/>
            <w:vAlign w:val="center"/>
            <w:hideMark/>
          </w:tcPr>
          <w:p w14:paraId="1FEE130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0.0034</w:t>
            </w:r>
          </w:p>
        </w:tc>
        <w:tc>
          <w:tcPr>
            <w:tcW w:w="572" w:type="pct"/>
            <w:tcBorders>
              <w:top w:val="nil"/>
              <w:left w:val="nil"/>
              <w:bottom w:val="nil"/>
              <w:right w:val="single" w:sz="4" w:space="0" w:color="auto"/>
            </w:tcBorders>
            <w:shd w:val="clear" w:color="auto" w:fill="auto"/>
            <w:noWrap/>
            <w:vAlign w:val="center"/>
            <w:hideMark/>
          </w:tcPr>
          <w:p w14:paraId="0B5C2C9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0.1183</w:t>
            </w:r>
          </w:p>
        </w:tc>
        <w:tc>
          <w:tcPr>
            <w:tcW w:w="571" w:type="pct"/>
            <w:tcBorders>
              <w:top w:val="nil"/>
              <w:left w:val="single" w:sz="4" w:space="0" w:color="auto"/>
              <w:bottom w:val="nil"/>
              <w:right w:val="nil"/>
            </w:tcBorders>
            <w:shd w:val="clear" w:color="auto" w:fill="auto"/>
            <w:noWrap/>
            <w:vAlign w:val="center"/>
            <w:hideMark/>
          </w:tcPr>
          <w:p w14:paraId="6A274FC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0.0012</w:t>
            </w:r>
          </w:p>
        </w:tc>
        <w:tc>
          <w:tcPr>
            <w:tcW w:w="572" w:type="pct"/>
            <w:tcBorders>
              <w:top w:val="nil"/>
              <w:left w:val="nil"/>
              <w:bottom w:val="nil"/>
              <w:right w:val="single" w:sz="4" w:space="0" w:color="auto"/>
            </w:tcBorders>
            <w:shd w:val="clear" w:color="auto" w:fill="auto"/>
            <w:noWrap/>
            <w:vAlign w:val="center"/>
            <w:hideMark/>
          </w:tcPr>
          <w:p w14:paraId="012D7F7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0.1456</w:t>
            </w:r>
          </w:p>
        </w:tc>
        <w:tc>
          <w:tcPr>
            <w:tcW w:w="571" w:type="pct"/>
            <w:tcBorders>
              <w:top w:val="nil"/>
              <w:left w:val="single" w:sz="4" w:space="0" w:color="auto"/>
              <w:bottom w:val="nil"/>
              <w:right w:val="nil"/>
            </w:tcBorders>
            <w:shd w:val="clear" w:color="auto" w:fill="auto"/>
            <w:noWrap/>
            <w:vAlign w:val="center"/>
            <w:hideMark/>
          </w:tcPr>
          <w:p w14:paraId="497F7B6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nil"/>
              <w:left w:val="nil"/>
              <w:bottom w:val="nil"/>
              <w:right w:val="nil"/>
            </w:tcBorders>
            <w:shd w:val="clear" w:color="auto" w:fill="auto"/>
            <w:noWrap/>
            <w:vAlign w:val="center"/>
            <w:hideMark/>
          </w:tcPr>
          <w:p w14:paraId="3AAD03D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0.5007</w:t>
            </w:r>
          </w:p>
        </w:tc>
      </w:tr>
      <w:tr w:rsidR="00C30160" w:rsidRPr="00CE0DE7" w14:paraId="24B65C6D" w14:textId="77777777" w:rsidTr="00C24E43">
        <w:trPr>
          <w:trHeight w:val="259"/>
        </w:trPr>
        <w:tc>
          <w:tcPr>
            <w:tcW w:w="552" w:type="pct"/>
            <w:vMerge/>
            <w:tcBorders>
              <w:top w:val="nil"/>
              <w:left w:val="nil"/>
              <w:bottom w:val="nil"/>
              <w:right w:val="single" w:sz="4" w:space="0" w:color="auto"/>
            </w:tcBorders>
            <w:vAlign w:val="center"/>
            <w:hideMark/>
          </w:tcPr>
          <w:p w14:paraId="3871B791"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7D9BF8B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571" w:type="pct"/>
            <w:tcBorders>
              <w:top w:val="nil"/>
              <w:left w:val="single" w:sz="4" w:space="0" w:color="auto"/>
              <w:bottom w:val="nil"/>
              <w:right w:val="nil"/>
            </w:tcBorders>
            <w:shd w:val="clear" w:color="auto" w:fill="auto"/>
            <w:noWrap/>
            <w:vAlign w:val="center"/>
            <w:hideMark/>
          </w:tcPr>
          <w:p w14:paraId="63A233F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0.0060</w:t>
            </w:r>
          </w:p>
        </w:tc>
        <w:tc>
          <w:tcPr>
            <w:tcW w:w="572" w:type="pct"/>
            <w:tcBorders>
              <w:top w:val="nil"/>
              <w:left w:val="nil"/>
              <w:bottom w:val="nil"/>
              <w:right w:val="single" w:sz="4" w:space="0" w:color="auto"/>
            </w:tcBorders>
            <w:shd w:val="clear" w:color="auto" w:fill="auto"/>
            <w:noWrap/>
            <w:vAlign w:val="center"/>
            <w:hideMark/>
          </w:tcPr>
          <w:p w14:paraId="60AF70E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0.1016</w:t>
            </w:r>
          </w:p>
        </w:tc>
        <w:tc>
          <w:tcPr>
            <w:tcW w:w="571" w:type="pct"/>
            <w:tcBorders>
              <w:top w:val="nil"/>
              <w:left w:val="single" w:sz="4" w:space="0" w:color="auto"/>
              <w:bottom w:val="nil"/>
              <w:right w:val="nil"/>
            </w:tcBorders>
            <w:shd w:val="clear" w:color="auto" w:fill="auto"/>
            <w:noWrap/>
            <w:vAlign w:val="center"/>
            <w:hideMark/>
          </w:tcPr>
          <w:p w14:paraId="458B2B4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0.0003</w:t>
            </w:r>
          </w:p>
        </w:tc>
        <w:tc>
          <w:tcPr>
            <w:tcW w:w="572" w:type="pct"/>
            <w:tcBorders>
              <w:top w:val="nil"/>
              <w:left w:val="nil"/>
              <w:bottom w:val="nil"/>
              <w:right w:val="single" w:sz="4" w:space="0" w:color="auto"/>
            </w:tcBorders>
            <w:shd w:val="clear" w:color="auto" w:fill="auto"/>
            <w:noWrap/>
            <w:vAlign w:val="center"/>
            <w:hideMark/>
          </w:tcPr>
          <w:p w14:paraId="0708291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0.1500</w:t>
            </w:r>
          </w:p>
        </w:tc>
        <w:tc>
          <w:tcPr>
            <w:tcW w:w="571" w:type="pct"/>
            <w:tcBorders>
              <w:top w:val="nil"/>
              <w:left w:val="single" w:sz="4" w:space="0" w:color="auto"/>
              <w:bottom w:val="nil"/>
              <w:right w:val="nil"/>
            </w:tcBorders>
            <w:shd w:val="clear" w:color="auto" w:fill="auto"/>
            <w:noWrap/>
            <w:vAlign w:val="center"/>
            <w:hideMark/>
          </w:tcPr>
          <w:p w14:paraId="5F1C6F0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nil"/>
              <w:left w:val="nil"/>
              <w:bottom w:val="nil"/>
              <w:right w:val="nil"/>
            </w:tcBorders>
            <w:shd w:val="clear" w:color="auto" w:fill="auto"/>
            <w:noWrap/>
            <w:vAlign w:val="center"/>
            <w:hideMark/>
          </w:tcPr>
          <w:p w14:paraId="60DD4BE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0.5493</w:t>
            </w:r>
          </w:p>
        </w:tc>
      </w:tr>
      <w:tr w:rsidR="00C30160" w:rsidRPr="00CE0DE7" w14:paraId="232AFCD0" w14:textId="77777777" w:rsidTr="00C24E43">
        <w:trPr>
          <w:trHeight w:val="259"/>
        </w:trPr>
        <w:tc>
          <w:tcPr>
            <w:tcW w:w="552" w:type="pct"/>
            <w:vMerge/>
            <w:tcBorders>
              <w:top w:val="nil"/>
              <w:left w:val="nil"/>
              <w:bottom w:val="nil"/>
              <w:right w:val="single" w:sz="4" w:space="0" w:color="auto"/>
            </w:tcBorders>
            <w:vAlign w:val="center"/>
            <w:hideMark/>
          </w:tcPr>
          <w:p w14:paraId="03048437"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5F50D17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571" w:type="pct"/>
            <w:tcBorders>
              <w:top w:val="nil"/>
              <w:left w:val="single" w:sz="4" w:space="0" w:color="auto"/>
              <w:bottom w:val="nil"/>
              <w:right w:val="nil"/>
            </w:tcBorders>
            <w:shd w:val="clear" w:color="auto" w:fill="auto"/>
            <w:noWrap/>
            <w:vAlign w:val="center"/>
            <w:hideMark/>
          </w:tcPr>
          <w:p w14:paraId="3A800DB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0.0011</w:t>
            </w:r>
          </w:p>
        </w:tc>
        <w:tc>
          <w:tcPr>
            <w:tcW w:w="572" w:type="pct"/>
            <w:tcBorders>
              <w:top w:val="nil"/>
              <w:left w:val="nil"/>
              <w:bottom w:val="nil"/>
              <w:right w:val="single" w:sz="4" w:space="0" w:color="auto"/>
            </w:tcBorders>
            <w:shd w:val="clear" w:color="auto" w:fill="auto"/>
            <w:noWrap/>
            <w:vAlign w:val="center"/>
            <w:hideMark/>
          </w:tcPr>
          <w:p w14:paraId="5D9ABCE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0.2190</w:t>
            </w:r>
          </w:p>
        </w:tc>
        <w:tc>
          <w:tcPr>
            <w:tcW w:w="571" w:type="pct"/>
            <w:tcBorders>
              <w:top w:val="nil"/>
              <w:left w:val="single" w:sz="4" w:space="0" w:color="auto"/>
              <w:bottom w:val="nil"/>
              <w:right w:val="nil"/>
            </w:tcBorders>
            <w:shd w:val="clear" w:color="auto" w:fill="auto"/>
            <w:noWrap/>
            <w:vAlign w:val="center"/>
            <w:hideMark/>
          </w:tcPr>
          <w:p w14:paraId="144EF10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0.0002</w:t>
            </w:r>
          </w:p>
        </w:tc>
        <w:tc>
          <w:tcPr>
            <w:tcW w:w="572" w:type="pct"/>
            <w:tcBorders>
              <w:top w:val="nil"/>
              <w:left w:val="nil"/>
              <w:bottom w:val="nil"/>
              <w:right w:val="single" w:sz="4" w:space="0" w:color="auto"/>
            </w:tcBorders>
            <w:shd w:val="clear" w:color="auto" w:fill="auto"/>
            <w:noWrap/>
            <w:vAlign w:val="center"/>
            <w:hideMark/>
          </w:tcPr>
          <w:p w14:paraId="3382132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0.1203</w:t>
            </w:r>
          </w:p>
        </w:tc>
        <w:tc>
          <w:tcPr>
            <w:tcW w:w="571" w:type="pct"/>
            <w:tcBorders>
              <w:top w:val="nil"/>
              <w:left w:val="single" w:sz="4" w:space="0" w:color="auto"/>
              <w:bottom w:val="nil"/>
              <w:right w:val="nil"/>
            </w:tcBorders>
            <w:shd w:val="clear" w:color="auto" w:fill="auto"/>
            <w:noWrap/>
            <w:vAlign w:val="center"/>
            <w:hideMark/>
          </w:tcPr>
          <w:p w14:paraId="2024B48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nil"/>
              <w:left w:val="nil"/>
              <w:bottom w:val="nil"/>
              <w:right w:val="nil"/>
            </w:tcBorders>
            <w:shd w:val="clear" w:color="auto" w:fill="auto"/>
            <w:noWrap/>
            <w:vAlign w:val="center"/>
            <w:hideMark/>
          </w:tcPr>
          <w:p w14:paraId="3B2F5DB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0.6486</w:t>
            </w:r>
          </w:p>
        </w:tc>
      </w:tr>
      <w:tr w:rsidR="00C30160" w:rsidRPr="00CE0DE7" w14:paraId="16BE0A13" w14:textId="77777777" w:rsidTr="00C24E43">
        <w:trPr>
          <w:trHeight w:val="259"/>
        </w:trPr>
        <w:tc>
          <w:tcPr>
            <w:tcW w:w="552" w:type="pct"/>
            <w:vMerge/>
            <w:tcBorders>
              <w:top w:val="nil"/>
              <w:left w:val="nil"/>
              <w:bottom w:val="single" w:sz="4" w:space="0" w:color="auto"/>
              <w:right w:val="single" w:sz="4" w:space="0" w:color="auto"/>
            </w:tcBorders>
            <w:vAlign w:val="center"/>
            <w:hideMark/>
          </w:tcPr>
          <w:p w14:paraId="43318E68"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single" w:sz="4" w:space="0" w:color="auto"/>
              <w:right w:val="single" w:sz="4" w:space="0" w:color="auto"/>
            </w:tcBorders>
            <w:shd w:val="clear" w:color="auto" w:fill="auto"/>
            <w:noWrap/>
            <w:vAlign w:val="center"/>
            <w:hideMark/>
          </w:tcPr>
          <w:p w14:paraId="5F30F34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571" w:type="pct"/>
            <w:tcBorders>
              <w:top w:val="nil"/>
              <w:left w:val="single" w:sz="4" w:space="0" w:color="auto"/>
              <w:bottom w:val="single" w:sz="4" w:space="0" w:color="auto"/>
              <w:right w:val="nil"/>
            </w:tcBorders>
            <w:shd w:val="clear" w:color="auto" w:fill="auto"/>
            <w:noWrap/>
            <w:vAlign w:val="center"/>
            <w:hideMark/>
          </w:tcPr>
          <w:p w14:paraId="73F1361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0.0011</w:t>
            </w:r>
          </w:p>
        </w:tc>
        <w:tc>
          <w:tcPr>
            <w:tcW w:w="572" w:type="pct"/>
            <w:tcBorders>
              <w:top w:val="nil"/>
              <w:left w:val="nil"/>
              <w:bottom w:val="single" w:sz="4" w:space="0" w:color="auto"/>
              <w:right w:val="single" w:sz="4" w:space="0" w:color="auto"/>
            </w:tcBorders>
            <w:shd w:val="clear" w:color="auto" w:fill="auto"/>
            <w:noWrap/>
            <w:vAlign w:val="center"/>
            <w:hideMark/>
          </w:tcPr>
          <w:p w14:paraId="07B6028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0.2966</w:t>
            </w:r>
          </w:p>
        </w:tc>
        <w:tc>
          <w:tcPr>
            <w:tcW w:w="571" w:type="pct"/>
            <w:tcBorders>
              <w:top w:val="nil"/>
              <w:left w:val="single" w:sz="4" w:space="0" w:color="auto"/>
              <w:bottom w:val="single" w:sz="4" w:space="0" w:color="auto"/>
              <w:right w:val="nil"/>
            </w:tcBorders>
            <w:shd w:val="clear" w:color="auto" w:fill="auto"/>
            <w:noWrap/>
            <w:vAlign w:val="center"/>
            <w:hideMark/>
          </w:tcPr>
          <w:p w14:paraId="6C8ACE0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0.0006</w:t>
            </w:r>
          </w:p>
        </w:tc>
        <w:tc>
          <w:tcPr>
            <w:tcW w:w="572" w:type="pct"/>
            <w:tcBorders>
              <w:top w:val="nil"/>
              <w:left w:val="nil"/>
              <w:bottom w:val="single" w:sz="4" w:space="0" w:color="auto"/>
              <w:right w:val="single" w:sz="4" w:space="0" w:color="auto"/>
            </w:tcBorders>
            <w:shd w:val="clear" w:color="auto" w:fill="auto"/>
            <w:noWrap/>
            <w:vAlign w:val="center"/>
            <w:hideMark/>
          </w:tcPr>
          <w:p w14:paraId="240EC11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0.1708</w:t>
            </w:r>
          </w:p>
        </w:tc>
        <w:tc>
          <w:tcPr>
            <w:tcW w:w="571" w:type="pct"/>
            <w:tcBorders>
              <w:top w:val="nil"/>
              <w:left w:val="single" w:sz="4" w:space="0" w:color="auto"/>
              <w:bottom w:val="single" w:sz="4" w:space="0" w:color="auto"/>
              <w:right w:val="nil"/>
            </w:tcBorders>
            <w:shd w:val="clear" w:color="auto" w:fill="auto"/>
            <w:noWrap/>
            <w:vAlign w:val="center"/>
            <w:hideMark/>
          </w:tcPr>
          <w:p w14:paraId="6512E54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571" w:type="pct"/>
            <w:tcBorders>
              <w:top w:val="nil"/>
              <w:left w:val="nil"/>
              <w:bottom w:val="single" w:sz="4" w:space="0" w:color="auto"/>
              <w:right w:val="nil"/>
            </w:tcBorders>
            <w:shd w:val="clear" w:color="auto" w:fill="auto"/>
            <w:noWrap/>
            <w:vAlign w:val="center"/>
            <w:hideMark/>
          </w:tcPr>
          <w:p w14:paraId="20F29EA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0.5661</w:t>
            </w:r>
          </w:p>
        </w:tc>
      </w:tr>
      <w:tr w:rsidR="00C30160" w:rsidRPr="00CE0DE7" w14:paraId="23087A58" w14:textId="77777777" w:rsidTr="00C24E43">
        <w:trPr>
          <w:trHeight w:val="259"/>
        </w:trPr>
        <w:tc>
          <w:tcPr>
            <w:tcW w:w="552" w:type="pct"/>
            <w:vMerge w:val="restart"/>
            <w:tcBorders>
              <w:top w:val="single" w:sz="4" w:space="0" w:color="auto"/>
              <w:left w:val="nil"/>
              <w:bottom w:val="nil"/>
              <w:right w:val="single" w:sz="4" w:space="0" w:color="auto"/>
            </w:tcBorders>
            <w:shd w:val="clear" w:color="auto" w:fill="auto"/>
            <w:noWrap/>
            <w:vAlign w:val="center"/>
            <w:hideMark/>
          </w:tcPr>
          <w:p w14:paraId="1395295C"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MOM</w:t>
            </w:r>
          </w:p>
        </w:tc>
        <w:tc>
          <w:tcPr>
            <w:tcW w:w="1019" w:type="pct"/>
            <w:tcBorders>
              <w:top w:val="single" w:sz="4" w:space="0" w:color="auto"/>
              <w:left w:val="single" w:sz="4" w:space="0" w:color="auto"/>
              <w:bottom w:val="nil"/>
              <w:right w:val="single" w:sz="4" w:space="0" w:color="auto"/>
            </w:tcBorders>
            <w:shd w:val="clear" w:color="auto" w:fill="auto"/>
            <w:noWrap/>
            <w:vAlign w:val="center"/>
            <w:hideMark/>
          </w:tcPr>
          <w:p w14:paraId="5C60799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571" w:type="pct"/>
            <w:tcBorders>
              <w:top w:val="single" w:sz="4" w:space="0" w:color="auto"/>
              <w:left w:val="single" w:sz="4" w:space="0" w:color="auto"/>
              <w:bottom w:val="nil"/>
              <w:right w:val="nil"/>
            </w:tcBorders>
            <w:shd w:val="clear" w:color="auto" w:fill="auto"/>
            <w:noWrap/>
            <w:vAlign w:val="center"/>
            <w:hideMark/>
          </w:tcPr>
          <w:p w14:paraId="7C24DD5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0.0026</w:t>
            </w:r>
          </w:p>
        </w:tc>
        <w:tc>
          <w:tcPr>
            <w:tcW w:w="572" w:type="pct"/>
            <w:tcBorders>
              <w:top w:val="single" w:sz="4" w:space="0" w:color="auto"/>
              <w:left w:val="nil"/>
              <w:bottom w:val="nil"/>
              <w:right w:val="single" w:sz="4" w:space="0" w:color="auto"/>
            </w:tcBorders>
            <w:shd w:val="clear" w:color="auto" w:fill="auto"/>
            <w:noWrap/>
            <w:vAlign w:val="center"/>
            <w:hideMark/>
          </w:tcPr>
          <w:p w14:paraId="2D4CEDE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0.2842</w:t>
            </w:r>
          </w:p>
        </w:tc>
        <w:tc>
          <w:tcPr>
            <w:tcW w:w="571" w:type="pct"/>
            <w:tcBorders>
              <w:top w:val="single" w:sz="4" w:space="0" w:color="auto"/>
              <w:left w:val="single" w:sz="4" w:space="0" w:color="auto"/>
              <w:bottom w:val="nil"/>
              <w:right w:val="nil"/>
            </w:tcBorders>
            <w:shd w:val="clear" w:color="auto" w:fill="auto"/>
            <w:noWrap/>
            <w:vAlign w:val="center"/>
            <w:hideMark/>
          </w:tcPr>
          <w:p w14:paraId="7B4FD53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0.0032</w:t>
            </w:r>
          </w:p>
        </w:tc>
        <w:tc>
          <w:tcPr>
            <w:tcW w:w="572" w:type="pct"/>
            <w:tcBorders>
              <w:top w:val="single" w:sz="4" w:space="0" w:color="auto"/>
              <w:left w:val="nil"/>
              <w:bottom w:val="nil"/>
              <w:right w:val="single" w:sz="4" w:space="0" w:color="auto"/>
            </w:tcBorders>
            <w:shd w:val="clear" w:color="auto" w:fill="auto"/>
            <w:noWrap/>
            <w:vAlign w:val="center"/>
            <w:hideMark/>
          </w:tcPr>
          <w:p w14:paraId="40B47DF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0.3954</w:t>
            </w:r>
          </w:p>
        </w:tc>
        <w:tc>
          <w:tcPr>
            <w:tcW w:w="571" w:type="pct"/>
            <w:tcBorders>
              <w:top w:val="single" w:sz="4" w:space="0" w:color="auto"/>
              <w:left w:val="single" w:sz="4" w:space="0" w:color="auto"/>
              <w:bottom w:val="nil"/>
              <w:right w:val="nil"/>
            </w:tcBorders>
            <w:shd w:val="clear" w:color="auto" w:fill="auto"/>
            <w:noWrap/>
            <w:vAlign w:val="center"/>
            <w:hideMark/>
          </w:tcPr>
          <w:p w14:paraId="67507F4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0.0035</w:t>
            </w:r>
          </w:p>
        </w:tc>
        <w:tc>
          <w:tcPr>
            <w:tcW w:w="571" w:type="pct"/>
            <w:tcBorders>
              <w:top w:val="single" w:sz="4" w:space="0" w:color="auto"/>
              <w:left w:val="nil"/>
              <w:bottom w:val="nil"/>
              <w:right w:val="nil"/>
            </w:tcBorders>
            <w:shd w:val="clear" w:color="auto" w:fill="auto"/>
            <w:noWrap/>
            <w:vAlign w:val="center"/>
            <w:hideMark/>
          </w:tcPr>
          <w:p w14:paraId="162EF8B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0.5174</w:t>
            </w:r>
          </w:p>
        </w:tc>
      </w:tr>
      <w:tr w:rsidR="00C30160" w:rsidRPr="00CE0DE7" w14:paraId="37F8A3E3" w14:textId="77777777" w:rsidTr="00C24E43">
        <w:trPr>
          <w:trHeight w:val="259"/>
        </w:trPr>
        <w:tc>
          <w:tcPr>
            <w:tcW w:w="552" w:type="pct"/>
            <w:vMerge/>
            <w:tcBorders>
              <w:top w:val="nil"/>
              <w:left w:val="nil"/>
              <w:bottom w:val="nil"/>
              <w:right w:val="single" w:sz="4" w:space="0" w:color="auto"/>
            </w:tcBorders>
            <w:vAlign w:val="center"/>
            <w:hideMark/>
          </w:tcPr>
          <w:p w14:paraId="174A5119"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1915D85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571" w:type="pct"/>
            <w:tcBorders>
              <w:top w:val="nil"/>
              <w:left w:val="single" w:sz="4" w:space="0" w:color="auto"/>
              <w:bottom w:val="nil"/>
              <w:right w:val="nil"/>
            </w:tcBorders>
            <w:shd w:val="clear" w:color="auto" w:fill="auto"/>
            <w:noWrap/>
            <w:vAlign w:val="center"/>
            <w:hideMark/>
          </w:tcPr>
          <w:p w14:paraId="761A4F0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0.0014</w:t>
            </w:r>
          </w:p>
        </w:tc>
        <w:tc>
          <w:tcPr>
            <w:tcW w:w="572" w:type="pct"/>
            <w:tcBorders>
              <w:top w:val="nil"/>
              <w:left w:val="nil"/>
              <w:bottom w:val="nil"/>
              <w:right w:val="single" w:sz="4" w:space="0" w:color="auto"/>
            </w:tcBorders>
            <w:shd w:val="clear" w:color="auto" w:fill="auto"/>
            <w:noWrap/>
            <w:vAlign w:val="center"/>
            <w:hideMark/>
          </w:tcPr>
          <w:p w14:paraId="6A56F1A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0.3787</w:t>
            </w:r>
          </w:p>
        </w:tc>
        <w:tc>
          <w:tcPr>
            <w:tcW w:w="571" w:type="pct"/>
            <w:tcBorders>
              <w:top w:val="nil"/>
              <w:left w:val="single" w:sz="4" w:space="0" w:color="auto"/>
              <w:bottom w:val="nil"/>
              <w:right w:val="nil"/>
            </w:tcBorders>
            <w:shd w:val="clear" w:color="auto" w:fill="auto"/>
            <w:noWrap/>
            <w:vAlign w:val="center"/>
            <w:hideMark/>
          </w:tcPr>
          <w:p w14:paraId="24813E0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0.0024</w:t>
            </w:r>
          </w:p>
        </w:tc>
        <w:tc>
          <w:tcPr>
            <w:tcW w:w="572" w:type="pct"/>
            <w:tcBorders>
              <w:top w:val="nil"/>
              <w:left w:val="nil"/>
              <w:bottom w:val="nil"/>
              <w:right w:val="single" w:sz="4" w:space="0" w:color="auto"/>
            </w:tcBorders>
            <w:shd w:val="clear" w:color="auto" w:fill="auto"/>
            <w:noWrap/>
            <w:vAlign w:val="center"/>
            <w:hideMark/>
          </w:tcPr>
          <w:p w14:paraId="0D3477E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0.1507</w:t>
            </w:r>
          </w:p>
        </w:tc>
        <w:tc>
          <w:tcPr>
            <w:tcW w:w="571" w:type="pct"/>
            <w:tcBorders>
              <w:top w:val="nil"/>
              <w:left w:val="single" w:sz="4" w:space="0" w:color="auto"/>
              <w:bottom w:val="nil"/>
              <w:right w:val="nil"/>
            </w:tcBorders>
            <w:shd w:val="clear" w:color="auto" w:fill="auto"/>
            <w:noWrap/>
            <w:vAlign w:val="center"/>
            <w:hideMark/>
          </w:tcPr>
          <w:p w14:paraId="30E8434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0.0133</w:t>
            </w:r>
          </w:p>
        </w:tc>
        <w:tc>
          <w:tcPr>
            <w:tcW w:w="571" w:type="pct"/>
            <w:tcBorders>
              <w:top w:val="nil"/>
              <w:left w:val="nil"/>
              <w:bottom w:val="nil"/>
              <w:right w:val="nil"/>
            </w:tcBorders>
            <w:shd w:val="clear" w:color="auto" w:fill="auto"/>
            <w:noWrap/>
            <w:vAlign w:val="center"/>
            <w:hideMark/>
          </w:tcPr>
          <w:p w14:paraId="59694E9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0.8063</w:t>
            </w:r>
          </w:p>
        </w:tc>
      </w:tr>
      <w:tr w:rsidR="00C30160" w:rsidRPr="00CE0DE7" w14:paraId="20DD1EAA" w14:textId="77777777" w:rsidTr="00C24E43">
        <w:trPr>
          <w:trHeight w:val="259"/>
        </w:trPr>
        <w:tc>
          <w:tcPr>
            <w:tcW w:w="552" w:type="pct"/>
            <w:vMerge/>
            <w:tcBorders>
              <w:top w:val="nil"/>
              <w:left w:val="nil"/>
              <w:bottom w:val="nil"/>
              <w:right w:val="single" w:sz="4" w:space="0" w:color="auto"/>
            </w:tcBorders>
            <w:vAlign w:val="center"/>
            <w:hideMark/>
          </w:tcPr>
          <w:p w14:paraId="58B41BAC"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1096780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571" w:type="pct"/>
            <w:tcBorders>
              <w:top w:val="nil"/>
              <w:left w:val="single" w:sz="4" w:space="0" w:color="auto"/>
              <w:bottom w:val="nil"/>
              <w:right w:val="nil"/>
            </w:tcBorders>
            <w:shd w:val="clear" w:color="auto" w:fill="auto"/>
            <w:noWrap/>
            <w:vAlign w:val="center"/>
            <w:hideMark/>
          </w:tcPr>
          <w:p w14:paraId="778705D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0.0002</w:t>
            </w:r>
          </w:p>
        </w:tc>
        <w:tc>
          <w:tcPr>
            <w:tcW w:w="572" w:type="pct"/>
            <w:tcBorders>
              <w:top w:val="nil"/>
              <w:left w:val="nil"/>
              <w:bottom w:val="nil"/>
              <w:right w:val="single" w:sz="4" w:space="0" w:color="auto"/>
            </w:tcBorders>
            <w:shd w:val="clear" w:color="auto" w:fill="auto"/>
            <w:noWrap/>
            <w:vAlign w:val="center"/>
            <w:hideMark/>
          </w:tcPr>
          <w:p w14:paraId="11F7375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0.3718</w:t>
            </w:r>
          </w:p>
        </w:tc>
        <w:tc>
          <w:tcPr>
            <w:tcW w:w="571" w:type="pct"/>
            <w:tcBorders>
              <w:top w:val="nil"/>
              <w:left w:val="single" w:sz="4" w:space="0" w:color="auto"/>
              <w:bottom w:val="nil"/>
              <w:right w:val="nil"/>
            </w:tcBorders>
            <w:shd w:val="clear" w:color="auto" w:fill="auto"/>
            <w:noWrap/>
            <w:vAlign w:val="center"/>
            <w:hideMark/>
          </w:tcPr>
          <w:p w14:paraId="541397D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0.0009</w:t>
            </w:r>
          </w:p>
        </w:tc>
        <w:tc>
          <w:tcPr>
            <w:tcW w:w="572" w:type="pct"/>
            <w:tcBorders>
              <w:top w:val="nil"/>
              <w:left w:val="nil"/>
              <w:bottom w:val="nil"/>
              <w:right w:val="single" w:sz="4" w:space="0" w:color="auto"/>
            </w:tcBorders>
            <w:shd w:val="clear" w:color="auto" w:fill="auto"/>
            <w:noWrap/>
            <w:vAlign w:val="center"/>
            <w:hideMark/>
          </w:tcPr>
          <w:p w14:paraId="0EB40D2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0.2188</w:t>
            </w:r>
          </w:p>
        </w:tc>
        <w:tc>
          <w:tcPr>
            <w:tcW w:w="571" w:type="pct"/>
            <w:tcBorders>
              <w:top w:val="nil"/>
              <w:left w:val="single" w:sz="4" w:space="0" w:color="auto"/>
              <w:bottom w:val="nil"/>
              <w:right w:val="nil"/>
            </w:tcBorders>
            <w:shd w:val="clear" w:color="auto" w:fill="auto"/>
            <w:noWrap/>
            <w:vAlign w:val="center"/>
            <w:hideMark/>
          </w:tcPr>
          <w:p w14:paraId="2C68B3E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0.0042</w:t>
            </w:r>
          </w:p>
        </w:tc>
        <w:tc>
          <w:tcPr>
            <w:tcW w:w="571" w:type="pct"/>
            <w:tcBorders>
              <w:top w:val="nil"/>
              <w:left w:val="nil"/>
              <w:bottom w:val="nil"/>
              <w:right w:val="nil"/>
            </w:tcBorders>
            <w:shd w:val="clear" w:color="auto" w:fill="auto"/>
            <w:noWrap/>
            <w:vAlign w:val="center"/>
            <w:hideMark/>
          </w:tcPr>
          <w:p w14:paraId="47C9B97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0.7986</w:t>
            </w:r>
          </w:p>
        </w:tc>
      </w:tr>
      <w:tr w:rsidR="00C30160" w:rsidRPr="00CE0DE7" w14:paraId="4DB5D49B" w14:textId="77777777" w:rsidTr="00C24E43">
        <w:trPr>
          <w:trHeight w:val="259"/>
        </w:trPr>
        <w:tc>
          <w:tcPr>
            <w:tcW w:w="552" w:type="pct"/>
            <w:vMerge/>
            <w:tcBorders>
              <w:top w:val="nil"/>
              <w:left w:val="nil"/>
              <w:bottom w:val="nil"/>
              <w:right w:val="single" w:sz="4" w:space="0" w:color="auto"/>
            </w:tcBorders>
            <w:vAlign w:val="center"/>
            <w:hideMark/>
          </w:tcPr>
          <w:p w14:paraId="5DEE3314"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nil"/>
              <w:right w:val="single" w:sz="4" w:space="0" w:color="auto"/>
            </w:tcBorders>
            <w:shd w:val="clear" w:color="auto" w:fill="auto"/>
            <w:noWrap/>
            <w:vAlign w:val="center"/>
            <w:hideMark/>
          </w:tcPr>
          <w:p w14:paraId="162A5F8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571" w:type="pct"/>
            <w:tcBorders>
              <w:top w:val="nil"/>
              <w:left w:val="single" w:sz="4" w:space="0" w:color="auto"/>
              <w:bottom w:val="nil"/>
              <w:right w:val="nil"/>
            </w:tcBorders>
            <w:shd w:val="clear" w:color="auto" w:fill="auto"/>
            <w:noWrap/>
            <w:vAlign w:val="center"/>
            <w:hideMark/>
          </w:tcPr>
          <w:p w14:paraId="729EBE8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0.0014</w:t>
            </w:r>
          </w:p>
        </w:tc>
        <w:tc>
          <w:tcPr>
            <w:tcW w:w="572" w:type="pct"/>
            <w:tcBorders>
              <w:top w:val="nil"/>
              <w:left w:val="nil"/>
              <w:bottom w:val="nil"/>
              <w:right w:val="single" w:sz="4" w:space="0" w:color="auto"/>
            </w:tcBorders>
            <w:shd w:val="clear" w:color="auto" w:fill="auto"/>
            <w:noWrap/>
            <w:vAlign w:val="center"/>
            <w:hideMark/>
          </w:tcPr>
          <w:p w14:paraId="4EFFA1F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0.3361</w:t>
            </w:r>
          </w:p>
        </w:tc>
        <w:tc>
          <w:tcPr>
            <w:tcW w:w="571" w:type="pct"/>
            <w:tcBorders>
              <w:top w:val="nil"/>
              <w:left w:val="single" w:sz="4" w:space="0" w:color="auto"/>
              <w:bottom w:val="nil"/>
              <w:right w:val="nil"/>
            </w:tcBorders>
            <w:shd w:val="clear" w:color="auto" w:fill="auto"/>
            <w:noWrap/>
            <w:vAlign w:val="center"/>
            <w:hideMark/>
          </w:tcPr>
          <w:p w14:paraId="3FF4B29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0.0012</w:t>
            </w:r>
          </w:p>
        </w:tc>
        <w:tc>
          <w:tcPr>
            <w:tcW w:w="572" w:type="pct"/>
            <w:tcBorders>
              <w:top w:val="nil"/>
              <w:left w:val="nil"/>
              <w:bottom w:val="nil"/>
              <w:right w:val="single" w:sz="4" w:space="0" w:color="auto"/>
            </w:tcBorders>
            <w:shd w:val="clear" w:color="auto" w:fill="auto"/>
            <w:noWrap/>
            <w:vAlign w:val="center"/>
            <w:hideMark/>
          </w:tcPr>
          <w:p w14:paraId="2973C6A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0.4510</w:t>
            </w:r>
          </w:p>
        </w:tc>
        <w:tc>
          <w:tcPr>
            <w:tcW w:w="571" w:type="pct"/>
            <w:tcBorders>
              <w:top w:val="nil"/>
              <w:left w:val="single" w:sz="4" w:space="0" w:color="auto"/>
              <w:bottom w:val="nil"/>
              <w:right w:val="nil"/>
            </w:tcBorders>
            <w:shd w:val="clear" w:color="auto" w:fill="auto"/>
            <w:noWrap/>
            <w:vAlign w:val="center"/>
            <w:hideMark/>
          </w:tcPr>
          <w:p w14:paraId="599914A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0.0022</w:t>
            </w:r>
          </w:p>
        </w:tc>
        <w:tc>
          <w:tcPr>
            <w:tcW w:w="571" w:type="pct"/>
            <w:tcBorders>
              <w:top w:val="nil"/>
              <w:left w:val="nil"/>
              <w:bottom w:val="nil"/>
              <w:right w:val="nil"/>
            </w:tcBorders>
            <w:shd w:val="clear" w:color="auto" w:fill="auto"/>
            <w:noWrap/>
            <w:vAlign w:val="center"/>
            <w:hideMark/>
          </w:tcPr>
          <w:p w14:paraId="60B9A9D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0.1449</w:t>
            </w:r>
          </w:p>
        </w:tc>
      </w:tr>
      <w:tr w:rsidR="00C30160" w:rsidRPr="00CE0DE7" w14:paraId="297B832E" w14:textId="77777777" w:rsidTr="00C24E43">
        <w:trPr>
          <w:trHeight w:val="259"/>
        </w:trPr>
        <w:tc>
          <w:tcPr>
            <w:tcW w:w="552" w:type="pct"/>
            <w:vMerge/>
            <w:tcBorders>
              <w:top w:val="nil"/>
              <w:left w:val="nil"/>
              <w:bottom w:val="double" w:sz="4" w:space="0" w:color="auto"/>
              <w:right w:val="single" w:sz="4" w:space="0" w:color="auto"/>
            </w:tcBorders>
            <w:vAlign w:val="center"/>
            <w:hideMark/>
          </w:tcPr>
          <w:p w14:paraId="53AA11ED" w14:textId="77777777" w:rsidR="00C30160" w:rsidRPr="00CE0DE7" w:rsidRDefault="00C30160" w:rsidP="00C24E43">
            <w:pPr>
              <w:rPr>
                <w:rFonts w:eastAsia="Times New Roman"/>
                <w:i/>
                <w:iCs/>
                <w:color w:val="000000"/>
                <w:sz w:val="20"/>
                <w:szCs w:val="20"/>
                <w:lang w:val="en-GB" w:eastAsia="zh-CN"/>
              </w:rPr>
            </w:pPr>
          </w:p>
        </w:tc>
        <w:tc>
          <w:tcPr>
            <w:tcW w:w="1019" w:type="pct"/>
            <w:tcBorders>
              <w:top w:val="nil"/>
              <w:left w:val="single" w:sz="4" w:space="0" w:color="auto"/>
              <w:bottom w:val="double" w:sz="4" w:space="0" w:color="auto"/>
              <w:right w:val="single" w:sz="4" w:space="0" w:color="auto"/>
            </w:tcBorders>
            <w:shd w:val="clear" w:color="auto" w:fill="auto"/>
            <w:noWrap/>
            <w:vAlign w:val="center"/>
            <w:hideMark/>
          </w:tcPr>
          <w:p w14:paraId="3E7EA63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571" w:type="pct"/>
            <w:tcBorders>
              <w:top w:val="nil"/>
              <w:left w:val="single" w:sz="4" w:space="0" w:color="auto"/>
              <w:bottom w:val="double" w:sz="4" w:space="0" w:color="auto"/>
              <w:right w:val="nil"/>
            </w:tcBorders>
            <w:shd w:val="clear" w:color="auto" w:fill="auto"/>
            <w:noWrap/>
            <w:vAlign w:val="center"/>
            <w:hideMark/>
          </w:tcPr>
          <w:p w14:paraId="1BBB3BC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0.0037</w:t>
            </w:r>
          </w:p>
        </w:tc>
        <w:tc>
          <w:tcPr>
            <w:tcW w:w="572" w:type="pct"/>
            <w:tcBorders>
              <w:top w:val="nil"/>
              <w:left w:val="nil"/>
              <w:bottom w:val="double" w:sz="4" w:space="0" w:color="auto"/>
              <w:right w:val="single" w:sz="4" w:space="0" w:color="auto"/>
            </w:tcBorders>
            <w:shd w:val="clear" w:color="auto" w:fill="auto"/>
            <w:noWrap/>
            <w:vAlign w:val="center"/>
            <w:hideMark/>
          </w:tcPr>
          <w:p w14:paraId="78F1638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0.3935</w:t>
            </w:r>
          </w:p>
        </w:tc>
        <w:tc>
          <w:tcPr>
            <w:tcW w:w="571" w:type="pct"/>
            <w:tcBorders>
              <w:top w:val="nil"/>
              <w:left w:val="single" w:sz="4" w:space="0" w:color="auto"/>
              <w:bottom w:val="double" w:sz="4" w:space="0" w:color="auto"/>
              <w:right w:val="nil"/>
            </w:tcBorders>
            <w:shd w:val="clear" w:color="auto" w:fill="auto"/>
            <w:noWrap/>
            <w:vAlign w:val="center"/>
            <w:hideMark/>
          </w:tcPr>
          <w:p w14:paraId="5F837C1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0.0049</w:t>
            </w:r>
          </w:p>
        </w:tc>
        <w:tc>
          <w:tcPr>
            <w:tcW w:w="572" w:type="pct"/>
            <w:tcBorders>
              <w:top w:val="nil"/>
              <w:left w:val="nil"/>
              <w:bottom w:val="double" w:sz="4" w:space="0" w:color="auto"/>
              <w:right w:val="single" w:sz="4" w:space="0" w:color="auto"/>
            </w:tcBorders>
            <w:shd w:val="clear" w:color="auto" w:fill="auto"/>
            <w:noWrap/>
            <w:vAlign w:val="center"/>
            <w:hideMark/>
          </w:tcPr>
          <w:p w14:paraId="523C86F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0.5065</w:t>
            </w:r>
          </w:p>
        </w:tc>
        <w:tc>
          <w:tcPr>
            <w:tcW w:w="571" w:type="pct"/>
            <w:tcBorders>
              <w:top w:val="nil"/>
              <w:left w:val="single" w:sz="4" w:space="0" w:color="auto"/>
              <w:bottom w:val="double" w:sz="4" w:space="0" w:color="auto"/>
              <w:right w:val="nil"/>
            </w:tcBorders>
            <w:shd w:val="clear" w:color="auto" w:fill="auto"/>
            <w:noWrap/>
            <w:vAlign w:val="center"/>
            <w:hideMark/>
          </w:tcPr>
          <w:p w14:paraId="7711F72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0.0054</w:t>
            </w:r>
          </w:p>
        </w:tc>
        <w:tc>
          <w:tcPr>
            <w:tcW w:w="571" w:type="pct"/>
            <w:tcBorders>
              <w:top w:val="nil"/>
              <w:left w:val="nil"/>
              <w:bottom w:val="double" w:sz="4" w:space="0" w:color="auto"/>
              <w:right w:val="nil"/>
            </w:tcBorders>
            <w:shd w:val="clear" w:color="auto" w:fill="auto"/>
            <w:noWrap/>
            <w:vAlign w:val="center"/>
            <w:hideMark/>
          </w:tcPr>
          <w:p w14:paraId="0742D1E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0.4195</w:t>
            </w:r>
          </w:p>
        </w:tc>
      </w:tr>
    </w:tbl>
    <w:p w14:paraId="026443A5" w14:textId="77777777" w:rsidR="00C30160" w:rsidRPr="00CE0DE7" w:rsidRDefault="00C30160" w:rsidP="00C30160">
      <w:pPr>
        <w:adjustRightInd w:val="0"/>
        <w:snapToGrid w:val="0"/>
        <w:rPr>
          <w:b/>
          <w:sz w:val="20"/>
          <w:szCs w:val="20"/>
          <w:lang w:eastAsia="zh-CN"/>
        </w:rPr>
      </w:pPr>
    </w:p>
    <w:p w14:paraId="5B83D2CD" w14:textId="77777777" w:rsidR="00C30160" w:rsidRPr="00CE0DE7" w:rsidRDefault="00C30160" w:rsidP="00C30160">
      <w:pPr>
        <w:adjustRightInd w:val="0"/>
        <w:snapToGrid w:val="0"/>
        <w:rPr>
          <w:sz w:val="20"/>
          <w:szCs w:val="20"/>
        </w:rPr>
      </w:pPr>
      <w:r w:rsidRPr="00CE0DE7">
        <w:rPr>
          <w:sz w:val="20"/>
          <w:szCs w:val="20"/>
        </w:rPr>
        <w:t>Panel B.</w:t>
      </w:r>
      <w:r w:rsidRPr="00CE0DE7">
        <w:rPr>
          <w:b/>
          <w:sz w:val="20"/>
          <w:szCs w:val="20"/>
        </w:rPr>
        <w:t xml:space="preserve"> </w:t>
      </w:r>
      <w:r w:rsidRPr="00CE0DE7">
        <w:rPr>
          <w:i/>
          <w:sz w:val="20"/>
          <w:szCs w:val="20"/>
          <w:lang w:eastAsia="zh-CN"/>
        </w:rPr>
        <w:t>ILLIQ</w:t>
      </w:r>
      <w:r w:rsidRPr="00CE0DE7">
        <w:rPr>
          <w:sz w:val="20"/>
          <w:szCs w:val="20"/>
          <w:lang w:eastAsia="zh-CN"/>
        </w:rPr>
        <w:t xml:space="preserve"> </w:t>
      </w:r>
      <w:r w:rsidRPr="00CE0DE7">
        <w:rPr>
          <w:sz w:val="20"/>
          <w:szCs w:val="20"/>
        </w:rPr>
        <w:t>&amp; the four systematic factors (</w:t>
      </w:r>
      <w:r w:rsidRPr="00CE0DE7">
        <w:rPr>
          <w:rFonts w:ascii="Cambria" w:hAnsi="Cambria"/>
          <w:i/>
          <w:sz w:val="20"/>
          <w:szCs w:val="20"/>
        </w:rPr>
        <w:t>R</w:t>
      </w:r>
      <w:r w:rsidRPr="00CE0DE7">
        <w:rPr>
          <w:rFonts w:ascii="Cambria" w:hAnsi="Cambria"/>
          <w:i/>
          <w:sz w:val="20"/>
          <w:szCs w:val="20"/>
          <w:vertAlign w:val="subscript"/>
        </w:rPr>
        <w:t>m</w:t>
      </w:r>
      <w:r w:rsidRPr="00CE0DE7">
        <w:rPr>
          <w:rFonts w:ascii="Cambria" w:hAnsi="Cambria"/>
          <w:i/>
          <w:sz w:val="20"/>
          <w:szCs w:val="20"/>
        </w:rPr>
        <w:t xml:space="preserve"> – R</w:t>
      </w:r>
      <w:r w:rsidRPr="00CE0DE7">
        <w:rPr>
          <w:rFonts w:ascii="Cambria" w:hAnsi="Cambria"/>
          <w:i/>
          <w:sz w:val="20"/>
          <w:szCs w:val="20"/>
          <w:vertAlign w:val="subscript"/>
        </w:rPr>
        <w:t>f</w:t>
      </w:r>
      <w:r w:rsidRPr="00CE0DE7">
        <w:rPr>
          <w:sz w:val="20"/>
          <w:szCs w:val="20"/>
        </w:rPr>
        <w:t xml:space="preserve">, </w:t>
      </w:r>
      <w:r w:rsidRPr="00CE0DE7">
        <w:rPr>
          <w:i/>
          <w:sz w:val="20"/>
          <w:szCs w:val="20"/>
        </w:rPr>
        <w:t>SMB, HML</w:t>
      </w:r>
      <w:r w:rsidRPr="00CE0DE7">
        <w:rPr>
          <w:sz w:val="20"/>
          <w:szCs w:val="20"/>
        </w:rPr>
        <w:t xml:space="preserve"> and </w:t>
      </w:r>
      <w:r w:rsidRPr="00CE0DE7">
        <w:rPr>
          <w:i/>
          <w:sz w:val="20"/>
          <w:szCs w:val="20"/>
        </w:rPr>
        <w:t>MOM</w:t>
      </w:r>
      <w:r w:rsidRPr="00CE0DE7">
        <w:rPr>
          <w:sz w:val="20"/>
          <w:szCs w:val="20"/>
        </w:rPr>
        <w:t>)</w:t>
      </w:r>
    </w:p>
    <w:tbl>
      <w:tblPr>
        <w:tblW w:w="5000" w:type="pct"/>
        <w:tblLook w:val="04A0" w:firstRow="1" w:lastRow="0" w:firstColumn="1" w:lastColumn="0" w:noHBand="0" w:noVBand="1"/>
      </w:tblPr>
      <w:tblGrid>
        <w:gridCol w:w="1294"/>
        <w:gridCol w:w="2385"/>
        <w:gridCol w:w="1336"/>
        <w:gridCol w:w="1338"/>
        <w:gridCol w:w="1336"/>
        <w:gridCol w:w="1338"/>
      </w:tblGrid>
      <w:tr w:rsidR="00C30160" w:rsidRPr="00CE0DE7" w14:paraId="4787BC80" w14:textId="77777777" w:rsidTr="00C24E43">
        <w:trPr>
          <w:trHeight w:val="273"/>
        </w:trPr>
        <w:tc>
          <w:tcPr>
            <w:tcW w:w="717" w:type="pct"/>
            <w:tcBorders>
              <w:top w:val="double" w:sz="4" w:space="0" w:color="auto"/>
              <w:left w:val="nil"/>
              <w:bottom w:val="single" w:sz="4" w:space="0" w:color="auto"/>
              <w:right w:val="single" w:sz="4" w:space="0" w:color="auto"/>
            </w:tcBorders>
            <w:shd w:val="clear" w:color="auto" w:fill="auto"/>
            <w:noWrap/>
            <w:vAlign w:val="center"/>
            <w:hideMark/>
          </w:tcPr>
          <w:p w14:paraId="6B3AF5B6" w14:textId="77777777" w:rsidR="00C30160" w:rsidRPr="00CE0DE7" w:rsidRDefault="00C30160" w:rsidP="00C24E43">
            <w:pPr>
              <w:rPr>
                <w:rFonts w:eastAsia="Times New Roman"/>
                <w:sz w:val="20"/>
                <w:szCs w:val="20"/>
                <w:lang w:eastAsia="zh-CN"/>
              </w:rPr>
            </w:pPr>
          </w:p>
        </w:tc>
        <w:tc>
          <w:tcPr>
            <w:tcW w:w="1321"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FF145E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w:t>
            </w:r>
          </w:p>
        </w:tc>
        <w:tc>
          <w:tcPr>
            <w:tcW w:w="1481" w:type="pct"/>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61348EA"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NYSE</w:t>
            </w:r>
          </w:p>
        </w:tc>
        <w:tc>
          <w:tcPr>
            <w:tcW w:w="1481" w:type="pct"/>
            <w:gridSpan w:val="2"/>
            <w:tcBorders>
              <w:top w:val="double" w:sz="4" w:space="0" w:color="auto"/>
              <w:left w:val="single" w:sz="4" w:space="0" w:color="auto"/>
              <w:bottom w:val="single" w:sz="4" w:space="0" w:color="auto"/>
              <w:right w:val="nil"/>
            </w:tcBorders>
            <w:shd w:val="clear" w:color="auto" w:fill="auto"/>
            <w:noWrap/>
            <w:vAlign w:val="center"/>
            <w:hideMark/>
          </w:tcPr>
          <w:p w14:paraId="5CE13A55"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ILLIQ</w:t>
            </w:r>
            <w:r w:rsidRPr="00CE0DE7">
              <w:rPr>
                <w:rFonts w:eastAsia="Times New Roman"/>
                <w:i/>
                <w:iCs/>
                <w:color w:val="000000"/>
                <w:sz w:val="20"/>
                <w:szCs w:val="20"/>
                <w:vertAlign w:val="superscript"/>
                <w:lang w:val="en-GB" w:eastAsia="zh-CN"/>
              </w:rPr>
              <w:t>SP500</w:t>
            </w:r>
          </w:p>
        </w:tc>
      </w:tr>
      <w:tr w:rsidR="00C30160" w:rsidRPr="00CE0DE7" w14:paraId="514C2033" w14:textId="77777777" w:rsidTr="00C24E43">
        <w:trPr>
          <w:trHeight w:val="237"/>
        </w:trPr>
        <w:tc>
          <w:tcPr>
            <w:tcW w:w="717" w:type="pct"/>
            <w:tcBorders>
              <w:top w:val="single" w:sz="4" w:space="0" w:color="auto"/>
              <w:left w:val="nil"/>
              <w:bottom w:val="single" w:sz="4" w:space="0" w:color="auto"/>
              <w:right w:val="single" w:sz="4" w:space="0" w:color="auto"/>
            </w:tcBorders>
            <w:shd w:val="clear" w:color="auto" w:fill="auto"/>
            <w:noWrap/>
            <w:vAlign w:val="center"/>
            <w:hideMark/>
          </w:tcPr>
          <w:p w14:paraId="3D574A6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w:t>
            </w:r>
          </w:p>
        </w:tc>
        <w:tc>
          <w:tcPr>
            <w:tcW w:w="1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D107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Sample period</w:t>
            </w:r>
          </w:p>
        </w:tc>
        <w:tc>
          <w:tcPr>
            <w:tcW w:w="740" w:type="pct"/>
            <w:tcBorders>
              <w:top w:val="single" w:sz="4" w:space="0" w:color="auto"/>
              <w:left w:val="single" w:sz="4" w:space="0" w:color="auto"/>
              <w:bottom w:val="single" w:sz="4" w:space="0" w:color="auto"/>
              <w:right w:val="nil"/>
            </w:tcBorders>
            <w:shd w:val="clear" w:color="auto" w:fill="auto"/>
            <w:noWrap/>
            <w:vAlign w:val="center"/>
            <w:hideMark/>
          </w:tcPr>
          <w:p w14:paraId="4DFDFCB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23D52E5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c>
          <w:tcPr>
            <w:tcW w:w="740" w:type="pct"/>
            <w:tcBorders>
              <w:top w:val="single" w:sz="4" w:space="0" w:color="auto"/>
              <w:left w:val="single" w:sz="4" w:space="0" w:color="auto"/>
              <w:bottom w:val="single" w:sz="4" w:space="0" w:color="auto"/>
              <w:right w:val="nil"/>
            </w:tcBorders>
            <w:shd w:val="clear" w:color="auto" w:fill="auto"/>
            <w:noWrap/>
            <w:vAlign w:val="center"/>
            <w:hideMark/>
          </w:tcPr>
          <w:p w14:paraId="445F46A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X1-&gt;X2</w:t>
            </w:r>
          </w:p>
        </w:tc>
        <w:tc>
          <w:tcPr>
            <w:tcW w:w="741" w:type="pct"/>
            <w:tcBorders>
              <w:top w:val="single" w:sz="4" w:space="0" w:color="auto"/>
              <w:left w:val="nil"/>
              <w:bottom w:val="single" w:sz="4" w:space="0" w:color="auto"/>
              <w:right w:val="nil"/>
            </w:tcBorders>
            <w:shd w:val="clear" w:color="auto" w:fill="auto"/>
            <w:noWrap/>
            <w:vAlign w:val="center"/>
            <w:hideMark/>
          </w:tcPr>
          <w:p w14:paraId="16262AF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X2-&gt;X1</w:t>
            </w:r>
          </w:p>
        </w:tc>
      </w:tr>
      <w:tr w:rsidR="00C30160" w:rsidRPr="00CE0DE7" w14:paraId="28D206C0" w14:textId="77777777" w:rsidTr="00C24E43">
        <w:trPr>
          <w:trHeight w:val="237"/>
        </w:trPr>
        <w:tc>
          <w:tcPr>
            <w:tcW w:w="717" w:type="pct"/>
            <w:vMerge w:val="restart"/>
            <w:tcBorders>
              <w:top w:val="single" w:sz="4" w:space="0" w:color="auto"/>
              <w:left w:val="nil"/>
              <w:bottom w:val="nil"/>
              <w:right w:val="single" w:sz="4" w:space="0" w:color="auto"/>
            </w:tcBorders>
            <w:shd w:val="clear" w:color="auto" w:fill="auto"/>
            <w:noWrap/>
            <w:vAlign w:val="center"/>
            <w:hideMark/>
          </w:tcPr>
          <w:p w14:paraId="707C1AC4"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R</w:t>
            </w:r>
            <w:r w:rsidRPr="00CE0DE7">
              <w:rPr>
                <w:rFonts w:eastAsia="Times New Roman"/>
                <w:i/>
                <w:iCs/>
                <w:color w:val="000000"/>
                <w:sz w:val="20"/>
                <w:szCs w:val="20"/>
                <w:vertAlign w:val="subscript"/>
                <w:lang w:val="en-GB" w:eastAsia="zh-CN"/>
              </w:rPr>
              <w:t>m</w:t>
            </w:r>
            <w:r w:rsidRPr="00CE0DE7">
              <w:rPr>
                <w:rFonts w:eastAsia="Times New Roman"/>
                <w:i/>
                <w:iCs/>
                <w:color w:val="000000"/>
                <w:sz w:val="20"/>
                <w:szCs w:val="20"/>
                <w:lang w:val="en-GB" w:eastAsia="zh-CN"/>
              </w:rPr>
              <w:t xml:space="preserve"> – R</w:t>
            </w:r>
            <w:r w:rsidRPr="00CE0DE7">
              <w:rPr>
                <w:rFonts w:eastAsia="Times New Roman"/>
                <w:i/>
                <w:iCs/>
                <w:color w:val="000000"/>
                <w:sz w:val="20"/>
                <w:szCs w:val="20"/>
                <w:vertAlign w:val="subscript"/>
                <w:lang w:val="en-GB" w:eastAsia="zh-CN"/>
              </w:rPr>
              <w:t>f</w:t>
            </w:r>
          </w:p>
        </w:tc>
        <w:tc>
          <w:tcPr>
            <w:tcW w:w="1321" w:type="pct"/>
            <w:tcBorders>
              <w:top w:val="single" w:sz="4" w:space="0" w:color="auto"/>
              <w:left w:val="single" w:sz="4" w:space="0" w:color="auto"/>
              <w:bottom w:val="nil"/>
              <w:right w:val="single" w:sz="4" w:space="0" w:color="auto"/>
            </w:tcBorders>
            <w:shd w:val="clear" w:color="auto" w:fill="auto"/>
            <w:noWrap/>
            <w:vAlign w:val="center"/>
            <w:hideMark/>
          </w:tcPr>
          <w:p w14:paraId="641BD40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40" w:type="pct"/>
            <w:tcBorders>
              <w:top w:val="single" w:sz="4" w:space="0" w:color="auto"/>
              <w:left w:val="single" w:sz="4" w:space="0" w:color="auto"/>
              <w:bottom w:val="nil"/>
              <w:right w:val="nil"/>
            </w:tcBorders>
            <w:shd w:val="clear" w:color="auto" w:fill="auto"/>
            <w:noWrap/>
            <w:vAlign w:val="center"/>
            <w:hideMark/>
          </w:tcPr>
          <w:p w14:paraId="1AA1F01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0.5225</w:t>
            </w:r>
          </w:p>
        </w:tc>
        <w:tc>
          <w:tcPr>
            <w:tcW w:w="741" w:type="pct"/>
            <w:tcBorders>
              <w:top w:val="single" w:sz="4" w:space="0" w:color="auto"/>
              <w:left w:val="nil"/>
              <w:bottom w:val="nil"/>
              <w:right w:val="single" w:sz="4" w:space="0" w:color="auto"/>
            </w:tcBorders>
            <w:shd w:val="clear" w:color="auto" w:fill="auto"/>
            <w:noWrap/>
            <w:vAlign w:val="center"/>
            <w:hideMark/>
          </w:tcPr>
          <w:p w14:paraId="5183F97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top w:val="single" w:sz="4" w:space="0" w:color="auto"/>
              <w:left w:val="single" w:sz="4" w:space="0" w:color="auto"/>
              <w:bottom w:val="nil"/>
              <w:right w:val="nil"/>
            </w:tcBorders>
            <w:shd w:val="clear" w:color="auto" w:fill="auto"/>
            <w:noWrap/>
            <w:vAlign w:val="center"/>
            <w:hideMark/>
          </w:tcPr>
          <w:p w14:paraId="4F055D8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0.2547</w:t>
            </w:r>
          </w:p>
        </w:tc>
        <w:tc>
          <w:tcPr>
            <w:tcW w:w="741" w:type="pct"/>
            <w:tcBorders>
              <w:top w:val="single" w:sz="4" w:space="0" w:color="auto"/>
              <w:left w:val="nil"/>
              <w:bottom w:val="nil"/>
              <w:right w:val="nil"/>
            </w:tcBorders>
            <w:shd w:val="clear" w:color="auto" w:fill="auto"/>
            <w:noWrap/>
            <w:vAlign w:val="center"/>
            <w:hideMark/>
          </w:tcPr>
          <w:p w14:paraId="1BE12EE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548BFDA0" w14:textId="77777777" w:rsidTr="00C24E43">
        <w:trPr>
          <w:trHeight w:val="237"/>
        </w:trPr>
        <w:tc>
          <w:tcPr>
            <w:tcW w:w="717" w:type="pct"/>
            <w:vMerge/>
            <w:tcBorders>
              <w:top w:val="nil"/>
              <w:left w:val="nil"/>
              <w:bottom w:val="nil"/>
              <w:right w:val="single" w:sz="4" w:space="0" w:color="auto"/>
            </w:tcBorders>
            <w:vAlign w:val="center"/>
            <w:hideMark/>
          </w:tcPr>
          <w:p w14:paraId="1C59C6A0" w14:textId="77777777" w:rsidR="00C30160" w:rsidRPr="00CE0DE7" w:rsidRDefault="00C30160" w:rsidP="00C24E43">
            <w:pPr>
              <w:rPr>
                <w:rFonts w:eastAsia="Times New Roman"/>
                <w:i/>
                <w:iCs/>
                <w:color w:val="000000"/>
                <w:sz w:val="20"/>
                <w:szCs w:val="20"/>
                <w:lang w:val="en-GB" w:eastAsia="zh-CN"/>
              </w:rPr>
            </w:pPr>
          </w:p>
        </w:tc>
        <w:tc>
          <w:tcPr>
            <w:tcW w:w="1321" w:type="pct"/>
            <w:tcBorders>
              <w:top w:val="nil"/>
              <w:left w:val="single" w:sz="4" w:space="0" w:color="auto"/>
              <w:bottom w:val="nil"/>
              <w:right w:val="single" w:sz="4" w:space="0" w:color="auto"/>
            </w:tcBorders>
            <w:shd w:val="clear" w:color="auto" w:fill="auto"/>
            <w:noWrap/>
            <w:vAlign w:val="center"/>
            <w:hideMark/>
          </w:tcPr>
          <w:p w14:paraId="3B25978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40" w:type="pct"/>
            <w:tcBorders>
              <w:top w:val="nil"/>
              <w:left w:val="single" w:sz="4" w:space="0" w:color="auto"/>
              <w:bottom w:val="nil"/>
              <w:right w:val="nil"/>
            </w:tcBorders>
            <w:shd w:val="clear" w:color="auto" w:fill="auto"/>
            <w:noWrap/>
            <w:vAlign w:val="center"/>
            <w:hideMark/>
          </w:tcPr>
          <w:p w14:paraId="2C33FB9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0.7981</w:t>
            </w:r>
          </w:p>
        </w:tc>
        <w:tc>
          <w:tcPr>
            <w:tcW w:w="741" w:type="pct"/>
            <w:tcBorders>
              <w:top w:val="nil"/>
              <w:left w:val="nil"/>
              <w:bottom w:val="nil"/>
              <w:right w:val="single" w:sz="4" w:space="0" w:color="auto"/>
            </w:tcBorders>
            <w:shd w:val="clear" w:color="auto" w:fill="auto"/>
            <w:noWrap/>
            <w:vAlign w:val="center"/>
            <w:hideMark/>
          </w:tcPr>
          <w:p w14:paraId="614814B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top w:val="nil"/>
              <w:left w:val="single" w:sz="4" w:space="0" w:color="auto"/>
              <w:bottom w:val="nil"/>
              <w:right w:val="nil"/>
            </w:tcBorders>
            <w:shd w:val="clear" w:color="auto" w:fill="auto"/>
            <w:noWrap/>
            <w:vAlign w:val="center"/>
            <w:hideMark/>
          </w:tcPr>
          <w:p w14:paraId="254EAAA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0.2538</w:t>
            </w:r>
          </w:p>
        </w:tc>
        <w:tc>
          <w:tcPr>
            <w:tcW w:w="741" w:type="pct"/>
            <w:tcBorders>
              <w:top w:val="nil"/>
              <w:left w:val="nil"/>
              <w:bottom w:val="nil"/>
              <w:right w:val="nil"/>
            </w:tcBorders>
            <w:shd w:val="clear" w:color="auto" w:fill="auto"/>
            <w:noWrap/>
            <w:vAlign w:val="center"/>
            <w:hideMark/>
          </w:tcPr>
          <w:p w14:paraId="55F5DF7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64CB1D34" w14:textId="77777777" w:rsidTr="00C24E43">
        <w:trPr>
          <w:trHeight w:val="237"/>
        </w:trPr>
        <w:tc>
          <w:tcPr>
            <w:tcW w:w="717" w:type="pct"/>
            <w:vMerge/>
            <w:tcBorders>
              <w:top w:val="nil"/>
              <w:left w:val="nil"/>
              <w:bottom w:val="nil"/>
              <w:right w:val="single" w:sz="4" w:space="0" w:color="auto"/>
            </w:tcBorders>
            <w:vAlign w:val="center"/>
            <w:hideMark/>
          </w:tcPr>
          <w:p w14:paraId="198DD1F2" w14:textId="77777777" w:rsidR="00C30160" w:rsidRPr="00CE0DE7" w:rsidRDefault="00C30160" w:rsidP="00C24E43">
            <w:pPr>
              <w:rPr>
                <w:rFonts w:eastAsia="Times New Roman"/>
                <w:i/>
                <w:iCs/>
                <w:color w:val="000000"/>
                <w:sz w:val="20"/>
                <w:szCs w:val="20"/>
                <w:lang w:val="en-GB" w:eastAsia="zh-CN"/>
              </w:rPr>
            </w:pPr>
          </w:p>
        </w:tc>
        <w:tc>
          <w:tcPr>
            <w:tcW w:w="1321" w:type="pct"/>
            <w:tcBorders>
              <w:top w:val="nil"/>
              <w:left w:val="single" w:sz="4" w:space="0" w:color="auto"/>
              <w:bottom w:val="nil"/>
              <w:right w:val="single" w:sz="4" w:space="0" w:color="auto"/>
            </w:tcBorders>
            <w:shd w:val="clear" w:color="auto" w:fill="auto"/>
            <w:noWrap/>
            <w:vAlign w:val="center"/>
            <w:hideMark/>
          </w:tcPr>
          <w:p w14:paraId="70BBFD3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40" w:type="pct"/>
            <w:tcBorders>
              <w:top w:val="nil"/>
              <w:left w:val="single" w:sz="4" w:space="0" w:color="auto"/>
              <w:bottom w:val="nil"/>
              <w:right w:val="nil"/>
            </w:tcBorders>
            <w:shd w:val="clear" w:color="auto" w:fill="auto"/>
            <w:noWrap/>
            <w:vAlign w:val="center"/>
            <w:hideMark/>
          </w:tcPr>
          <w:p w14:paraId="76ED173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0.3203</w:t>
            </w:r>
          </w:p>
        </w:tc>
        <w:tc>
          <w:tcPr>
            <w:tcW w:w="741" w:type="pct"/>
            <w:tcBorders>
              <w:top w:val="nil"/>
              <w:left w:val="nil"/>
              <w:bottom w:val="nil"/>
              <w:right w:val="single" w:sz="4" w:space="0" w:color="auto"/>
            </w:tcBorders>
            <w:shd w:val="clear" w:color="auto" w:fill="auto"/>
            <w:noWrap/>
            <w:vAlign w:val="center"/>
            <w:hideMark/>
          </w:tcPr>
          <w:p w14:paraId="009F9D4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top w:val="nil"/>
              <w:left w:val="single" w:sz="4" w:space="0" w:color="auto"/>
              <w:bottom w:val="nil"/>
              <w:right w:val="nil"/>
            </w:tcBorders>
            <w:shd w:val="clear" w:color="auto" w:fill="auto"/>
            <w:noWrap/>
            <w:vAlign w:val="center"/>
            <w:hideMark/>
          </w:tcPr>
          <w:p w14:paraId="0661649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0.7092</w:t>
            </w:r>
          </w:p>
        </w:tc>
        <w:tc>
          <w:tcPr>
            <w:tcW w:w="741" w:type="pct"/>
            <w:tcBorders>
              <w:top w:val="nil"/>
              <w:left w:val="nil"/>
              <w:bottom w:val="nil"/>
              <w:right w:val="nil"/>
            </w:tcBorders>
            <w:shd w:val="clear" w:color="auto" w:fill="auto"/>
            <w:noWrap/>
            <w:vAlign w:val="center"/>
            <w:hideMark/>
          </w:tcPr>
          <w:p w14:paraId="615DC13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3C0252E1" w14:textId="77777777" w:rsidTr="00C24E43">
        <w:trPr>
          <w:trHeight w:val="237"/>
        </w:trPr>
        <w:tc>
          <w:tcPr>
            <w:tcW w:w="717" w:type="pct"/>
            <w:vMerge/>
            <w:tcBorders>
              <w:top w:val="nil"/>
              <w:left w:val="nil"/>
              <w:bottom w:val="nil"/>
              <w:right w:val="single" w:sz="4" w:space="0" w:color="auto"/>
            </w:tcBorders>
            <w:vAlign w:val="center"/>
            <w:hideMark/>
          </w:tcPr>
          <w:p w14:paraId="5F2C3EE3" w14:textId="77777777" w:rsidR="00C30160" w:rsidRPr="00CE0DE7" w:rsidRDefault="00C30160" w:rsidP="00C24E43">
            <w:pPr>
              <w:rPr>
                <w:rFonts w:eastAsia="Times New Roman"/>
                <w:i/>
                <w:iCs/>
                <w:color w:val="000000"/>
                <w:sz w:val="20"/>
                <w:szCs w:val="20"/>
                <w:lang w:val="en-GB" w:eastAsia="zh-CN"/>
              </w:rPr>
            </w:pPr>
          </w:p>
        </w:tc>
        <w:tc>
          <w:tcPr>
            <w:tcW w:w="1321" w:type="pct"/>
            <w:tcBorders>
              <w:top w:val="nil"/>
              <w:left w:val="single" w:sz="4" w:space="0" w:color="auto"/>
              <w:bottom w:val="nil"/>
              <w:right w:val="single" w:sz="4" w:space="0" w:color="auto"/>
            </w:tcBorders>
            <w:shd w:val="clear" w:color="auto" w:fill="auto"/>
            <w:noWrap/>
            <w:vAlign w:val="center"/>
            <w:hideMark/>
          </w:tcPr>
          <w:p w14:paraId="3F7572F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40" w:type="pct"/>
            <w:tcBorders>
              <w:top w:val="nil"/>
              <w:left w:val="single" w:sz="4" w:space="0" w:color="auto"/>
              <w:bottom w:val="nil"/>
              <w:right w:val="nil"/>
            </w:tcBorders>
            <w:shd w:val="clear" w:color="auto" w:fill="auto"/>
            <w:noWrap/>
            <w:vAlign w:val="center"/>
            <w:hideMark/>
          </w:tcPr>
          <w:p w14:paraId="17C93CA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0.4153</w:t>
            </w:r>
          </w:p>
        </w:tc>
        <w:tc>
          <w:tcPr>
            <w:tcW w:w="741" w:type="pct"/>
            <w:tcBorders>
              <w:top w:val="nil"/>
              <w:left w:val="nil"/>
              <w:bottom w:val="nil"/>
              <w:right w:val="single" w:sz="4" w:space="0" w:color="auto"/>
            </w:tcBorders>
            <w:shd w:val="clear" w:color="auto" w:fill="auto"/>
            <w:noWrap/>
            <w:vAlign w:val="center"/>
            <w:hideMark/>
          </w:tcPr>
          <w:p w14:paraId="1E28F6B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top w:val="nil"/>
              <w:left w:val="single" w:sz="4" w:space="0" w:color="auto"/>
              <w:bottom w:val="nil"/>
              <w:right w:val="nil"/>
            </w:tcBorders>
            <w:shd w:val="clear" w:color="auto" w:fill="auto"/>
            <w:noWrap/>
            <w:vAlign w:val="center"/>
            <w:hideMark/>
          </w:tcPr>
          <w:p w14:paraId="248C88D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0.7487</w:t>
            </w:r>
          </w:p>
        </w:tc>
        <w:tc>
          <w:tcPr>
            <w:tcW w:w="741" w:type="pct"/>
            <w:tcBorders>
              <w:top w:val="nil"/>
              <w:left w:val="nil"/>
              <w:bottom w:val="nil"/>
              <w:right w:val="nil"/>
            </w:tcBorders>
            <w:shd w:val="clear" w:color="auto" w:fill="auto"/>
            <w:noWrap/>
            <w:vAlign w:val="center"/>
            <w:hideMark/>
          </w:tcPr>
          <w:p w14:paraId="3E6B78B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4AD3A63D" w14:textId="77777777" w:rsidTr="00C24E43">
        <w:trPr>
          <w:trHeight w:val="237"/>
        </w:trPr>
        <w:tc>
          <w:tcPr>
            <w:tcW w:w="717" w:type="pct"/>
            <w:vMerge/>
            <w:tcBorders>
              <w:top w:val="nil"/>
              <w:left w:val="nil"/>
              <w:bottom w:val="single" w:sz="4" w:space="0" w:color="auto"/>
              <w:right w:val="single" w:sz="4" w:space="0" w:color="auto"/>
            </w:tcBorders>
            <w:vAlign w:val="center"/>
            <w:hideMark/>
          </w:tcPr>
          <w:p w14:paraId="40325223" w14:textId="77777777" w:rsidR="00C30160" w:rsidRPr="00CE0DE7" w:rsidRDefault="00C30160" w:rsidP="00C24E43">
            <w:pPr>
              <w:rPr>
                <w:rFonts w:eastAsia="Times New Roman"/>
                <w:i/>
                <w:iCs/>
                <w:color w:val="000000"/>
                <w:sz w:val="20"/>
                <w:szCs w:val="20"/>
                <w:lang w:val="en-GB" w:eastAsia="zh-CN"/>
              </w:rPr>
            </w:pPr>
          </w:p>
        </w:tc>
        <w:tc>
          <w:tcPr>
            <w:tcW w:w="1321" w:type="pct"/>
            <w:tcBorders>
              <w:top w:val="nil"/>
              <w:left w:val="single" w:sz="4" w:space="0" w:color="auto"/>
              <w:bottom w:val="single" w:sz="4" w:space="0" w:color="auto"/>
              <w:right w:val="single" w:sz="4" w:space="0" w:color="auto"/>
            </w:tcBorders>
            <w:shd w:val="clear" w:color="auto" w:fill="auto"/>
            <w:noWrap/>
            <w:vAlign w:val="center"/>
            <w:hideMark/>
          </w:tcPr>
          <w:p w14:paraId="6585DEB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40" w:type="pct"/>
            <w:tcBorders>
              <w:top w:val="nil"/>
              <w:left w:val="single" w:sz="4" w:space="0" w:color="auto"/>
              <w:bottom w:val="single" w:sz="4" w:space="0" w:color="auto"/>
              <w:right w:val="nil"/>
            </w:tcBorders>
            <w:shd w:val="clear" w:color="auto" w:fill="auto"/>
            <w:noWrap/>
            <w:vAlign w:val="center"/>
            <w:hideMark/>
          </w:tcPr>
          <w:p w14:paraId="5BBE99D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0.3414</w:t>
            </w:r>
          </w:p>
        </w:tc>
        <w:tc>
          <w:tcPr>
            <w:tcW w:w="741" w:type="pct"/>
            <w:tcBorders>
              <w:top w:val="nil"/>
              <w:left w:val="nil"/>
              <w:bottom w:val="single" w:sz="4" w:space="0" w:color="auto"/>
              <w:right w:val="single" w:sz="4" w:space="0" w:color="auto"/>
            </w:tcBorders>
            <w:shd w:val="clear" w:color="auto" w:fill="auto"/>
            <w:noWrap/>
            <w:vAlign w:val="center"/>
            <w:hideMark/>
          </w:tcPr>
          <w:p w14:paraId="3A212BF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top w:val="nil"/>
              <w:left w:val="single" w:sz="4" w:space="0" w:color="auto"/>
              <w:bottom w:val="single" w:sz="4" w:space="0" w:color="auto"/>
              <w:right w:val="nil"/>
            </w:tcBorders>
            <w:shd w:val="clear" w:color="auto" w:fill="auto"/>
            <w:noWrap/>
            <w:vAlign w:val="center"/>
            <w:hideMark/>
          </w:tcPr>
          <w:p w14:paraId="259F9E0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0.6622</w:t>
            </w:r>
          </w:p>
        </w:tc>
        <w:tc>
          <w:tcPr>
            <w:tcW w:w="741" w:type="pct"/>
            <w:tcBorders>
              <w:top w:val="nil"/>
              <w:left w:val="nil"/>
              <w:bottom w:val="single" w:sz="4" w:space="0" w:color="auto"/>
              <w:right w:val="nil"/>
            </w:tcBorders>
            <w:shd w:val="clear" w:color="auto" w:fill="auto"/>
            <w:noWrap/>
            <w:vAlign w:val="center"/>
            <w:hideMark/>
          </w:tcPr>
          <w:p w14:paraId="777E7EC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184A5C27" w14:textId="77777777" w:rsidTr="00C24E43">
        <w:trPr>
          <w:trHeight w:val="237"/>
        </w:trPr>
        <w:tc>
          <w:tcPr>
            <w:tcW w:w="717" w:type="pct"/>
            <w:vMerge w:val="restart"/>
            <w:tcBorders>
              <w:top w:val="single" w:sz="4" w:space="0" w:color="auto"/>
              <w:left w:val="nil"/>
              <w:bottom w:val="nil"/>
              <w:right w:val="single" w:sz="4" w:space="0" w:color="auto"/>
            </w:tcBorders>
            <w:shd w:val="clear" w:color="auto" w:fill="auto"/>
            <w:noWrap/>
            <w:vAlign w:val="center"/>
            <w:hideMark/>
          </w:tcPr>
          <w:p w14:paraId="349D4050"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SMB</w:t>
            </w:r>
          </w:p>
        </w:tc>
        <w:tc>
          <w:tcPr>
            <w:tcW w:w="1321" w:type="pct"/>
            <w:tcBorders>
              <w:top w:val="single" w:sz="4" w:space="0" w:color="auto"/>
              <w:left w:val="single" w:sz="4" w:space="0" w:color="auto"/>
              <w:bottom w:val="nil"/>
              <w:right w:val="single" w:sz="4" w:space="0" w:color="auto"/>
            </w:tcBorders>
            <w:shd w:val="clear" w:color="auto" w:fill="auto"/>
            <w:noWrap/>
            <w:vAlign w:val="center"/>
            <w:hideMark/>
          </w:tcPr>
          <w:p w14:paraId="0FB901D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40" w:type="pct"/>
            <w:tcBorders>
              <w:top w:val="single" w:sz="4" w:space="0" w:color="auto"/>
              <w:left w:val="single" w:sz="4" w:space="0" w:color="auto"/>
              <w:bottom w:val="nil"/>
              <w:right w:val="nil"/>
            </w:tcBorders>
            <w:shd w:val="clear" w:color="auto" w:fill="auto"/>
            <w:noWrap/>
            <w:vAlign w:val="center"/>
            <w:hideMark/>
          </w:tcPr>
          <w:p w14:paraId="4788B1E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0.0822</w:t>
            </w:r>
          </w:p>
        </w:tc>
        <w:tc>
          <w:tcPr>
            <w:tcW w:w="741" w:type="pct"/>
            <w:tcBorders>
              <w:top w:val="single" w:sz="4" w:space="0" w:color="auto"/>
              <w:left w:val="nil"/>
              <w:bottom w:val="nil"/>
              <w:right w:val="single" w:sz="4" w:space="0" w:color="auto"/>
            </w:tcBorders>
            <w:shd w:val="clear" w:color="auto" w:fill="auto"/>
            <w:noWrap/>
            <w:vAlign w:val="center"/>
            <w:hideMark/>
          </w:tcPr>
          <w:p w14:paraId="621ED7F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0.0049</w:t>
            </w:r>
          </w:p>
        </w:tc>
        <w:tc>
          <w:tcPr>
            <w:tcW w:w="740" w:type="pct"/>
            <w:tcBorders>
              <w:top w:val="single" w:sz="4" w:space="0" w:color="auto"/>
              <w:left w:val="single" w:sz="4" w:space="0" w:color="auto"/>
              <w:bottom w:val="nil"/>
              <w:right w:val="nil"/>
            </w:tcBorders>
            <w:shd w:val="clear" w:color="auto" w:fill="auto"/>
            <w:noWrap/>
            <w:vAlign w:val="center"/>
            <w:hideMark/>
          </w:tcPr>
          <w:p w14:paraId="54501D2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0.1310</w:t>
            </w:r>
          </w:p>
        </w:tc>
        <w:tc>
          <w:tcPr>
            <w:tcW w:w="741" w:type="pct"/>
            <w:tcBorders>
              <w:top w:val="single" w:sz="4" w:space="0" w:color="auto"/>
              <w:left w:val="nil"/>
              <w:bottom w:val="nil"/>
              <w:right w:val="nil"/>
            </w:tcBorders>
            <w:shd w:val="clear" w:color="auto" w:fill="auto"/>
            <w:noWrap/>
            <w:vAlign w:val="center"/>
            <w:hideMark/>
          </w:tcPr>
          <w:p w14:paraId="207A8B9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0.5000</w:t>
            </w:r>
          </w:p>
        </w:tc>
      </w:tr>
      <w:tr w:rsidR="00C30160" w:rsidRPr="00CE0DE7" w14:paraId="5428E334" w14:textId="77777777" w:rsidTr="00C24E43">
        <w:trPr>
          <w:trHeight w:val="237"/>
        </w:trPr>
        <w:tc>
          <w:tcPr>
            <w:tcW w:w="717" w:type="pct"/>
            <w:vMerge/>
            <w:tcBorders>
              <w:top w:val="nil"/>
              <w:left w:val="nil"/>
              <w:bottom w:val="nil"/>
              <w:right w:val="single" w:sz="4" w:space="0" w:color="auto"/>
            </w:tcBorders>
            <w:vAlign w:val="center"/>
            <w:hideMark/>
          </w:tcPr>
          <w:p w14:paraId="77BE0966" w14:textId="77777777" w:rsidR="00C30160" w:rsidRPr="00CE0DE7" w:rsidRDefault="00C30160" w:rsidP="00C24E43">
            <w:pPr>
              <w:rPr>
                <w:rFonts w:eastAsia="Times New Roman"/>
                <w:i/>
                <w:iCs/>
                <w:color w:val="000000"/>
                <w:sz w:val="20"/>
                <w:szCs w:val="20"/>
                <w:lang w:val="en-GB" w:eastAsia="zh-CN"/>
              </w:rPr>
            </w:pPr>
          </w:p>
        </w:tc>
        <w:tc>
          <w:tcPr>
            <w:tcW w:w="1321" w:type="pct"/>
            <w:tcBorders>
              <w:top w:val="nil"/>
              <w:left w:val="single" w:sz="4" w:space="0" w:color="auto"/>
              <w:bottom w:val="nil"/>
              <w:right w:val="single" w:sz="4" w:space="0" w:color="auto"/>
            </w:tcBorders>
            <w:shd w:val="clear" w:color="auto" w:fill="auto"/>
            <w:noWrap/>
            <w:vAlign w:val="center"/>
            <w:hideMark/>
          </w:tcPr>
          <w:p w14:paraId="507B87F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40" w:type="pct"/>
            <w:tcBorders>
              <w:top w:val="nil"/>
              <w:left w:val="single" w:sz="4" w:space="0" w:color="auto"/>
              <w:bottom w:val="nil"/>
              <w:right w:val="nil"/>
            </w:tcBorders>
            <w:shd w:val="clear" w:color="auto" w:fill="auto"/>
            <w:noWrap/>
            <w:vAlign w:val="center"/>
            <w:hideMark/>
          </w:tcPr>
          <w:p w14:paraId="2E1BD69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0.0612</w:t>
            </w:r>
          </w:p>
        </w:tc>
        <w:tc>
          <w:tcPr>
            <w:tcW w:w="741" w:type="pct"/>
            <w:tcBorders>
              <w:top w:val="nil"/>
              <w:left w:val="nil"/>
              <w:bottom w:val="nil"/>
              <w:right w:val="single" w:sz="4" w:space="0" w:color="auto"/>
            </w:tcBorders>
            <w:shd w:val="clear" w:color="auto" w:fill="auto"/>
            <w:noWrap/>
            <w:vAlign w:val="center"/>
            <w:hideMark/>
          </w:tcPr>
          <w:p w14:paraId="7D0419B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0.0194</w:t>
            </w:r>
          </w:p>
        </w:tc>
        <w:tc>
          <w:tcPr>
            <w:tcW w:w="740" w:type="pct"/>
            <w:tcBorders>
              <w:top w:val="nil"/>
              <w:left w:val="single" w:sz="4" w:space="0" w:color="auto"/>
              <w:bottom w:val="nil"/>
              <w:right w:val="nil"/>
            </w:tcBorders>
            <w:shd w:val="clear" w:color="auto" w:fill="auto"/>
            <w:noWrap/>
            <w:vAlign w:val="center"/>
            <w:hideMark/>
          </w:tcPr>
          <w:p w14:paraId="215CABC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0.1028</w:t>
            </w:r>
          </w:p>
        </w:tc>
        <w:tc>
          <w:tcPr>
            <w:tcW w:w="741" w:type="pct"/>
            <w:tcBorders>
              <w:top w:val="nil"/>
              <w:left w:val="nil"/>
              <w:bottom w:val="nil"/>
              <w:right w:val="nil"/>
            </w:tcBorders>
            <w:shd w:val="clear" w:color="auto" w:fill="auto"/>
            <w:noWrap/>
            <w:vAlign w:val="center"/>
            <w:hideMark/>
          </w:tcPr>
          <w:p w14:paraId="7B35A5D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0.6957</w:t>
            </w:r>
          </w:p>
        </w:tc>
      </w:tr>
      <w:tr w:rsidR="00C30160" w:rsidRPr="00CE0DE7" w14:paraId="6768AFF9" w14:textId="77777777" w:rsidTr="00C24E43">
        <w:trPr>
          <w:trHeight w:val="237"/>
        </w:trPr>
        <w:tc>
          <w:tcPr>
            <w:tcW w:w="717" w:type="pct"/>
            <w:vMerge/>
            <w:tcBorders>
              <w:top w:val="nil"/>
              <w:left w:val="nil"/>
              <w:bottom w:val="nil"/>
              <w:right w:val="single" w:sz="4" w:space="0" w:color="auto"/>
            </w:tcBorders>
            <w:vAlign w:val="center"/>
            <w:hideMark/>
          </w:tcPr>
          <w:p w14:paraId="3FA12C84" w14:textId="77777777" w:rsidR="00C30160" w:rsidRPr="00CE0DE7" w:rsidRDefault="00C30160" w:rsidP="00C24E43">
            <w:pPr>
              <w:rPr>
                <w:rFonts w:eastAsia="Times New Roman"/>
                <w:i/>
                <w:iCs/>
                <w:color w:val="000000"/>
                <w:sz w:val="20"/>
                <w:szCs w:val="20"/>
                <w:lang w:val="en-GB" w:eastAsia="zh-CN"/>
              </w:rPr>
            </w:pPr>
          </w:p>
        </w:tc>
        <w:tc>
          <w:tcPr>
            <w:tcW w:w="1321" w:type="pct"/>
            <w:tcBorders>
              <w:top w:val="nil"/>
              <w:left w:val="single" w:sz="4" w:space="0" w:color="auto"/>
              <w:bottom w:val="nil"/>
              <w:right w:val="single" w:sz="4" w:space="0" w:color="auto"/>
            </w:tcBorders>
            <w:shd w:val="clear" w:color="auto" w:fill="auto"/>
            <w:noWrap/>
            <w:vAlign w:val="center"/>
            <w:hideMark/>
          </w:tcPr>
          <w:p w14:paraId="253589A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40" w:type="pct"/>
            <w:tcBorders>
              <w:top w:val="nil"/>
              <w:left w:val="single" w:sz="4" w:space="0" w:color="auto"/>
              <w:bottom w:val="nil"/>
              <w:right w:val="nil"/>
            </w:tcBorders>
            <w:shd w:val="clear" w:color="auto" w:fill="auto"/>
            <w:noWrap/>
            <w:vAlign w:val="center"/>
            <w:hideMark/>
          </w:tcPr>
          <w:p w14:paraId="11EE093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0.0452</w:t>
            </w:r>
          </w:p>
        </w:tc>
        <w:tc>
          <w:tcPr>
            <w:tcW w:w="741" w:type="pct"/>
            <w:tcBorders>
              <w:top w:val="nil"/>
              <w:left w:val="nil"/>
              <w:bottom w:val="nil"/>
              <w:right w:val="single" w:sz="4" w:space="0" w:color="auto"/>
            </w:tcBorders>
            <w:shd w:val="clear" w:color="auto" w:fill="auto"/>
            <w:noWrap/>
            <w:vAlign w:val="center"/>
            <w:hideMark/>
          </w:tcPr>
          <w:p w14:paraId="73E40BA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0.0264</w:t>
            </w:r>
          </w:p>
        </w:tc>
        <w:tc>
          <w:tcPr>
            <w:tcW w:w="740" w:type="pct"/>
            <w:tcBorders>
              <w:top w:val="nil"/>
              <w:left w:val="single" w:sz="4" w:space="0" w:color="auto"/>
              <w:bottom w:val="nil"/>
              <w:right w:val="nil"/>
            </w:tcBorders>
            <w:shd w:val="clear" w:color="auto" w:fill="auto"/>
            <w:noWrap/>
            <w:vAlign w:val="center"/>
            <w:hideMark/>
          </w:tcPr>
          <w:p w14:paraId="0EA0A20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0.3686</w:t>
            </w:r>
          </w:p>
        </w:tc>
        <w:tc>
          <w:tcPr>
            <w:tcW w:w="741" w:type="pct"/>
            <w:tcBorders>
              <w:top w:val="nil"/>
              <w:left w:val="nil"/>
              <w:bottom w:val="nil"/>
              <w:right w:val="nil"/>
            </w:tcBorders>
            <w:shd w:val="clear" w:color="auto" w:fill="auto"/>
            <w:noWrap/>
            <w:vAlign w:val="center"/>
            <w:hideMark/>
          </w:tcPr>
          <w:p w14:paraId="4374803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0.7607</w:t>
            </w:r>
          </w:p>
        </w:tc>
      </w:tr>
      <w:tr w:rsidR="00C30160" w:rsidRPr="00CE0DE7" w14:paraId="17CEC936" w14:textId="77777777" w:rsidTr="00C24E43">
        <w:trPr>
          <w:trHeight w:val="237"/>
        </w:trPr>
        <w:tc>
          <w:tcPr>
            <w:tcW w:w="717" w:type="pct"/>
            <w:vMerge/>
            <w:tcBorders>
              <w:top w:val="nil"/>
              <w:left w:val="nil"/>
              <w:bottom w:val="nil"/>
              <w:right w:val="single" w:sz="4" w:space="0" w:color="auto"/>
            </w:tcBorders>
            <w:vAlign w:val="center"/>
            <w:hideMark/>
          </w:tcPr>
          <w:p w14:paraId="3633E16A" w14:textId="77777777" w:rsidR="00C30160" w:rsidRPr="00CE0DE7" w:rsidRDefault="00C30160" w:rsidP="00C24E43">
            <w:pPr>
              <w:rPr>
                <w:rFonts w:eastAsia="Times New Roman"/>
                <w:i/>
                <w:iCs/>
                <w:color w:val="000000"/>
                <w:sz w:val="20"/>
                <w:szCs w:val="20"/>
                <w:lang w:val="en-GB" w:eastAsia="zh-CN"/>
              </w:rPr>
            </w:pPr>
          </w:p>
        </w:tc>
        <w:tc>
          <w:tcPr>
            <w:tcW w:w="1321" w:type="pct"/>
            <w:tcBorders>
              <w:top w:val="nil"/>
              <w:left w:val="single" w:sz="4" w:space="0" w:color="auto"/>
              <w:bottom w:val="nil"/>
              <w:right w:val="single" w:sz="4" w:space="0" w:color="auto"/>
            </w:tcBorders>
            <w:shd w:val="clear" w:color="auto" w:fill="auto"/>
            <w:noWrap/>
            <w:vAlign w:val="center"/>
            <w:hideMark/>
          </w:tcPr>
          <w:p w14:paraId="7F5B5FF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40" w:type="pct"/>
            <w:tcBorders>
              <w:top w:val="nil"/>
              <w:left w:val="single" w:sz="4" w:space="0" w:color="auto"/>
              <w:bottom w:val="nil"/>
              <w:right w:val="nil"/>
            </w:tcBorders>
            <w:shd w:val="clear" w:color="auto" w:fill="auto"/>
            <w:noWrap/>
            <w:vAlign w:val="center"/>
            <w:hideMark/>
          </w:tcPr>
          <w:p w14:paraId="6F7CA8D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0.1471</w:t>
            </w:r>
          </w:p>
        </w:tc>
        <w:tc>
          <w:tcPr>
            <w:tcW w:w="741" w:type="pct"/>
            <w:tcBorders>
              <w:top w:val="nil"/>
              <w:left w:val="nil"/>
              <w:bottom w:val="nil"/>
              <w:right w:val="single" w:sz="4" w:space="0" w:color="auto"/>
            </w:tcBorders>
            <w:shd w:val="clear" w:color="auto" w:fill="auto"/>
            <w:noWrap/>
            <w:vAlign w:val="center"/>
            <w:hideMark/>
          </w:tcPr>
          <w:p w14:paraId="1C664FE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0.0503</w:t>
            </w:r>
          </w:p>
        </w:tc>
        <w:tc>
          <w:tcPr>
            <w:tcW w:w="740" w:type="pct"/>
            <w:tcBorders>
              <w:top w:val="nil"/>
              <w:left w:val="single" w:sz="4" w:space="0" w:color="auto"/>
              <w:bottom w:val="nil"/>
              <w:right w:val="nil"/>
            </w:tcBorders>
            <w:shd w:val="clear" w:color="auto" w:fill="auto"/>
            <w:noWrap/>
            <w:vAlign w:val="center"/>
            <w:hideMark/>
          </w:tcPr>
          <w:p w14:paraId="1C13CD8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0.1276</w:t>
            </w:r>
          </w:p>
        </w:tc>
        <w:tc>
          <w:tcPr>
            <w:tcW w:w="741" w:type="pct"/>
            <w:tcBorders>
              <w:top w:val="nil"/>
              <w:left w:val="nil"/>
              <w:bottom w:val="nil"/>
              <w:right w:val="nil"/>
            </w:tcBorders>
            <w:shd w:val="clear" w:color="auto" w:fill="auto"/>
            <w:noWrap/>
            <w:vAlign w:val="center"/>
            <w:hideMark/>
          </w:tcPr>
          <w:p w14:paraId="3EC1470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0.7374</w:t>
            </w:r>
          </w:p>
        </w:tc>
      </w:tr>
      <w:tr w:rsidR="00C30160" w:rsidRPr="00CE0DE7" w14:paraId="3DBBB45C" w14:textId="77777777" w:rsidTr="00C24E43">
        <w:trPr>
          <w:trHeight w:val="237"/>
        </w:trPr>
        <w:tc>
          <w:tcPr>
            <w:tcW w:w="717" w:type="pct"/>
            <w:vMerge/>
            <w:tcBorders>
              <w:top w:val="nil"/>
              <w:left w:val="nil"/>
              <w:bottom w:val="single" w:sz="4" w:space="0" w:color="auto"/>
              <w:right w:val="single" w:sz="4" w:space="0" w:color="auto"/>
            </w:tcBorders>
            <w:vAlign w:val="center"/>
            <w:hideMark/>
          </w:tcPr>
          <w:p w14:paraId="7309E525" w14:textId="77777777" w:rsidR="00C30160" w:rsidRPr="00CE0DE7" w:rsidRDefault="00C30160" w:rsidP="00C24E43">
            <w:pPr>
              <w:rPr>
                <w:rFonts w:eastAsia="Times New Roman"/>
                <w:i/>
                <w:iCs/>
                <w:color w:val="000000"/>
                <w:sz w:val="20"/>
                <w:szCs w:val="20"/>
                <w:lang w:val="en-GB" w:eastAsia="zh-CN"/>
              </w:rPr>
            </w:pPr>
          </w:p>
        </w:tc>
        <w:tc>
          <w:tcPr>
            <w:tcW w:w="1321" w:type="pct"/>
            <w:tcBorders>
              <w:top w:val="nil"/>
              <w:left w:val="single" w:sz="4" w:space="0" w:color="auto"/>
              <w:bottom w:val="single" w:sz="4" w:space="0" w:color="auto"/>
              <w:right w:val="single" w:sz="4" w:space="0" w:color="auto"/>
            </w:tcBorders>
            <w:shd w:val="clear" w:color="auto" w:fill="auto"/>
            <w:noWrap/>
            <w:vAlign w:val="center"/>
            <w:hideMark/>
          </w:tcPr>
          <w:p w14:paraId="5DA8B60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40" w:type="pct"/>
            <w:tcBorders>
              <w:top w:val="nil"/>
              <w:left w:val="single" w:sz="4" w:space="0" w:color="auto"/>
              <w:bottom w:val="single" w:sz="4" w:space="0" w:color="auto"/>
              <w:right w:val="nil"/>
            </w:tcBorders>
            <w:shd w:val="clear" w:color="auto" w:fill="auto"/>
            <w:noWrap/>
            <w:vAlign w:val="center"/>
            <w:hideMark/>
          </w:tcPr>
          <w:p w14:paraId="2C5CE31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0.2952</w:t>
            </w:r>
          </w:p>
        </w:tc>
        <w:tc>
          <w:tcPr>
            <w:tcW w:w="741" w:type="pct"/>
            <w:tcBorders>
              <w:top w:val="nil"/>
              <w:left w:val="nil"/>
              <w:bottom w:val="single" w:sz="4" w:space="0" w:color="auto"/>
              <w:right w:val="single" w:sz="4" w:space="0" w:color="auto"/>
            </w:tcBorders>
            <w:shd w:val="clear" w:color="auto" w:fill="auto"/>
            <w:noWrap/>
            <w:vAlign w:val="center"/>
            <w:hideMark/>
          </w:tcPr>
          <w:p w14:paraId="027FF4E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0.0319</w:t>
            </w:r>
          </w:p>
        </w:tc>
        <w:tc>
          <w:tcPr>
            <w:tcW w:w="740" w:type="pct"/>
            <w:tcBorders>
              <w:top w:val="nil"/>
              <w:left w:val="single" w:sz="4" w:space="0" w:color="auto"/>
              <w:bottom w:val="single" w:sz="4" w:space="0" w:color="auto"/>
              <w:right w:val="nil"/>
            </w:tcBorders>
            <w:shd w:val="clear" w:color="auto" w:fill="auto"/>
            <w:noWrap/>
            <w:vAlign w:val="center"/>
            <w:hideMark/>
          </w:tcPr>
          <w:p w14:paraId="01E3AAE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0.1353</w:t>
            </w:r>
          </w:p>
        </w:tc>
        <w:tc>
          <w:tcPr>
            <w:tcW w:w="741" w:type="pct"/>
            <w:tcBorders>
              <w:top w:val="nil"/>
              <w:left w:val="nil"/>
              <w:bottom w:val="single" w:sz="4" w:space="0" w:color="auto"/>
              <w:right w:val="nil"/>
            </w:tcBorders>
            <w:shd w:val="clear" w:color="auto" w:fill="auto"/>
            <w:noWrap/>
            <w:vAlign w:val="center"/>
            <w:hideMark/>
          </w:tcPr>
          <w:p w14:paraId="161EFC2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0.8021</w:t>
            </w:r>
          </w:p>
        </w:tc>
      </w:tr>
      <w:tr w:rsidR="00C30160" w:rsidRPr="00CE0DE7" w14:paraId="4DEEC64E" w14:textId="77777777" w:rsidTr="00C24E43">
        <w:trPr>
          <w:trHeight w:val="237"/>
        </w:trPr>
        <w:tc>
          <w:tcPr>
            <w:tcW w:w="717" w:type="pct"/>
            <w:vMerge w:val="restart"/>
            <w:tcBorders>
              <w:top w:val="single" w:sz="4" w:space="0" w:color="auto"/>
              <w:left w:val="nil"/>
              <w:bottom w:val="nil"/>
              <w:right w:val="single" w:sz="4" w:space="0" w:color="auto"/>
            </w:tcBorders>
            <w:shd w:val="clear" w:color="auto" w:fill="auto"/>
            <w:noWrap/>
            <w:vAlign w:val="center"/>
            <w:hideMark/>
          </w:tcPr>
          <w:p w14:paraId="650303FB"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HML</w:t>
            </w:r>
          </w:p>
        </w:tc>
        <w:tc>
          <w:tcPr>
            <w:tcW w:w="1321" w:type="pct"/>
            <w:tcBorders>
              <w:top w:val="single" w:sz="4" w:space="0" w:color="auto"/>
              <w:left w:val="single" w:sz="4" w:space="0" w:color="auto"/>
              <w:bottom w:val="nil"/>
              <w:right w:val="single" w:sz="4" w:space="0" w:color="auto"/>
            </w:tcBorders>
            <w:shd w:val="clear" w:color="auto" w:fill="auto"/>
            <w:noWrap/>
            <w:vAlign w:val="center"/>
            <w:hideMark/>
          </w:tcPr>
          <w:p w14:paraId="3FBCA4A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40" w:type="pct"/>
            <w:tcBorders>
              <w:top w:val="single" w:sz="4" w:space="0" w:color="auto"/>
              <w:left w:val="single" w:sz="4" w:space="0" w:color="auto"/>
              <w:bottom w:val="nil"/>
              <w:right w:val="nil"/>
            </w:tcBorders>
            <w:shd w:val="clear" w:color="auto" w:fill="auto"/>
            <w:noWrap/>
            <w:vAlign w:val="center"/>
            <w:hideMark/>
          </w:tcPr>
          <w:p w14:paraId="430566C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0.2849</w:t>
            </w:r>
          </w:p>
        </w:tc>
        <w:tc>
          <w:tcPr>
            <w:tcW w:w="741" w:type="pct"/>
            <w:tcBorders>
              <w:top w:val="single" w:sz="4" w:space="0" w:color="auto"/>
              <w:left w:val="nil"/>
              <w:bottom w:val="nil"/>
              <w:right w:val="single" w:sz="4" w:space="0" w:color="auto"/>
            </w:tcBorders>
            <w:shd w:val="clear" w:color="auto" w:fill="auto"/>
            <w:noWrap/>
            <w:vAlign w:val="center"/>
            <w:hideMark/>
          </w:tcPr>
          <w:p w14:paraId="4145689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0.3456</w:t>
            </w:r>
          </w:p>
        </w:tc>
        <w:tc>
          <w:tcPr>
            <w:tcW w:w="740" w:type="pct"/>
            <w:tcBorders>
              <w:top w:val="single" w:sz="4" w:space="0" w:color="auto"/>
              <w:left w:val="single" w:sz="4" w:space="0" w:color="auto"/>
              <w:bottom w:val="nil"/>
              <w:right w:val="nil"/>
            </w:tcBorders>
            <w:shd w:val="clear" w:color="auto" w:fill="auto"/>
            <w:noWrap/>
            <w:vAlign w:val="center"/>
            <w:hideMark/>
          </w:tcPr>
          <w:p w14:paraId="1EC94EF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0.0389</w:t>
            </w:r>
          </w:p>
        </w:tc>
        <w:tc>
          <w:tcPr>
            <w:tcW w:w="741" w:type="pct"/>
            <w:tcBorders>
              <w:top w:val="single" w:sz="4" w:space="0" w:color="auto"/>
              <w:left w:val="nil"/>
              <w:bottom w:val="nil"/>
              <w:right w:val="nil"/>
            </w:tcBorders>
            <w:shd w:val="clear" w:color="auto" w:fill="auto"/>
            <w:noWrap/>
            <w:vAlign w:val="center"/>
            <w:hideMark/>
          </w:tcPr>
          <w:p w14:paraId="2BE6BD0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0.2644</w:t>
            </w:r>
          </w:p>
        </w:tc>
      </w:tr>
      <w:tr w:rsidR="00C30160" w:rsidRPr="00CE0DE7" w14:paraId="2BA34F15" w14:textId="77777777" w:rsidTr="00C24E43">
        <w:trPr>
          <w:trHeight w:val="237"/>
        </w:trPr>
        <w:tc>
          <w:tcPr>
            <w:tcW w:w="717" w:type="pct"/>
            <w:vMerge/>
            <w:tcBorders>
              <w:top w:val="nil"/>
              <w:left w:val="nil"/>
              <w:bottom w:val="nil"/>
              <w:right w:val="single" w:sz="4" w:space="0" w:color="auto"/>
            </w:tcBorders>
            <w:vAlign w:val="center"/>
            <w:hideMark/>
          </w:tcPr>
          <w:p w14:paraId="5C3A757A" w14:textId="77777777" w:rsidR="00C30160" w:rsidRPr="00CE0DE7" w:rsidRDefault="00C30160" w:rsidP="00C24E43">
            <w:pPr>
              <w:rPr>
                <w:rFonts w:eastAsia="Times New Roman"/>
                <w:i/>
                <w:iCs/>
                <w:color w:val="000000"/>
                <w:sz w:val="20"/>
                <w:szCs w:val="20"/>
                <w:lang w:val="en-GB" w:eastAsia="zh-CN"/>
              </w:rPr>
            </w:pPr>
          </w:p>
        </w:tc>
        <w:tc>
          <w:tcPr>
            <w:tcW w:w="1321" w:type="pct"/>
            <w:tcBorders>
              <w:top w:val="nil"/>
              <w:left w:val="single" w:sz="4" w:space="0" w:color="auto"/>
              <w:bottom w:val="nil"/>
              <w:right w:val="single" w:sz="4" w:space="0" w:color="auto"/>
            </w:tcBorders>
            <w:shd w:val="clear" w:color="auto" w:fill="auto"/>
            <w:noWrap/>
            <w:vAlign w:val="center"/>
            <w:hideMark/>
          </w:tcPr>
          <w:p w14:paraId="49B9ACA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40" w:type="pct"/>
            <w:tcBorders>
              <w:top w:val="nil"/>
              <w:left w:val="single" w:sz="4" w:space="0" w:color="auto"/>
              <w:bottom w:val="nil"/>
              <w:right w:val="nil"/>
            </w:tcBorders>
            <w:shd w:val="clear" w:color="auto" w:fill="auto"/>
            <w:noWrap/>
            <w:vAlign w:val="center"/>
            <w:hideMark/>
          </w:tcPr>
          <w:p w14:paraId="73223D24"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0.2090</w:t>
            </w:r>
          </w:p>
        </w:tc>
        <w:tc>
          <w:tcPr>
            <w:tcW w:w="741" w:type="pct"/>
            <w:tcBorders>
              <w:top w:val="nil"/>
              <w:left w:val="nil"/>
              <w:bottom w:val="nil"/>
              <w:right w:val="single" w:sz="4" w:space="0" w:color="auto"/>
            </w:tcBorders>
            <w:shd w:val="clear" w:color="auto" w:fill="auto"/>
            <w:noWrap/>
            <w:vAlign w:val="center"/>
            <w:hideMark/>
          </w:tcPr>
          <w:p w14:paraId="0390752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0.1842</w:t>
            </w:r>
          </w:p>
        </w:tc>
        <w:tc>
          <w:tcPr>
            <w:tcW w:w="740" w:type="pct"/>
            <w:tcBorders>
              <w:top w:val="nil"/>
              <w:left w:val="single" w:sz="4" w:space="0" w:color="auto"/>
              <w:bottom w:val="nil"/>
              <w:right w:val="nil"/>
            </w:tcBorders>
            <w:shd w:val="clear" w:color="auto" w:fill="auto"/>
            <w:noWrap/>
            <w:vAlign w:val="center"/>
            <w:hideMark/>
          </w:tcPr>
          <w:p w14:paraId="57EC3D2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0.0367</w:t>
            </w:r>
          </w:p>
        </w:tc>
        <w:tc>
          <w:tcPr>
            <w:tcW w:w="741" w:type="pct"/>
            <w:tcBorders>
              <w:top w:val="nil"/>
              <w:left w:val="nil"/>
              <w:bottom w:val="nil"/>
              <w:right w:val="nil"/>
            </w:tcBorders>
            <w:shd w:val="clear" w:color="auto" w:fill="auto"/>
            <w:noWrap/>
            <w:vAlign w:val="center"/>
            <w:hideMark/>
          </w:tcPr>
          <w:p w14:paraId="1CF2DA0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0.2774</w:t>
            </w:r>
          </w:p>
        </w:tc>
      </w:tr>
      <w:tr w:rsidR="00C30160" w:rsidRPr="00CE0DE7" w14:paraId="308A8563" w14:textId="77777777" w:rsidTr="00C24E43">
        <w:trPr>
          <w:trHeight w:val="237"/>
        </w:trPr>
        <w:tc>
          <w:tcPr>
            <w:tcW w:w="717" w:type="pct"/>
            <w:vMerge/>
            <w:tcBorders>
              <w:top w:val="nil"/>
              <w:left w:val="nil"/>
              <w:bottom w:val="nil"/>
              <w:right w:val="single" w:sz="4" w:space="0" w:color="auto"/>
            </w:tcBorders>
            <w:vAlign w:val="center"/>
            <w:hideMark/>
          </w:tcPr>
          <w:p w14:paraId="331D9ADE" w14:textId="77777777" w:rsidR="00C30160" w:rsidRPr="00CE0DE7" w:rsidRDefault="00C30160" w:rsidP="00C24E43">
            <w:pPr>
              <w:rPr>
                <w:rFonts w:eastAsia="Times New Roman"/>
                <w:i/>
                <w:iCs/>
                <w:color w:val="000000"/>
                <w:sz w:val="20"/>
                <w:szCs w:val="20"/>
                <w:lang w:val="en-GB" w:eastAsia="zh-CN"/>
              </w:rPr>
            </w:pPr>
          </w:p>
        </w:tc>
        <w:tc>
          <w:tcPr>
            <w:tcW w:w="1321" w:type="pct"/>
            <w:tcBorders>
              <w:top w:val="nil"/>
              <w:left w:val="single" w:sz="4" w:space="0" w:color="auto"/>
              <w:bottom w:val="nil"/>
              <w:right w:val="single" w:sz="4" w:space="0" w:color="auto"/>
            </w:tcBorders>
            <w:shd w:val="clear" w:color="auto" w:fill="auto"/>
            <w:noWrap/>
            <w:vAlign w:val="center"/>
            <w:hideMark/>
          </w:tcPr>
          <w:p w14:paraId="11CB000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40" w:type="pct"/>
            <w:tcBorders>
              <w:top w:val="nil"/>
              <w:left w:val="single" w:sz="4" w:space="0" w:color="auto"/>
              <w:bottom w:val="nil"/>
              <w:right w:val="nil"/>
            </w:tcBorders>
            <w:shd w:val="clear" w:color="auto" w:fill="auto"/>
            <w:noWrap/>
            <w:vAlign w:val="center"/>
            <w:hideMark/>
          </w:tcPr>
          <w:p w14:paraId="33CBF98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0.2063</w:t>
            </w:r>
          </w:p>
        </w:tc>
        <w:tc>
          <w:tcPr>
            <w:tcW w:w="741" w:type="pct"/>
            <w:tcBorders>
              <w:top w:val="nil"/>
              <w:left w:val="nil"/>
              <w:bottom w:val="nil"/>
              <w:right w:val="single" w:sz="4" w:space="0" w:color="auto"/>
            </w:tcBorders>
            <w:shd w:val="clear" w:color="auto" w:fill="auto"/>
            <w:noWrap/>
            <w:vAlign w:val="center"/>
            <w:hideMark/>
          </w:tcPr>
          <w:p w14:paraId="3330C81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0.3170</w:t>
            </w:r>
          </w:p>
        </w:tc>
        <w:tc>
          <w:tcPr>
            <w:tcW w:w="740" w:type="pct"/>
            <w:tcBorders>
              <w:top w:val="nil"/>
              <w:left w:val="single" w:sz="4" w:space="0" w:color="auto"/>
              <w:bottom w:val="nil"/>
              <w:right w:val="nil"/>
            </w:tcBorders>
            <w:shd w:val="clear" w:color="auto" w:fill="auto"/>
            <w:noWrap/>
            <w:vAlign w:val="center"/>
            <w:hideMark/>
          </w:tcPr>
          <w:p w14:paraId="7178496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0.0254</w:t>
            </w:r>
          </w:p>
        </w:tc>
        <w:tc>
          <w:tcPr>
            <w:tcW w:w="741" w:type="pct"/>
            <w:tcBorders>
              <w:top w:val="nil"/>
              <w:left w:val="nil"/>
              <w:bottom w:val="nil"/>
              <w:right w:val="nil"/>
            </w:tcBorders>
            <w:shd w:val="clear" w:color="auto" w:fill="auto"/>
            <w:noWrap/>
            <w:vAlign w:val="center"/>
            <w:hideMark/>
          </w:tcPr>
          <w:p w14:paraId="2EA5FA9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0.4163</w:t>
            </w:r>
          </w:p>
        </w:tc>
      </w:tr>
      <w:tr w:rsidR="00C30160" w:rsidRPr="00CE0DE7" w14:paraId="3E279E8E" w14:textId="77777777" w:rsidTr="00C24E43">
        <w:trPr>
          <w:trHeight w:val="237"/>
        </w:trPr>
        <w:tc>
          <w:tcPr>
            <w:tcW w:w="717" w:type="pct"/>
            <w:vMerge/>
            <w:tcBorders>
              <w:top w:val="nil"/>
              <w:left w:val="nil"/>
              <w:bottom w:val="nil"/>
              <w:right w:val="single" w:sz="4" w:space="0" w:color="auto"/>
            </w:tcBorders>
            <w:vAlign w:val="center"/>
            <w:hideMark/>
          </w:tcPr>
          <w:p w14:paraId="4D2BF258" w14:textId="77777777" w:rsidR="00C30160" w:rsidRPr="00CE0DE7" w:rsidRDefault="00C30160" w:rsidP="00C24E43">
            <w:pPr>
              <w:rPr>
                <w:rFonts w:eastAsia="Times New Roman"/>
                <w:i/>
                <w:iCs/>
                <w:color w:val="000000"/>
                <w:sz w:val="20"/>
                <w:szCs w:val="20"/>
                <w:lang w:val="en-GB" w:eastAsia="zh-CN"/>
              </w:rPr>
            </w:pPr>
          </w:p>
        </w:tc>
        <w:tc>
          <w:tcPr>
            <w:tcW w:w="1321" w:type="pct"/>
            <w:tcBorders>
              <w:top w:val="nil"/>
              <w:left w:val="single" w:sz="4" w:space="0" w:color="auto"/>
              <w:bottom w:val="nil"/>
              <w:right w:val="single" w:sz="4" w:space="0" w:color="auto"/>
            </w:tcBorders>
            <w:shd w:val="clear" w:color="auto" w:fill="auto"/>
            <w:noWrap/>
            <w:vAlign w:val="center"/>
            <w:hideMark/>
          </w:tcPr>
          <w:p w14:paraId="29FCE97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40" w:type="pct"/>
            <w:tcBorders>
              <w:top w:val="nil"/>
              <w:left w:val="single" w:sz="4" w:space="0" w:color="auto"/>
              <w:bottom w:val="nil"/>
              <w:right w:val="nil"/>
            </w:tcBorders>
            <w:shd w:val="clear" w:color="auto" w:fill="auto"/>
            <w:noWrap/>
            <w:vAlign w:val="center"/>
            <w:hideMark/>
          </w:tcPr>
          <w:p w14:paraId="66956FB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0.2495</w:t>
            </w:r>
          </w:p>
        </w:tc>
        <w:tc>
          <w:tcPr>
            <w:tcW w:w="741" w:type="pct"/>
            <w:tcBorders>
              <w:top w:val="nil"/>
              <w:left w:val="nil"/>
              <w:bottom w:val="nil"/>
              <w:right w:val="single" w:sz="4" w:space="0" w:color="auto"/>
            </w:tcBorders>
            <w:shd w:val="clear" w:color="auto" w:fill="auto"/>
            <w:noWrap/>
            <w:vAlign w:val="center"/>
            <w:hideMark/>
          </w:tcPr>
          <w:p w14:paraId="0DEBB87E"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0.5454</w:t>
            </w:r>
          </w:p>
        </w:tc>
        <w:tc>
          <w:tcPr>
            <w:tcW w:w="740" w:type="pct"/>
            <w:tcBorders>
              <w:top w:val="nil"/>
              <w:left w:val="single" w:sz="4" w:space="0" w:color="auto"/>
              <w:bottom w:val="nil"/>
              <w:right w:val="nil"/>
            </w:tcBorders>
            <w:shd w:val="clear" w:color="auto" w:fill="auto"/>
            <w:noWrap/>
            <w:vAlign w:val="center"/>
            <w:hideMark/>
          </w:tcPr>
          <w:p w14:paraId="27117AA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0.0262</w:t>
            </w:r>
          </w:p>
        </w:tc>
        <w:tc>
          <w:tcPr>
            <w:tcW w:w="741" w:type="pct"/>
            <w:tcBorders>
              <w:top w:val="nil"/>
              <w:left w:val="nil"/>
              <w:bottom w:val="nil"/>
              <w:right w:val="nil"/>
            </w:tcBorders>
            <w:shd w:val="clear" w:color="auto" w:fill="auto"/>
            <w:noWrap/>
            <w:vAlign w:val="center"/>
            <w:hideMark/>
          </w:tcPr>
          <w:p w14:paraId="649B8AC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0.9441</w:t>
            </w:r>
          </w:p>
        </w:tc>
      </w:tr>
      <w:tr w:rsidR="00C30160" w:rsidRPr="00CE0DE7" w14:paraId="00843FFE" w14:textId="77777777" w:rsidTr="00C24E43">
        <w:trPr>
          <w:trHeight w:val="237"/>
        </w:trPr>
        <w:tc>
          <w:tcPr>
            <w:tcW w:w="717" w:type="pct"/>
            <w:vMerge/>
            <w:tcBorders>
              <w:top w:val="nil"/>
              <w:left w:val="nil"/>
              <w:bottom w:val="single" w:sz="4" w:space="0" w:color="auto"/>
              <w:right w:val="single" w:sz="4" w:space="0" w:color="auto"/>
            </w:tcBorders>
            <w:vAlign w:val="center"/>
            <w:hideMark/>
          </w:tcPr>
          <w:p w14:paraId="10FA7226" w14:textId="77777777" w:rsidR="00C30160" w:rsidRPr="00CE0DE7" w:rsidRDefault="00C30160" w:rsidP="00C24E43">
            <w:pPr>
              <w:rPr>
                <w:rFonts w:eastAsia="Times New Roman"/>
                <w:i/>
                <w:iCs/>
                <w:color w:val="000000"/>
                <w:sz w:val="20"/>
                <w:szCs w:val="20"/>
                <w:lang w:val="en-GB" w:eastAsia="zh-CN"/>
              </w:rPr>
            </w:pPr>
          </w:p>
        </w:tc>
        <w:tc>
          <w:tcPr>
            <w:tcW w:w="1321" w:type="pct"/>
            <w:tcBorders>
              <w:top w:val="nil"/>
              <w:left w:val="single" w:sz="4" w:space="0" w:color="auto"/>
              <w:bottom w:val="single" w:sz="4" w:space="0" w:color="auto"/>
              <w:right w:val="single" w:sz="4" w:space="0" w:color="auto"/>
            </w:tcBorders>
            <w:shd w:val="clear" w:color="auto" w:fill="auto"/>
            <w:noWrap/>
            <w:vAlign w:val="center"/>
            <w:hideMark/>
          </w:tcPr>
          <w:p w14:paraId="72F9D6F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40" w:type="pct"/>
            <w:tcBorders>
              <w:top w:val="nil"/>
              <w:left w:val="single" w:sz="4" w:space="0" w:color="auto"/>
              <w:bottom w:val="single" w:sz="4" w:space="0" w:color="auto"/>
              <w:right w:val="nil"/>
            </w:tcBorders>
            <w:shd w:val="clear" w:color="auto" w:fill="auto"/>
            <w:noWrap/>
            <w:vAlign w:val="center"/>
            <w:hideMark/>
          </w:tcPr>
          <w:p w14:paraId="75B9E18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0.3372</w:t>
            </w:r>
          </w:p>
        </w:tc>
        <w:tc>
          <w:tcPr>
            <w:tcW w:w="741" w:type="pct"/>
            <w:tcBorders>
              <w:top w:val="nil"/>
              <w:left w:val="nil"/>
              <w:bottom w:val="single" w:sz="4" w:space="0" w:color="auto"/>
              <w:right w:val="single" w:sz="4" w:space="0" w:color="auto"/>
            </w:tcBorders>
            <w:shd w:val="clear" w:color="auto" w:fill="auto"/>
            <w:noWrap/>
            <w:vAlign w:val="center"/>
            <w:hideMark/>
          </w:tcPr>
          <w:p w14:paraId="770D0F3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0.7987</w:t>
            </w:r>
          </w:p>
        </w:tc>
        <w:tc>
          <w:tcPr>
            <w:tcW w:w="740" w:type="pct"/>
            <w:tcBorders>
              <w:top w:val="nil"/>
              <w:left w:val="single" w:sz="4" w:space="0" w:color="auto"/>
              <w:bottom w:val="single" w:sz="4" w:space="0" w:color="auto"/>
              <w:right w:val="nil"/>
            </w:tcBorders>
            <w:shd w:val="clear" w:color="auto" w:fill="auto"/>
            <w:noWrap/>
            <w:vAlign w:val="center"/>
            <w:hideMark/>
          </w:tcPr>
          <w:p w14:paraId="4B0DACD6"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0.0329</w:t>
            </w:r>
          </w:p>
        </w:tc>
        <w:tc>
          <w:tcPr>
            <w:tcW w:w="741" w:type="pct"/>
            <w:tcBorders>
              <w:top w:val="nil"/>
              <w:left w:val="nil"/>
              <w:bottom w:val="single" w:sz="4" w:space="0" w:color="auto"/>
              <w:right w:val="nil"/>
            </w:tcBorders>
            <w:shd w:val="clear" w:color="auto" w:fill="auto"/>
            <w:noWrap/>
            <w:vAlign w:val="center"/>
            <w:hideMark/>
          </w:tcPr>
          <w:p w14:paraId="66AC715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0.8979</w:t>
            </w:r>
          </w:p>
        </w:tc>
      </w:tr>
      <w:tr w:rsidR="00C30160" w:rsidRPr="00CE0DE7" w14:paraId="6198E1AC" w14:textId="77777777" w:rsidTr="00C24E43">
        <w:trPr>
          <w:trHeight w:val="237"/>
        </w:trPr>
        <w:tc>
          <w:tcPr>
            <w:tcW w:w="717" w:type="pct"/>
            <w:vMerge w:val="restart"/>
            <w:tcBorders>
              <w:top w:val="single" w:sz="4" w:space="0" w:color="auto"/>
              <w:left w:val="nil"/>
              <w:bottom w:val="nil"/>
              <w:right w:val="single" w:sz="4" w:space="0" w:color="auto"/>
            </w:tcBorders>
            <w:shd w:val="clear" w:color="auto" w:fill="auto"/>
            <w:noWrap/>
            <w:vAlign w:val="center"/>
            <w:hideMark/>
          </w:tcPr>
          <w:p w14:paraId="6C97A7A5" w14:textId="77777777" w:rsidR="00C30160" w:rsidRPr="00CE0DE7" w:rsidRDefault="00C30160" w:rsidP="00C24E43">
            <w:pPr>
              <w:jc w:val="center"/>
              <w:rPr>
                <w:rFonts w:eastAsia="Times New Roman"/>
                <w:i/>
                <w:iCs/>
                <w:color w:val="000000"/>
                <w:sz w:val="20"/>
                <w:szCs w:val="20"/>
                <w:lang w:val="en-GB" w:eastAsia="zh-CN"/>
              </w:rPr>
            </w:pPr>
            <w:r w:rsidRPr="00CE0DE7">
              <w:rPr>
                <w:rFonts w:eastAsia="Times New Roman"/>
                <w:i/>
                <w:iCs/>
                <w:color w:val="000000"/>
                <w:sz w:val="20"/>
                <w:szCs w:val="20"/>
                <w:lang w:val="en-GB" w:eastAsia="zh-CN"/>
              </w:rPr>
              <w:t>MOM</w:t>
            </w:r>
          </w:p>
        </w:tc>
        <w:tc>
          <w:tcPr>
            <w:tcW w:w="1321" w:type="pct"/>
            <w:tcBorders>
              <w:top w:val="single" w:sz="4" w:space="0" w:color="auto"/>
              <w:left w:val="single" w:sz="4" w:space="0" w:color="auto"/>
              <w:bottom w:val="nil"/>
              <w:right w:val="single" w:sz="4" w:space="0" w:color="auto"/>
            </w:tcBorders>
            <w:shd w:val="clear" w:color="auto" w:fill="auto"/>
            <w:noWrap/>
            <w:vAlign w:val="center"/>
            <w:hideMark/>
          </w:tcPr>
          <w:p w14:paraId="110763E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1990-2018</w:t>
            </w:r>
          </w:p>
        </w:tc>
        <w:tc>
          <w:tcPr>
            <w:tcW w:w="740" w:type="pct"/>
            <w:tcBorders>
              <w:top w:val="single" w:sz="4" w:space="0" w:color="auto"/>
              <w:left w:val="single" w:sz="4" w:space="0" w:color="auto"/>
              <w:bottom w:val="nil"/>
              <w:right w:val="nil"/>
            </w:tcBorders>
            <w:shd w:val="clear" w:color="auto" w:fill="auto"/>
            <w:noWrap/>
            <w:vAlign w:val="center"/>
            <w:hideMark/>
          </w:tcPr>
          <w:p w14:paraId="638F3BD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0.5427</w:t>
            </w:r>
          </w:p>
        </w:tc>
        <w:tc>
          <w:tcPr>
            <w:tcW w:w="741" w:type="pct"/>
            <w:tcBorders>
              <w:top w:val="single" w:sz="4" w:space="0" w:color="auto"/>
              <w:left w:val="nil"/>
              <w:bottom w:val="nil"/>
              <w:right w:val="single" w:sz="4" w:space="0" w:color="auto"/>
            </w:tcBorders>
            <w:shd w:val="clear" w:color="auto" w:fill="auto"/>
            <w:noWrap/>
            <w:vAlign w:val="center"/>
            <w:hideMark/>
          </w:tcPr>
          <w:p w14:paraId="08F7EBD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top w:val="single" w:sz="4" w:space="0" w:color="auto"/>
              <w:left w:val="single" w:sz="4" w:space="0" w:color="auto"/>
              <w:bottom w:val="nil"/>
              <w:right w:val="nil"/>
            </w:tcBorders>
            <w:shd w:val="clear" w:color="auto" w:fill="auto"/>
            <w:noWrap/>
            <w:vAlign w:val="center"/>
            <w:hideMark/>
          </w:tcPr>
          <w:p w14:paraId="2A207D0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0.6216</w:t>
            </w:r>
          </w:p>
        </w:tc>
        <w:tc>
          <w:tcPr>
            <w:tcW w:w="741" w:type="pct"/>
            <w:tcBorders>
              <w:top w:val="single" w:sz="4" w:space="0" w:color="auto"/>
              <w:left w:val="nil"/>
              <w:bottom w:val="nil"/>
              <w:right w:val="nil"/>
            </w:tcBorders>
            <w:shd w:val="clear" w:color="auto" w:fill="auto"/>
            <w:noWrap/>
            <w:vAlign w:val="center"/>
            <w:hideMark/>
          </w:tcPr>
          <w:p w14:paraId="3B69B6D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0A7607DD" w14:textId="77777777" w:rsidTr="00C24E43">
        <w:trPr>
          <w:trHeight w:val="237"/>
        </w:trPr>
        <w:tc>
          <w:tcPr>
            <w:tcW w:w="717" w:type="pct"/>
            <w:vMerge/>
            <w:tcBorders>
              <w:top w:val="nil"/>
              <w:left w:val="nil"/>
              <w:bottom w:val="nil"/>
              <w:right w:val="single" w:sz="4" w:space="0" w:color="auto"/>
            </w:tcBorders>
            <w:vAlign w:val="center"/>
            <w:hideMark/>
          </w:tcPr>
          <w:p w14:paraId="411675D3" w14:textId="77777777" w:rsidR="00C30160" w:rsidRPr="00CE0DE7" w:rsidRDefault="00C30160" w:rsidP="00C24E43">
            <w:pPr>
              <w:rPr>
                <w:rFonts w:eastAsia="Times New Roman"/>
                <w:i/>
                <w:iCs/>
                <w:color w:val="000000"/>
                <w:sz w:val="20"/>
                <w:szCs w:val="20"/>
                <w:lang w:val="en-GB" w:eastAsia="zh-CN"/>
              </w:rPr>
            </w:pPr>
          </w:p>
        </w:tc>
        <w:tc>
          <w:tcPr>
            <w:tcW w:w="1321" w:type="pct"/>
            <w:tcBorders>
              <w:top w:val="nil"/>
              <w:left w:val="single" w:sz="4" w:space="0" w:color="auto"/>
              <w:bottom w:val="nil"/>
              <w:right w:val="single" w:sz="4" w:space="0" w:color="auto"/>
            </w:tcBorders>
            <w:shd w:val="clear" w:color="auto" w:fill="auto"/>
            <w:noWrap/>
            <w:vAlign w:val="center"/>
            <w:hideMark/>
          </w:tcPr>
          <w:p w14:paraId="15B3008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1990-2012</w:t>
            </w:r>
          </w:p>
        </w:tc>
        <w:tc>
          <w:tcPr>
            <w:tcW w:w="740" w:type="pct"/>
            <w:tcBorders>
              <w:top w:val="nil"/>
              <w:left w:val="single" w:sz="4" w:space="0" w:color="auto"/>
              <w:bottom w:val="nil"/>
              <w:right w:val="nil"/>
            </w:tcBorders>
            <w:shd w:val="clear" w:color="auto" w:fill="auto"/>
            <w:noWrap/>
            <w:vAlign w:val="center"/>
            <w:hideMark/>
          </w:tcPr>
          <w:p w14:paraId="0F285C4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0.5248</w:t>
            </w:r>
          </w:p>
        </w:tc>
        <w:tc>
          <w:tcPr>
            <w:tcW w:w="741" w:type="pct"/>
            <w:tcBorders>
              <w:top w:val="nil"/>
              <w:left w:val="nil"/>
              <w:bottom w:val="nil"/>
              <w:right w:val="single" w:sz="4" w:space="0" w:color="auto"/>
            </w:tcBorders>
            <w:shd w:val="clear" w:color="auto" w:fill="auto"/>
            <w:noWrap/>
            <w:vAlign w:val="center"/>
            <w:hideMark/>
          </w:tcPr>
          <w:p w14:paraId="1A69588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top w:val="nil"/>
              <w:left w:val="single" w:sz="4" w:space="0" w:color="auto"/>
              <w:bottom w:val="nil"/>
              <w:right w:val="nil"/>
            </w:tcBorders>
            <w:shd w:val="clear" w:color="auto" w:fill="auto"/>
            <w:noWrap/>
            <w:vAlign w:val="center"/>
            <w:hideMark/>
          </w:tcPr>
          <w:p w14:paraId="5675FE1F"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0.4718</w:t>
            </w:r>
          </w:p>
        </w:tc>
        <w:tc>
          <w:tcPr>
            <w:tcW w:w="741" w:type="pct"/>
            <w:tcBorders>
              <w:top w:val="nil"/>
              <w:left w:val="nil"/>
              <w:bottom w:val="nil"/>
              <w:right w:val="nil"/>
            </w:tcBorders>
            <w:shd w:val="clear" w:color="auto" w:fill="auto"/>
            <w:noWrap/>
            <w:vAlign w:val="center"/>
            <w:hideMark/>
          </w:tcPr>
          <w:p w14:paraId="07A2C54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7BBC241B" w14:textId="77777777" w:rsidTr="00C24E43">
        <w:trPr>
          <w:trHeight w:val="237"/>
        </w:trPr>
        <w:tc>
          <w:tcPr>
            <w:tcW w:w="717" w:type="pct"/>
            <w:vMerge/>
            <w:tcBorders>
              <w:top w:val="nil"/>
              <w:left w:val="nil"/>
              <w:bottom w:val="nil"/>
              <w:right w:val="single" w:sz="4" w:space="0" w:color="auto"/>
            </w:tcBorders>
            <w:vAlign w:val="center"/>
            <w:hideMark/>
          </w:tcPr>
          <w:p w14:paraId="6D185411" w14:textId="77777777" w:rsidR="00C30160" w:rsidRPr="00CE0DE7" w:rsidRDefault="00C30160" w:rsidP="00C24E43">
            <w:pPr>
              <w:rPr>
                <w:rFonts w:eastAsia="Times New Roman"/>
                <w:i/>
                <w:iCs/>
                <w:color w:val="000000"/>
                <w:sz w:val="20"/>
                <w:szCs w:val="20"/>
                <w:lang w:val="en-GB" w:eastAsia="zh-CN"/>
              </w:rPr>
            </w:pPr>
          </w:p>
        </w:tc>
        <w:tc>
          <w:tcPr>
            <w:tcW w:w="1321" w:type="pct"/>
            <w:tcBorders>
              <w:top w:val="nil"/>
              <w:left w:val="single" w:sz="4" w:space="0" w:color="auto"/>
              <w:bottom w:val="nil"/>
              <w:right w:val="single" w:sz="4" w:space="0" w:color="auto"/>
            </w:tcBorders>
            <w:shd w:val="clear" w:color="auto" w:fill="auto"/>
            <w:noWrap/>
            <w:vAlign w:val="center"/>
            <w:hideMark/>
          </w:tcPr>
          <w:p w14:paraId="595E0583"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1992-2014</w:t>
            </w:r>
          </w:p>
        </w:tc>
        <w:tc>
          <w:tcPr>
            <w:tcW w:w="740" w:type="pct"/>
            <w:tcBorders>
              <w:top w:val="nil"/>
              <w:left w:val="single" w:sz="4" w:space="0" w:color="auto"/>
              <w:bottom w:val="nil"/>
              <w:right w:val="nil"/>
            </w:tcBorders>
            <w:shd w:val="clear" w:color="auto" w:fill="auto"/>
            <w:noWrap/>
            <w:vAlign w:val="center"/>
            <w:hideMark/>
          </w:tcPr>
          <w:p w14:paraId="07065DD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0.3147</w:t>
            </w:r>
          </w:p>
        </w:tc>
        <w:tc>
          <w:tcPr>
            <w:tcW w:w="741" w:type="pct"/>
            <w:tcBorders>
              <w:top w:val="nil"/>
              <w:left w:val="nil"/>
              <w:bottom w:val="nil"/>
              <w:right w:val="single" w:sz="4" w:space="0" w:color="auto"/>
            </w:tcBorders>
            <w:shd w:val="clear" w:color="auto" w:fill="auto"/>
            <w:noWrap/>
            <w:vAlign w:val="center"/>
            <w:hideMark/>
          </w:tcPr>
          <w:p w14:paraId="1A49CBA2"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top w:val="nil"/>
              <w:left w:val="single" w:sz="4" w:space="0" w:color="auto"/>
              <w:bottom w:val="nil"/>
              <w:right w:val="nil"/>
            </w:tcBorders>
            <w:shd w:val="clear" w:color="auto" w:fill="auto"/>
            <w:noWrap/>
            <w:vAlign w:val="center"/>
            <w:hideMark/>
          </w:tcPr>
          <w:p w14:paraId="1C15BBE1"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0.5174</w:t>
            </w:r>
          </w:p>
        </w:tc>
        <w:tc>
          <w:tcPr>
            <w:tcW w:w="741" w:type="pct"/>
            <w:tcBorders>
              <w:top w:val="nil"/>
              <w:left w:val="nil"/>
              <w:bottom w:val="nil"/>
              <w:right w:val="nil"/>
            </w:tcBorders>
            <w:shd w:val="clear" w:color="auto" w:fill="auto"/>
            <w:noWrap/>
            <w:vAlign w:val="center"/>
            <w:hideMark/>
          </w:tcPr>
          <w:p w14:paraId="08D558CB"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4F0117E8" w14:textId="77777777" w:rsidTr="00C24E43">
        <w:trPr>
          <w:trHeight w:val="237"/>
        </w:trPr>
        <w:tc>
          <w:tcPr>
            <w:tcW w:w="717" w:type="pct"/>
            <w:vMerge/>
            <w:tcBorders>
              <w:top w:val="nil"/>
              <w:left w:val="nil"/>
              <w:bottom w:val="nil"/>
              <w:right w:val="single" w:sz="4" w:space="0" w:color="auto"/>
            </w:tcBorders>
            <w:vAlign w:val="center"/>
            <w:hideMark/>
          </w:tcPr>
          <w:p w14:paraId="7BC22122" w14:textId="77777777" w:rsidR="00C30160" w:rsidRPr="00CE0DE7" w:rsidRDefault="00C30160" w:rsidP="00C24E43">
            <w:pPr>
              <w:rPr>
                <w:rFonts w:eastAsia="Times New Roman"/>
                <w:i/>
                <w:iCs/>
                <w:color w:val="000000"/>
                <w:sz w:val="20"/>
                <w:szCs w:val="20"/>
                <w:lang w:val="en-GB" w:eastAsia="zh-CN"/>
              </w:rPr>
            </w:pPr>
          </w:p>
        </w:tc>
        <w:tc>
          <w:tcPr>
            <w:tcW w:w="1321" w:type="pct"/>
            <w:tcBorders>
              <w:top w:val="nil"/>
              <w:left w:val="single" w:sz="4" w:space="0" w:color="auto"/>
              <w:bottom w:val="nil"/>
              <w:right w:val="single" w:sz="4" w:space="0" w:color="auto"/>
            </w:tcBorders>
            <w:shd w:val="clear" w:color="auto" w:fill="auto"/>
            <w:noWrap/>
            <w:vAlign w:val="center"/>
            <w:hideMark/>
          </w:tcPr>
          <w:p w14:paraId="617E02F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1994-2016</w:t>
            </w:r>
          </w:p>
        </w:tc>
        <w:tc>
          <w:tcPr>
            <w:tcW w:w="740" w:type="pct"/>
            <w:tcBorders>
              <w:top w:val="nil"/>
              <w:left w:val="single" w:sz="4" w:space="0" w:color="auto"/>
              <w:bottom w:val="nil"/>
              <w:right w:val="nil"/>
            </w:tcBorders>
            <w:shd w:val="clear" w:color="auto" w:fill="auto"/>
            <w:noWrap/>
            <w:vAlign w:val="center"/>
            <w:hideMark/>
          </w:tcPr>
          <w:p w14:paraId="3A44DA68"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0.3142</w:t>
            </w:r>
          </w:p>
        </w:tc>
        <w:tc>
          <w:tcPr>
            <w:tcW w:w="741" w:type="pct"/>
            <w:tcBorders>
              <w:top w:val="nil"/>
              <w:left w:val="nil"/>
              <w:bottom w:val="nil"/>
              <w:right w:val="single" w:sz="4" w:space="0" w:color="auto"/>
            </w:tcBorders>
            <w:shd w:val="clear" w:color="auto" w:fill="auto"/>
            <w:noWrap/>
            <w:vAlign w:val="center"/>
            <w:hideMark/>
          </w:tcPr>
          <w:p w14:paraId="7E7B9A59"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top w:val="nil"/>
              <w:left w:val="single" w:sz="4" w:space="0" w:color="auto"/>
              <w:bottom w:val="nil"/>
              <w:right w:val="nil"/>
            </w:tcBorders>
            <w:shd w:val="clear" w:color="auto" w:fill="auto"/>
            <w:noWrap/>
            <w:vAlign w:val="center"/>
            <w:hideMark/>
          </w:tcPr>
          <w:p w14:paraId="66DD4EF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0.5533</w:t>
            </w:r>
          </w:p>
        </w:tc>
        <w:tc>
          <w:tcPr>
            <w:tcW w:w="741" w:type="pct"/>
            <w:tcBorders>
              <w:top w:val="nil"/>
              <w:left w:val="nil"/>
              <w:bottom w:val="nil"/>
              <w:right w:val="nil"/>
            </w:tcBorders>
            <w:shd w:val="clear" w:color="auto" w:fill="auto"/>
            <w:noWrap/>
            <w:vAlign w:val="center"/>
            <w:hideMark/>
          </w:tcPr>
          <w:p w14:paraId="532BB665"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r w:rsidR="00C30160" w:rsidRPr="00CE0DE7" w14:paraId="02573CDE" w14:textId="77777777" w:rsidTr="00C24E43">
        <w:trPr>
          <w:trHeight w:val="237"/>
        </w:trPr>
        <w:tc>
          <w:tcPr>
            <w:tcW w:w="717" w:type="pct"/>
            <w:vMerge/>
            <w:tcBorders>
              <w:top w:val="nil"/>
              <w:left w:val="nil"/>
              <w:bottom w:val="double" w:sz="4" w:space="0" w:color="auto"/>
              <w:right w:val="single" w:sz="4" w:space="0" w:color="auto"/>
            </w:tcBorders>
            <w:vAlign w:val="center"/>
            <w:hideMark/>
          </w:tcPr>
          <w:p w14:paraId="77FF099A" w14:textId="77777777" w:rsidR="00C30160" w:rsidRPr="00CE0DE7" w:rsidRDefault="00C30160" w:rsidP="00C24E43">
            <w:pPr>
              <w:rPr>
                <w:rFonts w:eastAsia="Times New Roman"/>
                <w:i/>
                <w:iCs/>
                <w:color w:val="000000"/>
                <w:sz w:val="20"/>
                <w:szCs w:val="20"/>
                <w:lang w:val="en-GB" w:eastAsia="zh-CN"/>
              </w:rPr>
            </w:pPr>
          </w:p>
        </w:tc>
        <w:tc>
          <w:tcPr>
            <w:tcW w:w="1321" w:type="pct"/>
            <w:tcBorders>
              <w:top w:val="nil"/>
              <w:left w:val="single" w:sz="4" w:space="0" w:color="auto"/>
              <w:bottom w:val="double" w:sz="4" w:space="0" w:color="auto"/>
              <w:right w:val="single" w:sz="4" w:space="0" w:color="auto"/>
            </w:tcBorders>
            <w:shd w:val="clear" w:color="auto" w:fill="auto"/>
            <w:noWrap/>
            <w:vAlign w:val="center"/>
            <w:hideMark/>
          </w:tcPr>
          <w:p w14:paraId="0E204F7C"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1996-2018</w:t>
            </w:r>
          </w:p>
        </w:tc>
        <w:tc>
          <w:tcPr>
            <w:tcW w:w="740" w:type="pct"/>
            <w:tcBorders>
              <w:top w:val="nil"/>
              <w:left w:val="single" w:sz="4" w:space="0" w:color="auto"/>
              <w:bottom w:val="double" w:sz="4" w:space="0" w:color="auto"/>
              <w:right w:val="nil"/>
            </w:tcBorders>
            <w:shd w:val="clear" w:color="auto" w:fill="auto"/>
            <w:noWrap/>
            <w:vAlign w:val="center"/>
            <w:hideMark/>
          </w:tcPr>
          <w:p w14:paraId="08960950"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0.4052</w:t>
            </w:r>
          </w:p>
        </w:tc>
        <w:tc>
          <w:tcPr>
            <w:tcW w:w="741" w:type="pct"/>
            <w:tcBorders>
              <w:top w:val="nil"/>
              <w:left w:val="nil"/>
              <w:bottom w:val="double" w:sz="4" w:space="0" w:color="auto"/>
              <w:right w:val="single" w:sz="4" w:space="0" w:color="auto"/>
            </w:tcBorders>
            <w:shd w:val="clear" w:color="auto" w:fill="auto"/>
            <w:noWrap/>
            <w:vAlign w:val="center"/>
            <w:hideMark/>
          </w:tcPr>
          <w:p w14:paraId="7EEFFD8D"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c>
          <w:tcPr>
            <w:tcW w:w="740" w:type="pct"/>
            <w:tcBorders>
              <w:top w:val="nil"/>
              <w:left w:val="single" w:sz="4" w:space="0" w:color="auto"/>
              <w:bottom w:val="double" w:sz="4" w:space="0" w:color="auto"/>
              <w:right w:val="nil"/>
            </w:tcBorders>
            <w:shd w:val="clear" w:color="auto" w:fill="auto"/>
            <w:noWrap/>
            <w:vAlign w:val="center"/>
            <w:hideMark/>
          </w:tcPr>
          <w:p w14:paraId="57DF12F7"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0.4046</w:t>
            </w:r>
          </w:p>
        </w:tc>
        <w:tc>
          <w:tcPr>
            <w:tcW w:w="741" w:type="pct"/>
            <w:tcBorders>
              <w:top w:val="nil"/>
              <w:left w:val="nil"/>
              <w:bottom w:val="double" w:sz="4" w:space="0" w:color="auto"/>
              <w:right w:val="nil"/>
            </w:tcBorders>
            <w:shd w:val="clear" w:color="auto" w:fill="auto"/>
            <w:noWrap/>
            <w:vAlign w:val="center"/>
            <w:hideMark/>
          </w:tcPr>
          <w:p w14:paraId="23E77A9A" w14:textId="77777777" w:rsidR="00C30160" w:rsidRPr="00CE0DE7" w:rsidRDefault="00C30160" w:rsidP="00C24E43">
            <w:pPr>
              <w:jc w:val="center"/>
              <w:rPr>
                <w:rFonts w:eastAsia="Times New Roman"/>
                <w:color w:val="000000"/>
                <w:sz w:val="20"/>
                <w:szCs w:val="20"/>
                <w:lang w:val="en-GB" w:eastAsia="zh-CN"/>
              </w:rPr>
            </w:pPr>
            <w:r w:rsidRPr="00CE0DE7">
              <w:rPr>
                <w:rFonts w:eastAsia="Times New Roman"/>
                <w:color w:val="000000"/>
                <w:sz w:val="20"/>
                <w:szCs w:val="20"/>
                <w:lang w:val="en-GB" w:eastAsia="zh-CN"/>
              </w:rPr>
              <w:t>0.0000</w:t>
            </w:r>
          </w:p>
        </w:tc>
      </w:tr>
    </w:tbl>
    <w:p w14:paraId="7D33E650" w14:textId="2C8A2DD0" w:rsidR="008F6046" w:rsidRDefault="00C30160" w:rsidP="00713489">
      <w:pPr>
        <w:adjustRightInd w:val="0"/>
        <w:snapToGrid w:val="0"/>
        <w:jc w:val="both"/>
        <w:rPr>
          <w:rFonts w:ascii="Calibri" w:eastAsia="Times New Roman" w:hAnsi="Calibri"/>
          <w:iCs/>
          <w:color w:val="000000"/>
          <w:sz w:val="22"/>
          <w:szCs w:val="22"/>
          <w:lang w:eastAsia="zh-CN"/>
        </w:rPr>
      </w:pPr>
      <w:r w:rsidRPr="00CE0DE7">
        <w:rPr>
          <w:sz w:val="20"/>
          <w:szCs w:val="20"/>
        </w:rPr>
        <w:t xml:space="preserve">This table </w:t>
      </w:r>
      <w:r w:rsidRPr="00CE0DE7">
        <w:rPr>
          <w:rFonts w:hint="eastAsia"/>
          <w:sz w:val="20"/>
          <w:szCs w:val="20"/>
          <w:lang w:eastAsia="zh-CN"/>
        </w:rPr>
        <w:t>summarizes t</w:t>
      </w:r>
      <w:r w:rsidRPr="00CE0DE7">
        <w:rPr>
          <w:sz w:val="20"/>
          <w:szCs w:val="20"/>
        </w:rPr>
        <w:t xml:space="preserve">he </w:t>
      </w:r>
      <w:r w:rsidRPr="00CE0DE7">
        <w:rPr>
          <w:i/>
          <w:sz w:val="20"/>
          <w:szCs w:val="20"/>
        </w:rPr>
        <w:t>p</w:t>
      </w:r>
      <w:r w:rsidRPr="00CE0DE7">
        <w:rPr>
          <w:sz w:val="20"/>
          <w:szCs w:val="20"/>
        </w:rPr>
        <w:t>-value of the chi-square statistics for the Toda-Yamamoto Granger non-causality tests</w:t>
      </w:r>
      <w:r w:rsidRPr="00CE0DE7">
        <w:rPr>
          <w:rFonts w:hint="eastAsia"/>
          <w:sz w:val="20"/>
          <w:szCs w:val="20"/>
          <w:lang w:eastAsia="zh-CN"/>
        </w:rPr>
        <w:t xml:space="preserve"> with control variables </w:t>
      </w:r>
      <w:r w:rsidRPr="00CE0DE7">
        <w:rPr>
          <w:sz w:val="20"/>
          <w:szCs w:val="20"/>
        </w:rPr>
        <w:t xml:space="preserve"> (</w:t>
      </w:r>
      <w:r w:rsidRPr="00CE0DE7">
        <w:rPr>
          <w:i/>
          <w:sz w:val="20"/>
          <w:szCs w:val="20"/>
        </w:rPr>
        <w:t xml:space="preserve">PD, PE, DFSP, TMSP,RREL </w:t>
      </w:r>
      <w:r w:rsidRPr="00CE0DE7">
        <w:rPr>
          <w:sz w:val="20"/>
          <w:szCs w:val="20"/>
        </w:rPr>
        <w:t xml:space="preserve">and </w:t>
      </w:r>
      <w:r w:rsidRPr="00CE0DE7">
        <w:rPr>
          <w:i/>
          <w:sz w:val="20"/>
          <w:szCs w:val="20"/>
        </w:rPr>
        <w:t>CAY</w:t>
      </w:r>
      <w:r w:rsidRPr="00CE0DE7">
        <w:rPr>
          <w:sz w:val="20"/>
          <w:szCs w:val="20"/>
        </w:rPr>
        <w:t>)</w:t>
      </w:r>
      <w:r w:rsidRPr="00CE0DE7">
        <w:rPr>
          <w:rFonts w:hint="eastAsia"/>
          <w:sz w:val="20"/>
          <w:szCs w:val="20"/>
          <w:lang w:eastAsia="zh-CN"/>
        </w:rPr>
        <w:t xml:space="preserve"> </w:t>
      </w:r>
      <w:r w:rsidRPr="00CE0DE7">
        <w:rPr>
          <w:sz w:val="20"/>
          <w:szCs w:val="20"/>
        </w:rPr>
        <w:t xml:space="preserve">between </w:t>
      </w:r>
      <w:r w:rsidRPr="00CE0DE7">
        <w:rPr>
          <w:i/>
          <w:sz w:val="20"/>
          <w:szCs w:val="20"/>
        </w:rPr>
        <w:t>VRP</w:t>
      </w:r>
      <w:r w:rsidRPr="00CE0DE7">
        <w:rPr>
          <w:sz w:val="20"/>
          <w:szCs w:val="20"/>
        </w:rPr>
        <w:t xml:space="preserve"> and the four systematic factors (</w:t>
      </w:r>
      <w:r w:rsidRPr="00CE0DE7">
        <w:rPr>
          <w:rFonts w:ascii="Cambria" w:hAnsi="Cambria"/>
          <w:i/>
          <w:sz w:val="20"/>
          <w:szCs w:val="20"/>
        </w:rPr>
        <w:t>R</w:t>
      </w:r>
      <w:r w:rsidRPr="00CE0DE7">
        <w:rPr>
          <w:rFonts w:ascii="Cambria" w:hAnsi="Cambria"/>
          <w:i/>
          <w:sz w:val="20"/>
          <w:szCs w:val="20"/>
          <w:vertAlign w:val="subscript"/>
        </w:rPr>
        <w:t>m</w:t>
      </w:r>
      <w:r w:rsidRPr="00CE0DE7">
        <w:rPr>
          <w:rFonts w:ascii="Cambria" w:hAnsi="Cambria"/>
          <w:i/>
          <w:sz w:val="20"/>
          <w:szCs w:val="20"/>
        </w:rPr>
        <w:t xml:space="preserve"> – R</w:t>
      </w:r>
      <w:r w:rsidRPr="00CE0DE7">
        <w:rPr>
          <w:rFonts w:ascii="Cambria" w:hAnsi="Cambria"/>
          <w:i/>
          <w:sz w:val="20"/>
          <w:szCs w:val="20"/>
          <w:vertAlign w:val="subscript"/>
        </w:rPr>
        <w:t>f</w:t>
      </w:r>
      <w:r w:rsidRPr="00CE0DE7">
        <w:rPr>
          <w:sz w:val="20"/>
          <w:szCs w:val="20"/>
        </w:rPr>
        <w:t xml:space="preserve">, </w:t>
      </w:r>
      <w:r w:rsidRPr="00CE0DE7">
        <w:rPr>
          <w:i/>
          <w:sz w:val="20"/>
          <w:szCs w:val="20"/>
        </w:rPr>
        <w:t>SMB, HML</w:t>
      </w:r>
      <w:r w:rsidRPr="00CE0DE7">
        <w:rPr>
          <w:sz w:val="20"/>
          <w:szCs w:val="20"/>
        </w:rPr>
        <w:t xml:space="preserve"> and </w:t>
      </w:r>
      <w:r w:rsidRPr="00CE0DE7">
        <w:rPr>
          <w:i/>
          <w:sz w:val="20"/>
          <w:szCs w:val="20"/>
        </w:rPr>
        <w:t>MOM</w:t>
      </w:r>
      <w:r w:rsidRPr="00CE0DE7">
        <w:rPr>
          <w:sz w:val="20"/>
          <w:szCs w:val="20"/>
        </w:rPr>
        <w:t xml:space="preserve">) (Panel A), and between illiquidity and the </w:t>
      </w:r>
      <w:r w:rsidRPr="00CE0DE7">
        <w:rPr>
          <w:rFonts w:hint="eastAsia"/>
          <w:sz w:val="20"/>
          <w:szCs w:val="20"/>
          <w:lang w:eastAsia="zh-CN"/>
        </w:rPr>
        <w:t xml:space="preserve">same </w:t>
      </w:r>
      <w:r w:rsidRPr="00CE0DE7">
        <w:rPr>
          <w:sz w:val="20"/>
          <w:szCs w:val="20"/>
        </w:rPr>
        <w:t xml:space="preserve">four factors (Panel B). The analysis uses monthly data from the full sample period </w:t>
      </w:r>
      <w:r w:rsidRPr="00CE0DE7">
        <w:rPr>
          <w:rFonts w:hint="eastAsia"/>
          <w:sz w:val="20"/>
          <w:szCs w:val="20"/>
          <w:lang w:eastAsia="zh-CN"/>
        </w:rPr>
        <w:t xml:space="preserve">from </w:t>
      </w:r>
      <w:r w:rsidRPr="00CE0DE7">
        <w:rPr>
          <w:sz w:val="20"/>
          <w:szCs w:val="20"/>
        </w:rPr>
        <w:t xml:space="preserve">January 1990 to December 2018, </w:t>
      </w:r>
      <w:r w:rsidRPr="00CE0DE7">
        <w:rPr>
          <w:rFonts w:hint="eastAsia"/>
          <w:sz w:val="20"/>
          <w:szCs w:val="20"/>
          <w:lang w:eastAsia="zh-CN"/>
        </w:rPr>
        <w:t xml:space="preserve">and </w:t>
      </w:r>
      <w:r w:rsidRPr="00CE0DE7">
        <w:rPr>
          <w:sz w:val="20"/>
          <w:szCs w:val="20"/>
          <w:lang w:eastAsia="zh-CN"/>
        </w:rPr>
        <w:t>four</w:t>
      </w:r>
      <w:r w:rsidRPr="00CE0DE7">
        <w:rPr>
          <w:rFonts w:hint="eastAsia"/>
          <w:sz w:val="20"/>
          <w:szCs w:val="20"/>
          <w:lang w:eastAsia="zh-CN"/>
        </w:rPr>
        <w:t xml:space="preserve"> </w:t>
      </w:r>
      <w:r w:rsidRPr="00CE0DE7">
        <w:rPr>
          <w:sz w:val="20"/>
          <w:szCs w:val="20"/>
        </w:rPr>
        <w:t>sub-</w:t>
      </w:r>
      <w:r w:rsidRPr="00CE0DE7">
        <w:rPr>
          <w:rFonts w:hint="eastAsia"/>
          <w:sz w:val="20"/>
          <w:szCs w:val="20"/>
          <w:lang w:eastAsia="zh-CN"/>
        </w:rPr>
        <w:t>samples</w:t>
      </w:r>
      <w:r w:rsidRPr="00CE0DE7">
        <w:rPr>
          <w:sz w:val="20"/>
          <w:szCs w:val="20"/>
        </w:rPr>
        <w:t xml:space="preserve"> </w:t>
      </w:r>
      <w:r w:rsidRPr="00CE0DE7">
        <w:rPr>
          <w:rFonts w:hint="eastAsia"/>
          <w:sz w:val="20"/>
          <w:szCs w:val="20"/>
          <w:lang w:eastAsia="zh-CN"/>
        </w:rPr>
        <w:t xml:space="preserve">from </w:t>
      </w:r>
      <w:r w:rsidRPr="00CE0DE7">
        <w:rPr>
          <w:sz w:val="20"/>
          <w:szCs w:val="20"/>
        </w:rPr>
        <w:t>January 1990</w:t>
      </w:r>
      <w:r w:rsidR="00B26548" w:rsidRPr="00CE0DE7">
        <w:rPr>
          <w:rFonts w:hint="eastAsia"/>
          <w:sz w:val="20"/>
          <w:szCs w:val="20"/>
          <w:lang w:eastAsia="zh-CN"/>
        </w:rPr>
        <w:t xml:space="preserve"> to </w:t>
      </w:r>
      <w:r w:rsidRPr="00CE0DE7">
        <w:rPr>
          <w:sz w:val="20"/>
          <w:szCs w:val="20"/>
        </w:rPr>
        <w:t>December 2012, January 1992</w:t>
      </w:r>
      <w:r w:rsidR="00B26548" w:rsidRPr="00CE0DE7">
        <w:rPr>
          <w:rFonts w:hint="eastAsia"/>
          <w:sz w:val="20"/>
          <w:szCs w:val="20"/>
          <w:lang w:eastAsia="zh-CN"/>
        </w:rPr>
        <w:t xml:space="preserve"> to </w:t>
      </w:r>
      <w:r w:rsidRPr="00CE0DE7">
        <w:rPr>
          <w:sz w:val="20"/>
          <w:szCs w:val="20"/>
        </w:rPr>
        <w:t>December 2014, January 1994</w:t>
      </w:r>
      <w:r w:rsidR="00B26548" w:rsidRPr="00CE0DE7">
        <w:rPr>
          <w:rFonts w:hint="eastAsia"/>
          <w:sz w:val="20"/>
          <w:szCs w:val="20"/>
          <w:lang w:eastAsia="zh-CN"/>
        </w:rPr>
        <w:t xml:space="preserve"> to </w:t>
      </w:r>
      <w:r w:rsidRPr="00CE0DE7">
        <w:rPr>
          <w:sz w:val="20"/>
          <w:szCs w:val="20"/>
        </w:rPr>
        <w:t>December 2016, and January 1996</w:t>
      </w:r>
      <w:r w:rsidR="00B26548" w:rsidRPr="00CE0DE7">
        <w:rPr>
          <w:rFonts w:hint="eastAsia"/>
          <w:sz w:val="20"/>
          <w:szCs w:val="20"/>
          <w:lang w:eastAsia="zh-CN"/>
        </w:rPr>
        <w:t xml:space="preserve"> to </w:t>
      </w:r>
      <w:r w:rsidRPr="00CE0DE7">
        <w:rPr>
          <w:sz w:val="20"/>
          <w:szCs w:val="20"/>
        </w:rPr>
        <w:t>December 2018.</w:t>
      </w:r>
      <w:r w:rsidRPr="003E4E6B">
        <w:rPr>
          <w:sz w:val="20"/>
          <w:szCs w:val="20"/>
        </w:rPr>
        <w:t xml:space="preserve"> </w:t>
      </w:r>
    </w:p>
    <w:sectPr w:rsidR="008F6046" w:rsidSect="00713489">
      <w:footerReference w:type="default" r:id="rId115"/>
      <w:pgSz w:w="11907" w:h="16839" w:code="9"/>
      <w:pgMar w:top="1440" w:right="1440" w:bottom="1440" w:left="1440"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163D3" w14:textId="77777777" w:rsidR="006D44A6" w:rsidRDefault="006D44A6" w:rsidP="005A7DC1">
      <w:r>
        <w:separator/>
      </w:r>
    </w:p>
  </w:endnote>
  <w:endnote w:type="continuationSeparator" w:id="0">
    <w:p w14:paraId="4C8A3941" w14:textId="77777777" w:rsidR="006D44A6" w:rsidRDefault="006D44A6" w:rsidP="005A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mr10">
    <w:altName w:val="Arial"/>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51339932"/>
      <w:docPartObj>
        <w:docPartGallery w:val="Page Numbers (Bottom of Page)"/>
        <w:docPartUnique/>
      </w:docPartObj>
    </w:sdtPr>
    <w:sdtEndPr/>
    <w:sdtContent>
      <w:p w14:paraId="2E4B9729" w14:textId="120E04B1" w:rsidR="00806B8F" w:rsidRPr="0033280E" w:rsidRDefault="00806B8F">
        <w:pPr>
          <w:pStyle w:val="a4"/>
          <w:jc w:val="center"/>
          <w:rPr>
            <w:sz w:val="22"/>
            <w:szCs w:val="22"/>
          </w:rPr>
        </w:pPr>
        <w:r w:rsidRPr="0033280E">
          <w:rPr>
            <w:sz w:val="22"/>
            <w:szCs w:val="22"/>
          </w:rPr>
          <w:fldChar w:fldCharType="begin"/>
        </w:r>
        <w:r w:rsidRPr="0033280E">
          <w:rPr>
            <w:sz w:val="22"/>
            <w:szCs w:val="22"/>
          </w:rPr>
          <w:instrText>PAGE   \* MERGEFORMAT</w:instrText>
        </w:r>
        <w:r w:rsidRPr="0033280E">
          <w:rPr>
            <w:sz w:val="22"/>
            <w:szCs w:val="22"/>
          </w:rPr>
          <w:fldChar w:fldCharType="separate"/>
        </w:r>
        <w:r w:rsidR="0086345E" w:rsidRPr="0086345E">
          <w:rPr>
            <w:noProof/>
            <w:sz w:val="22"/>
            <w:szCs w:val="22"/>
            <w:lang w:val="zh-CN" w:eastAsia="zh-CN"/>
          </w:rPr>
          <w:t>-</w:t>
        </w:r>
        <w:r w:rsidR="0086345E">
          <w:rPr>
            <w:noProof/>
            <w:sz w:val="22"/>
            <w:szCs w:val="22"/>
          </w:rPr>
          <w:t xml:space="preserve"> 20 -</w:t>
        </w:r>
        <w:r w:rsidRPr="0033280E">
          <w:rPr>
            <w:sz w:val="22"/>
            <w:szCs w:val="22"/>
          </w:rPr>
          <w:fldChar w:fldCharType="end"/>
        </w:r>
      </w:p>
    </w:sdtContent>
  </w:sdt>
  <w:p w14:paraId="08285A9E" w14:textId="77777777" w:rsidR="00806B8F" w:rsidRPr="0033280E" w:rsidRDefault="00806B8F">
    <w:pPr>
      <w:pStyle w:val="a4"/>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021F" w14:textId="083DA487" w:rsidR="00806B8F" w:rsidRDefault="00806B8F">
    <w:pPr>
      <w:pStyle w:val="a4"/>
      <w:jc w:val="center"/>
    </w:pPr>
  </w:p>
  <w:p w14:paraId="11B2070D" w14:textId="77777777" w:rsidR="00806B8F" w:rsidRDefault="00806B8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77F93" w14:textId="77777777" w:rsidR="00806B8F" w:rsidRDefault="00806B8F">
    <w:pPr>
      <w:pStyle w:val="a4"/>
      <w:jc w:val="center"/>
    </w:pPr>
  </w:p>
  <w:p w14:paraId="5F8615A0" w14:textId="77777777" w:rsidR="00806B8F" w:rsidRDefault="00806B8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61A0" w14:textId="77777777" w:rsidR="00806B8F" w:rsidRDefault="00806B8F">
    <w:pPr>
      <w:pStyle w:val="a4"/>
      <w:jc w:val="center"/>
    </w:pPr>
    <w:r>
      <w:fldChar w:fldCharType="begin"/>
    </w:r>
    <w:r>
      <w:instrText xml:space="preserve"> PAGE   \* MERGEFORMAT </w:instrText>
    </w:r>
    <w:r>
      <w:fldChar w:fldCharType="separate"/>
    </w:r>
    <w:r w:rsidR="0086345E">
      <w:rPr>
        <w:noProof/>
      </w:rPr>
      <w:t>- 26 -</w:t>
    </w:r>
    <w:r>
      <w:rPr>
        <w:noProof/>
      </w:rPr>
      <w:fldChar w:fldCharType="end"/>
    </w:r>
  </w:p>
  <w:p w14:paraId="5ACAE9B3" w14:textId="77777777" w:rsidR="00806B8F" w:rsidRDefault="00806B8F">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0D48" w14:textId="77777777" w:rsidR="00806B8F" w:rsidRDefault="00806B8F">
    <w:pPr>
      <w:pStyle w:val="a4"/>
      <w:jc w:val="center"/>
    </w:pPr>
    <w:r>
      <w:fldChar w:fldCharType="begin"/>
    </w:r>
    <w:r>
      <w:instrText xml:space="preserve"> PAGE   \* MERGEFORMAT </w:instrText>
    </w:r>
    <w:r>
      <w:fldChar w:fldCharType="separate"/>
    </w:r>
    <w:r w:rsidR="0086345E">
      <w:rPr>
        <w:noProof/>
      </w:rPr>
      <w:t>- 32 -</w:t>
    </w:r>
    <w:r>
      <w:rPr>
        <w:noProof/>
      </w:rPr>
      <w:fldChar w:fldCharType="end"/>
    </w:r>
  </w:p>
  <w:p w14:paraId="6EC064C9" w14:textId="77777777" w:rsidR="00806B8F" w:rsidRDefault="00806B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18722" w14:textId="77777777" w:rsidR="006D44A6" w:rsidRDefault="006D44A6" w:rsidP="005A7DC1">
      <w:r>
        <w:separator/>
      </w:r>
    </w:p>
  </w:footnote>
  <w:footnote w:type="continuationSeparator" w:id="0">
    <w:p w14:paraId="0418A08F" w14:textId="77777777" w:rsidR="006D44A6" w:rsidRDefault="006D44A6" w:rsidP="005A7DC1">
      <w:r>
        <w:continuationSeparator/>
      </w:r>
    </w:p>
  </w:footnote>
  <w:footnote w:id="1">
    <w:p w14:paraId="1BCC846A" w14:textId="2FDAF9B7" w:rsidR="00806B8F" w:rsidRPr="00272A52" w:rsidRDefault="00806B8F" w:rsidP="00FC07C2">
      <w:pPr>
        <w:pStyle w:val="a6"/>
        <w:jc w:val="both"/>
      </w:pPr>
      <w:r w:rsidRPr="00440039">
        <w:rPr>
          <w:rStyle w:val="a9"/>
        </w:rPr>
        <w:footnoteRef/>
      </w:r>
      <w:r w:rsidRPr="00272A52">
        <w:t xml:space="preserve"> </w:t>
      </w:r>
      <w:r w:rsidRPr="00272A52">
        <w:rPr>
          <w:rFonts w:hint="eastAsia"/>
          <w:lang w:eastAsia="zh-CN"/>
        </w:rPr>
        <w:t>Pl</w:t>
      </w:r>
      <w:r w:rsidRPr="00272A52">
        <w:t xml:space="preserve">ease see </w:t>
      </w:r>
      <w:hyperlink r:id="rId1" w:history="1">
        <w:r w:rsidRPr="00272A52">
          <w:rPr>
            <w:rStyle w:val="a8"/>
            <w:lang w:val="en-GB" w:eastAsia="zh-CN"/>
          </w:rPr>
          <w:t>https://sites.google.com/site/haozhouspersonalhomepage/</w:t>
        </w:r>
      </w:hyperlink>
      <w:r w:rsidRPr="00272A52">
        <w:rPr>
          <w:rFonts w:hint="eastAsia"/>
          <w:color w:val="000000"/>
          <w:lang w:val="en-GB" w:eastAsia="zh-CN"/>
        </w:rPr>
        <w:t xml:space="preserve"> for Hao Zhou</w:t>
      </w:r>
      <w:r w:rsidRPr="00272A52">
        <w:rPr>
          <w:color w:val="000000"/>
          <w:lang w:val="en-GB" w:eastAsia="zh-CN"/>
        </w:rPr>
        <w:t>’</w:t>
      </w:r>
      <w:r w:rsidRPr="00272A52">
        <w:rPr>
          <w:rFonts w:hint="eastAsia"/>
          <w:color w:val="000000"/>
          <w:lang w:val="en-GB" w:eastAsia="zh-CN"/>
        </w:rPr>
        <w:t>s website.</w:t>
      </w:r>
    </w:p>
  </w:footnote>
  <w:footnote w:id="2">
    <w:p w14:paraId="054083E9" w14:textId="2B34EE0D" w:rsidR="00806B8F" w:rsidRPr="00FC07C2" w:rsidRDefault="00806B8F" w:rsidP="00FC07C2">
      <w:pPr>
        <w:pStyle w:val="a6"/>
        <w:jc w:val="both"/>
        <w:rPr>
          <w:sz w:val="22"/>
          <w:szCs w:val="22"/>
        </w:rPr>
      </w:pPr>
      <w:r w:rsidRPr="00440039">
        <w:rPr>
          <w:rStyle w:val="a9"/>
        </w:rPr>
        <w:footnoteRef/>
      </w:r>
      <w:r w:rsidRPr="00272A52">
        <w:t xml:space="preserve"> For Kenneth French’s website, please see </w:t>
      </w:r>
      <w:hyperlink r:id="rId2" w:history="1">
        <w:r w:rsidRPr="00272A52">
          <w:rPr>
            <w:rStyle w:val="a8"/>
          </w:rPr>
          <w:t>http://mba.tuck.dartmouth.edu/pages/faculty/ken.french/</w:t>
        </w:r>
      </w:hyperlink>
      <w:r w:rsidRPr="00272A52">
        <w:t>.</w:t>
      </w:r>
    </w:p>
  </w:footnote>
  <w:footnote w:id="3">
    <w:p w14:paraId="517C1106" w14:textId="2393DFBC" w:rsidR="00806B8F" w:rsidRPr="00272A52" w:rsidRDefault="00806B8F" w:rsidP="00FC07C2">
      <w:pPr>
        <w:pStyle w:val="a6"/>
        <w:jc w:val="both"/>
      </w:pPr>
      <w:r w:rsidRPr="00440039">
        <w:rPr>
          <w:rStyle w:val="a9"/>
        </w:rPr>
        <w:footnoteRef/>
      </w:r>
      <w:r w:rsidRPr="00272A52">
        <w:t xml:space="preserve"> Please see </w:t>
      </w:r>
      <w:proofErr w:type="spellStart"/>
      <w:r w:rsidRPr="00272A52">
        <w:t>Lettau</w:t>
      </w:r>
      <w:proofErr w:type="spellEnd"/>
      <w:r w:rsidRPr="00272A52">
        <w:t xml:space="preserve"> and </w:t>
      </w:r>
      <w:proofErr w:type="spellStart"/>
      <w:r w:rsidRPr="00272A52">
        <w:t>Ludvigson</w:t>
      </w:r>
      <w:proofErr w:type="spellEnd"/>
      <w:r w:rsidRPr="00272A52">
        <w:t xml:space="preserve"> </w:t>
      </w:r>
      <w:r w:rsidRPr="00272A52">
        <w:fldChar w:fldCharType="begin" w:fldLock="1"/>
      </w:r>
      <w:r w:rsidRPr="00272A52">
        <w:instrText>ADDIN CSL_CITATION {"citationItems":[{"id":"ITEM-1","itemData":{"ISSN":"00221082","abstract":"This paper studies the role of fluctuations in the aggregate consumption-wealth ratio for predicting stock returns. Using U.S. quarterly stock market data, we find that these fluctuations in the consumption-wealth ratio are strong predictors of both real stock returns and excess returns over a Treasury bill rate. We also find that this variable is a better forecaster of future returns at short and intermediate horizons than is the dividend yield, the dividend payout ratio, and several other popular forecasting variables. Why should the consumption-wealth ratio forecast asset returns? We show that a wide class of optimal models of consumer behavior imply that the log consumption-aggregate wealth (human capital plus asset holdings) ratio summarizes expected returns on aggregate wealth, or the market portfolio. Although this ratio is not observable, we provide assumptions under which its important predictive components for future asset returns may be expressed in terms of observable variables, namely in terms of consumption, asset holdings and labor income. The framework implies that these variables are cointegrated, and that deviations from this shared trend summarize agents' expectations of future returns on the market portfolio.","author":[{"dropping-particle":"","family":"Lettau","given":"Martin","non-dropping-particle":"","parse-names":false,"suffix":""},{"dropping-particle":"","family":"Ludvigson","given":"Sydney","non-dropping-particle":"","parse-names":false,"suffix":""}],"container-title":"Journal of Finance","id":"ITEM-1","issue":"3","issued":{"date-parts":[["2001","6","1"]]},"page":"815-849","publisher":"John Wiley &amp; Sons, Ltd","title":"Consumption, aggregate wealth, and expected stock returns","type":"article-journal","volume":"56"},"suppress-author":1,"uris":["http://www.mendeley.com/documents/?uuid=20923465-9e2a-3c16-9e4a-3f0241fb34ad"]}],"mendeley":{"formattedCitation":"(2001)","plainTextFormattedCitation":"(2001)","previouslyFormattedCitation":"(2001)"},"properties":{"noteIndex":0},"schema":"https://github.com/citation-style-language/schema/raw/master/csl-citation.json"}</w:instrText>
      </w:r>
      <w:r w:rsidRPr="00272A52">
        <w:fldChar w:fldCharType="separate"/>
      </w:r>
      <w:r w:rsidRPr="00272A52">
        <w:rPr>
          <w:noProof/>
        </w:rPr>
        <w:t>(2001)</w:t>
      </w:r>
      <w:r w:rsidRPr="00272A52">
        <w:fldChar w:fldCharType="end"/>
      </w:r>
      <w:r w:rsidRPr="00272A52">
        <w:t xml:space="preserve"> for details of computing the deviations from the common trend in consumption, asset wealth, and labor income.</w:t>
      </w:r>
    </w:p>
  </w:footnote>
  <w:footnote w:id="4">
    <w:p w14:paraId="17E3588D" w14:textId="2F8747DC" w:rsidR="00806B8F" w:rsidRPr="00272A52" w:rsidRDefault="00806B8F" w:rsidP="00243ECB">
      <w:pPr>
        <w:pStyle w:val="a6"/>
        <w:jc w:val="both"/>
      </w:pPr>
      <w:r w:rsidRPr="00440039">
        <w:rPr>
          <w:rStyle w:val="a9"/>
        </w:rPr>
        <w:footnoteRef/>
      </w:r>
      <w:r w:rsidRPr="00272A52">
        <w:t xml:space="preserve"> </w:t>
      </w:r>
      <w:r w:rsidRPr="00272A52">
        <w:rPr>
          <w:lang w:val="en-GB" w:eastAsia="zh-CN"/>
        </w:rPr>
        <w:t xml:space="preserve">For the full sample period and all sub-periods, the results of unit root tests show that all variables at level </w:t>
      </w:r>
      <w:r w:rsidRPr="00272A52">
        <w:rPr>
          <w:rFonts w:hint="eastAsia"/>
          <w:lang w:val="en-GB" w:eastAsia="zh-CN"/>
        </w:rPr>
        <w:t xml:space="preserve">are </w:t>
      </w:r>
      <w:r w:rsidRPr="00272A52">
        <w:rPr>
          <w:lang w:val="en-GB" w:eastAsia="zh-CN"/>
        </w:rPr>
        <w:t>stationary, i.e. I(0), except for the liquidity measures  (</w:t>
      </w:r>
      <w:r w:rsidRPr="00272A52">
        <w:rPr>
          <w:i/>
          <w:lang w:val="en-GB" w:eastAsia="zh-CN"/>
        </w:rPr>
        <w:t>ILLIQ</w:t>
      </w:r>
      <w:r w:rsidRPr="00272A52">
        <w:rPr>
          <w:i/>
          <w:vertAlign w:val="superscript"/>
          <w:lang w:val="en-GB" w:eastAsia="zh-CN"/>
        </w:rPr>
        <w:t>NYSE</w:t>
      </w:r>
      <w:r w:rsidRPr="00272A52">
        <w:rPr>
          <w:lang w:val="en-GB" w:eastAsia="zh-CN"/>
        </w:rPr>
        <w:t xml:space="preserve"> and </w:t>
      </w:r>
      <w:r w:rsidRPr="00272A52">
        <w:rPr>
          <w:i/>
          <w:lang w:val="en-GB" w:eastAsia="zh-CN"/>
        </w:rPr>
        <w:t>ILLIQ</w:t>
      </w:r>
      <w:r w:rsidRPr="00272A52">
        <w:rPr>
          <w:i/>
          <w:vertAlign w:val="superscript"/>
          <w:lang w:val="en-GB" w:eastAsia="zh-CN"/>
        </w:rPr>
        <w:t xml:space="preserve">SP500 </w:t>
      </w:r>
      <w:r w:rsidRPr="00272A52">
        <w:rPr>
          <w:lang w:val="en-GB" w:eastAsia="zh-CN"/>
        </w:rPr>
        <w:t xml:space="preserve">), which are integrated at order one, i.e. I(1). </w:t>
      </w:r>
      <w:r w:rsidRPr="00272A52">
        <w:t>We used</w:t>
      </w:r>
      <w:r w:rsidRPr="00272A52">
        <w:rPr>
          <w:lang w:val="en-GB" w:eastAsia="zh-CN"/>
        </w:rPr>
        <w:t xml:space="preserve"> the augmented Dickey and Fuller </w:t>
      </w:r>
      <w:r w:rsidRPr="00272A52">
        <w:rPr>
          <w:lang w:val="en-GB" w:eastAsia="zh-CN"/>
        </w:rPr>
        <w:fldChar w:fldCharType="begin" w:fldLock="1"/>
      </w:r>
      <w:r w:rsidRPr="00272A52">
        <w:rPr>
          <w:lang w:val="en-GB" w:eastAsia="zh-CN"/>
        </w:rPr>
        <w:instrText>ADDIN CSL_CITATION {"citationItems":[{"id":"ITEM-1","itemData":{"ISSN":"00129682","abstract":"Let the time series Y, satisfy Y, = a + pY,_ - + e,, where Y1 is fixed and the e, are normal independent (0, a2) random variables. The likelihood ratio test of the hypothesis that (a, p) = (0, 1) is investigated and a limit representation for the test statistic is pre- sented. Percentage points for the limiting distribution and for finite sample distributions are estimated. The distribution of the least squares estimator of a is also discussed. A similar investigation is conducted for the model containing a time trend.","author":[{"dropping-particle":"","family":"Dickey","given":"David A.","non-dropping-particle":"","parse-names":false,"suffix":""},{"dropping-particle":"","family":"Fuller","given":"Wayne A.","non-dropping-particle":"","parse-names":false,"suffix":""}],"container-title":"Econometrica","id":"ITEM-1","issue":"4","issued":{"date-parts":[["1981","7"]]},"page":"1057-1072","publisher":"JSTOR","title":"Likelihood ratio statistics for autoregressive time series with a unit root","type":"article-journal","volume":"49"},"suppress-author":1,"uris":["http://www.mendeley.com/documents/?uuid=092c32cf-5151-35bf-ab21-3731411499db"]}],"mendeley":{"formattedCitation":"(1981)","plainTextFormattedCitation":"(1981)","previouslyFormattedCitation":"(1981)"},"properties":{"noteIndex":0},"schema":"https://github.com/citation-style-language/schema/raw/master/csl-citation.json"}</w:instrText>
      </w:r>
      <w:r w:rsidRPr="00272A52">
        <w:rPr>
          <w:lang w:val="en-GB" w:eastAsia="zh-CN"/>
        </w:rPr>
        <w:fldChar w:fldCharType="separate"/>
      </w:r>
      <w:r w:rsidRPr="00272A52">
        <w:rPr>
          <w:noProof/>
          <w:lang w:val="en-GB" w:eastAsia="zh-CN"/>
        </w:rPr>
        <w:t>(1981)</w:t>
      </w:r>
      <w:r w:rsidRPr="00272A52">
        <w:rPr>
          <w:lang w:val="en-GB" w:eastAsia="zh-CN"/>
        </w:rPr>
        <w:fldChar w:fldCharType="end"/>
      </w:r>
      <w:r w:rsidRPr="00272A52">
        <w:rPr>
          <w:lang w:val="en-GB" w:eastAsia="zh-CN"/>
        </w:rPr>
        <w:t xml:space="preserve"> ADF and Phillips and Perron </w:t>
      </w:r>
      <w:r w:rsidRPr="00272A52">
        <w:rPr>
          <w:lang w:val="en-GB" w:eastAsia="zh-CN"/>
        </w:rPr>
        <w:fldChar w:fldCharType="begin" w:fldLock="1"/>
      </w:r>
      <w:r w:rsidRPr="00272A52">
        <w:rPr>
          <w:lang w:val="en-GB" w:eastAsia="zh-CN"/>
        </w:rPr>
        <w:instrText>ADDIN CSL_CITATION {"citationItems":[{"id":"ITEM-1","itemData":{"ISSN":"0006-3444","abstract":"This paper proposes new tests for detecting the presence of a unit root in quite general time series models. Our approach is nonparametric with respect to nuisance parameters and thereby allows for a very wide class of weakly dependent and possibly heterogeneously distributed data. The tests accommodate models with a fitted drift and a time trend so that they may be used to discriminate between unit root nonstationarity and stationarity about a deterministic trend. The limiting distributions of the statistics are obtained under both the unit root null and a sequence of local alternatives. The latter noncentral distribution theory yields local asymptotic power functions for the tests and facilitates comparisons with alternative procedures due to Dickey &amp; Fuller. Simulations are reported on the performance of the new tests in finite samples. © 1988 Biometrika Trust.","author":[{"dropping-particle":"","family":"Phillips","given":"Peter C.B.","non-dropping-particle":"","parse-names":false,"suffix":""},{"dropping-particle":"","family":"Perron","given":"Pierre","non-dropping-particle":"","parse-names":false,"suffix":""}],"container-title":"Biometrika","id":"ITEM-1","issue":"2","issued":{"date-parts":[["1988","6","1"]]},"page":"335-346","publisher":"Oxford Academic","title":"Testing for a unit root in time series regression","type":"article-journal","volume":"75"},"suppress-author":1,"uris":["http://www.mendeley.com/documents/?uuid=775cc843-e2a8-38e9-abcd-e7b9898d6499"]}],"mendeley":{"formattedCitation":"(1988)","plainTextFormattedCitation":"(1988)","previouslyFormattedCitation":"(1988)"},"properties":{"noteIndex":0},"schema":"https://github.com/citation-style-language/schema/raw/master/csl-citation.json"}</w:instrText>
      </w:r>
      <w:r w:rsidRPr="00272A52">
        <w:rPr>
          <w:lang w:val="en-GB" w:eastAsia="zh-CN"/>
        </w:rPr>
        <w:fldChar w:fldCharType="separate"/>
      </w:r>
      <w:r w:rsidRPr="00272A52">
        <w:rPr>
          <w:noProof/>
          <w:lang w:val="en-GB" w:eastAsia="zh-CN"/>
        </w:rPr>
        <w:t>(1988)</w:t>
      </w:r>
      <w:r w:rsidRPr="00272A52">
        <w:rPr>
          <w:lang w:val="en-GB" w:eastAsia="zh-CN"/>
        </w:rPr>
        <w:fldChar w:fldCharType="end"/>
      </w:r>
      <w:r w:rsidRPr="00272A52">
        <w:rPr>
          <w:lang w:val="en-GB" w:eastAsia="zh-CN"/>
        </w:rPr>
        <w:t xml:space="preserve"> PP models to test</w:t>
      </w:r>
      <w:r w:rsidRPr="00272A52">
        <w:t xml:space="preserve"> the null of a unit root against the alternative of stationarity, whereas the </w:t>
      </w:r>
      <w:r w:rsidRPr="00272A52">
        <w:rPr>
          <w:lang w:val="en-GB" w:eastAsia="zh-CN"/>
        </w:rPr>
        <w:t>Kwiatkowski et al</w:t>
      </w:r>
      <w:r w:rsidRPr="00272A52">
        <w:rPr>
          <w:rFonts w:hint="eastAsia"/>
          <w:lang w:val="en-GB" w:eastAsia="zh-CN"/>
        </w:rPr>
        <w:t>.</w:t>
      </w:r>
      <w:r w:rsidRPr="00272A52">
        <w:rPr>
          <w:lang w:val="en-GB" w:eastAsia="zh-CN"/>
        </w:rPr>
        <w:t xml:space="preserve"> </w:t>
      </w:r>
      <w:r w:rsidRPr="00272A52">
        <w:rPr>
          <w:lang w:val="en-GB" w:eastAsia="zh-CN"/>
        </w:rPr>
        <w:fldChar w:fldCharType="begin" w:fldLock="1"/>
      </w:r>
      <w:r w:rsidRPr="00272A52">
        <w:rPr>
          <w:lang w:val="en-GB" w:eastAsia="zh-CN"/>
        </w:rPr>
        <w:instrText>ADDIN CSL_CITATION {"citationItems":[{"id":"ITEM-1","itemData":{"ISSN":"03044076","abstract":"We propose a test of the null hypothesis that an observable series is stationary around a deterministic trend. The series is expressed as the sum of deterministic trend, random walk, and stationary error, and the test is the LM test of the hypothesis that the random walk has zero variance. The asymptotic distribution of the statistic is derived under the null and under the alternative that the series is difference-stationary. Finite sample size and power are considered in a Monte Carlo experiment. The test is applied to the Nelson-Plosser data, and for many of these series the hypothesis of trend stationarity cannot be rejected. © 1992.","author":[{"dropping-particle":"","family":"Kwiatkowski","given":"Denis","non-dropping-particle":"","parse-names":false,"suffix":""},{"dropping-particle":"","family":"Phillips","given":"Peter C.B.","non-dropping-particle":"","parse-names":false,"suffix":""},{"dropping-particle":"","family":"Schmidt","given":"Peter","non-dropping-particle":"","parse-names":false,"suffix":""},{"dropping-particle":"","family":"Shin","given":"Yongcheol","non-dropping-particle":"","parse-names":false,"suffix":""}],"container-title":"Journal of Econometrics","id":"ITEM-1","issue":"1-3","issued":{"date-parts":[["1992","10","1"]]},"page":"159-178","publisher":"North-Holland","title":"Testing the null hypothesis of stationarity against the alternative of a unit root. How sure are we that economic time series have a unit root?","type":"article-journal","volume":"54"},"suppress-author":1,"uris":["http://www.mendeley.com/documents/?uuid=d45a3f82-2234-3a24-9249-9145a9fbd9ff"]}],"mendeley":{"formattedCitation":"(1992)","plainTextFormattedCitation":"(1992)","previouslyFormattedCitation":"(1992)"},"properties":{"noteIndex":0},"schema":"https://github.com/citation-style-language/schema/raw/master/csl-citation.json"}</w:instrText>
      </w:r>
      <w:r w:rsidRPr="00272A52">
        <w:rPr>
          <w:lang w:val="en-GB" w:eastAsia="zh-CN"/>
        </w:rPr>
        <w:fldChar w:fldCharType="separate"/>
      </w:r>
      <w:r w:rsidRPr="00272A52">
        <w:rPr>
          <w:noProof/>
          <w:lang w:val="en-GB" w:eastAsia="zh-CN"/>
        </w:rPr>
        <w:t>(1992)</w:t>
      </w:r>
      <w:r w:rsidRPr="00272A52">
        <w:rPr>
          <w:lang w:val="en-GB" w:eastAsia="zh-CN"/>
        </w:rPr>
        <w:fldChar w:fldCharType="end"/>
      </w:r>
      <w:r w:rsidRPr="00272A52">
        <w:rPr>
          <w:lang w:val="en-GB" w:eastAsia="zh-CN"/>
        </w:rPr>
        <w:t xml:space="preserve"> </w:t>
      </w:r>
      <w:r w:rsidRPr="00272A52">
        <w:t xml:space="preserve">KPSS tests the null of stationarity against the alternative of a unit root. Detailed results from the unit root tests are not reported here to conserve space but are available </w:t>
      </w:r>
      <w:r w:rsidRPr="00272A52">
        <w:rPr>
          <w:rFonts w:hint="eastAsia"/>
          <w:lang w:eastAsia="zh-CN"/>
        </w:rPr>
        <w:t>up</w:t>
      </w:r>
      <w:r w:rsidRPr="00272A52">
        <w:t>on request</w:t>
      </w:r>
      <w:r w:rsidRPr="00272A52">
        <w:rPr>
          <w:rFonts w:hint="eastAsia"/>
          <w:lang w:eastAsia="zh-CN"/>
        </w:rPr>
        <w:t xml:space="preserve"> from the authors</w:t>
      </w:r>
      <w:r w:rsidRPr="00272A52">
        <w:t>.</w:t>
      </w:r>
    </w:p>
  </w:footnote>
  <w:footnote w:id="5">
    <w:p w14:paraId="435FB02F" w14:textId="77E67AF1" w:rsidR="00806B8F" w:rsidRPr="00272A52" w:rsidRDefault="00806B8F" w:rsidP="00B01B7C">
      <w:pPr>
        <w:pStyle w:val="a6"/>
        <w:jc w:val="both"/>
      </w:pPr>
      <w:r w:rsidRPr="00440039">
        <w:rPr>
          <w:rStyle w:val="a9"/>
        </w:rPr>
        <w:footnoteRef/>
      </w:r>
      <w:r w:rsidRPr="00272A52">
        <w:t xml:space="preserve"> Asymmetric VAR means that the </w:t>
      </w:r>
      <w:r w:rsidRPr="00272A52">
        <w:rPr>
          <w:rFonts w:hint="eastAsia"/>
          <w:lang w:eastAsia="zh-CN"/>
        </w:rPr>
        <w:t xml:space="preserve">AVAR </w:t>
      </w:r>
      <w:r w:rsidRPr="00272A52">
        <w:t xml:space="preserve">system has the same explanatory variables in each equation, but </w:t>
      </w:r>
      <w:r w:rsidRPr="00272A52">
        <w:rPr>
          <w:rFonts w:hint="eastAsia"/>
          <w:lang w:eastAsia="zh-CN"/>
        </w:rPr>
        <w:t>the</w:t>
      </w:r>
      <w:r w:rsidRPr="00272A52">
        <w:t xml:space="preserve"> explanatory variable</w:t>
      </w:r>
      <w:r w:rsidRPr="00272A52">
        <w:rPr>
          <w:rFonts w:hint="eastAsia"/>
          <w:lang w:eastAsia="zh-CN"/>
        </w:rPr>
        <w:t>s</w:t>
      </w:r>
      <w:r w:rsidRPr="00272A52">
        <w:t xml:space="preserve"> </w:t>
      </w:r>
      <w:r w:rsidRPr="00272A52">
        <w:rPr>
          <w:rFonts w:hint="eastAsia"/>
          <w:lang w:eastAsia="zh-CN"/>
        </w:rPr>
        <w:t xml:space="preserve">can </w:t>
      </w:r>
      <w:r w:rsidRPr="00272A52">
        <w:t xml:space="preserve">have different number of lags. </w:t>
      </w:r>
      <w:r w:rsidRPr="00272A52">
        <w:rPr>
          <w:rFonts w:hint="eastAsia"/>
          <w:lang w:eastAsia="zh-CN"/>
        </w:rPr>
        <w:t xml:space="preserve">Hence, it is </w:t>
      </w:r>
      <w:r w:rsidRPr="00272A52">
        <w:t>more flexible in modeling dynamic systems.</w:t>
      </w:r>
    </w:p>
  </w:footnote>
  <w:footnote w:id="6">
    <w:p w14:paraId="45E46673" w14:textId="77777777" w:rsidR="00806B8F" w:rsidRPr="00CC512C" w:rsidRDefault="00806B8F" w:rsidP="00431757">
      <w:pPr>
        <w:pStyle w:val="a6"/>
        <w:jc w:val="both"/>
        <w:rPr>
          <w:sz w:val="22"/>
          <w:szCs w:val="22"/>
          <w:lang w:eastAsia="zh-CN"/>
        </w:rPr>
      </w:pPr>
      <w:r w:rsidRPr="00440039">
        <w:rPr>
          <w:rStyle w:val="a9"/>
        </w:rPr>
        <w:footnoteRef/>
      </w:r>
      <w:r w:rsidRPr="00272A52">
        <w:t xml:space="preserve"> The maximal eigenvalues of the coefficient matrix of all the VAR models are smaller than 1, which suggests that all the VAR models are stable. Moreover, our VAR models </w:t>
      </w:r>
      <w:r w:rsidRPr="00272A52">
        <w:rPr>
          <w:lang w:eastAsia="zh-CN"/>
        </w:rPr>
        <w:t>show</w:t>
      </w:r>
      <w:r w:rsidRPr="00272A52">
        <w:t xml:space="preserve"> no serial correlation in the residuals.</w:t>
      </w:r>
    </w:p>
  </w:footnote>
  <w:footnote w:id="7">
    <w:p w14:paraId="6D1A2FBE" w14:textId="738BD89C" w:rsidR="00806B8F" w:rsidRPr="007B4FC9" w:rsidRDefault="00806B8F" w:rsidP="000A032D">
      <w:pPr>
        <w:pStyle w:val="a6"/>
        <w:jc w:val="both"/>
        <w:rPr>
          <w:lang w:val="en-GB"/>
        </w:rPr>
      </w:pPr>
      <w:r w:rsidRPr="00440039">
        <w:rPr>
          <w:rStyle w:val="a9"/>
        </w:rPr>
        <w:footnoteRef/>
      </w:r>
      <w:r w:rsidRPr="007B4FC9">
        <w:t xml:space="preserve"> </w:t>
      </w:r>
      <w:r w:rsidRPr="007B4FC9">
        <w:rPr>
          <w:lang w:val="en-GB"/>
        </w:rPr>
        <w:t xml:space="preserve">The number of lags is selected by a general-to-specific approach to satisfy the assumption of no serial correlation and the stationary condition of VAR models. </w:t>
      </w:r>
    </w:p>
  </w:footnote>
  <w:footnote w:id="8">
    <w:p w14:paraId="31C104A5" w14:textId="23D166E1" w:rsidR="00806B8F" w:rsidRPr="007B4FC9" w:rsidRDefault="00806B8F" w:rsidP="0032747D">
      <w:pPr>
        <w:pStyle w:val="a6"/>
        <w:jc w:val="both"/>
        <w:rPr>
          <w:iCs/>
          <w:lang w:val="en-GB"/>
        </w:rPr>
      </w:pPr>
      <w:r w:rsidRPr="00440039">
        <w:rPr>
          <w:rStyle w:val="a9"/>
        </w:rPr>
        <w:footnoteRef/>
      </w:r>
      <w:r w:rsidRPr="007B4FC9">
        <w:t xml:space="preserve"> </w:t>
      </w:r>
      <w:r w:rsidRPr="007B4FC9">
        <w:rPr>
          <w:iCs/>
          <w:lang w:eastAsia="zh-CN"/>
        </w:rPr>
        <w:t>W</w:t>
      </w:r>
      <w:r w:rsidRPr="007B4FC9">
        <w:rPr>
          <w:iCs/>
        </w:rPr>
        <w:t>e have also conducted the impulse response function</w:t>
      </w:r>
      <w:r w:rsidRPr="007B4FC9">
        <w:rPr>
          <w:rFonts w:hint="eastAsia"/>
          <w:iCs/>
          <w:lang w:eastAsia="zh-CN"/>
        </w:rPr>
        <w:t>s</w:t>
      </w:r>
      <w:r w:rsidRPr="007B4FC9">
        <w:rPr>
          <w:iCs/>
        </w:rPr>
        <w:t xml:space="preserve"> with Cholesky decomposition and structural vector autoregression (SVAR)</w:t>
      </w:r>
      <w:r w:rsidRPr="007B4FC9">
        <w:rPr>
          <w:rFonts w:hint="eastAsia"/>
          <w:iCs/>
          <w:lang w:eastAsia="zh-CN"/>
        </w:rPr>
        <w:t xml:space="preserve"> </w:t>
      </w:r>
      <w:r w:rsidRPr="007B4FC9">
        <w:rPr>
          <w:iCs/>
        </w:rPr>
        <w:t xml:space="preserve">and </w:t>
      </w:r>
      <w:r w:rsidRPr="007B4FC9">
        <w:rPr>
          <w:rFonts w:hint="eastAsia"/>
          <w:iCs/>
          <w:lang w:eastAsia="zh-CN"/>
        </w:rPr>
        <w:t xml:space="preserve">obtained consistent </w:t>
      </w:r>
      <w:r w:rsidRPr="007B4FC9">
        <w:rPr>
          <w:iCs/>
        </w:rPr>
        <w:t xml:space="preserve">results. </w:t>
      </w:r>
      <w:r w:rsidRPr="007B4FC9">
        <w:rPr>
          <w:rFonts w:hint="eastAsia"/>
          <w:iCs/>
          <w:lang w:eastAsia="zh-CN"/>
        </w:rPr>
        <w:t>T</w:t>
      </w:r>
      <w:r w:rsidRPr="007B4FC9">
        <w:rPr>
          <w:iCs/>
        </w:rPr>
        <w:t>hese results are available upon request</w:t>
      </w:r>
      <w:r w:rsidRPr="007B4FC9">
        <w:rPr>
          <w:rFonts w:hint="eastAsia"/>
          <w:iCs/>
          <w:lang w:eastAsia="zh-CN"/>
        </w:rPr>
        <w:t xml:space="preserve"> from the authors</w:t>
      </w:r>
      <w:r w:rsidRPr="007B4FC9">
        <w:rPr>
          <w:iCs/>
        </w:rPr>
        <w:t>.</w:t>
      </w:r>
    </w:p>
  </w:footnote>
  <w:footnote w:id="9">
    <w:p w14:paraId="120A122C" w14:textId="7B7F0F93" w:rsidR="00806B8F" w:rsidRPr="00B26548" w:rsidRDefault="00806B8F" w:rsidP="0032747D">
      <w:pPr>
        <w:pStyle w:val="a6"/>
        <w:jc w:val="both"/>
        <w:rPr>
          <w:sz w:val="22"/>
          <w:szCs w:val="22"/>
          <w:lang w:eastAsia="zh-CN"/>
        </w:rPr>
      </w:pPr>
      <w:r w:rsidRPr="00440039">
        <w:rPr>
          <w:rStyle w:val="a9"/>
        </w:rPr>
        <w:footnoteRef/>
      </w:r>
      <w:r w:rsidRPr="007B4FC9">
        <w:t xml:space="preserve"> Stambaugh </w:t>
      </w:r>
      <w:r w:rsidRPr="007B4FC9">
        <w:fldChar w:fldCharType="begin" w:fldLock="1"/>
      </w:r>
      <w:r w:rsidRPr="007B4FC9">
        <w:instrText>ADDIN CSL_CITATION {"citationItems":[{"id":"ITEM-1","itemData":{"ISSN":"0304405X","abstract":"When a rate of return is regressed on a lagged stochastic regressor, such as a dividend yield, the regression disturbance is correlated with the regressor's innovation. The OLS estimator's finite-sample properties, derived here, can depart substantially from the standard regression setting. Bayesian posterior distributions for the regression parameters are obtained under specifications that differ with respect to (i) prior beliefs about the autocorrelation of the regressor and (ii) whether the initial observation of the regressor is specified as fixed or stochastic. The posteriors differ across such specifications, and asset allocations in the presence of estimation risk exhibit sensitivity to those differences. © 1999 Elsevier Science S.A. All rights reserved.","author":[{"dropping-particle":"","family":"Stambaugh","given":"Robert F.","non-dropping-particle":"","parse-names":false,"suffix":""}],"container-title":"Journal of Financial Economics","id":"ITEM-1","issue":"3","issued":{"date-parts":[["1999","12","1"]]},"page":"375-421","publisher":"Elsevier","title":"Predictive regressions","type":"article-journal","volume":"54"},"suppress-author":1,"uris":["http://www.mendeley.com/documents/?uuid=87e0f93c-8333-3d6b-b7e2-8e833c8d8b25"]}],"mendeley":{"formattedCitation":"(1999)","plainTextFormattedCitation":"(1999)","previouslyFormattedCitation":"(1999)"},"properties":{"noteIndex":0},"schema":"https://github.com/citation-style-language/schema/raw/master/csl-citation.json"}</w:instrText>
      </w:r>
      <w:r w:rsidRPr="007B4FC9">
        <w:fldChar w:fldCharType="separate"/>
      </w:r>
      <w:r w:rsidRPr="007B4FC9">
        <w:rPr>
          <w:noProof/>
        </w:rPr>
        <w:t>(1999)</w:t>
      </w:r>
      <w:r w:rsidRPr="007B4FC9">
        <w:fldChar w:fldCharType="end"/>
      </w:r>
      <w:r w:rsidRPr="007B4FC9">
        <w:t xml:space="preserve"> shows that coefficients in </w:t>
      </w:r>
      <w:r w:rsidRPr="007B4FC9">
        <w:rPr>
          <w:lang w:eastAsia="zh-CN"/>
        </w:rPr>
        <w:t xml:space="preserve">predictive regressions such as </w:t>
      </w:r>
      <w:r w:rsidRPr="007B4FC9">
        <w:rPr>
          <w:rFonts w:hint="eastAsia"/>
          <w:lang w:eastAsia="zh-CN"/>
        </w:rPr>
        <w:t>those in E</w:t>
      </w:r>
      <w:r w:rsidRPr="007B4FC9">
        <w:rPr>
          <w:lang w:eastAsia="zh-CN"/>
        </w:rPr>
        <w:t>q.</w:t>
      </w:r>
      <w:r w:rsidRPr="007B4FC9">
        <w:t xml:space="preserve"> (</w:t>
      </w:r>
      <w:r w:rsidRPr="007B4FC9">
        <w:rPr>
          <w:lang w:eastAsia="zh-CN"/>
        </w:rPr>
        <w:t>7</w:t>
      </w:r>
      <w:r w:rsidRPr="007B4FC9">
        <w:t xml:space="preserve">) suffer from finite sample bias and the normal </w:t>
      </w:r>
      <w:r w:rsidRPr="007B4FC9">
        <w:rPr>
          <w:i/>
        </w:rPr>
        <w:t>t</w:t>
      </w:r>
      <w:r w:rsidRPr="007B4FC9">
        <w:t xml:space="preserve">-test </w:t>
      </w:r>
      <w:r w:rsidRPr="007B4FC9">
        <w:rPr>
          <w:lang w:eastAsia="zh-CN"/>
        </w:rPr>
        <w:t>could be misleading</w:t>
      </w:r>
      <w:r w:rsidRPr="007B4FC9">
        <w:t xml:space="preserve"> when the predictors </w:t>
      </w:r>
      <w:r w:rsidRPr="007B4FC9">
        <w:rPr>
          <w:lang w:eastAsia="zh-CN"/>
        </w:rPr>
        <w:t>are</w:t>
      </w:r>
      <w:r w:rsidRPr="007B4FC9">
        <w:t xml:space="preserve"> highly persistent.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624C4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357"/>
    <w:multiLevelType w:val="hybridMultilevel"/>
    <w:tmpl w:val="2946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35E5"/>
    <w:multiLevelType w:val="hybridMultilevel"/>
    <w:tmpl w:val="F10AAECE"/>
    <w:lvl w:ilvl="0" w:tplc="87C4FA3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C1034"/>
    <w:multiLevelType w:val="hybridMultilevel"/>
    <w:tmpl w:val="5DAAD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3D4E33"/>
    <w:multiLevelType w:val="hybridMultilevel"/>
    <w:tmpl w:val="EBAA58E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D256F2"/>
    <w:multiLevelType w:val="multilevel"/>
    <w:tmpl w:val="B1D8470C"/>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DDC3D6C"/>
    <w:multiLevelType w:val="multilevel"/>
    <w:tmpl w:val="69860C49"/>
    <w:lvl w:ilvl="0">
      <w:start w:val="1"/>
      <w:numFmt w:val="decimal"/>
      <w:lvlText w:val="%1."/>
      <w:lvlJc w:val="left"/>
      <w:pPr>
        <w:ind w:left="360" w:hanging="360"/>
      </w:pPr>
    </w:lvl>
    <w:lvl w:ilvl="1">
      <w:start w:val="1"/>
      <w:numFmt w:val="decimal"/>
      <w:lvlText w:val="%2.1."/>
      <w:lvlJc w:val="left"/>
      <w:pPr>
        <w:ind w:left="360" w:hanging="360"/>
      </w:pPr>
      <w:rPr>
        <w:rFonts w:hint="eastAsia"/>
      </w:rPr>
    </w:lvl>
    <w:lvl w:ilvl="2">
      <w:start w:val="1"/>
      <w:numFmt w:val="decimal"/>
      <w:isLgl/>
      <w:lvlText w:val="%1.%2.%3"/>
      <w:lvlJc w:val="left"/>
      <w:pPr>
        <w:ind w:left="720" w:hanging="720"/>
      </w:pPr>
      <w:rPr>
        <w:rFonts w:hint="default"/>
      </w:rPr>
    </w:lvl>
    <w:lvl w:ilvl="3" w:tentative="1">
      <w:start w:val="1"/>
      <w:numFmt w:val="decimal"/>
      <w:isLgl/>
      <w:lvlText w:val="%1.%2.%3.%4"/>
      <w:lvlJc w:val="left"/>
      <w:pPr>
        <w:ind w:left="720" w:hanging="72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abstractNum w:abstractNumId="7" w15:restartNumberingAfterBreak="0">
    <w:nsid w:val="2AB051B2"/>
    <w:multiLevelType w:val="multilevel"/>
    <w:tmpl w:val="D82EDB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DED1B85"/>
    <w:multiLevelType w:val="multilevel"/>
    <w:tmpl w:val="E640C678"/>
    <w:lvl w:ilvl="0">
      <w:start w:val="2"/>
      <w:numFmt w:val="decimal"/>
      <w:lvlText w:val="%1"/>
      <w:lvlJc w:val="left"/>
      <w:pPr>
        <w:ind w:left="360" w:hanging="360"/>
      </w:pPr>
      <w:rPr>
        <w:rFonts w:hint="default"/>
      </w:rPr>
    </w:lvl>
    <w:lvl w:ilvl="1">
      <w:start w:val="1"/>
      <w:numFmt w:val="decimal"/>
      <w:lvlText w:val="%1.%2"/>
      <w:lvlJc w:val="left"/>
      <w:pPr>
        <w:ind w:left="543" w:hanging="360"/>
      </w:pPr>
      <w:rPr>
        <w:rFonts w:hint="default"/>
      </w:rPr>
    </w:lvl>
    <w:lvl w:ilvl="2">
      <w:start w:val="1"/>
      <w:numFmt w:val="decimal"/>
      <w:lvlText w:val="%1.%2.%3"/>
      <w:lvlJc w:val="left"/>
      <w:pPr>
        <w:ind w:left="1086" w:hanging="720"/>
      </w:pPr>
      <w:rPr>
        <w:rFonts w:hint="default"/>
      </w:rPr>
    </w:lvl>
    <w:lvl w:ilvl="3">
      <w:start w:val="1"/>
      <w:numFmt w:val="decimal"/>
      <w:lvlText w:val="%1.%2.%3.%4"/>
      <w:lvlJc w:val="left"/>
      <w:pPr>
        <w:ind w:left="1269" w:hanging="720"/>
      </w:pPr>
      <w:rPr>
        <w:rFonts w:hint="default"/>
      </w:rPr>
    </w:lvl>
    <w:lvl w:ilvl="4">
      <w:start w:val="1"/>
      <w:numFmt w:val="decimal"/>
      <w:lvlText w:val="%1.%2.%3.%4.%5"/>
      <w:lvlJc w:val="left"/>
      <w:pPr>
        <w:ind w:left="1812" w:hanging="1080"/>
      </w:pPr>
      <w:rPr>
        <w:rFonts w:hint="default"/>
      </w:rPr>
    </w:lvl>
    <w:lvl w:ilvl="5">
      <w:start w:val="1"/>
      <w:numFmt w:val="decimal"/>
      <w:lvlText w:val="%1.%2.%3.%4.%5.%6"/>
      <w:lvlJc w:val="left"/>
      <w:pPr>
        <w:ind w:left="1995" w:hanging="1080"/>
      </w:pPr>
      <w:rPr>
        <w:rFonts w:hint="default"/>
      </w:rPr>
    </w:lvl>
    <w:lvl w:ilvl="6">
      <w:start w:val="1"/>
      <w:numFmt w:val="decimal"/>
      <w:lvlText w:val="%1.%2.%3.%4.%5.%6.%7"/>
      <w:lvlJc w:val="left"/>
      <w:pPr>
        <w:ind w:left="2538" w:hanging="1440"/>
      </w:pPr>
      <w:rPr>
        <w:rFonts w:hint="default"/>
      </w:rPr>
    </w:lvl>
    <w:lvl w:ilvl="7">
      <w:start w:val="1"/>
      <w:numFmt w:val="decimal"/>
      <w:lvlText w:val="%1.%2.%3.%4.%5.%6.%7.%8"/>
      <w:lvlJc w:val="left"/>
      <w:pPr>
        <w:ind w:left="2721" w:hanging="1440"/>
      </w:pPr>
      <w:rPr>
        <w:rFonts w:hint="default"/>
      </w:rPr>
    </w:lvl>
    <w:lvl w:ilvl="8">
      <w:start w:val="1"/>
      <w:numFmt w:val="decimal"/>
      <w:lvlText w:val="%1.%2.%3.%4.%5.%6.%7.%8.%9"/>
      <w:lvlJc w:val="left"/>
      <w:pPr>
        <w:ind w:left="3264" w:hanging="1800"/>
      </w:pPr>
      <w:rPr>
        <w:rFonts w:hint="default"/>
      </w:rPr>
    </w:lvl>
  </w:abstractNum>
  <w:abstractNum w:abstractNumId="9" w15:restartNumberingAfterBreak="0">
    <w:nsid w:val="2E1E66B9"/>
    <w:multiLevelType w:val="hybridMultilevel"/>
    <w:tmpl w:val="08E6D6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AF371B"/>
    <w:multiLevelType w:val="hybridMultilevel"/>
    <w:tmpl w:val="6B588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36565E"/>
    <w:multiLevelType w:val="hybridMultilevel"/>
    <w:tmpl w:val="6400BBE6"/>
    <w:lvl w:ilvl="0" w:tplc="BA606530">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AB5EAB"/>
    <w:multiLevelType w:val="hybridMultilevel"/>
    <w:tmpl w:val="DF0C93A6"/>
    <w:lvl w:ilvl="0" w:tplc="9E4C5538">
      <w:start w:val="2"/>
      <w:numFmt w:val="upperRoman"/>
      <w:lvlText w:val="%1."/>
      <w:lvlJc w:val="left"/>
      <w:pPr>
        <w:ind w:left="1080" w:hanging="720"/>
      </w:pPr>
      <w:rPr>
        <w:rFonts w:ascii="Times New Roman"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193776"/>
    <w:multiLevelType w:val="hybridMultilevel"/>
    <w:tmpl w:val="BBD8D2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4EF79C7"/>
    <w:multiLevelType w:val="hybridMultilevel"/>
    <w:tmpl w:val="A68A8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860C49"/>
    <w:multiLevelType w:val="multilevel"/>
    <w:tmpl w:val="27AA0A6A"/>
    <w:lvl w:ilvl="0">
      <w:start w:val="3"/>
      <w:numFmt w:val="decimal"/>
      <w:lvlText w:val="%1."/>
      <w:lvlJc w:val="left"/>
      <w:pPr>
        <w:ind w:left="360" w:hanging="360"/>
      </w:pPr>
      <w:rPr>
        <w:rFonts w:hint="default"/>
      </w:rPr>
    </w:lvl>
    <w:lvl w:ilvl="1">
      <w:start w:val="1"/>
      <w:numFmt w:val="decimal"/>
      <w:lvlText w:val="%2.1."/>
      <w:lvlJc w:val="left"/>
      <w:pPr>
        <w:ind w:left="360" w:hanging="360"/>
      </w:pPr>
      <w:rPr>
        <w:rFonts w:hint="eastAsi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9F52BBF"/>
    <w:multiLevelType w:val="multilevel"/>
    <w:tmpl w:val="69F52BBF"/>
    <w:lvl w:ilvl="0">
      <w:start w:val="2"/>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7" w15:restartNumberingAfterBreak="0">
    <w:nsid w:val="69FB1F27"/>
    <w:multiLevelType w:val="multilevel"/>
    <w:tmpl w:val="8DCC4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E635D8"/>
    <w:multiLevelType w:val="multilevel"/>
    <w:tmpl w:val="A3B4A204"/>
    <w:lvl w:ilvl="0">
      <w:start w:val="3"/>
      <w:numFmt w:val="decimal"/>
      <w:lvlText w:val="%1"/>
      <w:lvlJc w:val="left"/>
      <w:pPr>
        <w:ind w:left="360" w:hanging="360"/>
      </w:pPr>
      <w:rPr>
        <w:rFonts w:hint="default"/>
      </w:rPr>
    </w:lvl>
    <w:lvl w:ilvl="1">
      <w:start w:val="3"/>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19" w15:restartNumberingAfterBreak="0">
    <w:nsid w:val="72A8583E"/>
    <w:multiLevelType w:val="hybridMultilevel"/>
    <w:tmpl w:val="25383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BC7AE5"/>
    <w:multiLevelType w:val="multilevel"/>
    <w:tmpl w:val="FE22F85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CE445A"/>
    <w:multiLevelType w:val="hybridMultilevel"/>
    <w:tmpl w:val="CE60D0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5"/>
  </w:num>
  <w:num w:numId="2">
    <w:abstractNumId w:val="16"/>
  </w:num>
  <w:num w:numId="3">
    <w:abstractNumId w:val="18"/>
  </w:num>
  <w:num w:numId="4">
    <w:abstractNumId w:val="7"/>
  </w:num>
  <w:num w:numId="5">
    <w:abstractNumId w:val="0"/>
  </w:num>
  <w:num w:numId="6">
    <w:abstractNumId w:val="17"/>
  </w:num>
  <w:num w:numId="7">
    <w:abstractNumId w:val="20"/>
  </w:num>
  <w:num w:numId="8">
    <w:abstractNumId w:val="2"/>
  </w:num>
  <w:num w:numId="9">
    <w:abstractNumId w:val="19"/>
  </w:num>
  <w:num w:numId="10">
    <w:abstractNumId w:val="1"/>
  </w:num>
  <w:num w:numId="11">
    <w:abstractNumId w:val="5"/>
  </w:num>
  <w:num w:numId="12">
    <w:abstractNumId w:val="8"/>
  </w:num>
  <w:num w:numId="13">
    <w:abstractNumId w:val="11"/>
  </w:num>
  <w:num w:numId="14">
    <w:abstractNumId w:val="4"/>
  </w:num>
  <w:num w:numId="15">
    <w:abstractNumId w:val="6"/>
  </w:num>
  <w:num w:numId="16">
    <w:abstractNumId w:val="9"/>
  </w:num>
  <w:num w:numId="17">
    <w:abstractNumId w:val="10"/>
  </w:num>
  <w:num w:numId="18">
    <w:abstractNumId w:val="13"/>
  </w:num>
  <w:num w:numId="19">
    <w:abstractNumId w:val="21"/>
  </w:num>
  <w:num w:numId="20">
    <w:abstractNumId w:val="3"/>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NjCxMDYzMDc3MrFU0lEKTi0uzszPAykwqgUAPEbGECwAAAA="/>
    <w:docVar w:name="EN.InstantFormat" w:val="&lt;ENInstantFormat&gt;&lt;Enabled&gt;1&lt;/Enabled&gt;&lt;ScanUnformatted&gt;1&lt;/ScanUnformatted&gt;&lt;ScanChanges&gt;1&lt;/ScanChanges&gt;&lt;Suspended&gt;1&lt;/Suspended&gt;&lt;/ENInstantFormat&gt;"/>
  </w:docVars>
  <w:rsids>
    <w:rsidRoot w:val="005A7DC1"/>
    <w:rsid w:val="00000683"/>
    <w:rsid w:val="00002630"/>
    <w:rsid w:val="00002A96"/>
    <w:rsid w:val="00003FD0"/>
    <w:rsid w:val="00005520"/>
    <w:rsid w:val="0000614E"/>
    <w:rsid w:val="000068EA"/>
    <w:rsid w:val="0000788B"/>
    <w:rsid w:val="0001233F"/>
    <w:rsid w:val="000124C3"/>
    <w:rsid w:val="00012ACE"/>
    <w:rsid w:val="0001311F"/>
    <w:rsid w:val="00013286"/>
    <w:rsid w:val="00013A8F"/>
    <w:rsid w:val="00013B13"/>
    <w:rsid w:val="000158DE"/>
    <w:rsid w:val="000162DB"/>
    <w:rsid w:val="00017380"/>
    <w:rsid w:val="00020798"/>
    <w:rsid w:val="000210B6"/>
    <w:rsid w:val="0002204C"/>
    <w:rsid w:val="000224B3"/>
    <w:rsid w:val="00022A17"/>
    <w:rsid w:val="0002323B"/>
    <w:rsid w:val="000242AA"/>
    <w:rsid w:val="00024D28"/>
    <w:rsid w:val="000255D7"/>
    <w:rsid w:val="0002605D"/>
    <w:rsid w:val="00026121"/>
    <w:rsid w:val="000268C6"/>
    <w:rsid w:val="00027208"/>
    <w:rsid w:val="00031D17"/>
    <w:rsid w:val="00032B30"/>
    <w:rsid w:val="00032E33"/>
    <w:rsid w:val="000461A6"/>
    <w:rsid w:val="00046863"/>
    <w:rsid w:val="00047C2C"/>
    <w:rsid w:val="00050567"/>
    <w:rsid w:val="00052CCB"/>
    <w:rsid w:val="0005318F"/>
    <w:rsid w:val="00053812"/>
    <w:rsid w:val="00053D40"/>
    <w:rsid w:val="0005405F"/>
    <w:rsid w:val="0005497D"/>
    <w:rsid w:val="000562C6"/>
    <w:rsid w:val="00057E1A"/>
    <w:rsid w:val="00060AF6"/>
    <w:rsid w:val="000610F6"/>
    <w:rsid w:val="000633B3"/>
    <w:rsid w:val="000634E1"/>
    <w:rsid w:val="000674BC"/>
    <w:rsid w:val="000674F1"/>
    <w:rsid w:val="00071463"/>
    <w:rsid w:val="000727CC"/>
    <w:rsid w:val="00073E7B"/>
    <w:rsid w:val="00074CA3"/>
    <w:rsid w:val="000812FA"/>
    <w:rsid w:val="00081AF5"/>
    <w:rsid w:val="00081C85"/>
    <w:rsid w:val="000829A2"/>
    <w:rsid w:val="000832CA"/>
    <w:rsid w:val="00083588"/>
    <w:rsid w:val="00083E9F"/>
    <w:rsid w:val="0008422D"/>
    <w:rsid w:val="00087334"/>
    <w:rsid w:val="00090D2C"/>
    <w:rsid w:val="00093C95"/>
    <w:rsid w:val="000943AD"/>
    <w:rsid w:val="00094F3E"/>
    <w:rsid w:val="000970E0"/>
    <w:rsid w:val="000A032D"/>
    <w:rsid w:val="000A2A1E"/>
    <w:rsid w:val="000A5756"/>
    <w:rsid w:val="000A57FB"/>
    <w:rsid w:val="000A6794"/>
    <w:rsid w:val="000B09AF"/>
    <w:rsid w:val="000B1483"/>
    <w:rsid w:val="000B2ACC"/>
    <w:rsid w:val="000B35BD"/>
    <w:rsid w:val="000B5B4C"/>
    <w:rsid w:val="000C1F80"/>
    <w:rsid w:val="000C3DA4"/>
    <w:rsid w:val="000C4980"/>
    <w:rsid w:val="000C5B69"/>
    <w:rsid w:val="000D0EF2"/>
    <w:rsid w:val="000D172D"/>
    <w:rsid w:val="000D2758"/>
    <w:rsid w:val="000D5732"/>
    <w:rsid w:val="000D6208"/>
    <w:rsid w:val="000E1B37"/>
    <w:rsid w:val="000E2DB2"/>
    <w:rsid w:val="000E3389"/>
    <w:rsid w:val="000E65E2"/>
    <w:rsid w:val="000E6EEC"/>
    <w:rsid w:val="000F0B25"/>
    <w:rsid w:val="000F1056"/>
    <w:rsid w:val="000F3BFE"/>
    <w:rsid w:val="000F788C"/>
    <w:rsid w:val="0010011A"/>
    <w:rsid w:val="0010635A"/>
    <w:rsid w:val="00106517"/>
    <w:rsid w:val="00106A51"/>
    <w:rsid w:val="00107833"/>
    <w:rsid w:val="00113084"/>
    <w:rsid w:val="00114203"/>
    <w:rsid w:val="00114542"/>
    <w:rsid w:val="001154AE"/>
    <w:rsid w:val="00116C90"/>
    <w:rsid w:val="00117BA1"/>
    <w:rsid w:val="00121271"/>
    <w:rsid w:val="00122016"/>
    <w:rsid w:val="001240AE"/>
    <w:rsid w:val="00124341"/>
    <w:rsid w:val="00132D49"/>
    <w:rsid w:val="00135B0B"/>
    <w:rsid w:val="00136386"/>
    <w:rsid w:val="00144D02"/>
    <w:rsid w:val="001451ED"/>
    <w:rsid w:val="00145532"/>
    <w:rsid w:val="00146B70"/>
    <w:rsid w:val="00151903"/>
    <w:rsid w:val="00153698"/>
    <w:rsid w:val="00155485"/>
    <w:rsid w:val="00156709"/>
    <w:rsid w:val="001567F9"/>
    <w:rsid w:val="00156D50"/>
    <w:rsid w:val="001579B4"/>
    <w:rsid w:val="00161E5E"/>
    <w:rsid w:val="00163427"/>
    <w:rsid w:val="00163B19"/>
    <w:rsid w:val="00163DB7"/>
    <w:rsid w:val="0016425E"/>
    <w:rsid w:val="00166C42"/>
    <w:rsid w:val="00166E3B"/>
    <w:rsid w:val="001709C2"/>
    <w:rsid w:val="00171576"/>
    <w:rsid w:val="00171A1C"/>
    <w:rsid w:val="00171E93"/>
    <w:rsid w:val="00175434"/>
    <w:rsid w:val="00175673"/>
    <w:rsid w:val="00175B68"/>
    <w:rsid w:val="00175EDE"/>
    <w:rsid w:val="00176893"/>
    <w:rsid w:val="00176A47"/>
    <w:rsid w:val="00176CFB"/>
    <w:rsid w:val="00177103"/>
    <w:rsid w:val="0017718B"/>
    <w:rsid w:val="00181075"/>
    <w:rsid w:val="001836EF"/>
    <w:rsid w:val="00183D79"/>
    <w:rsid w:val="001843E9"/>
    <w:rsid w:val="0018627B"/>
    <w:rsid w:val="001915AE"/>
    <w:rsid w:val="00193314"/>
    <w:rsid w:val="00195A1C"/>
    <w:rsid w:val="00196F3B"/>
    <w:rsid w:val="001A4D28"/>
    <w:rsid w:val="001A51CB"/>
    <w:rsid w:val="001A5381"/>
    <w:rsid w:val="001A6948"/>
    <w:rsid w:val="001A733D"/>
    <w:rsid w:val="001A7504"/>
    <w:rsid w:val="001B2D06"/>
    <w:rsid w:val="001B3CB5"/>
    <w:rsid w:val="001B44D4"/>
    <w:rsid w:val="001B6A40"/>
    <w:rsid w:val="001C04F0"/>
    <w:rsid w:val="001C164C"/>
    <w:rsid w:val="001C368C"/>
    <w:rsid w:val="001C3756"/>
    <w:rsid w:val="001C4D6A"/>
    <w:rsid w:val="001C55C5"/>
    <w:rsid w:val="001C5663"/>
    <w:rsid w:val="001C6DCF"/>
    <w:rsid w:val="001C793E"/>
    <w:rsid w:val="001D01A3"/>
    <w:rsid w:val="001D07E4"/>
    <w:rsid w:val="001D1D5D"/>
    <w:rsid w:val="001D1D9B"/>
    <w:rsid w:val="001D2502"/>
    <w:rsid w:val="001D289C"/>
    <w:rsid w:val="001D299B"/>
    <w:rsid w:val="001D348A"/>
    <w:rsid w:val="001D3A4B"/>
    <w:rsid w:val="001D4CFD"/>
    <w:rsid w:val="001D5191"/>
    <w:rsid w:val="001D6A1F"/>
    <w:rsid w:val="001D6E55"/>
    <w:rsid w:val="001D7007"/>
    <w:rsid w:val="001E1027"/>
    <w:rsid w:val="001E1AB2"/>
    <w:rsid w:val="001E260B"/>
    <w:rsid w:val="001E2F81"/>
    <w:rsid w:val="001E38D8"/>
    <w:rsid w:val="001E587D"/>
    <w:rsid w:val="001E6B33"/>
    <w:rsid w:val="001E78A2"/>
    <w:rsid w:val="001F1B4D"/>
    <w:rsid w:val="001F216C"/>
    <w:rsid w:val="001F391B"/>
    <w:rsid w:val="001F3C04"/>
    <w:rsid w:val="001F6343"/>
    <w:rsid w:val="001F6ADA"/>
    <w:rsid w:val="001F77D4"/>
    <w:rsid w:val="00200234"/>
    <w:rsid w:val="00200C05"/>
    <w:rsid w:val="00203163"/>
    <w:rsid w:val="00204384"/>
    <w:rsid w:val="00205116"/>
    <w:rsid w:val="0021120D"/>
    <w:rsid w:val="00211E7C"/>
    <w:rsid w:val="002131C5"/>
    <w:rsid w:val="002131CB"/>
    <w:rsid w:val="00213786"/>
    <w:rsid w:val="00213947"/>
    <w:rsid w:val="002162CA"/>
    <w:rsid w:val="00217A67"/>
    <w:rsid w:val="00217CCC"/>
    <w:rsid w:val="0022151F"/>
    <w:rsid w:val="0022263F"/>
    <w:rsid w:val="00223488"/>
    <w:rsid w:val="002235B0"/>
    <w:rsid w:val="00223DE5"/>
    <w:rsid w:val="002240F4"/>
    <w:rsid w:val="002246CB"/>
    <w:rsid w:val="002254DF"/>
    <w:rsid w:val="00225DC5"/>
    <w:rsid w:val="0022713F"/>
    <w:rsid w:val="002277AD"/>
    <w:rsid w:val="00227D91"/>
    <w:rsid w:val="00230062"/>
    <w:rsid w:val="00230E7F"/>
    <w:rsid w:val="002312EB"/>
    <w:rsid w:val="00231F36"/>
    <w:rsid w:val="0023322B"/>
    <w:rsid w:val="002333BD"/>
    <w:rsid w:val="0023509D"/>
    <w:rsid w:val="002350C4"/>
    <w:rsid w:val="00235814"/>
    <w:rsid w:val="002361AE"/>
    <w:rsid w:val="00236F6E"/>
    <w:rsid w:val="002376D2"/>
    <w:rsid w:val="00240657"/>
    <w:rsid w:val="00240D48"/>
    <w:rsid w:val="00243ECB"/>
    <w:rsid w:val="00244903"/>
    <w:rsid w:val="00244CCE"/>
    <w:rsid w:val="00245AEA"/>
    <w:rsid w:val="00246968"/>
    <w:rsid w:val="002503CC"/>
    <w:rsid w:val="00250823"/>
    <w:rsid w:val="0025152B"/>
    <w:rsid w:val="00251F7D"/>
    <w:rsid w:val="00252636"/>
    <w:rsid w:val="002538B5"/>
    <w:rsid w:val="0025415D"/>
    <w:rsid w:val="00255F78"/>
    <w:rsid w:val="00256D49"/>
    <w:rsid w:val="00256F82"/>
    <w:rsid w:val="00260400"/>
    <w:rsid w:val="0026110C"/>
    <w:rsid w:val="00263DC9"/>
    <w:rsid w:val="00263F0E"/>
    <w:rsid w:val="002667B7"/>
    <w:rsid w:val="002673B7"/>
    <w:rsid w:val="00267840"/>
    <w:rsid w:val="0027022B"/>
    <w:rsid w:val="0027107A"/>
    <w:rsid w:val="00272143"/>
    <w:rsid w:val="00272A52"/>
    <w:rsid w:val="00272FDB"/>
    <w:rsid w:val="00277887"/>
    <w:rsid w:val="00280BBC"/>
    <w:rsid w:val="00280CD4"/>
    <w:rsid w:val="00283F07"/>
    <w:rsid w:val="002840E0"/>
    <w:rsid w:val="0028450F"/>
    <w:rsid w:val="00284650"/>
    <w:rsid w:val="002853D6"/>
    <w:rsid w:val="00287F9D"/>
    <w:rsid w:val="00293D1A"/>
    <w:rsid w:val="00293E74"/>
    <w:rsid w:val="00293F82"/>
    <w:rsid w:val="00296773"/>
    <w:rsid w:val="00296C77"/>
    <w:rsid w:val="0029716E"/>
    <w:rsid w:val="002A12A0"/>
    <w:rsid w:val="002A1403"/>
    <w:rsid w:val="002A1949"/>
    <w:rsid w:val="002A1EC0"/>
    <w:rsid w:val="002A2754"/>
    <w:rsid w:val="002A58EF"/>
    <w:rsid w:val="002A6590"/>
    <w:rsid w:val="002B1F4E"/>
    <w:rsid w:val="002B39EB"/>
    <w:rsid w:val="002B3F7E"/>
    <w:rsid w:val="002B498C"/>
    <w:rsid w:val="002B7317"/>
    <w:rsid w:val="002B75E4"/>
    <w:rsid w:val="002B7DE5"/>
    <w:rsid w:val="002C0970"/>
    <w:rsid w:val="002C3413"/>
    <w:rsid w:val="002C3DEC"/>
    <w:rsid w:val="002C4989"/>
    <w:rsid w:val="002D2D88"/>
    <w:rsid w:val="002D38F9"/>
    <w:rsid w:val="002D49C3"/>
    <w:rsid w:val="002D50D9"/>
    <w:rsid w:val="002D56D1"/>
    <w:rsid w:val="002D6DE5"/>
    <w:rsid w:val="002E15D7"/>
    <w:rsid w:val="002E182A"/>
    <w:rsid w:val="002E1B3E"/>
    <w:rsid w:val="002E2F67"/>
    <w:rsid w:val="002E45CC"/>
    <w:rsid w:val="002E5CE6"/>
    <w:rsid w:val="002E6564"/>
    <w:rsid w:val="002E6763"/>
    <w:rsid w:val="002E67E1"/>
    <w:rsid w:val="002F217E"/>
    <w:rsid w:val="002F26C5"/>
    <w:rsid w:val="002F2E25"/>
    <w:rsid w:val="002F347B"/>
    <w:rsid w:val="002F4176"/>
    <w:rsid w:val="002F629F"/>
    <w:rsid w:val="00301D33"/>
    <w:rsid w:val="00302C30"/>
    <w:rsid w:val="00303E18"/>
    <w:rsid w:val="00304360"/>
    <w:rsid w:val="00304B25"/>
    <w:rsid w:val="00305B22"/>
    <w:rsid w:val="003117AC"/>
    <w:rsid w:val="00311AB7"/>
    <w:rsid w:val="00311F78"/>
    <w:rsid w:val="00315346"/>
    <w:rsid w:val="003169A8"/>
    <w:rsid w:val="00316EC1"/>
    <w:rsid w:val="0032094F"/>
    <w:rsid w:val="00320FFA"/>
    <w:rsid w:val="00322BC3"/>
    <w:rsid w:val="00323776"/>
    <w:rsid w:val="00325CE7"/>
    <w:rsid w:val="0032747D"/>
    <w:rsid w:val="00331896"/>
    <w:rsid w:val="00331EF1"/>
    <w:rsid w:val="00332261"/>
    <w:rsid w:val="003322AB"/>
    <w:rsid w:val="0033280E"/>
    <w:rsid w:val="00332DFF"/>
    <w:rsid w:val="003350B2"/>
    <w:rsid w:val="003351AE"/>
    <w:rsid w:val="00336702"/>
    <w:rsid w:val="00340EB5"/>
    <w:rsid w:val="00340FC2"/>
    <w:rsid w:val="0034105E"/>
    <w:rsid w:val="003416BB"/>
    <w:rsid w:val="003447DC"/>
    <w:rsid w:val="00345F2E"/>
    <w:rsid w:val="00345F8B"/>
    <w:rsid w:val="00351057"/>
    <w:rsid w:val="003516E6"/>
    <w:rsid w:val="00353059"/>
    <w:rsid w:val="00353A3A"/>
    <w:rsid w:val="003566F7"/>
    <w:rsid w:val="00356825"/>
    <w:rsid w:val="00357056"/>
    <w:rsid w:val="0035792A"/>
    <w:rsid w:val="00357F47"/>
    <w:rsid w:val="0036045F"/>
    <w:rsid w:val="00360553"/>
    <w:rsid w:val="00361757"/>
    <w:rsid w:val="003631D1"/>
    <w:rsid w:val="00363DA0"/>
    <w:rsid w:val="00364023"/>
    <w:rsid w:val="00364335"/>
    <w:rsid w:val="00365592"/>
    <w:rsid w:val="00365879"/>
    <w:rsid w:val="00370E01"/>
    <w:rsid w:val="00370FB7"/>
    <w:rsid w:val="003746F3"/>
    <w:rsid w:val="00374B8E"/>
    <w:rsid w:val="003752B8"/>
    <w:rsid w:val="003764F7"/>
    <w:rsid w:val="00376D14"/>
    <w:rsid w:val="00377535"/>
    <w:rsid w:val="00382A07"/>
    <w:rsid w:val="00384AF9"/>
    <w:rsid w:val="0038508B"/>
    <w:rsid w:val="0038579D"/>
    <w:rsid w:val="0038593F"/>
    <w:rsid w:val="0038601F"/>
    <w:rsid w:val="00386165"/>
    <w:rsid w:val="00386499"/>
    <w:rsid w:val="003901F1"/>
    <w:rsid w:val="003907A5"/>
    <w:rsid w:val="0039107F"/>
    <w:rsid w:val="003912FE"/>
    <w:rsid w:val="00392FC2"/>
    <w:rsid w:val="00394BC6"/>
    <w:rsid w:val="00397C97"/>
    <w:rsid w:val="003A3236"/>
    <w:rsid w:val="003A4C3B"/>
    <w:rsid w:val="003A5177"/>
    <w:rsid w:val="003A6C3E"/>
    <w:rsid w:val="003A728E"/>
    <w:rsid w:val="003B04FF"/>
    <w:rsid w:val="003B1FB6"/>
    <w:rsid w:val="003B3307"/>
    <w:rsid w:val="003B3ED2"/>
    <w:rsid w:val="003B4C42"/>
    <w:rsid w:val="003B72E7"/>
    <w:rsid w:val="003B7A01"/>
    <w:rsid w:val="003C029C"/>
    <w:rsid w:val="003C12EE"/>
    <w:rsid w:val="003C1C9F"/>
    <w:rsid w:val="003C27DF"/>
    <w:rsid w:val="003C5611"/>
    <w:rsid w:val="003C58D0"/>
    <w:rsid w:val="003C7C07"/>
    <w:rsid w:val="003D0431"/>
    <w:rsid w:val="003D2832"/>
    <w:rsid w:val="003D4C1A"/>
    <w:rsid w:val="003D529B"/>
    <w:rsid w:val="003D5541"/>
    <w:rsid w:val="003D5FAB"/>
    <w:rsid w:val="003D666A"/>
    <w:rsid w:val="003D7CFD"/>
    <w:rsid w:val="003E0727"/>
    <w:rsid w:val="003E10FD"/>
    <w:rsid w:val="003E1BAC"/>
    <w:rsid w:val="003E3528"/>
    <w:rsid w:val="003E3AF6"/>
    <w:rsid w:val="003E72E1"/>
    <w:rsid w:val="003E791C"/>
    <w:rsid w:val="003E7A98"/>
    <w:rsid w:val="003F11B4"/>
    <w:rsid w:val="003F2534"/>
    <w:rsid w:val="003F29A8"/>
    <w:rsid w:val="003F3467"/>
    <w:rsid w:val="003F3957"/>
    <w:rsid w:val="003F3CEE"/>
    <w:rsid w:val="003F3FAB"/>
    <w:rsid w:val="003F4D95"/>
    <w:rsid w:val="00400953"/>
    <w:rsid w:val="00402311"/>
    <w:rsid w:val="00403D2A"/>
    <w:rsid w:val="004046A6"/>
    <w:rsid w:val="00405B1F"/>
    <w:rsid w:val="00406505"/>
    <w:rsid w:val="00410947"/>
    <w:rsid w:val="00411005"/>
    <w:rsid w:val="00411220"/>
    <w:rsid w:val="00414FFA"/>
    <w:rsid w:val="0041501D"/>
    <w:rsid w:val="00415076"/>
    <w:rsid w:val="0042031A"/>
    <w:rsid w:val="00420BA3"/>
    <w:rsid w:val="00421482"/>
    <w:rsid w:val="00421AA9"/>
    <w:rsid w:val="00421FB8"/>
    <w:rsid w:val="004251C0"/>
    <w:rsid w:val="00426858"/>
    <w:rsid w:val="00427FFA"/>
    <w:rsid w:val="00430FF9"/>
    <w:rsid w:val="00431757"/>
    <w:rsid w:val="00431D7D"/>
    <w:rsid w:val="00431FF8"/>
    <w:rsid w:val="00433AD3"/>
    <w:rsid w:val="00433D2D"/>
    <w:rsid w:val="00433F31"/>
    <w:rsid w:val="00435B8E"/>
    <w:rsid w:val="00436444"/>
    <w:rsid w:val="00436E09"/>
    <w:rsid w:val="00437CCF"/>
    <w:rsid w:val="00440039"/>
    <w:rsid w:val="00440714"/>
    <w:rsid w:val="004443C4"/>
    <w:rsid w:val="004446BF"/>
    <w:rsid w:val="00445513"/>
    <w:rsid w:val="00446040"/>
    <w:rsid w:val="0045085E"/>
    <w:rsid w:val="00450D85"/>
    <w:rsid w:val="00450F85"/>
    <w:rsid w:val="004510B6"/>
    <w:rsid w:val="00451802"/>
    <w:rsid w:val="00451E46"/>
    <w:rsid w:val="00452533"/>
    <w:rsid w:val="00454B3E"/>
    <w:rsid w:val="00455F19"/>
    <w:rsid w:val="00456FC7"/>
    <w:rsid w:val="00457249"/>
    <w:rsid w:val="00460D04"/>
    <w:rsid w:val="004617CB"/>
    <w:rsid w:val="00461FBF"/>
    <w:rsid w:val="004630FB"/>
    <w:rsid w:val="00464A8D"/>
    <w:rsid w:val="0046537A"/>
    <w:rsid w:val="004655E2"/>
    <w:rsid w:val="004670AA"/>
    <w:rsid w:val="00467A52"/>
    <w:rsid w:val="004714D1"/>
    <w:rsid w:val="0047209F"/>
    <w:rsid w:val="00472E3D"/>
    <w:rsid w:val="00475E2F"/>
    <w:rsid w:val="004801CE"/>
    <w:rsid w:val="00482BF1"/>
    <w:rsid w:val="00483CA7"/>
    <w:rsid w:val="0048419C"/>
    <w:rsid w:val="00484A1A"/>
    <w:rsid w:val="00484D51"/>
    <w:rsid w:val="00486458"/>
    <w:rsid w:val="00490268"/>
    <w:rsid w:val="00490390"/>
    <w:rsid w:val="004910DB"/>
    <w:rsid w:val="004925BD"/>
    <w:rsid w:val="0049447F"/>
    <w:rsid w:val="004947C5"/>
    <w:rsid w:val="004958E8"/>
    <w:rsid w:val="004970C4"/>
    <w:rsid w:val="004971D2"/>
    <w:rsid w:val="00497863"/>
    <w:rsid w:val="004A015E"/>
    <w:rsid w:val="004A1207"/>
    <w:rsid w:val="004A25B3"/>
    <w:rsid w:val="004A2E8E"/>
    <w:rsid w:val="004A43F4"/>
    <w:rsid w:val="004A4BE6"/>
    <w:rsid w:val="004A530F"/>
    <w:rsid w:val="004B02C6"/>
    <w:rsid w:val="004B143C"/>
    <w:rsid w:val="004B284F"/>
    <w:rsid w:val="004B2F3B"/>
    <w:rsid w:val="004B365B"/>
    <w:rsid w:val="004B390D"/>
    <w:rsid w:val="004B50A6"/>
    <w:rsid w:val="004B5358"/>
    <w:rsid w:val="004B5E06"/>
    <w:rsid w:val="004C1B6A"/>
    <w:rsid w:val="004C1F68"/>
    <w:rsid w:val="004C4D12"/>
    <w:rsid w:val="004C52D4"/>
    <w:rsid w:val="004C5C34"/>
    <w:rsid w:val="004C726C"/>
    <w:rsid w:val="004C7E8E"/>
    <w:rsid w:val="004D0518"/>
    <w:rsid w:val="004D11C9"/>
    <w:rsid w:val="004D1D44"/>
    <w:rsid w:val="004D5C5C"/>
    <w:rsid w:val="004D6869"/>
    <w:rsid w:val="004E2CDA"/>
    <w:rsid w:val="004E2EFE"/>
    <w:rsid w:val="004E30FE"/>
    <w:rsid w:val="004E36E8"/>
    <w:rsid w:val="004E6393"/>
    <w:rsid w:val="004F046A"/>
    <w:rsid w:val="004F4C26"/>
    <w:rsid w:val="004F5532"/>
    <w:rsid w:val="004F7745"/>
    <w:rsid w:val="004F7986"/>
    <w:rsid w:val="004F7D1A"/>
    <w:rsid w:val="005014E0"/>
    <w:rsid w:val="00506492"/>
    <w:rsid w:val="0050798F"/>
    <w:rsid w:val="005107B3"/>
    <w:rsid w:val="00510ADA"/>
    <w:rsid w:val="00510F43"/>
    <w:rsid w:val="00513B12"/>
    <w:rsid w:val="00513C23"/>
    <w:rsid w:val="00513EFF"/>
    <w:rsid w:val="005167EB"/>
    <w:rsid w:val="00516E4D"/>
    <w:rsid w:val="00517092"/>
    <w:rsid w:val="00517890"/>
    <w:rsid w:val="00517C4E"/>
    <w:rsid w:val="005200C0"/>
    <w:rsid w:val="005275A1"/>
    <w:rsid w:val="005351D1"/>
    <w:rsid w:val="00542477"/>
    <w:rsid w:val="00542600"/>
    <w:rsid w:val="00542B63"/>
    <w:rsid w:val="00543A02"/>
    <w:rsid w:val="005441A2"/>
    <w:rsid w:val="005442A2"/>
    <w:rsid w:val="0054483E"/>
    <w:rsid w:val="00545240"/>
    <w:rsid w:val="005452F0"/>
    <w:rsid w:val="0054670A"/>
    <w:rsid w:val="00547826"/>
    <w:rsid w:val="00550E20"/>
    <w:rsid w:val="005522EB"/>
    <w:rsid w:val="00552890"/>
    <w:rsid w:val="00555483"/>
    <w:rsid w:val="00555766"/>
    <w:rsid w:val="005559FF"/>
    <w:rsid w:val="0055795F"/>
    <w:rsid w:val="00557F3B"/>
    <w:rsid w:val="00561BEF"/>
    <w:rsid w:val="00561EFD"/>
    <w:rsid w:val="00562BBC"/>
    <w:rsid w:val="00563581"/>
    <w:rsid w:val="0056423D"/>
    <w:rsid w:val="005649B8"/>
    <w:rsid w:val="00565506"/>
    <w:rsid w:val="00566CAE"/>
    <w:rsid w:val="005716AB"/>
    <w:rsid w:val="00571A2E"/>
    <w:rsid w:val="005738F1"/>
    <w:rsid w:val="00574C5A"/>
    <w:rsid w:val="0057573A"/>
    <w:rsid w:val="00580AA9"/>
    <w:rsid w:val="00581440"/>
    <w:rsid w:val="005837C9"/>
    <w:rsid w:val="00584560"/>
    <w:rsid w:val="005850B0"/>
    <w:rsid w:val="00587FDC"/>
    <w:rsid w:val="00591E61"/>
    <w:rsid w:val="00594E54"/>
    <w:rsid w:val="005972A9"/>
    <w:rsid w:val="00597C6E"/>
    <w:rsid w:val="005A148F"/>
    <w:rsid w:val="005A1ADD"/>
    <w:rsid w:val="005A1C5A"/>
    <w:rsid w:val="005A2F4C"/>
    <w:rsid w:val="005A50A4"/>
    <w:rsid w:val="005A6B59"/>
    <w:rsid w:val="005A7DC1"/>
    <w:rsid w:val="005B2849"/>
    <w:rsid w:val="005B2F8F"/>
    <w:rsid w:val="005B33F0"/>
    <w:rsid w:val="005B534C"/>
    <w:rsid w:val="005B5A5D"/>
    <w:rsid w:val="005B68EB"/>
    <w:rsid w:val="005C0609"/>
    <w:rsid w:val="005C0694"/>
    <w:rsid w:val="005C2B32"/>
    <w:rsid w:val="005C3093"/>
    <w:rsid w:val="005C431B"/>
    <w:rsid w:val="005C6470"/>
    <w:rsid w:val="005C6491"/>
    <w:rsid w:val="005C67B0"/>
    <w:rsid w:val="005D1B5D"/>
    <w:rsid w:val="005D2DCF"/>
    <w:rsid w:val="005D2F2A"/>
    <w:rsid w:val="005D3607"/>
    <w:rsid w:val="005D655B"/>
    <w:rsid w:val="005D75B2"/>
    <w:rsid w:val="005E09D2"/>
    <w:rsid w:val="005E1162"/>
    <w:rsid w:val="005E168D"/>
    <w:rsid w:val="005E1AB1"/>
    <w:rsid w:val="005E2D0E"/>
    <w:rsid w:val="005E31CA"/>
    <w:rsid w:val="005E43AC"/>
    <w:rsid w:val="005E472C"/>
    <w:rsid w:val="005E62D4"/>
    <w:rsid w:val="005E6326"/>
    <w:rsid w:val="005E76F8"/>
    <w:rsid w:val="005F117E"/>
    <w:rsid w:val="005F30F4"/>
    <w:rsid w:val="005F4487"/>
    <w:rsid w:val="005F4796"/>
    <w:rsid w:val="005F7248"/>
    <w:rsid w:val="005F7B05"/>
    <w:rsid w:val="00601555"/>
    <w:rsid w:val="006016FB"/>
    <w:rsid w:val="00601890"/>
    <w:rsid w:val="0060252E"/>
    <w:rsid w:val="00604641"/>
    <w:rsid w:val="006048B9"/>
    <w:rsid w:val="0060735C"/>
    <w:rsid w:val="006075B7"/>
    <w:rsid w:val="006106F8"/>
    <w:rsid w:val="00612485"/>
    <w:rsid w:val="006128FF"/>
    <w:rsid w:val="00612F5B"/>
    <w:rsid w:val="0061478D"/>
    <w:rsid w:val="00615E59"/>
    <w:rsid w:val="006201AF"/>
    <w:rsid w:val="006206C5"/>
    <w:rsid w:val="00620DF1"/>
    <w:rsid w:val="00623851"/>
    <w:rsid w:val="006248B4"/>
    <w:rsid w:val="006259CE"/>
    <w:rsid w:val="00625D13"/>
    <w:rsid w:val="00625ED5"/>
    <w:rsid w:val="006261FE"/>
    <w:rsid w:val="006263F9"/>
    <w:rsid w:val="00626F13"/>
    <w:rsid w:val="00627D18"/>
    <w:rsid w:val="006326B6"/>
    <w:rsid w:val="006329DD"/>
    <w:rsid w:val="0063414C"/>
    <w:rsid w:val="00634DCB"/>
    <w:rsid w:val="006362E4"/>
    <w:rsid w:val="0063706D"/>
    <w:rsid w:val="00640363"/>
    <w:rsid w:val="00641497"/>
    <w:rsid w:val="00641FEB"/>
    <w:rsid w:val="00642034"/>
    <w:rsid w:val="00642998"/>
    <w:rsid w:val="00643743"/>
    <w:rsid w:val="006439A5"/>
    <w:rsid w:val="0064452D"/>
    <w:rsid w:val="006453E4"/>
    <w:rsid w:val="0064545D"/>
    <w:rsid w:val="00645CFA"/>
    <w:rsid w:val="006467C0"/>
    <w:rsid w:val="00647EE2"/>
    <w:rsid w:val="00650E71"/>
    <w:rsid w:val="006512F3"/>
    <w:rsid w:val="006524BE"/>
    <w:rsid w:val="00653620"/>
    <w:rsid w:val="006548D3"/>
    <w:rsid w:val="0065515B"/>
    <w:rsid w:val="006555F5"/>
    <w:rsid w:val="00656358"/>
    <w:rsid w:val="0066042C"/>
    <w:rsid w:val="006619F6"/>
    <w:rsid w:val="00662857"/>
    <w:rsid w:val="006664EB"/>
    <w:rsid w:val="006664F0"/>
    <w:rsid w:val="0066683D"/>
    <w:rsid w:val="00673CA1"/>
    <w:rsid w:val="00676069"/>
    <w:rsid w:val="00676E18"/>
    <w:rsid w:val="00677600"/>
    <w:rsid w:val="0067792E"/>
    <w:rsid w:val="006820CC"/>
    <w:rsid w:val="00682B46"/>
    <w:rsid w:val="006837D8"/>
    <w:rsid w:val="00683885"/>
    <w:rsid w:val="00683FDC"/>
    <w:rsid w:val="00684718"/>
    <w:rsid w:val="00684C3F"/>
    <w:rsid w:val="006859D6"/>
    <w:rsid w:val="00687191"/>
    <w:rsid w:val="00687A85"/>
    <w:rsid w:val="00687D17"/>
    <w:rsid w:val="00690118"/>
    <w:rsid w:val="00690731"/>
    <w:rsid w:val="006908EA"/>
    <w:rsid w:val="0069242C"/>
    <w:rsid w:val="0069337D"/>
    <w:rsid w:val="00693E7F"/>
    <w:rsid w:val="006953DC"/>
    <w:rsid w:val="00695486"/>
    <w:rsid w:val="00696E50"/>
    <w:rsid w:val="00697937"/>
    <w:rsid w:val="006A034D"/>
    <w:rsid w:val="006A18AE"/>
    <w:rsid w:val="006A1BEE"/>
    <w:rsid w:val="006A3DD5"/>
    <w:rsid w:val="006A40B5"/>
    <w:rsid w:val="006A5033"/>
    <w:rsid w:val="006A74F5"/>
    <w:rsid w:val="006B1B70"/>
    <w:rsid w:val="006B2193"/>
    <w:rsid w:val="006B43B7"/>
    <w:rsid w:val="006B458A"/>
    <w:rsid w:val="006B45FB"/>
    <w:rsid w:val="006B6910"/>
    <w:rsid w:val="006B72A7"/>
    <w:rsid w:val="006B76AC"/>
    <w:rsid w:val="006C0668"/>
    <w:rsid w:val="006C1727"/>
    <w:rsid w:val="006C2030"/>
    <w:rsid w:val="006C37CD"/>
    <w:rsid w:val="006C743A"/>
    <w:rsid w:val="006C75E2"/>
    <w:rsid w:val="006D44A6"/>
    <w:rsid w:val="006E0563"/>
    <w:rsid w:val="006E1261"/>
    <w:rsid w:val="006E2421"/>
    <w:rsid w:val="006E3944"/>
    <w:rsid w:val="006E3E5C"/>
    <w:rsid w:val="006E66BD"/>
    <w:rsid w:val="006F013F"/>
    <w:rsid w:val="006F0390"/>
    <w:rsid w:val="006F16FC"/>
    <w:rsid w:val="006F2731"/>
    <w:rsid w:val="006F62FB"/>
    <w:rsid w:val="006F675A"/>
    <w:rsid w:val="006F74DC"/>
    <w:rsid w:val="00702474"/>
    <w:rsid w:val="00702583"/>
    <w:rsid w:val="00702625"/>
    <w:rsid w:val="00702D5E"/>
    <w:rsid w:val="00702EE4"/>
    <w:rsid w:val="00703127"/>
    <w:rsid w:val="0070445E"/>
    <w:rsid w:val="00704552"/>
    <w:rsid w:val="007066C7"/>
    <w:rsid w:val="007079D5"/>
    <w:rsid w:val="00713489"/>
    <w:rsid w:val="0071350B"/>
    <w:rsid w:val="007135CD"/>
    <w:rsid w:val="00714B43"/>
    <w:rsid w:val="00714E77"/>
    <w:rsid w:val="007171E0"/>
    <w:rsid w:val="0071770A"/>
    <w:rsid w:val="00721672"/>
    <w:rsid w:val="0072196A"/>
    <w:rsid w:val="00721C7C"/>
    <w:rsid w:val="007244C8"/>
    <w:rsid w:val="00727577"/>
    <w:rsid w:val="0072765C"/>
    <w:rsid w:val="00730061"/>
    <w:rsid w:val="00730092"/>
    <w:rsid w:val="007300D0"/>
    <w:rsid w:val="00730BA3"/>
    <w:rsid w:val="00730DE8"/>
    <w:rsid w:val="00730F67"/>
    <w:rsid w:val="00731BD0"/>
    <w:rsid w:val="007324F9"/>
    <w:rsid w:val="007328FF"/>
    <w:rsid w:val="00733895"/>
    <w:rsid w:val="00733DAA"/>
    <w:rsid w:val="007348DB"/>
    <w:rsid w:val="00734E0C"/>
    <w:rsid w:val="00735996"/>
    <w:rsid w:val="007375B5"/>
    <w:rsid w:val="00737CC3"/>
    <w:rsid w:val="0074035A"/>
    <w:rsid w:val="007408E3"/>
    <w:rsid w:val="007419EC"/>
    <w:rsid w:val="007436F8"/>
    <w:rsid w:val="007464C0"/>
    <w:rsid w:val="007471DC"/>
    <w:rsid w:val="00750EBE"/>
    <w:rsid w:val="00753336"/>
    <w:rsid w:val="007574FD"/>
    <w:rsid w:val="007601D3"/>
    <w:rsid w:val="007602A0"/>
    <w:rsid w:val="007618B6"/>
    <w:rsid w:val="007626CE"/>
    <w:rsid w:val="00764C00"/>
    <w:rsid w:val="00765034"/>
    <w:rsid w:val="0076569C"/>
    <w:rsid w:val="007679DC"/>
    <w:rsid w:val="00767A81"/>
    <w:rsid w:val="00767D56"/>
    <w:rsid w:val="00767F0D"/>
    <w:rsid w:val="007705E7"/>
    <w:rsid w:val="0077501F"/>
    <w:rsid w:val="007750FF"/>
    <w:rsid w:val="007759FA"/>
    <w:rsid w:val="00775DE7"/>
    <w:rsid w:val="007765B5"/>
    <w:rsid w:val="00776CED"/>
    <w:rsid w:val="00780B15"/>
    <w:rsid w:val="00780B5F"/>
    <w:rsid w:val="007810C1"/>
    <w:rsid w:val="00783F61"/>
    <w:rsid w:val="007841BB"/>
    <w:rsid w:val="007932BF"/>
    <w:rsid w:val="00793C6B"/>
    <w:rsid w:val="00793F46"/>
    <w:rsid w:val="007956A4"/>
    <w:rsid w:val="00795F15"/>
    <w:rsid w:val="00796145"/>
    <w:rsid w:val="007963A0"/>
    <w:rsid w:val="007978C6"/>
    <w:rsid w:val="007A0D1D"/>
    <w:rsid w:val="007A1DDE"/>
    <w:rsid w:val="007A32C2"/>
    <w:rsid w:val="007A45D0"/>
    <w:rsid w:val="007A49F2"/>
    <w:rsid w:val="007A5D36"/>
    <w:rsid w:val="007A72D3"/>
    <w:rsid w:val="007B06D3"/>
    <w:rsid w:val="007B0CEC"/>
    <w:rsid w:val="007B168F"/>
    <w:rsid w:val="007B214E"/>
    <w:rsid w:val="007B2F61"/>
    <w:rsid w:val="007B3218"/>
    <w:rsid w:val="007B3B0D"/>
    <w:rsid w:val="007B4FC9"/>
    <w:rsid w:val="007B5E1E"/>
    <w:rsid w:val="007C10A1"/>
    <w:rsid w:val="007C12A0"/>
    <w:rsid w:val="007C1D46"/>
    <w:rsid w:val="007C1E3E"/>
    <w:rsid w:val="007C41E6"/>
    <w:rsid w:val="007C44A8"/>
    <w:rsid w:val="007C492B"/>
    <w:rsid w:val="007C5F08"/>
    <w:rsid w:val="007C6FD8"/>
    <w:rsid w:val="007D0C82"/>
    <w:rsid w:val="007D1E30"/>
    <w:rsid w:val="007D1F6D"/>
    <w:rsid w:val="007D4940"/>
    <w:rsid w:val="007D4DFB"/>
    <w:rsid w:val="007D50AC"/>
    <w:rsid w:val="007D520C"/>
    <w:rsid w:val="007D6654"/>
    <w:rsid w:val="007D68D2"/>
    <w:rsid w:val="007E11B3"/>
    <w:rsid w:val="007E1625"/>
    <w:rsid w:val="007E1658"/>
    <w:rsid w:val="007E1C0E"/>
    <w:rsid w:val="007E219E"/>
    <w:rsid w:val="007E4E2F"/>
    <w:rsid w:val="007E537C"/>
    <w:rsid w:val="007E5E94"/>
    <w:rsid w:val="007E6C3D"/>
    <w:rsid w:val="007F056A"/>
    <w:rsid w:val="007F2393"/>
    <w:rsid w:val="007F311F"/>
    <w:rsid w:val="007F3690"/>
    <w:rsid w:val="007F5A12"/>
    <w:rsid w:val="007F5FE0"/>
    <w:rsid w:val="008013E9"/>
    <w:rsid w:val="00802AD5"/>
    <w:rsid w:val="0080403F"/>
    <w:rsid w:val="00804557"/>
    <w:rsid w:val="00804D72"/>
    <w:rsid w:val="00806997"/>
    <w:rsid w:val="00806B8F"/>
    <w:rsid w:val="008071EC"/>
    <w:rsid w:val="00810888"/>
    <w:rsid w:val="00810A94"/>
    <w:rsid w:val="00812632"/>
    <w:rsid w:val="00813047"/>
    <w:rsid w:val="0081445C"/>
    <w:rsid w:val="00814ACB"/>
    <w:rsid w:val="00815BCE"/>
    <w:rsid w:val="008163EB"/>
    <w:rsid w:val="0082107F"/>
    <w:rsid w:val="00822C28"/>
    <w:rsid w:val="00825A17"/>
    <w:rsid w:val="0082612C"/>
    <w:rsid w:val="00826B9E"/>
    <w:rsid w:val="00826D4C"/>
    <w:rsid w:val="008276B8"/>
    <w:rsid w:val="00833C5E"/>
    <w:rsid w:val="0083406B"/>
    <w:rsid w:val="00835941"/>
    <w:rsid w:val="00836489"/>
    <w:rsid w:val="00840EE7"/>
    <w:rsid w:val="00841CE4"/>
    <w:rsid w:val="0084429E"/>
    <w:rsid w:val="00847DF4"/>
    <w:rsid w:val="008538A9"/>
    <w:rsid w:val="008553B1"/>
    <w:rsid w:val="008559E3"/>
    <w:rsid w:val="00855D08"/>
    <w:rsid w:val="00856505"/>
    <w:rsid w:val="0085665C"/>
    <w:rsid w:val="0085687C"/>
    <w:rsid w:val="008579EC"/>
    <w:rsid w:val="00857C4C"/>
    <w:rsid w:val="00857EB9"/>
    <w:rsid w:val="00860432"/>
    <w:rsid w:val="00863248"/>
    <w:rsid w:val="0086345E"/>
    <w:rsid w:val="0086352E"/>
    <w:rsid w:val="008648CB"/>
    <w:rsid w:val="00865540"/>
    <w:rsid w:val="00870715"/>
    <w:rsid w:val="00870961"/>
    <w:rsid w:val="00872A38"/>
    <w:rsid w:val="0087582F"/>
    <w:rsid w:val="00876525"/>
    <w:rsid w:val="0087708C"/>
    <w:rsid w:val="00877D0A"/>
    <w:rsid w:val="008818EA"/>
    <w:rsid w:val="008849C8"/>
    <w:rsid w:val="00887BB0"/>
    <w:rsid w:val="008903A8"/>
    <w:rsid w:val="00890A37"/>
    <w:rsid w:val="00890F61"/>
    <w:rsid w:val="00894C69"/>
    <w:rsid w:val="00895697"/>
    <w:rsid w:val="00895C8B"/>
    <w:rsid w:val="008A1457"/>
    <w:rsid w:val="008A1B4C"/>
    <w:rsid w:val="008A27F7"/>
    <w:rsid w:val="008A433B"/>
    <w:rsid w:val="008A4626"/>
    <w:rsid w:val="008B1C7A"/>
    <w:rsid w:val="008B2DF6"/>
    <w:rsid w:val="008B4045"/>
    <w:rsid w:val="008B4CCA"/>
    <w:rsid w:val="008B6A62"/>
    <w:rsid w:val="008B73A5"/>
    <w:rsid w:val="008C062A"/>
    <w:rsid w:val="008C2F55"/>
    <w:rsid w:val="008C3051"/>
    <w:rsid w:val="008C337F"/>
    <w:rsid w:val="008C35C4"/>
    <w:rsid w:val="008C3F44"/>
    <w:rsid w:val="008C40F9"/>
    <w:rsid w:val="008C7149"/>
    <w:rsid w:val="008C78C7"/>
    <w:rsid w:val="008C7E91"/>
    <w:rsid w:val="008D4A65"/>
    <w:rsid w:val="008D4C8E"/>
    <w:rsid w:val="008D645F"/>
    <w:rsid w:val="008D6871"/>
    <w:rsid w:val="008D68D4"/>
    <w:rsid w:val="008D6ACA"/>
    <w:rsid w:val="008D767D"/>
    <w:rsid w:val="008E04B9"/>
    <w:rsid w:val="008E094E"/>
    <w:rsid w:val="008E108F"/>
    <w:rsid w:val="008E1CBC"/>
    <w:rsid w:val="008E7993"/>
    <w:rsid w:val="008E7D04"/>
    <w:rsid w:val="008E7DD5"/>
    <w:rsid w:val="008E7FED"/>
    <w:rsid w:val="008F132E"/>
    <w:rsid w:val="008F1441"/>
    <w:rsid w:val="008F2CFC"/>
    <w:rsid w:val="008F3824"/>
    <w:rsid w:val="008F6046"/>
    <w:rsid w:val="008F6E96"/>
    <w:rsid w:val="008F6EA6"/>
    <w:rsid w:val="008F7C3A"/>
    <w:rsid w:val="009013E3"/>
    <w:rsid w:val="00901B23"/>
    <w:rsid w:val="00903F91"/>
    <w:rsid w:val="009056D0"/>
    <w:rsid w:val="009059D6"/>
    <w:rsid w:val="00905F40"/>
    <w:rsid w:val="009062FC"/>
    <w:rsid w:val="0090653E"/>
    <w:rsid w:val="00913A06"/>
    <w:rsid w:val="00913E18"/>
    <w:rsid w:val="009159DD"/>
    <w:rsid w:val="00917803"/>
    <w:rsid w:val="00917EEE"/>
    <w:rsid w:val="00921FC6"/>
    <w:rsid w:val="00924982"/>
    <w:rsid w:val="009267F3"/>
    <w:rsid w:val="009268D4"/>
    <w:rsid w:val="00926EE8"/>
    <w:rsid w:val="00927727"/>
    <w:rsid w:val="0093161C"/>
    <w:rsid w:val="0093175E"/>
    <w:rsid w:val="0093181E"/>
    <w:rsid w:val="009318ED"/>
    <w:rsid w:val="00932850"/>
    <w:rsid w:val="00932E73"/>
    <w:rsid w:val="00933424"/>
    <w:rsid w:val="0093421E"/>
    <w:rsid w:val="00934447"/>
    <w:rsid w:val="00934EDB"/>
    <w:rsid w:val="00936596"/>
    <w:rsid w:val="009367EF"/>
    <w:rsid w:val="0093745C"/>
    <w:rsid w:val="0094046C"/>
    <w:rsid w:val="009404E8"/>
    <w:rsid w:val="00940ED8"/>
    <w:rsid w:val="00941D11"/>
    <w:rsid w:val="00942380"/>
    <w:rsid w:val="00942E36"/>
    <w:rsid w:val="00943584"/>
    <w:rsid w:val="00944759"/>
    <w:rsid w:val="0095010B"/>
    <w:rsid w:val="00951EB4"/>
    <w:rsid w:val="0095214F"/>
    <w:rsid w:val="00953215"/>
    <w:rsid w:val="00954AA6"/>
    <w:rsid w:val="00954BF3"/>
    <w:rsid w:val="00955E84"/>
    <w:rsid w:val="0095649E"/>
    <w:rsid w:val="009612F0"/>
    <w:rsid w:val="0097115E"/>
    <w:rsid w:val="00972903"/>
    <w:rsid w:val="00972FF3"/>
    <w:rsid w:val="009733B8"/>
    <w:rsid w:val="00973A2F"/>
    <w:rsid w:val="00977294"/>
    <w:rsid w:val="009774F3"/>
    <w:rsid w:val="00980514"/>
    <w:rsid w:val="009807CA"/>
    <w:rsid w:val="009848F1"/>
    <w:rsid w:val="0098501A"/>
    <w:rsid w:val="0098589F"/>
    <w:rsid w:val="00986940"/>
    <w:rsid w:val="00987E8B"/>
    <w:rsid w:val="00991221"/>
    <w:rsid w:val="009912E8"/>
    <w:rsid w:val="00991F0C"/>
    <w:rsid w:val="0099228C"/>
    <w:rsid w:val="00992619"/>
    <w:rsid w:val="00992ADF"/>
    <w:rsid w:val="00992F96"/>
    <w:rsid w:val="0099371C"/>
    <w:rsid w:val="00993E8C"/>
    <w:rsid w:val="009952C8"/>
    <w:rsid w:val="00995850"/>
    <w:rsid w:val="00995954"/>
    <w:rsid w:val="00995DA1"/>
    <w:rsid w:val="00995ED6"/>
    <w:rsid w:val="009964EF"/>
    <w:rsid w:val="00997F60"/>
    <w:rsid w:val="009A027B"/>
    <w:rsid w:val="009A04DD"/>
    <w:rsid w:val="009A0DA2"/>
    <w:rsid w:val="009A112D"/>
    <w:rsid w:val="009A3796"/>
    <w:rsid w:val="009B05EC"/>
    <w:rsid w:val="009B0B54"/>
    <w:rsid w:val="009B181D"/>
    <w:rsid w:val="009B2D08"/>
    <w:rsid w:val="009B530B"/>
    <w:rsid w:val="009B5962"/>
    <w:rsid w:val="009C005B"/>
    <w:rsid w:val="009C1DE6"/>
    <w:rsid w:val="009C26AE"/>
    <w:rsid w:val="009C3C1A"/>
    <w:rsid w:val="009C662F"/>
    <w:rsid w:val="009C75A4"/>
    <w:rsid w:val="009D0287"/>
    <w:rsid w:val="009D46AA"/>
    <w:rsid w:val="009D4ABB"/>
    <w:rsid w:val="009D4BEB"/>
    <w:rsid w:val="009D63B4"/>
    <w:rsid w:val="009E05D3"/>
    <w:rsid w:val="009E361E"/>
    <w:rsid w:val="009E36E7"/>
    <w:rsid w:val="009E475A"/>
    <w:rsid w:val="009E5836"/>
    <w:rsid w:val="009E5A25"/>
    <w:rsid w:val="009E67FD"/>
    <w:rsid w:val="009E6F8F"/>
    <w:rsid w:val="009E71B3"/>
    <w:rsid w:val="009E7338"/>
    <w:rsid w:val="009F09E1"/>
    <w:rsid w:val="009F1EC1"/>
    <w:rsid w:val="009F32B4"/>
    <w:rsid w:val="009F4B4E"/>
    <w:rsid w:val="009F7158"/>
    <w:rsid w:val="009F793F"/>
    <w:rsid w:val="00A03142"/>
    <w:rsid w:val="00A03307"/>
    <w:rsid w:val="00A051C7"/>
    <w:rsid w:val="00A064F3"/>
    <w:rsid w:val="00A07F1A"/>
    <w:rsid w:val="00A1157A"/>
    <w:rsid w:val="00A16532"/>
    <w:rsid w:val="00A2098C"/>
    <w:rsid w:val="00A23FAA"/>
    <w:rsid w:val="00A242C8"/>
    <w:rsid w:val="00A24D38"/>
    <w:rsid w:val="00A25225"/>
    <w:rsid w:val="00A260BA"/>
    <w:rsid w:val="00A275E8"/>
    <w:rsid w:val="00A31C38"/>
    <w:rsid w:val="00A333F9"/>
    <w:rsid w:val="00A33AAC"/>
    <w:rsid w:val="00A373FB"/>
    <w:rsid w:val="00A379F8"/>
    <w:rsid w:val="00A37DE5"/>
    <w:rsid w:val="00A40D54"/>
    <w:rsid w:val="00A41914"/>
    <w:rsid w:val="00A448C8"/>
    <w:rsid w:val="00A470DA"/>
    <w:rsid w:val="00A473B5"/>
    <w:rsid w:val="00A474DA"/>
    <w:rsid w:val="00A47D93"/>
    <w:rsid w:val="00A47D96"/>
    <w:rsid w:val="00A51D9A"/>
    <w:rsid w:val="00A52B55"/>
    <w:rsid w:val="00A54431"/>
    <w:rsid w:val="00A54544"/>
    <w:rsid w:val="00A54CE8"/>
    <w:rsid w:val="00A566CA"/>
    <w:rsid w:val="00A57D44"/>
    <w:rsid w:val="00A60D50"/>
    <w:rsid w:val="00A627C9"/>
    <w:rsid w:val="00A651AF"/>
    <w:rsid w:val="00A6661D"/>
    <w:rsid w:val="00A703B2"/>
    <w:rsid w:val="00A706F3"/>
    <w:rsid w:val="00A70BBB"/>
    <w:rsid w:val="00A72CCD"/>
    <w:rsid w:val="00A72F81"/>
    <w:rsid w:val="00A732C3"/>
    <w:rsid w:val="00A752D0"/>
    <w:rsid w:val="00A8030B"/>
    <w:rsid w:val="00A80B59"/>
    <w:rsid w:val="00A80D9D"/>
    <w:rsid w:val="00A8142D"/>
    <w:rsid w:val="00A81605"/>
    <w:rsid w:val="00A82CB9"/>
    <w:rsid w:val="00A834D8"/>
    <w:rsid w:val="00A83A79"/>
    <w:rsid w:val="00A83BC5"/>
    <w:rsid w:val="00A83C1F"/>
    <w:rsid w:val="00A84EE7"/>
    <w:rsid w:val="00A86B6D"/>
    <w:rsid w:val="00A87232"/>
    <w:rsid w:val="00A918FC"/>
    <w:rsid w:val="00A9195E"/>
    <w:rsid w:val="00A91C47"/>
    <w:rsid w:val="00A9239D"/>
    <w:rsid w:val="00A923B1"/>
    <w:rsid w:val="00A9290D"/>
    <w:rsid w:val="00A935DF"/>
    <w:rsid w:val="00A94289"/>
    <w:rsid w:val="00A945CD"/>
    <w:rsid w:val="00A96595"/>
    <w:rsid w:val="00AA00F8"/>
    <w:rsid w:val="00AA050C"/>
    <w:rsid w:val="00AA1829"/>
    <w:rsid w:val="00AA2F54"/>
    <w:rsid w:val="00AA3728"/>
    <w:rsid w:val="00AA441E"/>
    <w:rsid w:val="00AA4546"/>
    <w:rsid w:val="00AA47CD"/>
    <w:rsid w:val="00AA6345"/>
    <w:rsid w:val="00AA7FC9"/>
    <w:rsid w:val="00AB0522"/>
    <w:rsid w:val="00AB1E8F"/>
    <w:rsid w:val="00AB25C5"/>
    <w:rsid w:val="00AB2D21"/>
    <w:rsid w:val="00AB3276"/>
    <w:rsid w:val="00AB5736"/>
    <w:rsid w:val="00AB63F1"/>
    <w:rsid w:val="00AB6674"/>
    <w:rsid w:val="00AB7881"/>
    <w:rsid w:val="00AB7C72"/>
    <w:rsid w:val="00AC1D64"/>
    <w:rsid w:val="00AC36F2"/>
    <w:rsid w:val="00AC4068"/>
    <w:rsid w:val="00AC4F96"/>
    <w:rsid w:val="00AC6CB5"/>
    <w:rsid w:val="00AC6EAA"/>
    <w:rsid w:val="00AC71C6"/>
    <w:rsid w:val="00AD04A8"/>
    <w:rsid w:val="00AD1619"/>
    <w:rsid w:val="00AD19DF"/>
    <w:rsid w:val="00AD2663"/>
    <w:rsid w:val="00AD2ADE"/>
    <w:rsid w:val="00AD4288"/>
    <w:rsid w:val="00AD4C0F"/>
    <w:rsid w:val="00AD5696"/>
    <w:rsid w:val="00AD7582"/>
    <w:rsid w:val="00AE0125"/>
    <w:rsid w:val="00AE082B"/>
    <w:rsid w:val="00AE09CB"/>
    <w:rsid w:val="00AE0EC4"/>
    <w:rsid w:val="00AE259D"/>
    <w:rsid w:val="00AE2C2B"/>
    <w:rsid w:val="00AE3986"/>
    <w:rsid w:val="00AE4ADC"/>
    <w:rsid w:val="00AE6FF8"/>
    <w:rsid w:val="00AE7136"/>
    <w:rsid w:val="00AE7EC4"/>
    <w:rsid w:val="00AF1986"/>
    <w:rsid w:val="00AF1F4D"/>
    <w:rsid w:val="00AF39FB"/>
    <w:rsid w:val="00AF3A65"/>
    <w:rsid w:val="00AF5042"/>
    <w:rsid w:val="00AF6F51"/>
    <w:rsid w:val="00AF7285"/>
    <w:rsid w:val="00AF7982"/>
    <w:rsid w:val="00B00B3E"/>
    <w:rsid w:val="00B00C3F"/>
    <w:rsid w:val="00B016D0"/>
    <w:rsid w:val="00B01B7C"/>
    <w:rsid w:val="00B0269F"/>
    <w:rsid w:val="00B05B13"/>
    <w:rsid w:val="00B06021"/>
    <w:rsid w:val="00B06183"/>
    <w:rsid w:val="00B10BF3"/>
    <w:rsid w:val="00B11D53"/>
    <w:rsid w:val="00B1306E"/>
    <w:rsid w:val="00B24C85"/>
    <w:rsid w:val="00B25C6B"/>
    <w:rsid w:val="00B263D9"/>
    <w:rsid w:val="00B26548"/>
    <w:rsid w:val="00B26952"/>
    <w:rsid w:val="00B3192D"/>
    <w:rsid w:val="00B31F13"/>
    <w:rsid w:val="00B364A7"/>
    <w:rsid w:val="00B37D59"/>
    <w:rsid w:val="00B40B6C"/>
    <w:rsid w:val="00B41D75"/>
    <w:rsid w:val="00B42A49"/>
    <w:rsid w:val="00B44884"/>
    <w:rsid w:val="00B45AEF"/>
    <w:rsid w:val="00B45EDE"/>
    <w:rsid w:val="00B46840"/>
    <w:rsid w:val="00B47B4E"/>
    <w:rsid w:val="00B50FF2"/>
    <w:rsid w:val="00B51F62"/>
    <w:rsid w:val="00B52269"/>
    <w:rsid w:val="00B53221"/>
    <w:rsid w:val="00B53DAE"/>
    <w:rsid w:val="00B5679D"/>
    <w:rsid w:val="00B56D63"/>
    <w:rsid w:val="00B60E25"/>
    <w:rsid w:val="00B614E4"/>
    <w:rsid w:val="00B62F79"/>
    <w:rsid w:val="00B6421E"/>
    <w:rsid w:val="00B64F58"/>
    <w:rsid w:val="00B652A9"/>
    <w:rsid w:val="00B66144"/>
    <w:rsid w:val="00B674F5"/>
    <w:rsid w:val="00B71381"/>
    <w:rsid w:val="00B74A2F"/>
    <w:rsid w:val="00B7629F"/>
    <w:rsid w:val="00B76AA5"/>
    <w:rsid w:val="00B77A46"/>
    <w:rsid w:val="00B83BC3"/>
    <w:rsid w:val="00B83C87"/>
    <w:rsid w:val="00B84E8B"/>
    <w:rsid w:val="00B86284"/>
    <w:rsid w:val="00B8753B"/>
    <w:rsid w:val="00B87F23"/>
    <w:rsid w:val="00B87F9D"/>
    <w:rsid w:val="00B9004B"/>
    <w:rsid w:val="00B90961"/>
    <w:rsid w:val="00B9250F"/>
    <w:rsid w:val="00B95D9D"/>
    <w:rsid w:val="00B97231"/>
    <w:rsid w:val="00B97ACA"/>
    <w:rsid w:val="00BA1A64"/>
    <w:rsid w:val="00BA348F"/>
    <w:rsid w:val="00BA42E6"/>
    <w:rsid w:val="00BA5619"/>
    <w:rsid w:val="00BA70D9"/>
    <w:rsid w:val="00BA74B8"/>
    <w:rsid w:val="00BB004E"/>
    <w:rsid w:val="00BB008D"/>
    <w:rsid w:val="00BB05CE"/>
    <w:rsid w:val="00BB19E4"/>
    <w:rsid w:val="00BB40B9"/>
    <w:rsid w:val="00BB4E64"/>
    <w:rsid w:val="00BB531D"/>
    <w:rsid w:val="00BB55AE"/>
    <w:rsid w:val="00BB55E4"/>
    <w:rsid w:val="00BB56CB"/>
    <w:rsid w:val="00BB5A76"/>
    <w:rsid w:val="00BB5CA5"/>
    <w:rsid w:val="00BB5EC9"/>
    <w:rsid w:val="00BC1BE5"/>
    <w:rsid w:val="00BC3690"/>
    <w:rsid w:val="00BC7657"/>
    <w:rsid w:val="00BC7AB6"/>
    <w:rsid w:val="00BD081C"/>
    <w:rsid w:val="00BD275F"/>
    <w:rsid w:val="00BD2E49"/>
    <w:rsid w:val="00BD42A4"/>
    <w:rsid w:val="00BD46CD"/>
    <w:rsid w:val="00BD6FD2"/>
    <w:rsid w:val="00BD72E5"/>
    <w:rsid w:val="00BE0037"/>
    <w:rsid w:val="00BE2217"/>
    <w:rsid w:val="00BE37D2"/>
    <w:rsid w:val="00BE4CCE"/>
    <w:rsid w:val="00BE55D2"/>
    <w:rsid w:val="00BE6A20"/>
    <w:rsid w:val="00BF0ECB"/>
    <w:rsid w:val="00BF3102"/>
    <w:rsid w:val="00BF31F7"/>
    <w:rsid w:val="00BF7114"/>
    <w:rsid w:val="00C00D7B"/>
    <w:rsid w:val="00C00E8B"/>
    <w:rsid w:val="00C015BF"/>
    <w:rsid w:val="00C01760"/>
    <w:rsid w:val="00C02B61"/>
    <w:rsid w:val="00C10453"/>
    <w:rsid w:val="00C11CBC"/>
    <w:rsid w:val="00C12C59"/>
    <w:rsid w:val="00C13E90"/>
    <w:rsid w:val="00C149D9"/>
    <w:rsid w:val="00C1667D"/>
    <w:rsid w:val="00C17477"/>
    <w:rsid w:val="00C174BF"/>
    <w:rsid w:val="00C175E4"/>
    <w:rsid w:val="00C20A0B"/>
    <w:rsid w:val="00C20E42"/>
    <w:rsid w:val="00C21804"/>
    <w:rsid w:val="00C22367"/>
    <w:rsid w:val="00C2396A"/>
    <w:rsid w:val="00C24E43"/>
    <w:rsid w:val="00C25A32"/>
    <w:rsid w:val="00C26255"/>
    <w:rsid w:val="00C26B3E"/>
    <w:rsid w:val="00C26C91"/>
    <w:rsid w:val="00C26D79"/>
    <w:rsid w:val="00C27F97"/>
    <w:rsid w:val="00C30160"/>
    <w:rsid w:val="00C30525"/>
    <w:rsid w:val="00C31DC9"/>
    <w:rsid w:val="00C3273C"/>
    <w:rsid w:val="00C33369"/>
    <w:rsid w:val="00C339DB"/>
    <w:rsid w:val="00C34555"/>
    <w:rsid w:val="00C36821"/>
    <w:rsid w:val="00C4414A"/>
    <w:rsid w:val="00C4540F"/>
    <w:rsid w:val="00C463FB"/>
    <w:rsid w:val="00C506E5"/>
    <w:rsid w:val="00C50B35"/>
    <w:rsid w:val="00C50EEB"/>
    <w:rsid w:val="00C51A7F"/>
    <w:rsid w:val="00C54A27"/>
    <w:rsid w:val="00C56A90"/>
    <w:rsid w:val="00C60415"/>
    <w:rsid w:val="00C60DBC"/>
    <w:rsid w:val="00C6427C"/>
    <w:rsid w:val="00C66B5F"/>
    <w:rsid w:val="00C66DD3"/>
    <w:rsid w:val="00C673D1"/>
    <w:rsid w:val="00C67BE3"/>
    <w:rsid w:val="00C74ED8"/>
    <w:rsid w:val="00C75C81"/>
    <w:rsid w:val="00C75E92"/>
    <w:rsid w:val="00C76F9A"/>
    <w:rsid w:val="00C80E47"/>
    <w:rsid w:val="00C81CB6"/>
    <w:rsid w:val="00C827C3"/>
    <w:rsid w:val="00C82A64"/>
    <w:rsid w:val="00C83E48"/>
    <w:rsid w:val="00C9055D"/>
    <w:rsid w:val="00C90DA5"/>
    <w:rsid w:val="00C93818"/>
    <w:rsid w:val="00C95096"/>
    <w:rsid w:val="00C95C55"/>
    <w:rsid w:val="00C95DBE"/>
    <w:rsid w:val="00C95EEA"/>
    <w:rsid w:val="00C96210"/>
    <w:rsid w:val="00C969EE"/>
    <w:rsid w:val="00CA4674"/>
    <w:rsid w:val="00CA4C67"/>
    <w:rsid w:val="00CA5F71"/>
    <w:rsid w:val="00CB11A0"/>
    <w:rsid w:val="00CB1D9A"/>
    <w:rsid w:val="00CB3904"/>
    <w:rsid w:val="00CB4F67"/>
    <w:rsid w:val="00CB51CB"/>
    <w:rsid w:val="00CB58D9"/>
    <w:rsid w:val="00CB6452"/>
    <w:rsid w:val="00CC02B2"/>
    <w:rsid w:val="00CC0CDB"/>
    <w:rsid w:val="00CC1172"/>
    <w:rsid w:val="00CC1186"/>
    <w:rsid w:val="00CC1329"/>
    <w:rsid w:val="00CC32FE"/>
    <w:rsid w:val="00CC3CEB"/>
    <w:rsid w:val="00CC4833"/>
    <w:rsid w:val="00CC4F12"/>
    <w:rsid w:val="00CC512C"/>
    <w:rsid w:val="00CC63D3"/>
    <w:rsid w:val="00CC6F33"/>
    <w:rsid w:val="00CC729F"/>
    <w:rsid w:val="00CD0319"/>
    <w:rsid w:val="00CD0BBF"/>
    <w:rsid w:val="00CD1BB7"/>
    <w:rsid w:val="00CD2462"/>
    <w:rsid w:val="00CD3CFD"/>
    <w:rsid w:val="00CD47E5"/>
    <w:rsid w:val="00CD4CD4"/>
    <w:rsid w:val="00CD6B14"/>
    <w:rsid w:val="00CD75FD"/>
    <w:rsid w:val="00CE05AC"/>
    <w:rsid w:val="00CE0DE7"/>
    <w:rsid w:val="00CE310A"/>
    <w:rsid w:val="00CE3458"/>
    <w:rsid w:val="00CE4C28"/>
    <w:rsid w:val="00CE6827"/>
    <w:rsid w:val="00CE722E"/>
    <w:rsid w:val="00CF174B"/>
    <w:rsid w:val="00CF1A13"/>
    <w:rsid w:val="00CF220E"/>
    <w:rsid w:val="00CF270F"/>
    <w:rsid w:val="00CF4769"/>
    <w:rsid w:val="00D00775"/>
    <w:rsid w:val="00D00D04"/>
    <w:rsid w:val="00D0105B"/>
    <w:rsid w:val="00D01187"/>
    <w:rsid w:val="00D02EFD"/>
    <w:rsid w:val="00D037FE"/>
    <w:rsid w:val="00D078CE"/>
    <w:rsid w:val="00D07D71"/>
    <w:rsid w:val="00D12604"/>
    <w:rsid w:val="00D13163"/>
    <w:rsid w:val="00D139F6"/>
    <w:rsid w:val="00D161CE"/>
    <w:rsid w:val="00D16D6E"/>
    <w:rsid w:val="00D178B1"/>
    <w:rsid w:val="00D20D19"/>
    <w:rsid w:val="00D21365"/>
    <w:rsid w:val="00D2205F"/>
    <w:rsid w:val="00D225F9"/>
    <w:rsid w:val="00D23EFD"/>
    <w:rsid w:val="00D26726"/>
    <w:rsid w:val="00D27EB6"/>
    <w:rsid w:val="00D32A7A"/>
    <w:rsid w:val="00D34C49"/>
    <w:rsid w:val="00D35C61"/>
    <w:rsid w:val="00D35E7B"/>
    <w:rsid w:val="00D4085D"/>
    <w:rsid w:val="00D449F9"/>
    <w:rsid w:val="00D44C12"/>
    <w:rsid w:val="00D45BDD"/>
    <w:rsid w:val="00D46E60"/>
    <w:rsid w:val="00D4789C"/>
    <w:rsid w:val="00D5023F"/>
    <w:rsid w:val="00D503B9"/>
    <w:rsid w:val="00D51ACE"/>
    <w:rsid w:val="00D53257"/>
    <w:rsid w:val="00D5342D"/>
    <w:rsid w:val="00D53C36"/>
    <w:rsid w:val="00D54DE9"/>
    <w:rsid w:val="00D55E25"/>
    <w:rsid w:val="00D55EB0"/>
    <w:rsid w:val="00D560FF"/>
    <w:rsid w:val="00D60516"/>
    <w:rsid w:val="00D60BEC"/>
    <w:rsid w:val="00D60DDF"/>
    <w:rsid w:val="00D6128F"/>
    <w:rsid w:val="00D6164C"/>
    <w:rsid w:val="00D62B2D"/>
    <w:rsid w:val="00D63382"/>
    <w:rsid w:val="00D65277"/>
    <w:rsid w:val="00D668DD"/>
    <w:rsid w:val="00D66ED6"/>
    <w:rsid w:val="00D67CF7"/>
    <w:rsid w:val="00D7007A"/>
    <w:rsid w:val="00D70660"/>
    <w:rsid w:val="00D758BD"/>
    <w:rsid w:val="00D76513"/>
    <w:rsid w:val="00D770C6"/>
    <w:rsid w:val="00D802AC"/>
    <w:rsid w:val="00D80E6D"/>
    <w:rsid w:val="00D84BD7"/>
    <w:rsid w:val="00D907B8"/>
    <w:rsid w:val="00D90D27"/>
    <w:rsid w:val="00D915DE"/>
    <w:rsid w:val="00D916AA"/>
    <w:rsid w:val="00D96FB0"/>
    <w:rsid w:val="00D9782F"/>
    <w:rsid w:val="00DA1612"/>
    <w:rsid w:val="00DA561B"/>
    <w:rsid w:val="00DA5F70"/>
    <w:rsid w:val="00DA683C"/>
    <w:rsid w:val="00DA6B51"/>
    <w:rsid w:val="00DA7743"/>
    <w:rsid w:val="00DA78FF"/>
    <w:rsid w:val="00DA7F91"/>
    <w:rsid w:val="00DB0A36"/>
    <w:rsid w:val="00DB0EEA"/>
    <w:rsid w:val="00DB182B"/>
    <w:rsid w:val="00DB2B6D"/>
    <w:rsid w:val="00DB4FA9"/>
    <w:rsid w:val="00DB6B17"/>
    <w:rsid w:val="00DB7906"/>
    <w:rsid w:val="00DC1F31"/>
    <w:rsid w:val="00DC24A7"/>
    <w:rsid w:val="00DC30A0"/>
    <w:rsid w:val="00DC3ABC"/>
    <w:rsid w:val="00DC3E9E"/>
    <w:rsid w:val="00DC46AC"/>
    <w:rsid w:val="00DC4715"/>
    <w:rsid w:val="00DC656D"/>
    <w:rsid w:val="00DC7A0C"/>
    <w:rsid w:val="00DD1CD1"/>
    <w:rsid w:val="00DD207B"/>
    <w:rsid w:val="00DD3FD6"/>
    <w:rsid w:val="00DD4C6E"/>
    <w:rsid w:val="00DD5737"/>
    <w:rsid w:val="00DD61EB"/>
    <w:rsid w:val="00DD6688"/>
    <w:rsid w:val="00DD73BD"/>
    <w:rsid w:val="00DE053B"/>
    <w:rsid w:val="00DE0AFF"/>
    <w:rsid w:val="00DE4A5B"/>
    <w:rsid w:val="00DE5791"/>
    <w:rsid w:val="00DE5B8F"/>
    <w:rsid w:val="00DE5FC8"/>
    <w:rsid w:val="00DE6554"/>
    <w:rsid w:val="00DF1834"/>
    <w:rsid w:val="00DF1BFC"/>
    <w:rsid w:val="00DF6307"/>
    <w:rsid w:val="00DF6609"/>
    <w:rsid w:val="00DF7556"/>
    <w:rsid w:val="00E00557"/>
    <w:rsid w:val="00E009C5"/>
    <w:rsid w:val="00E0104C"/>
    <w:rsid w:val="00E01335"/>
    <w:rsid w:val="00E027E4"/>
    <w:rsid w:val="00E02DCC"/>
    <w:rsid w:val="00E04497"/>
    <w:rsid w:val="00E055B5"/>
    <w:rsid w:val="00E14CEE"/>
    <w:rsid w:val="00E15398"/>
    <w:rsid w:val="00E1587F"/>
    <w:rsid w:val="00E15C00"/>
    <w:rsid w:val="00E17733"/>
    <w:rsid w:val="00E179F6"/>
    <w:rsid w:val="00E2061B"/>
    <w:rsid w:val="00E2111D"/>
    <w:rsid w:val="00E214E7"/>
    <w:rsid w:val="00E215BE"/>
    <w:rsid w:val="00E23896"/>
    <w:rsid w:val="00E24A60"/>
    <w:rsid w:val="00E25D8E"/>
    <w:rsid w:val="00E26021"/>
    <w:rsid w:val="00E26E56"/>
    <w:rsid w:val="00E2712E"/>
    <w:rsid w:val="00E3097E"/>
    <w:rsid w:val="00E31862"/>
    <w:rsid w:val="00E31912"/>
    <w:rsid w:val="00E31C6D"/>
    <w:rsid w:val="00E3290D"/>
    <w:rsid w:val="00E3370B"/>
    <w:rsid w:val="00E3424D"/>
    <w:rsid w:val="00E35B43"/>
    <w:rsid w:val="00E35CBB"/>
    <w:rsid w:val="00E36288"/>
    <w:rsid w:val="00E37E90"/>
    <w:rsid w:val="00E40993"/>
    <w:rsid w:val="00E4447C"/>
    <w:rsid w:val="00E45313"/>
    <w:rsid w:val="00E46FFB"/>
    <w:rsid w:val="00E47329"/>
    <w:rsid w:val="00E50833"/>
    <w:rsid w:val="00E5101E"/>
    <w:rsid w:val="00E52AB6"/>
    <w:rsid w:val="00E543EF"/>
    <w:rsid w:val="00E54473"/>
    <w:rsid w:val="00E54547"/>
    <w:rsid w:val="00E56A4F"/>
    <w:rsid w:val="00E6174F"/>
    <w:rsid w:val="00E61F3E"/>
    <w:rsid w:val="00E62BE8"/>
    <w:rsid w:val="00E638C8"/>
    <w:rsid w:val="00E65A87"/>
    <w:rsid w:val="00E65D55"/>
    <w:rsid w:val="00E67DF0"/>
    <w:rsid w:val="00E70DB2"/>
    <w:rsid w:val="00E70EF6"/>
    <w:rsid w:val="00E71ED9"/>
    <w:rsid w:val="00E72E58"/>
    <w:rsid w:val="00E741D6"/>
    <w:rsid w:val="00E74617"/>
    <w:rsid w:val="00E766A8"/>
    <w:rsid w:val="00E812BA"/>
    <w:rsid w:val="00E81409"/>
    <w:rsid w:val="00E8391C"/>
    <w:rsid w:val="00E842F8"/>
    <w:rsid w:val="00E84B0E"/>
    <w:rsid w:val="00E84D21"/>
    <w:rsid w:val="00E85670"/>
    <w:rsid w:val="00E862B6"/>
    <w:rsid w:val="00E90DE0"/>
    <w:rsid w:val="00E91DEC"/>
    <w:rsid w:val="00E93811"/>
    <w:rsid w:val="00E95AD1"/>
    <w:rsid w:val="00E9672E"/>
    <w:rsid w:val="00E97844"/>
    <w:rsid w:val="00EA21E2"/>
    <w:rsid w:val="00EA2354"/>
    <w:rsid w:val="00EA2430"/>
    <w:rsid w:val="00EA38F8"/>
    <w:rsid w:val="00EA4DDA"/>
    <w:rsid w:val="00EA5C36"/>
    <w:rsid w:val="00EB02D7"/>
    <w:rsid w:val="00EB039E"/>
    <w:rsid w:val="00EB0F73"/>
    <w:rsid w:val="00EB2C4D"/>
    <w:rsid w:val="00EB3316"/>
    <w:rsid w:val="00EB3619"/>
    <w:rsid w:val="00EB6DEE"/>
    <w:rsid w:val="00EB6E1B"/>
    <w:rsid w:val="00EB7293"/>
    <w:rsid w:val="00EB732A"/>
    <w:rsid w:val="00EC1BC2"/>
    <w:rsid w:val="00EC341B"/>
    <w:rsid w:val="00EC3BA6"/>
    <w:rsid w:val="00EC499B"/>
    <w:rsid w:val="00EC7509"/>
    <w:rsid w:val="00ED08AF"/>
    <w:rsid w:val="00ED66D4"/>
    <w:rsid w:val="00EE09D7"/>
    <w:rsid w:val="00EE26D0"/>
    <w:rsid w:val="00EE48B8"/>
    <w:rsid w:val="00EE4DC4"/>
    <w:rsid w:val="00EE64DA"/>
    <w:rsid w:val="00EF0832"/>
    <w:rsid w:val="00EF1208"/>
    <w:rsid w:val="00EF2F9A"/>
    <w:rsid w:val="00EF4673"/>
    <w:rsid w:val="00EF58C7"/>
    <w:rsid w:val="00EF6865"/>
    <w:rsid w:val="00F015C9"/>
    <w:rsid w:val="00F0178E"/>
    <w:rsid w:val="00F02D0E"/>
    <w:rsid w:val="00F05741"/>
    <w:rsid w:val="00F07F8A"/>
    <w:rsid w:val="00F103F9"/>
    <w:rsid w:val="00F1091C"/>
    <w:rsid w:val="00F11B9C"/>
    <w:rsid w:val="00F11F9F"/>
    <w:rsid w:val="00F13DF5"/>
    <w:rsid w:val="00F144F6"/>
    <w:rsid w:val="00F16E96"/>
    <w:rsid w:val="00F216AB"/>
    <w:rsid w:val="00F21B6D"/>
    <w:rsid w:val="00F2295D"/>
    <w:rsid w:val="00F22A47"/>
    <w:rsid w:val="00F23426"/>
    <w:rsid w:val="00F237B0"/>
    <w:rsid w:val="00F23F89"/>
    <w:rsid w:val="00F24334"/>
    <w:rsid w:val="00F250FF"/>
    <w:rsid w:val="00F301B0"/>
    <w:rsid w:val="00F30624"/>
    <w:rsid w:val="00F3200D"/>
    <w:rsid w:val="00F346A6"/>
    <w:rsid w:val="00F36553"/>
    <w:rsid w:val="00F40CD1"/>
    <w:rsid w:val="00F41130"/>
    <w:rsid w:val="00F4131E"/>
    <w:rsid w:val="00F41DA4"/>
    <w:rsid w:val="00F42731"/>
    <w:rsid w:val="00F44667"/>
    <w:rsid w:val="00F44A45"/>
    <w:rsid w:val="00F4567A"/>
    <w:rsid w:val="00F504C7"/>
    <w:rsid w:val="00F51403"/>
    <w:rsid w:val="00F532F1"/>
    <w:rsid w:val="00F549B0"/>
    <w:rsid w:val="00F5502E"/>
    <w:rsid w:val="00F55252"/>
    <w:rsid w:val="00F56095"/>
    <w:rsid w:val="00F572CB"/>
    <w:rsid w:val="00F5787A"/>
    <w:rsid w:val="00F6064E"/>
    <w:rsid w:val="00F60E1D"/>
    <w:rsid w:val="00F61010"/>
    <w:rsid w:val="00F615F2"/>
    <w:rsid w:val="00F63223"/>
    <w:rsid w:val="00F65773"/>
    <w:rsid w:val="00F67FAC"/>
    <w:rsid w:val="00F703C7"/>
    <w:rsid w:val="00F709B8"/>
    <w:rsid w:val="00F7154E"/>
    <w:rsid w:val="00F71EDB"/>
    <w:rsid w:val="00F722C0"/>
    <w:rsid w:val="00F75E39"/>
    <w:rsid w:val="00F80367"/>
    <w:rsid w:val="00F8059E"/>
    <w:rsid w:val="00F8103F"/>
    <w:rsid w:val="00F81945"/>
    <w:rsid w:val="00F81CD8"/>
    <w:rsid w:val="00F82CFD"/>
    <w:rsid w:val="00F83239"/>
    <w:rsid w:val="00F854BD"/>
    <w:rsid w:val="00F8641D"/>
    <w:rsid w:val="00F86A1B"/>
    <w:rsid w:val="00F873C4"/>
    <w:rsid w:val="00F87419"/>
    <w:rsid w:val="00F90E72"/>
    <w:rsid w:val="00F91C11"/>
    <w:rsid w:val="00F92692"/>
    <w:rsid w:val="00F963CE"/>
    <w:rsid w:val="00F96EE2"/>
    <w:rsid w:val="00F971D0"/>
    <w:rsid w:val="00F97974"/>
    <w:rsid w:val="00FA2F42"/>
    <w:rsid w:val="00FA4ED5"/>
    <w:rsid w:val="00FA5521"/>
    <w:rsid w:val="00FA61E4"/>
    <w:rsid w:val="00FA6901"/>
    <w:rsid w:val="00FA6E62"/>
    <w:rsid w:val="00FB0C07"/>
    <w:rsid w:val="00FB32DE"/>
    <w:rsid w:val="00FB3658"/>
    <w:rsid w:val="00FB3CE6"/>
    <w:rsid w:val="00FB4915"/>
    <w:rsid w:val="00FB7539"/>
    <w:rsid w:val="00FB7FC9"/>
    <w:rsid w:val="00FC07C2"/>
    <w:rsid w:val="00FC0909"/>
    <w:rsid w:val="00FC0CDF"/>
    <w:rsid w:val="00FC15CD"/>
    <w:rsid w:val="00FC4767"/>
    <w:rsid w:val="00FC55B0"/>
    <w:rsid w:val="00FC5B25"/>
    <w:rsid w:val="00FC684C"/>
    <w:rsid w:val="00FC6E4F"/>
    <w:rsid w:val="00FC6FED"/>
    <w:rsid w:val="00FD00B9"/>
    <w:rsid w:val="00FD0230"/>
    <w:rsid w:val="00FD3D37"/>
    <w:rsid w:val="00FD4B4D"/>
    <w:rsid w:val="00FD5C4C"/>
    <w:rsid w:val="00FD5FC1"/>
    <w:rsid w:val="00FD7C06"/>
    <w:rsid w:val="00FD7CDF"/>
    <w:rsid w:val="00FE16D4"/>
    <w:rsid w:val="00FE663B"/>
    <w:rsid w:val="00FF04DD"/>
    <w:rsid w:val="00FF2DD4"/>
    <w:rsid w:val="00FF2F08"/>
    <w:rsid w:val="00FF3FCC"/>
    <w:rsid w:val="00FF65D3"/>
    <w:rsid w:val="00FF6D9F"/>
    <w:rsid w:val="00FF7328"/>
    <w:rsid w:val="00FF7B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26891"/>
  <w15:docId w15:val="{0B064F5C-F8FA-4F8D-9584-4055061D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FE0"/>
    <w:rPr>
      <w:rFonts w:ascii="Times New Roman" w:hAnsi="Times New Roman" w:cs="Times New Roman"/>
      <w:sz w:val="24"/>
      <w:szCs w:val="24"/>
      <w:lang w:val="en-US" w:eastAsia="en-US"/>
    </w:rPr>
  </w:style>
  <w:style w:type="paragraph" w:styleId="1">
    <w:name w:val="heading 1"/>
    <w:basedOn w:val="a"/>
    <w:next w:val="a"/>
    <w:link w:val="1Char"/>
    <w:qFormat/>
    <w:rsid w:val="002E5CE6"/>
    <w:pPr>
      <w:keepNext/>
      <w:keepLines/>
      <w:outlineLvl w:val="0"/>
    </w:pPr>
    <w:rPr>
      <w:b/>
      <w:bCs/>
      <w:sz w:val="28"/>
      <w:szCs w:val="28"/>
    </w:rPr>
  </w:style>
  <w:style w:type="paragraph" w:styleId="2">
    <w:name w:val="heading 2"/>
    <w:basedOn w:val="a"/>
    <w:next w:val="a"/>
    <w:link w:val="2Char"/>
    <w:uiPriority w:val="9"/>
    <w:unhideWhenUsed/>
    <w:qFormat/>
    <w:rsid w:val="002E5CE6"/>
    <w:pPr>
      <w:keepNext/>
      <w:keepLines/>
      <w:spacing w:before="40"/>
      <w:outlineLvl w:val="1"/>
    </w:pPr>
    <w:rPr>
      <w:rFonts w:eastAsiaTheme="majorEastAsia" w:cstheme="majorBidi"/>
      <w:i/>
      <w:szCs w:val="26"/>
    </w:rPr>
  </w:style>
  <w:style w:type="paragraph" w:styleId="3">
    <w:name w:val="heading 3"/>
    <w:basedOn w:val="a"/>
    <w:next w:val="a"/>
    <w:link w:val="3Char"/>
    <w:uiPriority w:val="9"/>
    <w:semiHidden/>
    <w:unhideWhenUsed/>
    <w:qFormat/>
    <w:rsid w:val="006F74DC"/>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E5CE6"/>
    <w:rPr>
      <w:rFonts w:ascii="Times New Roman" w:hAnsi="Times New Roman" w:cs="Times New Roman"/>
      <w:b/>
      <w:bCs/>
      <w:sz w:val="28"/>
      <w:szCs w:val="28"/>
      <w:lang w:val="en-US" w:eastAsia="en-US"/>
    </w:rPr>
  </w:style>
  <w:style w:type="paragraph" w:styleId="a3">
    <w:name w:val="Balloon Text"/>
    <w:basedOn w:val="a"/>
    <w:link w:val="Char"/>
    <w:rsid w:val="005A7DC1"/>
    <w:rPr>
      <w:rFonts w:ascii="Tahoma" w:hAnsi="Tahoma" w:cs="Tahoma"/>
      <w:sz w:val="16"/>
      <w:szCs w:val="16"/>
    </w:rPr>
  </w:style>
  <w:style w:type="character" w:customStyle="1" w:styleId="Char">
    <w:name w:val="批注框文本 Char"/>
    <w:link w:val="a3"/>
    <w:rsid w:val="005A7DC1"/>
    <w:rPr>
      <w:rFonts w:ascii="Tahoma" w:eastAsia="宋体" w:hAnsi="Tahoma" w:cs="Tahoma"/>
      <w:sz w:val="16"/>
      <w:szCs w:val="16"/>
      <w:lang w:val="en-US" w:eastAsia="en-US"/>
    </w:rPr>
  </w:style>
  <w:style w:type="paragraph" w:styleId="a4">
    <w:name w:val="footer"/>
    <w:basedOn w:val="a"/>
    <w:link w:val="Char0"/>
    <w:uiPriority w:val="99"/>
    <w:rsid w:val="005A7DC1"/>
    <w:pPr>
      <w:tabs>
        <w:tab w:val="center" w:pos="4513"/>
        <w:tab w:val="right" w:pos="9026"/>
      </w:tabs>
    </w:pPr>
  </w:style>
  <w:style w:type="character" w:customStyle="1" w:styleId="Char0">
    <w:name w:val="页脚 Char"/>
    <w:link w:val="a4"/>
    <w:uiPriority w:val="99"/>
    <w:rsid w:val="005A7DC1"/>
    <w:rPr>
      <w:rFonts w:ascii="Times New Roman" w:eastAsia="宋体" w:hAnsi="Times New Roman" w:cs="Times New Roman"/>
      <w:sz w:val="24"/>
      <w:szCs w:val="24"/>
      <w:lang w:val="en-US" w:eastAsia="en-US"/>
    </w:rPr>
  </w:style>
  <w:style w:type="paragraph" w:styleId="a5">
    <w:name w:val="header"/>
    <w:basedOn w:val="a"/>
    <w:link w:val="Char1"/>
    <w:rsid w:val="005A7DC1"/>
    <w:pPr>
      <w:tabs>
        <w:tab w:val="center" w:pos="4513"/>
        <w:tab w:val="right" w:pos="9026"/>
      </w:tabs>
    </w:pPr>
  </w:style>
  <w:style w:type="character" w:customStyle="1" w:styleId="Char1">
    <w:name w:val="页眉 Char"/>
    <w:link w:val="a5"/>
    <w:rsid w:val="005A7DC1"/>
    <w:rPr>
      <w:rFonts w:ascii="Times New Roman" w:eastAsia="宋体" w:hAnsi="Times New Roman" w:cs="Times New Roman"/>
      <w:sz w:val="24"/>
      <w:szCs w:val="24"/>
      <w:lang w:val="en-US" w:eastAsia="en-US"/>
    </w:rPr>
  </w:style>
  <w:style w:type="paragraph" w:styleId="a6">
    <w:name w:val="footnote text"/>
    <w:basedOn w:val="a"/>
    <w:link w:val="Char2"/>
    <w:semiHidden/>
    <w:unhideWhenUsed/>
    <w:rsid w:val="005A7DC1"/>
    <w:rPr>
      <w:sz w:val="20"/>
      <w:szCs w:val="20"/>
    </w:rPr>
  </w:style>
  <w:style w:type="character" w:customStyle="1" w:styleId="Char2">
    <w:name w:val="脚注文本 Char"/>
    <w:link w:val="a6"/>
    <w:rsid w:val="005A7DC1"/>
    <w:rPr>
      <w:rFonts w:ascii="Times New Roman" w:eastAsia="宋体" w:hAnsi="Times New Roman" w:cs="Times New Roman"/>
      <w:sz w:val="20"/>
      <w:szCs w:val="20"/>
      <w:lang w:val="en-US" w:eastAsia="en-US"/>
    </w:rPr>
  </w:style>
  <w:style w:type="character" w:styleId="a7">
    <w:name w:val="Emphasis"/>
    <w:qFormat/>
    <w:rsid w:val="005A7DC1"/>
    <w:rPr>
      <w:i/>
      <w:iCs/>
    </w:rPr>
  </w:style>
  <w:style w:type="character" w:styleId="a8">
    <w:name w:val="Hyperlink"/>
    <w:rsid w:val="005A7DC1"/>
    <w:rPr>
      <w:color w:val="0000FF"/>
      <w:u w:val="single"/>
    </w:rPr>
  </w:style>
  <w:style w:type="character" w:styleId="a9">
    <w:name w:val="footnote reference"/>
    <w:semiHidden/>
    <w:unhideWhenUsed/>
    <w:rsid w:val="005A7DC1"/>
    <w:rPr>
      <w:vertAlign w:val="superscript"/>
    </w:rPr>
  </w:style>
  <w:style w:type="paragraph" w:customStyle="1" w:styleId="10">
    <w:name w:val="列出段落1"/>
    <w:basedOn w:val="a"/>
    <w:uiPriority w:val="34"/>
    <w:qFormat/>
    <w:rsid w:val="005A7DC1"/>
    <w:pPr>
      <w:ind w:left="720"/>
    </w:pPr>
  </w:style>
  <w:style w:type="character" w:customStyle="1" w:styleId="11">
    <w:name w:val="占位符文本1"/>
    <w:uiPriority w:val="67"/>
    <w:rsid w:val="005A7DC1"/>
    <w:rPr>
      <w:color w:val="808080"/>
    </w:rPr>
  </w:style>
  <w:style w:type="paragraph" w:customStyle="1" w:styleId="Default">
    <w:name w:val="Default"/>
    <w:rsid w:val="005A7DC1"/>
    <w:pPr>
      <w:widowControl w:val="0"/>
      <w:autoSpaceDE w:val="0"/>
      <w:autoSpaceDN w:val="0"/>
      <w:adjustRightInd w:val="0"/>
    </w:pPr>
    <w:rPr>
      <w:rFonts w:ascii="Times New Roman" w:hAnsi="Times New Roman" w:cs="Times New Roman"/>
      <w:color w:val="000000"/>
      <w:sz w:val="24"/>
      <w:szCs w:val="24"/>
      <w:lang w:val="en-US"/>
    </w:rPr>
  </w:style>
  <w:style w:type="character" w:styleId="aa">
    <w:name w:val="annotation reference"/>
    <w:semiHidden/>
    <w:unhideWhenUsed/>
    <w:rsid w:val="005A7DC1"/>
    <w:rPr>
      <w:sz w:val="16"/>
      <w:szCs w:val="16"/>
    </w:rPr>
  </w:style>
  <w:style w:type="paragraph" w:styleId="ab">
    <w:name w:val="annotation text"/>
    <w:basedOn w:val="a"/>
    <w:link w:val="Char3"/>
    <w:semiHidden/>
    <w:unhideWhenUsed/>
    <w:rsid w:val="005A7DC1"/>
    <w:rPr>
      <w:sz w:val="20"/>
      <w:szCs w:val="20"/>
    </w:rPr>
  </w:style>
  <w:style w:type="character" w:customStyle="1" w:styleId="Char3">
    <w:name w:val="批注文字 Char"/>
    <w:link w:val="ab"/>
    <w:semiHidden/>
    <w:rsid w:val="005A7DC1"/>
    <w:rPr>
      <w:rFonts w:ascii="Times New Roman" w:eastAsia="宋体" w:hAnsi="Times New Roman" w:cs="Times New Roman"/>
      <w:sz w:val="20"/>
      <w:szCs w:val="20"/>
      <w:lang w:val="en-US" w:eastAsia="en-US"/>
    </w:rPr>
  </w:style>
  <w:style w:type="paragraph" w:styleId="ac">
    <w:name w:val="annotation subject"/>
    <w:basedOn w:val="ab"/>
    <w:next w:val="ab"/>
    <w:link w:val="Char4"/>
    <w:semiHidden/>
    <w:unhideWhenUsed/>
    <w:rsid w:val="005A7DC1"/>
    <w:rPr>
      <w:b/>
      <w:bCs/>
    </w:rPr>
  </w:style>
  <w:style w:type="character" w:customStyle="1" w:styleId="Char4">
    <w:name w:val="批注主题 Char"/>
    <w:link w:val="ac"/>
    <w:semiHidden/>
    <w:rsid w:val="005A7DC1"/>
    <w:rPr>
      <w:rFonts w:ascii="Times New Roman" w:eastAsia="宋体" w:hAnsi="Times New Roman" w:cs="Times New Roman"/>
      <w:b/>
      <w:bCs/>
      <w:sz w:val="20"/>
      <w:szCs w:val="20"/>
      <w:lang w:val="en-US" w:eastAsia="en-US"/>
    </w:rPr>
  </w:style>
  <w:style w:type="paragraph" w:styleId="ad">
    <w:name w:val="List Paragraph"/>
    <w:basedOn w:val="a"/>
    <w:uiPriority w:val="34"/>
    <w:qFormat/>
    <w:rsid w:val="005A7DC1"/>
    <w:pPr>
      <w:ind w:left="720"/>
    </w:pPr>
    <w:rPr>
      <w:lang w:val="en-GB"/>
    </w:rPr>
  </w:style>
  <w:style w:type="character" w:styleId="ae">
    <w:name w:val="Placeholder Text"/>
    <w:uiPriority w:val="67"/>
    <w:rsid w:val="005A7DC1"/>
    <w:rPr>
      <w:color w:val="808080"/>
    </w:rPr>
  </w:style>
  <w:style w:type="paragraph" w:styleId="af">
    <w:name w:val="Subtitle"/>
    <w:basedOn w:val="a"/>
    <w:next w:val="a"/>
    <w:link w:val="Char5"/>
    <w:uiPriority w:val="11"/>
    <w:qFormat/>
    <w:rsid w:val="005A7DC1"/>
    <w:pPr>
      <w:numPr>
        <w:ilvl w:val="1"/>
      </w:numPr>
    </w:pPr>
    <w:rPr>
      <w:rFonts w:ascii="Cambria" w:hAnsi="Cambria"/>
      <w:i/>
      <w:iCs/>
      <w:color w:val="4F81BD"/>
      <w:spacing w:val="15"/>
      <w:lang w:val="en-GB"/>
    </w:rPr>
  </w:style>
  <w:style w:type="character" w:customStyle="1" w:styleId="Char5">
    <w:name w:val="副标题 Char"/>
    <w:link w:val="af"/>
    <w:uiPriority w:val="11"/>
    <w:rsid w:val="005A7DC1"/>
    <w:rPr>
      <w:rFonts w:ascii="Cambria" w:eastAsia="宋体" w:hAnsi="Cambria" w:cs="Times New Roman"/>
      <w:i/>
      <w:iCs/>
      <w:color w:val="4F81BD"/>
      <w:spacing w:val="15"/>
      <w:sz w:val="24"/>
      <w:szCs w:val="24"/>
      <w:lang w:eastAsia="en-US"/>
    </w:rPr>
  </w:style>
  <w:style w:type="paragraph" w:customStyle="1" w:styleId="EndNoteBibliographyTitle">
    <w:name w:val="EndNote Bibliography Title"/>
    <w:basedOn w:val="a"/>
    <w:link w:val="EndNoteBibliographyTitleChar"/>
    <w:rsid w:val="005A7DC1"/>
    <w:pPr>
      <w:jc w:val="center"/>
    </w:pPr>
    <w:rPr>
      <w:noProof/>
    </w:rPr>
  </w:style>
  <w:style w:type="character" w:customStyle="1" w:styleId="EndNoteBibliographyTitleChar">
    <w:name w:val="EndNote Bibliography Title Char"/>
    <w:link w:val="EndNoteBibliographyTitle"/>
    <w:rsid w:val="005A7DC1"/>
    <w:rPr>
      <w:rFonts w:ascii="Times New Roman" w:eastAsia="宋体" w:hAnsi="Times New Roman" w:cs="Times New Roman"/>
      <w:noProof/>
      <w:sz w:val="24"/>
      <w:szCs w:val="24"/>
      <w:lang w:val="en-US" w:eastAsia="en-US"/>
    </w:rPr>
  </w:style>
  <w:style w:type="paragraph" w:customStyle="1" w:styleId="EndNoteBibliography">
    <w:name w:val="EndNote Bibliography"/>
    <w:basedOn w:val="a"/>
    <w:link w:val="EndNoteBibliographyChar"/>
    <w:rsid w:val="005A7DC1"/>
    <w:pPr>
      <w:jc w:val="both"/>
    </w:pPr>
    <w:rPr>
      <w:noProof/>
    </w:rPr>
  </w:style>
  <w:style w:type="character" w:customStyle="1" w:styleId="EndNoteBibliographyChar">
    <w:name w:val="EndNote Bibliography Char"/>
    <w:link w:val="EndNoteBibliography"/>
    <w:rsid w:val="005A7DC1"/>
    <w:rPr>
      <w:rFonts w:ascii="Times New Roman" w:eastAsia="宋体" w:hAnsi="Times New Roman" w:cs="Times New Roman"/>
      <w:noProof/>
      <w:sz w:val="24"/>
      <w:szCs w:val="24"/>
      <w:lang w:val="en-US" w:eastAsia="en-US"/>
    </w:rPr>
  </w:style>
  <w:style w:type="paragraph" w:styleId="af0">
    <w:name w:val="Revision"/>
    <w:hidden/>
    <w:uiPriority w:val="99"/>
    <w:semiHidden/>
    <w:rsid w:val="005A7DC1"/>
    <w:rPr>
      <w:rFonts w:ascii="Times New Roman" w:hAnsi="Times New Roman" w:cs="Times New Roman"/>
      <w:sz w:val="24"/>
      <w:szCs w:val="24"/>
      <w:lang w:val="en-US" w:eastAsia="en-US"/>
    </w:rPr>
  </w:style>
  <w:style w:type="character" w:styleId="af1">
    <w:name w:val="Strong"/>
    <w:uiPriority w:val="22"/>
    <w:qFormat/>
    <w:rsid w:val="005A7DC1"/>
    <w:rPr>
      <w:b/>
      <w:bCs/>
    </w:rPr>
  </w:style>
  <w:style w:type="character" w:customStyle="1" w:styleId="apple-converted-space">
    <w:name w:val="apple-converted-space"/>
    <w:rsid w:val="008B4045"/>
  </w:style>
  <w:style w:type="numbering" w:customStyle="1" w:styleId="12">
    <w:name w:val="无列表1"/>
    <w:next w:val="a2"/>
    <w:uiPriority w:val="99"/>
    <w:semiHidden/>
    <w:unhideWhenUsed/>
    <w:rsid w:val="00E74617"/>
  </w:style>
  <w:style w:type="character" w:customStyle="1" w:styleId="2Char">
    <w:name w:val="标题 2 Char"/>
    <w:basedOn w:val="a0"/>
    <w:link w:val="2"/>
    <w:uiPriority w:val="9"/>
    <w:rsid w:val="002E5CE6"/>
    <w:rPr>
      <w:rFonts w:ascii="Times New Roman" w:eastAsiaTheme="majorEastAsia" w:hAnsi="Times New Roman" w:cstheme="majorBidi"/>
      <w:i/>
      <w:sz w:val="24"/>
      <w:szCs w:val="26"/>
      <w:lang w:val="en-US" w:eastAsia="en-US"/>
    </w:rPr>
  </w:style>
  <w:style w:type="character" w:customStyle="1" w:styleId="MTEquationSection">
    <w:name w:val="MTEquationSection"/>
    <w:basedOn w:val="a0"/>
    <w:rsid w:val="006820CC"/>
    <w:rPr>
      <w:vanish/>
      <w:color w:val="FF0000"/>
      <w:sz w:val="36"/>
      <w:szCs w:val="36"/>
    </w:rPr>
  </w:style>
  <w:style w:type="character" w:styleId="af2">
    <w:name w:val="Subtle Emphasis"/>
    <w:basedOn w:val="a0"/>
    <w:uiPriority w:val="19"/>
    <w:qFormat/>
    <w:rsid w:val="00DA78FF"/>
    <w:rPr>
      <w:i/>
      <w:iCs/>
      <w:color w:val="808080" w:themeColor="text1" w:themeTint="7F"/>
    </w:rPr>
  </w:style>
  <w:style w:type="character" w:styleId="af3">
    <w:name w:val="endnote reference"/>
    <w:basedOn w:val="a0"/>
    <w:uiPriority w:val="99"/>
    <w:semiHidden/>
    <w:unhideWhenUsed/>
    <w:rsid w:val="00640363"/>
    <w:rPr>
      <w:vertAlign w:val="superscript"/>
    </w:rPr>
  </w:style>
  <w:style w:type="character" w:customStyle="1" w:styleId="text">
    <w:name w:val="text"/>
    <w:basedOn w:val="a0"/>
    <w:rsid w:val="002131CB"/>
  </w:style>
  <w:style w:type="character" w:customStyle="1" w:styleId="3Char">
    <w:name w:val="标题 3 Char"/>
    <w:basedOn w:val="a0"/>
    <w:link w:val="3"/>
    <w:uiPriority w:val="9"/>
    <w:semiHidden/>
    <w:rsid w:val="006F74DC"/>
    <w:rPr>
      <w:rFonts w:asciiTheme="majorHAnsi" w:eastAsiaTheme="majorEastAsia" w:hAnsiTheme="majorHAnsi" w:cstheme="majorBidi"/>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0126">
      <w:bodyDiv w:val="1"/>
      <w:marLeft w:val="0"/>
      <w:marRight w:val="0"/>
      <w:marTop w:val="0"/>
      <w:marBottom w:val="0"/>
      <w:divBdr>
        <w:top w:val="none" w:sz="0" w:space="0" w:color="auto"/>
        <w:left w:val="none" w:sz="0" w:space="0" w:color="auto"/>
        <w:bottom w:val="none" w:sz="0" w:space="0" w:color="auto"/>
        <w:right w:val="none" w:sz="0" w:space="0" w:color="auto"/>
      </w:divBdr>
    </w:div>
    <w:div w:id="307786276">
      <w:bodyDiv w:val="1"/>
      <w:marLeft w:val="0"/>
      <w:marRight w:val="0"/>
      <w:marTop w:val="0"/>
      <w:marBottom w:val="0"/>
      <w:divBdr>
        <w:top w:val="none" w:sz="0" w:space="0" w:color="auto"/>
        <w:left w:val="none" w:sz="0" w:space="0" w:color="auto"/>
        <w:bottom w:val="none" w:sz="0" w:space="0" w:color="auto"/>
        <w:right w:val="none" w:sz="0" w:space="0" w:color="auto"/>
      </w:divBdr>
    </w:div>
    <w:div w:id="368383440">
      <w:bodyDiv w:val="1"/>
      <w:marLeft w:val="0"/>
      <w:marRight w:val="0"/>
      <w:marTop w:val="0"/>
      <w:marBottom w:val="0"/>
      <w:divBdr>
        <w:top w:val="none" w:sz="0" w:space="0" w:color="auto"/>
        <w:left w:val="none" w:sz="0" w:space="0" w:color="auto"/>
        <w:bottom w:val="none" w:sz="0" w:space="0" w:color="auto"/>
        <w:right w:val="none" w:sz="0" w:space="0" w:color="auto"/>
      </w:divBdr>
    </w:div>
    <w:div w:id="441146037">
      <w:bodyDiv w:val="1"/>
      <w:marLeft w:val="0"/>
      <w:marRight w:val="0"/>
      <w:marTop w:val="0"/>
      <w:marBottom w:val="0"/>
      <w:divBdr>
        <w:top w:val="none" w:sz="0" w:space="0" w:color="auto"/>
        <w:left w:val="none" w:sz="0" w:space="0" w:color="auto"/>
        <w:bottom w:val="none" w:sz="0" w:space="0" w:color="auto"/>
        <w:right w:val="none" w:sz="0" w:space="0" w:color="auto"/>
      </w:divBdr>
    </w:div>
    <w:div w:id="445587246">
      <w:bodyDiv w:val="1"/>
      <w:marLeft w:val="0"/>
      <w:marRight w:val="0"/>
      <w:marTop w:val="0"/>
      <w:marBottom w:val="0"/>
      <w:divBdr>
        <w:top w:val="none" w:sz="0" w:space="0" w:color="auto"/>
        <w:left w:val="none" w:sz="0" w:space="0" w:color="auto"/>
        <w:bottom w:val="none" w:sz="0" w:space="0" w:color="auto"/>
        <w:right w:val="none" w:sz="0" w:space="0" w:color="auto"/>
      </w:divBdr>
    </w:div>
    <w:div w:id="502167449">
      <w:bodyDiv w:val="1"/>
      <w:marLeft w:val="0"/>
      <w:marRight w:val="0"/>
      <w:marTop w:val="0"/>
      <w:marBottom w:val="0"/>
      <w:divBdr>
        <w:top w:val="none" w:sz="0" w:space="0" w:color="auto"/>
        <w:left w:val="none" w:sz="0" w:space="0" w:color="auto"/>
        <w:bottom w:val="none" w:sz="0" w:space="0" w:color="auto"/>
        <w:right w:val="none" w:sz="0" w:space="0" w:color="auto"/>
      </w:divBdr>
    </w:div>
    <w:div w:id="538978529">
      <w:bodyDiv w:val="1"/>
      <w:marLeft w:val="0"/>
      <w:marRight w:val="0"/>
      <w:marTop w:val="0"/>
      <w:marBottom w:val="0"/>
      <w:divBdr>
        <w:top w:val="none" w:sz="0" w:space="0" w:color="auto"/>
        <w:left w:val="none" w:sz="0" w:space="0" w:color="auto"/>
        <w:bottom w:val="none" w:sz="0" w:space="0" w:color="auto"/>
        <w:right w:val="none" w:sz="0" w:space="0" w:color="auto"/>
      </w:divBdr>
    </w:div>
    <w:div w:id="545794151">
      <w:bodyDiv w:val="1"/>
      <w:marLeft w:val="0"/>
      <w:marRight w:val="0"/>
      <w:marTop w:val="0"/>
      <w:marBottom w:val="0"/>
      <w:divBdr>
        <w:top w:val="none" w:sz="0" w:space="0" w:color="auto"/>
        <w:left w:val="none" w:sz="0" w:space="0" w:color="auto"/>
        <w:bottom w:val="none" w:sz="0" w:space="0" w:color="auto"/>
        <w:right w:val="none" w:sz="0" w:space="0" w:color="auto"/>
      </w:divBdr>
      <w:divsChild>
        <w:div w:id="1329552101">
          <w:marLeft w:val="0"/>
          <w:marRight w:val="0"/>
          <w:marTop w:val="0"/>
          <w:marBottom w:val="0"/>
          <w:divBdr>
            <w:top w:val="none" w:sz="0" w:space="0" w:color="auto"/>
            <w:left w:val="none" w:sz="0" w:space="0" w:color="auto"/>
            <w:bottom w:val="none" w:sz="0" w:space="0" w:color="auto"/>
            <w:right w:val="none" w:sz="0" w:space="0" w:color="auto"/>
          </w:divBdr>
        </w:div>
      </w:divsChild>
    </w:div>
    <w:div w:id="696662187">
      <w:bodyDiv w:val="1"/>
      <w:marLeft w:val="0"/>
      <w:marRight w:val="0"/>
      <w:marTop w:val="0"/>
      <w:marBottom w:val="0"/>
      <w:divBdr>
        <w:top w:val="none" w:sz="0" w:space="0" w:color="auto"/>
        <w:left w:val="none" w:sz="0" w:space="0" w:color="auto"/>
        <w:bottom w:val="none" w:sz="0" w:space="0" w:color="auto"/>
        <w:right w:val="none" w:sz="0" w:space="0" w:color="auto"/>
      </w:divBdr>
    </w:div>
    <w:div w:id="768042944">
      <w:bodyDiv w:val="1"/>
      <w:marLeft w:val="0"/>
      <w:marRight w:val="0"/>
      <w:marTop w:val="0"/>
      <w:marBottom w:val="0"/>
      <w:divBdr>
        <w:top w:val="none" w:sz="0" w:space="0" w:color="auto"/>
        <w:left w:val="none" w:sz="0" w:space="0" w:color="auto"/>
        <w:bottom w:val="none" w:sz="0" w:space="0" w:color="auto"/>
        <w:right w:val="none" w:sz="0" w:space="0" w:color="auto"/>
      </w:divBdr>
    </w:div>
    <w:div w:id="937059809">
      <w:bodyDiv w:val="1"/>
      <w:marLeft w:val="0"/>
      <w:marRight w:val="0"/>
      <w:marTop w:val="0"/>
      <w:marBottom w:val="0"/>
      <w:divBdr>
        <w:top w:val="none" w:sz="0" w:space="0" w:color="auto"/>
        <w:left w:val="none" w:sz="0" w:space="0" w:color="auto"/>
        <w:bottom w:val="none" w:sz="0" w:space="0" w:color="auto"/>
        <w:right w:val="none" w:sz="0" w:space="0" w:color="auto"/>
      </w:divBdr>
    </w:div>
    <w:div w:id="991638033">
      <w:bodyDiv w:val="1"/>
      <w:marLeft w:val="0"/>
      <w:marRight w:val="0"/>
      <w:marTop w:val="0"/>
      <w:marBottom w:val="0"/>
      <w:divBdr>
        <w:top w:val="none" w:sz="0" w:space="0" w:color="auto"/>
        <w:left w:val="none" w:sz="0" w:space="0" w:color="auto"/>
        <w:bottom w:val="none" w:sz="0" w:space="0" w:color="auto"/>
        <w:right w:val="none" w:sz="0" w:space="0" w:color="auto"/>
      </w:divBdr>
    </w:div>
    <w:div w:id="1045640425">
      <w:bodyDiv w:val="1"/>
      <w:marLeft w:val="0"/>
      <w:marRight w:val="0"/>
      <w:marTop w:val="0"/>
      <w:marBottom w:val="0"/>
      <w:divBdr>
        <w:top w:val="none" w:sz="0" w:space="0" w:color="auto"/>
        <w:left w:val="none" w:sz="0" w:space="0" w:color="auto"/>
        <w:bottom w:val="none" w:sz="0" w:space="0" w:color="auto"/>
        <w:right w:val="none" w:sz="0" w:space="0" w:color="auto"/>
      </w:divBdr>
    </w:div>
    <w:div w:id="1105882610">
      <w:bodyDiv w:val="1"/>
      <w:marLeft w:val="0"/>
      <w:marRight w:val="0"/>
      <w:marTop w:val="0"/>
      <w:marBottom w:val="0"/>
      <w:divBdr>
        <w:top w:val="none" w:sz="0" w:space="0" w:color="auto"/>
        <w:left w:val="none" w:sz="0" w:space="0" w:color="auto"/>
        <w:bottom w:val="none" w:sz="0" w:space="0" w:color="auto"/>
        <w:right w:val="none" w:sz="0" w:space="0" w:color="auto"/>
      </w:divBdr>
    </w:div>
    <w:div w:id="1257668045">
      <w:bodyDiv w:val="1"/>
      <w:marLeft w:val="0"/>
      <w:marRight w:val="0"/>
      <w:marTop w:val="0"/>
      <w:marBottom w:val="0"/>
      <w:divBdr>
        <w:top w:val="none" w:sz="0" w:space="0" w:color="auto"/>
        <w:left w:val="none" w:sz="0" w:space="0" w:color="auto"/>
        <w:bottom w:val="none" w:sz="0" w:space="0" w:color="auto"/>
        <w:right w:val="none" w:sz="0" w:space="0" w:color="auto"/>
      </w:divBdr>
    </w:div>
    <w:div w:id="1299531900">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455635363">
      <w:bodyDiv w:val="1"/>
      <w:marLeft w:val="0"/>
      <w:marRight w:val="0"/>
      <w:marTop w:val="0"/>
      <w:marBottom w:val="0"/>
      <w:divBdr>
        <w:top w:val="none" w:sz="0" w:space="0" w:color="auto"/>
        <w:left w:val="none" w:sz="0" w:space="0" w:color="auto"/>
        <w:bottom w:val="none" w:sz="0" w:space="0" w:color="auto"/>
        <w:right w:val="none" w:sz="0" w:space="0" w:color="auto"/>
      </w:divBdr>
    </w:div>
    <w:div w:id="1527714815">
      <w:bodyDiv w:val="1"/>
      <w:marLeft w:val="0"/>
      <w:marRight w:val="0"/>
      <w:marTop w:val="0"/>
      <w:marBottom w:val="0"/>
      <w:divBdr>
        <w:top w:val="none" w:sz="0" w:space="0" w:color="auto"/>
        <w:left w:val="none" w:sz="0" w:space="0" w:color="auto"/>
        <w:bottom w:val="none" w:sz="0" w:space="0" w:color="auto"/>
        <w:right w:val="none" w:sz="0" w:space="0" w:color="auto"/>
      </w:divBdr>
    </w:div>
    <w:div w:id="1569073895">
      <w:bodyDiv w:val="1"/>
      <w:marLeft w:val="0"/>
      <w:marRight w:val="0"/>
      <w:marTop w:val="0"/>
      <w:marBottom w:val="0"/>
      <w:divBdr>
        <w:top w:val="none" w:sz="0" w:space="0" w:color="auto"/>
        <w:left w:val="none" w:sz="0" w:space="0" w:color="auto"/>
        <w:bottom w:val="none" w:sz="0" w:space="0" w:color="auto"/>
        <w:right w:val="none" w:sz="0" w:space="0" w:color="auto"/>
      </w:divBdr>
    </w:div>
    <w:div w:id="1575315022">
      <w:bodyDiv w:val="1"/>
      <w:marLeft w:val="0"/>
      <w:marRight w:val="0"/>
      <w:marTop w:val="0"/>
      <w:marBottom w:val="0"/>
      <w:divBdr>
        <w:top w:val="none" w:sz="0" w:space="0" w:color="auto"/>
        <w:left w:val="none" w:sz="0" w:space="0" w:color="auto"/>
        <w:bottom w:val="none" w:sz="0" w:space="0" w:color="auto"/>
        <w:right w:val="none" w:sz="0" w:space="0" w:color="auto"/>
      </w:divBdr>
      <w:divsChild>
        <w:div w:id="505097412">
          <w:marLeft w:val="0"/>
          <w:marRight w:val="0"/>
          <w:marTop w:val="0"/>
          <w:marBottom w:val="0"/>
          <w:divBdr>
            <w:top w:val="none" w:sz="0" w:space="0" w:color="auto"/>
            <w:left w:val="none" w:sz="0" w:space="0" w:color="auto"/>
            <w:bottom w:val="none" w:sz="0" w:space="0" w:color="auto"/>
            <w:right w:val="none" w:sz="0" w:space="0" w:color="auto"/>
          </w:divBdr>
        </w:div>
      </w:divsChild>
    </w:div>
    <w:div w:id="1578007855">
      <w:bodyDiv w:val="1"/>
      <w:marLeft w:val="0"/>
      <w:marRight w:val="0"/>
      <w:marTop w:val="0"/>
      <w:marBottom w:val="0"/>
      <w:divBdr>
        <w:top w:val="none" w:sz="0" w:space="0" w:color="auto"/>
        <w:left w:val="none" w:sz="0" w:space="0" w:color="auto"/>
        <w:bottom w:val="none" w:sz="0" w:space="0" w:color="auto"/>
        <w:right w:val="none" w:sz="0" w:space="0" w:color="auto"/>
      </w:divBdr>
    </w:div>
    <w:div w:id="1605376799">
      <w:bodyDiv w:val="1"/>
      <w:marLeft w:val="0"/>
      <w:marRight w:val="0"/>
      <w:marTop w:val="0"/>
      <w:marBottom w:val="0"/>
      <w:divBdr>
        <w:top w:val="none" w:sz="0" w:space="0" w:color="auto"/>
        <w:left w:val="none" w:sz="0" w:space="0" w:color="auto"/>
        <w:bottom w:val="none" w:sz="0" w:space="0" w:color="auto"/>
        <w:right w:val="none" w:sz="0" w:space="0" w:color="auto"/>
      </w:divBdr>
    </w:div>
    <w:div w:id="1612665781">
      <w:bodyDiv w:val="1"/>
      <w:marLeft w:val="0"/>
      <w:marRight w:val="0"/>
      <w:marTop w:val="0"/>
      <w:marBottom w:val="0"/>
      <w:divBdr>
        <w:top w:val="none" w:sz="0" w:space="0" w:color="auto"/>
        <w:left w:val="none" w:sz="0" w:space="0" w:color="auto"/>
        <w:bottom w:val="none" w:sz="0" w:space="0" w:color="auto"/>
        <w:right w:val="none" w:sz="0" w:space="0" w:color="auto"/>
      </w:divBdr>
    </w:div>
    <w:div w:id="1621841938">
      <w:bodyDiv w:val="1"/>
      <w:marLeft w:val="0"/>
      <w:marRight w:val="0"/>
      <w:marTop w:val="0"/>
      <w:marBottom w:val="0"/>
      <w:divBdr>
        <w:top w:val="none" w:sz="0" w:space="0" w:color="auto"/>
        <w:left w:val="none" w:sz="0" w:space="0" w:color="auto"/>
        <w:bottom w:val="none" w:sz="0" w:space="0" w:color="auto"/>
        <w:right w:val="none" w:sz="0" w:space="0" w:color="auto"/>
      </w:divBdr>
    </w:div>
    <w:div w:id="1744788720">
      <w:bodyDiv w:val="1"/>
      <w:marLeft w:val="0"/>
      <w:marRight w:val="0"/>
      <w:marTop w:val="0"/>
      <w:marBottom w:val="0"/>
      <w:divBdr>
        <w:top w:val="none" w:sz="0" w:space="0" w:color="auto"/>
        <w:left w:val="none" w:sz="0" w:space="0" w:color="auto"/>
        <w:bottom w:val="none" w:sz="0" w:space="0" w:color="auto"/>
        <w:right w:val="none" w:sz="0" w:space="0" w:color="auto"/>
      </w:divBdr>
      <w:divsChild>
        <w:div w:id="1875267582">
          <w:marLeft w:val="0"/>
          <w:marRight w:val="0"/>
          <w:marTop w:val="0"/>
          <w:marBottom w:val="0"/>
          <w:divBdr>
            <w:top w:val="none" w:sz="0" w:space="0" w:color="auto"/>
            <w:left w:val="none" w:sz="0" w:space="0" w:color="auto"/>
            <w:bottom w:val="none" w:sz="0" w:space="0" w:color="auto"/>
            <w:right w:val="none" w:sz="0" w:space="0" w:color="auto"/>
          </w:divBdr>
        </w:div>
      </w:divsChild>
    </w:div>
    <w:div w:id="1883012626">
      <w:bodyDiv w:val="1"/>
      <w:marLeft w:val="0"/>
      <w:marRight w:val="0"/>
      <w:marTop w:val="0"/>
      <w:marBottom w:val="0"/>
      <w:divBdr>
        <w:top w:val="none" w:sz="0" w:space="0" w:color="auto"/>
        <w:left w:val="none" w:sz="0" w:space="0" w:color="auto"/>
        <w:bottom w:val="none" w:sz="0" w:space="0" w:color="auto"/>
        <w:right w:val="none" w:sz="0" w:space="0" w:color="auto"/>
      </w:divBdr>
    </w:div>
    <w:div w:id="1983391353">
      <w:bodyDiv w:val="1"/>
      <w:marLeft w:val="0"/>
      <w:marRight w:val="0"/>
      <w:marTop w:val="0"/>
      <w:marBottom w:val="0"/>
      <w:divBdr>
        <w:top w:val="none" w:sz="0" w:space="0" w:color="auto"/>
        <w:left w:val="none" w:sz="0" w:space="0" w:color="auto"/>
        <w:bottom w:val="none" w:sz="0" w:space="0" w:color="auto"/>
        <w:right w:val="none" w:sz="0" w:space="0" w:color="auto"/>
      </w:divBdr>
    </w:div>
    <w:div w:id="2075614990">
      <w:bodyDiv w:val="1"/>
      <w:marLeft w:val="0"/>
      <w:marRight w:val="0"/>
      <w:marTop w:val="0"/>
      <w:marBottom w:val="0"/>
      <w:divBdr>
        <w:top w:val="none" w:sz="0" w:space="0" w:color="auto"/>
        <w:left w:val="none" w:sz="0" w:space="0" w:color="auto"/>
        <w:bottom w:val="none" w:sz="0" w:space="0" w:color="auto"/>
        <w:right w:val="none" w:sz="0" w:space="0" w:color="auto"/>
      </w:divBdr>
    </w:div>
    <w:div w:id="2102487211">
      <w:bodyDiv w:val="1"/>
      <w:marLeft w:val="0"/>
      <w:marRight w:val="0"/>
      <w:marTop w:val="0"/>
      <w:marBottom w:val="0"/>
      <w:divBdr>
        <w:top w:val="none" w:sz="0" w:space="0" w:color="auto"/>
        <w:left w:val="none" w:sz="0" w:space="0" w:color="auto"/>
        <w:bottom w:val="none" w:sz="0" w:space="0" w:color="auto"/>
        <w:right w:val="none" w:sz="0" w:space="0" w:color="auto"/>
      </w:divBdr>
    </w:div>
    <w:div w:id="212279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theme" Target="theme/theme1.xml"/><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image" Target="media/image20.wmf"/><Relationship Id="rId63" Type="http://schemas.openxmlformats.org/officeDocument/2006/relationships/image" Target="media/image27.e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0.emf"/><Relationship Id="rId112" Type="http://schemas.openxmlformats.org/officeDocument/2006/relationships/oleObject" Target="embeddings/oleObject50.bin"/><Relationship Id="rId16" Type="http://schemas.openxmlformats.org/officeDocument/2006/relationships/oleObject" Target="embeddings/oleObject3.bin"/><Relationship Id="rId107" Type="http://schemas.openxmlformats.org/officeDocument/2006/relationships/image" Target="media/image49.emf"/><Relationship Id="rId11" Type="http://schemas.openxmlformats.org/officeDocument/2006/relationships/oleObject" Target="embeddings/oleObject1.bin"/><Relationship Id="rId32" Type="http://schemas.openxmlformats.org/officeDocument/2006/relationships/oleObject" Target="embeddings/oleObject11.bin"/><Relationship Id="rId37" Type="http://schemas.openxmlformats.org/officeDocument/2006/relationships/image" Target="media/image15.wmf"/><Relationship Id="rId53" Type="http://schemas.openxmlformats.org/officeDocument/2006/relationships/image" Target="media/image22.e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5.emf"/><Relationship Id="rId102" Type="http://schemas.openxmlformats.org/officeDocument/2006/relationships/oleObject" Target="embeddings/oleObject45.bin"/><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image" Target="media/image43.emf"/><Relationship Id="rId22" Type="http://schemas.openxmlformats.org/officeDocument/2006/relationships/oleObject" Target="embeddings/oleObject6.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19.bin"/><Relationship Id="rId64" Type="http://schemas.openxmlformats.org/officeDocument/2006/relationships/oleObject" Target="embeddings/oleObject26.bin"/><Relationship Id="rId69" Type="http://schemas.openxmlformats.org/officeDocument/2006/relationships/image" Target="media/image30.emf"/><Relationship Id="rId113" Type="http://schemas.openxmlformats.org/officeDocument/2006/relationships/image" Target="media/image52.emf"/><Relationship Id="rId80" Type="http://schemas.openxmlformats.org/officeDocument/2006/relationships/oleObject" Target="embeddings/oleObject34.bin"/><Relationship Id="rId85" Type="http://schemas.openxmlformats.org/officeDocument/2006/relationships/image" Target="media/image38.emf"/><Relationship Id="rId12" Type="http://schemas.openxmlformats.org/officeDocument/2006/relationships/image" Target="media/image2.wmf"/><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4.bin"/><Relationship Id="rId59" Type="http://schemas.openxmlformats.org/officeDocument/2006/relationships/image" Target="media/image25.emf"/><Relationship Id="rId103" Type="http://schemas.openxmlformats.org/officeDocument/2006/relationships/image" Target="media/image47.emf"/><Relationship Id="rId108" Type="http://schemas.openxmlformats.org/officeDocument/2006/relationships/oleObject" Target="embeddings/oleObject48.bin"/><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image" Target="media/image33.emf"/><Relationship Id="rId91" Type="http://schemas.openxmlformats.org/officeDocument/2006/relationships/image" Target="media/image41.emf"/><Relationship Id="rId96"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9.bin"/><Relationship Id="rId49" Type="http://schemas.openxmlformats.org/officeDocument/2006/relationships/footer" Target="footer3.xml"/><Relationship Id="rId114" Type="http://schemas.openxmlformats.org/officeDocument/2006/relationships/oleObject" Target="embeddings/oleObject51.bin"/><Relationship Id="rId10" Type="http://schemas.openxmlformats.org/officeDocument/2006/relationships/image" Target="media/image1.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8.emf"/><Relationship Id="rId73" Type="http://schemas.openxmlformats.org/officeDocument/2006/relationships/image" Target="media/image32.emf"/><Relationship Id="rId78" Type="http://schemas.openxmlformats.org/officeDocument/2006/relationships/oleObject" Target="embeddings/oleObject33.bin"/><Relationship Id="rId81" Type="http://schemas.openxmlformats.org/officeDocument/2006/relationships/image" Target="media/image36.e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5.emf"/><Relationship Id="rId101" Type="http://schemas.openxmlformats.org/officeDocument/2006/relationships/image" Target="media/image46.emf"/><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image" Target="media/image50.emf"/><Relationship Id="rId34" Type="http://schemas.openxmlformats.org/officeDocument/2006/relationships/oleObject" Target="embeddings/oleObject12.bin"/><Relationship Id="rId50" Type="http://schemas.openxmlformats.org/officeDocument/2006/relationships/footer" Target="footer4.xml"/><Relationship Id="rId55" Type="http://schemas.openxmlformats.org/officeDocument/2006/relationships/image" Target="media/image23.emf"/><Relationship Id="rId76" Type="http://schemas.openxmlformats.org/officeDocument/2006/relationships/oleObject" Target="embeddings/oleObject32.bin"/><Relationship Id="rId97" Type="http://schemas.openxmlformats.org/officeDocument/2006/relationships/image" Target="media/image44.emf"/><Relationship Id="rId104" Type="http://schemas.openxmlformats.org/officeDocument/2006/relationships/oleObject" Target="embeddings/oleObject46.bin"/><Relationship Id="rId7" Type="http://schemas.openxmlformats.org/officeDocument/2006/relationships/endnotes" Target="endnotes.xml"/><Relationship Id="rId71" Type="http://schemas.openxmlformats.org/officeDocument/2006/relationships/image" Target="media/image31.e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9.wmf"/><Relationship Id="rId66" Type="http://schemas.openxmlformats.org/officeDocument/2006/relationships/oleObject" Target="embeddings/oleObject27.bin"/><Relationship Id="rId87" Type="http://schemas.openxmlformats.org/officeDocument/2006/relationships/image" Target="media/image39.emf"/><Relationship Id="rId110" Type="http://schemas.openxmlformats.org/officeDocument/2006/relationships/oleObject" Target="embeddings/oleObject49.bin"/><Relationship Id="rId115" Type="http://schemas.openxmlformats.org/officeDocument/2006/relationships/footer" Target="footer5.xml"/><Relationship Id="rId61" Type="http://schemas.openxmlformats.org/officeDocument/2006/relationships/image" Target="media/image26.emf"/><Relationship Id="rId82" Type="http://schemas.openxmlformats.org/officeDocument/2006/relationships/oleObject" Target="embeddings/oleObject35.bin"/><Relationship Id="rId19" Type="http://schemas.openxmlformats.org/officeDocument/2006/relationships/image" Target="media/image6.wmf"/><Relationship Id="rId14" Type="http://schemas.openxmlformats.org/officeDocument/2006/relationships/image" Target="media/image3.png"/><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oleObject" Target="embeddings/oleObject22.bin"/><Relationship Id="rId77" Type="http://schemas.openxmlformats.org/officeDocument/2006/relationships/image" Target="media/image34.emf"/><Relationship Id="rId100" Type="http://schemas.openxmlformats.org/officeDocument/2006/relationships/oleObject" Target="embeddings/oleObject44.bin"/><Relationship Id="rId105" Type="http://schemas.openxmlformats.org/officeDocument/2006/relationships/image" Target="media/image48.emf"/><Relationship Id="rId8" Type="http://schemas.openxmlformats.org/officeDocument/2006/relationships/footer" Target="footer1.xml"/><Relationship Id="rId51" Type="http://schemas.openxmlformats.org/officeDocument/2006/relationships/image" Target="media/image21.emf"/><Relationship Id="rId72" Type="http://schemas.openxmlformats.org/officeDocument/2006/relationships/oleObject" Target="embeddings/oleObject30.bin"/><Relationship Id="rId93" Type="http://schemas.openxmlformats.org/officeDocument/2006/relationships/image" Target="media/image42.emf"/><Relationship Id="rId98" Type="http://schemas.openxmlformats.org/officeDocument/2006/relationships/oleObject" Target="embeddings/oleObject43.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image" Target="media/image29.emf"/><Relationship Id="rId116"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image" Target="media/image17.wmf"/><Relationship Id="rId62" Type="http://schemas.openxmlformats.org/officeDocument/2006/relationships/oleObject" Target="embeddings/oleObject25.bin"/><Relationship Id="rId83" Type="http://schemas.openxmlformats.org/officeDocument/2006/relationships/image" Target="media/image37.emf"/><Relationship Id="rId88" Type="http://schemas.openxmlformats.org/officeDocument/2006/relationships/oleObject" Target="embeddings/oleObject38.bin"/><Relationship Id="rId111" Type="http://schemas.openxmlformats.org/officeDocument/2006/relationships/image" Target="media/image51.emf"/><Relationship Id="rId15" Type="http://schemas.openxmlformats.org/officeDocument/2006/relationships/image" Target="media/image4.wmf"/><Relationship Id="rId36" Type="http://schemas.openxmlformats.org/officeDocument/2006/relationships/oleObject" Target="embeddings/oleObject13.bin"/><Relationship Id="rId57" Type="http://schemas.openxmlformats.org/officeDocument/2006/relationships/image" Target="media/image24.emf"/><Relationship Id="rId106"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2" Type="http://schemas.openxmlformats.org/officeDocument/2006/relationships/hyperlink" Target="http://mba.tuck.dartmouth.edu/pages/faculty/ken.french/" TargetMode="External"/><Relationship Id="rId1" Type="http://schemas.openxmlformats.org/officeDocument/2006/relationships/hyperlink" Target="https://sites.google.com/site/haozhouspersonal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4B773-D650-434E-A8CF-89DDA4FF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49171</Words>
  <Characters>280275</Characters>
  <Application>Microsoft Office Word</Application>
  <DocSecurity>0</DocSecurity>
  <Lines>2335</Lines>
  <Paragraphs>657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328789</CharactersWithSpaces>
  <SharedDoc>false</SharedDoc>
  <HLinks>
    <vt:vector size="12" baseType="variant">
      <vt:variant>
        <vt:i4>4390923</vt:i4>
      </vt:variant>
      <vt:variant>
        <vt:i4>50</vt:i4>
      </vt:variant>
      <vt:variant>
        <vt:i4>0</vt:i4>
      </vt:variant>
      <vt:variant>
        <vt:i4>5</vt:i4>
      </vt:variant>
      <vt:variant>
        <vt:lpwstr/>
      </vt:variant>
      <vt:variant>
        <vt:lpwstr>_ENREF_29</vt:lpwstr>
      </vt:variant>
      <vt:variant>
        <vt:i4>4194315</vt:i4>
      </vt:variant>
      <vt:variant>
        <vt:i4>0</vt:i4>
      </vt:variant>
      <vt:variant>
        <vt:i4>0</vt:i4>
      </vt:variant>
      <vt:variant>
        <vt:i4>5</vt:i4>
      </vt:variant>
      <vt:variant>
        <vt:lpwstr/>
      </vt:variant>
      <vt:variant>
        <vt:lpwstr>_ENREF_18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Zhang</dc:creator>
  <cp:lastModifiedBy>Maggie Zhang</cp:lastModifiedBy>
  <cp:revision>4</cp:revision>
  <cp:lastPrinted>2020-10-10T05:25:00Z</cp:lastPrinted>
  <dcterms:created xsi:type="dcterms:W3CDTF">2021-02-14T18:56:00Z</dcterms:created>
  <dcterms:modified xsi:type="dcterms:W3CDTF">2021-02-14T20:09:00Z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y fmtid="{D5CDD505-2E9C-101B-9397-08002B2CF9AE}" pid="4" name="MTEquationNumber2">
    <vt:lpwstr>(#S1.#E1)</vt:lpwstr>
  </property>
  <property fmtid="{D5CDD505-2E9C-101B-9397-08002B2CF9AE}" pid="5" name="MTEquationSection">
    <vt:lpwstr>1</vt:lpwstr>
  </property>
  <property fmtid="{D5CDD505-2E9C-101B-9397-08002B2CF9AE}" pid="6" name="Mendeley Document_1">
    <vt:lpwstr>True</vt:lpwstr>
  </property>
  <property fmtid="{D5CDD505-2E9C-101B-9397-08002B2CF9AE}" pid="7" name="Mendeley Citation Style_1">
    <vt:lpwstr>http://www.zotero.org/styles/review-of-quantitative-finance-and-accounting</vt:lpwstr>
  </property>
  <property fmtid="{D5CDD505-2E9C-101B-9397-08002B2CF9AE}" pid="8" name="Mendeley Unique User Id_1">
    <vt:lpwstr>9be44703-74af-3d2c-8e9c-75b3f16c08d3</vt:lpwstr>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http://www.zotero.org/styles/chicago-author-date</vt:lpwstr>
  </property>
  <property fmtid="{D5CDD505-2E9C-101B-9397-08002B2CF9AE}" pid="12" name="Mendeley Recent Style Name 1_1">
    <vt:lpwstr>Chicago Manual of Style 17th edition (author-date)</vt:lpwstr>
  </property>
  <property fmtid="{D5CDD505-2E9C-101B-9397-08002B2CF9AE}" pid="13" name="Mendeley Recent Style Id 2_1">
    <vt:lpwstr>http://www.zotero.org/styles/harvard1</vt:lpwstr>
  </property>
  <property fmtid="{D5CDD505-2E9C-101B-9397-08002B2CF9AE}" pid="14" name="Mendeley Recent Style Name 2_1">
    <vt:lpwstr>Harvard reference format 1 (deprecated)</vt:lpwstr>
  </property>
  <property fmtid="{D5CDD505-2E9C-101B-9397-08002B2CF9AE}" pid="15" name="Mendeley Recent Style Id 3_1">
    <vt:lpwstr>http://www.zotero.org/styles/journal-of-accounting-and-public-policy</vt:lpwstr>
  </property>
  <property fmtid="{D5CDD505-2E9C-101B-9397-08002B2CF9AE}" pid="16" name="Mendeley Recent Style Name 3_1">
    <vt:lpwstr>Journal of Accounting and Public Policy</vt:lpwstr>
  </property>
  <property fmtid="{D5CDD505-2E9C-101B-9397-08002B2CF9AE}" pid="17" name="Mendeley Recent Style Id 4_1">
    <vt:lpwstr>http://www.zotero.org/styles/management-science</vt:lpwstr>
  </property>
  <property fmtid="{D5CDD505-2E9C-101B-9397-08002B2CF9AE}" pid="18" name="Mendeley Recent Style Name 4_1">
    <vt:lpwstr>Management Science</vt:lpwstr>
  </property>
  <property fmtid="{D5CDD505-2E9C-101B-9397-08002B2CF9AE}" pid="19" name="Mendeley Recent Style Id 5_1">
    <vt:lpwstr>http://www.zotero.org/styles/modern-language-association</vt:lpwstr>
  </property>
  <property fmtid="{D5CDD505-2E9C-101B-9397-08002B2CF9AE}" pid="20" name="Mendeley Recent Style Name 5_1">
    <vt:lpwstr>Modern Language Association 8th edition</vt:lpwstr>
  </property>
  <property fmtid="{D5CDD505-2E9C-101B-9397-08002B2CF9AE}" pid="21" name="Mendeley Recent Style Id 6_1">
    <vt:lpwstr>http://www.zotero.org/styles/nature</vt:lpwstr>
  </property>
  <property fmtid="{D5CDD505-2E9C-101B-9397-08002B2CF9AE}" pid="22" name="Mendeley Recent Style Name 6_1">
    <vt:lpwstr>Nature</vt:lpwstr>
  </property>
  <property fmtid="{D5CDD505-2E9C-101B-9397-08002B2CF9AE}" pid="23" name="Mendeley Recent Style Id 7_1">
    <vt:lpwstr>http://www.zotero.org/styles/review-of-accounting-studies</vt:lpwstr>
  </property>
  <property fmtid="{D5CDD505-2E9C-101B-9397-08002B2CF9AE}" pid="24" name="Mendeley Recent Style Name 7_1">
    <vt:lpwstr>Review of Accounting Studies</vt:lpwstr>
  </property>
  <property fmtid="{D5CDD505-2E9C-101B-9397-08002B2CF9AE}" pid="25" name="Mendeley Recent Style Id 8_1">
    <vt:lpwstr>http://www.zotero.org/styles/review-of-quantitative-finance-and-accounting</vt:lpwstr>
  </property>
  <property fmtid="{D5CDD505-2E9C-101B-9397-08002B2CF9AE}" pid="26" name="Mendeley Recent Style Name 8_1">
    <vt:lpwstr>Review of Quantitative Finance and Accounting</vt:lpwstr>
  </property>
  <property fmtid="{D5CDD505-2E9C-101B-9397-08002B2CF9AE}" pid="27" name="Mendeley Recent Style Id 9_1">
    <vt:lpwstr>http://www.zotero.org/styles/university-of-york-apa</vt:lpwstr>
  </property>
  <property fmtid="{D5CDD505-2E9C-101B-9397-08002B2CF9AE}" pid="28" name="Mendeley Recent Style Name 9_1">
    <vt:lpwstr>University of York - American Psychological Association 6th edition</vt:lpwstr>
  </property>
</Properties>
</file>