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7F8" w:rsidRDefault="0004009B">
      <w:pPr>
        <w:pStyle w:val="Title1"/>
        <w:rPr>
          <w:lang w:val="en-US"/>
        </w:rPr>
      </w:pPr>
      <w:r>
        <w:rPr>
          <w:lang w:val="en-US"/>
        </w:rPr>
        <w:t xml:space="preserve">Highly Regio- and Enantioselective Organocatalytic </w:t>
      </w:r>
      <w:r>
        <w:rPr>
          <w:rFonts w:ascii="Symbol" w:hAnsi="Symbol"/>
          <w:lang w:val="en-US"/>
        </w:rPr>
        <w:t></w:t>
      </w:r>
      <w:r>
        <w:rPr>
          <w:lang w:val="en-US"/>
        </w:rPr>
        <w:t>-A</w:t>
      </w:r>
      <w:r w:rsidR="00382690">
        <w:rPr>
          <w:lang w:val="en-US"/>
        </w:rPr>
        <w:t xml:space="preserve">llylic Alkylation of </w:t>
      </w:r>
      <w:proofErr w:type="spellStart"/>
      <w:r w:rsidR="00382690">
        <w:rPr>
          <w:lang w:val="en-US"/>
        </w:rPr>
        <w:t>Quinolines</w:t>
      </w:r>
      <w:proofErr w:type="spellEnd"/>
    </w:p>
    <w:p w:rsidR="000667F8" w:rsidRDefault="0004009B">
      <w:pPr>
        <w:pStyle w:val="Authors"/>
        <w:rPr>
          <w:vertAlign w:val="superscript"/>
        </w:rPr>
      </w:pPr>
      <w:r>
        <w:rPr>
          <w:noProof/>
          <w:lang w:eastAsia="en-GB"/>
        </w:rPr>
        <mc:AlternateContent>
          <mc:Choice Requires="wps">
            <w:drawing>
              <wp:anchor distT="180340" distB="0" distL="114300" distR="180340" simplePos="0" relativeHeight="251656704" behindDoc="0" locked="1" layoutInCell="1" allowOverlap="1">
                <wp:simplePos x="0" y="0"/>
                <wp:positionH relativeFrom="column">
                  <wp:posOffset>-64135</wp:posOffset>
                </wp:positionH>
                <wp:positionV relativeFrom="page">
                  <wp:posOffset>8898890</wp:posOffset>
                </wp:positionV>
                <wp:extent cx="3150235" cy="1558290"/>
                <wp:effectExtent l="7620" t="635" r="4445" b="3175"/>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wps:spPr>
                      <wps:txbx>
                        <w:txbxContent>
                          <w:p w:rsidR="000667F8" w:rsidRDefault="0004009B">
                            <w:pPr>
                              <w:pStyle w:val="Adress"/>
                              <w:pBdr>
                                <w:top w:val="single" w:sz="4" w:space="1" w:color="000000"/>
                              </w:pBdr>
                              <w:rPr>
                                <w:lang w:val="en-GB"/>
                              </w:rPr>
                            </w:pPr>
                            <w:r>
                              <w:rPr>
                                <w:lang w:val="en-GB"/>
                              </w:rPr>
                              <w:t>[a]</w:t>
                            </w:r>
                            <w:r>
                              <w:rPr>
                                <w:lang w:val="en-GB"/>
                              </w:rPr>
                              <w:tab/>
                              <w:t xml:space="preserve">Dr. </w:t>
                            </w:r>
                            <w:r>
                              <w:rPr>
                                <w:lang w:val="en-US"/>
                              </w:rPr>
                              <w:t>Marta Meazza, Dr. Ramon Rios</w:t>
                            </w:r>
                            <w:r>
                              <w:rPr>
                                <w:lang w:val="en-GB"/>
                              </w:rPr>
                              <w:br/>
                              <w:t>School of Chemistry, University of Southampton</w:t>
                            </w:r>
                            <w:r>
                              <w:rPr>
                                <w:highlight w:val="yellow"/>
                                <w:lang w:val="en-GB"/>
                              </w:rPr>
                              <w:br/>
                            </w:r>
                            <w:r>
                              <w:rPr>
                                <w:lang w:val="en-GB"/>
                              </w:rPr>
                              <w:t>Highfield Campus, SO17 1BJ, Southampton, UK</w:t>
                            </w:r>
                            <w:r>
                              <w:rPr>
                                <w:lang w:val="en-GB"/>
                              </w:rPr>
                              <w:br/>
                              <w:t>E-mail: m.meazza@soton.ac.uk</w:t>
                            </w:r>
                          </w:p>
                          <w:p w:rsidR="000667F8" w:rsidRDefault="0004009B">
                            <w:pPr>
                              <w:pStyle w:val="Footnote"/>
                            </w:pPr>
                            <w:r>
                              <w:tab/>
                              <w:t>Supporting information for this article is given via a link at the end of the document.</w:t>
                            </w:r>
                          </w:p>
                        </w:txbxContent>
                      </wps:txbx>
                      <wps:bodyPr rot="0" vert="horz" wrap="square" lIns="91440" tIns="45720" rIns="91440" bIns="45720" anchor="t" anchorCtr="0" upright="1">
                        <a:sp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 Box 30" o:spid="_x0000_s1026" type="#_x0000_t202" style="position:absolute;margin-left:-5.05pt;margin-top:700.7pt;width:248.05pt;height:122.7pt;z-index:251656704;visibility:visible;mso-wrap-style:square;mso-wrap-distance-left:9pt;mso-wrap-distance-top:14.2pt;mso-wrap-distance-right:14.2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" stroked="f">
                <v:fill opacity="0"/>
                <v:textbox style="mso-fit-shape-to-text:t">
                  <w:txbxContent>
                    <w:p w:rsidR="000667F8" w:rsidRDefault="0004009B">
                      <w:pPr>
                        <w:pStyle w:val="Adress"/>
                        <w:pBdr>
                          <w:top w:val="single" w:sz="4" w:space="1" w:color="000000"/>
                        </w:pBdr>
                        <w:rPr>
                          <w:lang w:val="en-GB"/>
                        </w:rPr>
                      </w:pPr>
                      <w:r>
                        <w:rPr>
                          <w:lang w:val="en-GB"/>
                        </w:rPr>
                        <w:t>[a]</w:t>
                      </w:r>
                      <w:r>
                        <w:rPr>
                          <w:lang w:val="en-GB"/>
                        </w:rPr>
                        <w:tab/>
                      </w:r>
                      <w:proofErr w:type="spellStart"/>
                      <w:r>
                        <w:rPr>
                          <w:lang w:val="en-GB"/>
                        </w:rPr>
                        <w:t>Dr.</w:t>
                      </w:r>
                      <w:proofErr w:type="spellEnd"/>
                      <w:r>
                        <w:rPr>
                          <w:lang w:val="en-GB"/>
                        </w:rPr>
                        <w:t xml:space="preserve"> </w:t>
                      </w:r>
                      <w:r>
                        <w:rPr>
                          <w:lang w:val="en-US"/>
                        </w:rPr>
                        <w:t>Marta Meazza, Dr. Ramon Rios</w:t>
                      </w:r>
                      <w:r>
                        <w:rPr>
                          <w:lang w:val="en-GB"/>
                        </w:rPr>
                        <w:br/>
                        <w:t>School of Chemistry, University of Southampton</w:t>
                      </w:r>
                      <w:r>
                        <w:rPr>
                          <w:highlight w:val="yellow"/>
                          <w:lang w:val="en-GB"/>
                        </w:rPr>
                        <w:br/>
                      </w:r>
                      <w:r>
                        <w:rPr>
                          <w:lang w:val="en-GB"/>
                        </w:rPr>
                        <w:t>Highfield Campus, SO17 1BJ, Southampton, UK</w:t>
                      </w:r>
                      <w:r>
                        <w:rPr>
                          <w:lang w:val="en-GB"/>
                        </w:rPr>
                        <w:br/>
                        <w:t>E-mail: m.meazza@soton.ac.uk</w:t>
                      </w:r>
                    </w:p>
                    <w:p w:rsidR="000667F8" w:rsidRDefault="0004009B">
                      <w:pPr>
                        <w:pStyle w:val="Footnote"/>
                      </w:pPr>
                      <w:r>
                        <w:tab/>
                        <w:t>Supporting information for this article is given via a link at the end of the document.</w:t>
                      </w:r>
                    </w:p>
                  </w:txbxContent>
                </v:textbox>
                <w10:wrap type="square" side="right" anchory="page"/>
                <w10:anchorlock/>
              </v:shape>
            </w:pict>
          </mc:Fallback>
        </mc:AlternateContent>
      </w:r>
      <w:r>
        <w:t>Marta Meazza</w:t>
      </w:r>
      <w:r>
        <w:rPr>
          <w:vertAlign w:val="superscript"/>
        </w:rPr>
        <w:t>[a]</w:t>
      </w:r>
      <w:r>
        <w:t>*, and Ramon Rios</w:t>
      </w:r>
      <w:r>
        <w:rPr>
          <w:vertAlign w:val="superscript"/>
        </w:rPr>
        <w:t>[a]</w:t>
      </w:r>
    </w:p>
    <w:p w:rsidR="000667F8" w:rsidRDefault="000667F8">
      <w:pPr>
        <w:pStyle w:val="Authors"/>
        <w:rPr>
          <w:vertAlign w:val="superscript"/>
        </w:rPr>
      </w:pPr>
    </w:p>
    <w:p w:rsidR="000667F8" w:rsidRDefault="000667F8">
      <w:pPr>
        <w:pStyle w:val="Authors"/>
        <w:sectPr w:rsidR="000667F8">
          <w:headerReference w:type="even" r:id="rId8"/>
          <w:headerReference w:type="default" r:id="rId9"/>
          <w:footerReference w:type="even" r:id="rId10"/>
          <w:footerReference w:type="default" r:id="rId11"/>
          <w:headerReference w:type="first" r:id="rId12"/>
          <w:footerReference w:type="first" r:id="rId13"/>
          <w:pgSz w:w="11906" w:h="16838"/>
          <w:pgMar w:top="1134" w:right="936" w:bottom="1134" w:left="936" w:header="1021" w:footer="0" w:gutter="0"/>
          <w:cols w:space="425"/>
          <w:docGrid w:linePitch="360"/>
        </w:sectPr>
      </w:pPr>
    </w:p>
    <w:p w:rsidR="000667F8" w:rsidRPr="00665516" w:rsidRDefault="0004009B" w:rsidP="00C95CA6">
      <w:pPr>
        <w:pStyle w:val="P1"/>
      </w:pPr>
      <w:r>
        <w:rPr>
          <w:b/>
        </w:rPr>
        <w:lastRenderedPageBreak/>
        <w:t>Abstract:</w:t>
      </w:r>
      <w:r>
        <w:t xml:space="preserve"> We report the first synthesis of 2-alkenylquinolines from 2-allylquinolines and </w:t>
      </w:r>
      <w:r>
        <w:rPr>
          <w:rFonts w:ascii="Symbol" w:hAnsi="Symbol"/>
        </w:rPr>
        <w:t></w:t>
      </w:r>
      <w:r>
        <w:rPr>
          <w:rFonts w:ascii="Symbol" w:hAnsi="Symbol"/>
        </w:rPr>
        <w:t></w:t>
      </w:r>
      <w:r>
        <w:rPr>
          <w:rFonts w:ascii="Symbol" w:hAnsi="Symbol"/>
        </w:rPr>
        <w:t></w:t>
      </w:r>
      <w:r>
        <w:t>-</w:t>
      </w:r>
      <w:r w:rsidRPr="001A38D7">
        <w:t>unsaturated aldehydes.</w:t>
      </w:r>
      <w:r w:rsidR="00C95CA6" w:rsidRPr="001A38D7">
        <w:t xml:space="preserve"> </w:t>
      </w:r>
      <w:r w:rsidR="00284843" w:rsidRPr="001A38D7">
        <w:t xml:space="preserve">The reaction </w:t>
      </w:r>
      <w:r w:rsidR="00C95CA6" w:rsidRPr="001A38D7">
        <w:t xml:space="preserve">proceeds in a highly </w:t>
      </w:r>
      <w:proofErr w:type="spellStart"/>
      <w:r w:rsidR="00C95CA6" w:rsidRPr="001A38D7">
        <w:t>regioselective</w:t>
      </w:r>
      <w:proofErr w:type="spellEnd"/>
      <w:r w:rsidR="00C95CA6" w:rsidRPr="001A38D7">
        <w:t xml:space="preserve"> and enantioselective way and </w:t>
      </w:r>
      <w:r w:rsidR="00284843" w:rsidRPr="001A38D7">
        <w:t xml:space="preserve">shows a broad tolerance of functionalities both in the aromatic ring of the </w:t>
      </w:r>
      <w:proofErr w:type="spellStart"/>
      <w:r w:rsidR="00284843" w:rsidRPr="001A38D7">
        <w:t>enal</w:t>
      </w:r>
      <w:proofErr w:type="spellEnd"/>
      <w:r w:rsidR="00284843" w:rsidRPr="001A38D7">
        <w:t xml:space="preserve"> and on </w:t>
      </w:r>
      <w:r w:rsidR="00284843" w:rsidRPr="00665516">
        <w:t xml:space="preserve">the </w:t>
      </w:r>
      <w:proofErr w:type="spellStart"/>
      <w:r w:rsidR="00284843" w:rsidRPr="00665516">
        <w:t>quinoline</w:t>
      </w:r>
      <w:proofErr w:type="spellEnd"/>
      <w:r w:rsidR="00C95CA6" w:rsidRPr="00665516">
        <w:t>.</w:t>
      </w:r>
      <w:r w:rsidR="00D15DD4" w:rsidRPr="00665516">
        <w:t xml:space="preserve"> </w:t>
      </w:r>
    </w:p>
    <w:p w:rsidR="000667F8" w:rsidRPr="00665516" w:rsidRDefault="0004009B">
      <w:pPr>
        <w:pStyle w:val="P1"/>
      </w:pPr>
      <w:r w:rsidRPr="00665516">
        <w:t>Nitrogen containing heterocycles are scaffold structures present in several natural products, agrochemicals and pharmacologically active compounds, from which arises t</w:t>
      </w:r>
      <w:r w:rsidR="002B7199" w:rsidRPr="00665516">
        <w:t>he need of developing</w:t>
      </w:r>
      <w:r w:rsidRPr="00665516">
        <w:t xml:space="preserve"> enantioselective synthesis and functionalization of these </w:t>
      </w:r>
      <w:proofErr w:type="gramStart"/>
      <w:r w:rsidRPr="00665516">
        <w:t>scaffolds.</w:t>
      </w:r>
      <w:r w:rsidRPr="00665516">
        <w:rPr>
          <w:vertAlign w:val="superscript"/>
        </w:rPr>
        <w:t>[</w:t>
      </w:r>
      <w:proofErr w:type="gramEnd"/>
      <w:r w:rsidRPr="00665516">
        <w:rPr>
          <w:vertAlign w:val="superscript"/>
        </w:rPr>
        <w:t>1]</w:t>
      </w:r>
      <w:r w:rsidRPr="00665516">
        <w:t xml:space="preserve"> </w:t>
      </w:r>
      <w:proofErr w:type="spellStart"/>
      <w:r w:rsidRPr="00665516">
        <w:t>Quinolines</w:t>
      </w:r>
      <w:proofErr w:type="spellEnd"/>
      <w:r w:rsidRPr="00665516">
        <w:t xml:space="preserve"> are chemically valuable compounds</w:t>
      </w:r>
      <w:r w:rsidR="003760C8" w:rsidRPr="00665516">
        <w:rPr>
          <w:vertAlign w:val="superscript"/>
        </w:rPr>
        <w:t>[2]</w:t>
      </w:r>
      <w:r w:rsidRPr="00665516">
        <w:t xml:space="preserve"> and, in particular, 2-alkenylquinolines are widely represented in natural products and successfully employed as pharmaceutical products by virtue of their therapeutic properties. To name but a few examples the alkaloid </w:t>
      </w:r>
      <w:proofErr w:type="spellStart"/>
      <w:r w:rsidRPr="00665516">
        <w:t>Chimanine</w:t>
      </w:r>
      <w:proofErr w:type="spellEnd"/>
      <w:r w:rsidRPr="00665516">
        <w:t xml:space="preserve"> B1 </w:t>
      </w:r>
      <w:r w:rsidRPr="00665516">
        <w:rPr>
          <w:b/>
        </w:rPr>
        <w:t>1</w:t>
      </w:r>
      <w:r w:rsidRPr="00665516">
        <w:t xml:space="preserve"> active against </w:t>
      </w:r>
      <w:proofErr w:type="spellStart"/>
      <w:r w:rsidRPr="00665516">
        <w:t>leishmaniasis</w:t>
      </w:r>
      <w:proofErr w:type="spellEnd"/>
      <w:r w:rsidRPr="00665516">
        <w:t xml:space="preserve"> and the blockbuster antiasthma drug </w:t>
      </w:r>
      <w:proofErr w:type="spellStart"/>
      <w:r w:rsidRPr="00665516">
        <w:t>Montelukast</w:t>
      </w:r>
      <w:proofErr w:type="spellEnd"/>
      <w:r w:rsidRPr="00665516">
        <w:t xml:space="preserve"> 2 </w:t>
      </w:r>
      <w:r w:rsidRPr="00665516">
        <w:rPr>
          <w:b/>
        </w:rPr>
        <w:t>2</w:t>
      </w:r>
      <w:r w:rsidRPr="00665516">
        <w:t xml:space="preserve"> (Figure 1).</w:t>
      </w:r>
    </w:p>
    <w:p w:rsidR="000667F8" w:rsidRPr="00665516" w:rsidRDefault="0004009B">
      <w:pPr>
        <w:spacing w:before="360"/>
        <w:jc w:val="center"/>
        <w:rPr>
          <w:rFonts w:ascii="Arial" w:hAnsi="Arial" w:cs="Arial"/>
          <w:color w:val="FF0000"/>
          <w:sz w:val="14"/>
          <w:szCs w:val="16"/>
          <w:lang w:val="en-GB"/>
        </w:rPr>
      </w:pPr>
      <w:r w:rsidRPr="00665516">
        <w:object w:dxaOrig="4328" w:dyaOrig="1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4pt;height:70.7pt" o:ole="">
            <v:imagedata r:id="rId14" o:title=""/>
          </v:shape>
          <o:OLEObject Type="Embed" ProgID="ChemDraw.Document.6.0" ShapeID="_x0000_i1025" DrawAspect="Content" ObjectID="_1674393483" r:id="rId15"/>
        </w:object>
      </w:r>
    </w:p>
    <w:p w:rsidR="000667F8" w:rsidRPr="00665516" w:rsidRDefault="00A52C1F">
      <w:pPr>
        <w:pStyle w:val="SchemeCaption"/>
      </w:pPr>
      <w:r w:rsidRPr="00665516">
        <w:rPr>
          <w:b/>
        </w:rPr>
        <w:t>Figure</w:t>
      </w:r>
      <w:r w:rsidR="0004009B" w:rsidRPr="00665516">
        <w:rPr>
          <w:b/>
        </w:rPr>
        <w:t xml:space="preserve"> 1.</w:t>
      </w:r>
      <w:r w:rsidR="00382690" w:rsidRPr="00665516">
        <w:t xml:space="preserve"> E</w:t>
      </w:r>
      <w:r w:rsidR="0004009B" w:rsidRPr="00665516">
        <w:t>xamples of biologically active 2-alkenylquinolines.</w:t>
      </w:r>
    </w:p>
    <w:p w:rsidR="000667F8" w:rsidRPr="00665516" w:rsidRDefault="00B01588" w:rsidP="00D3271B">
      <w:pPr>
        <w:pStyle w:val="P1"/>
      </w:pPr>
      <w:r w:rsidRPr="00665516">
        <w:t xml:space="preserve">In recent years several organocatalytic methodologies </w:t>
      </w:r>
      <w:r w:rsidR="0004009B" w:rsidRPr="00665516">
        <w:t xml:space="preserve">for the </w:t>
      </w:r>
      <w:r w:rsidR="0004009B" w:rsidRPr="00665516">
        <w:rPr>
          <w:rFonts w:ascii="Symbol" w:hAnsi="Symbol"/>
        </w:rPr>
        <w:t></w:t>
      </w:r>
      <w:r w:rsidR="0004009B" w:rsidRPr="00665516">
        <w:t>-functionalization of azaarenes</w:t>
      </w:r>
      <w:r w:rsidRPr="00665516">
        <w:t xml:space="preserve"> are reported</w:t>
      </w:r>
      <w:r w:rsidR="0011757B" w:rsidRPr="00665516">
        <w:t xml:space="preserve"> (Figure 2)</w:t>
      </w:r>
      <w:r w:rsidR="002E2401" w:rsidRPr="00665516">
        <w:t>.</w:t>
      </w:r>
      <w:r w:rsidR="00B64BF8" w:rsidRPr="00665516">
        <w:t xml:space="preserve"> </w:t>
      </w:r>
      <w:r w:rsidR="002E2401" w:rsidRPr="00665516">
        <w:t>They require</w:t>
      </w:r>
      <w:r w:rsidR="00B64BF8" w:rsidRPr="00665516">
        <w:t xml:space="preserve"> </w:t>
      </w:r>
      <w:r w:rsidR="002E2401" w:rsidRPr="00665516">
        <w:t>highly activated electron-deficient heteroaromatic rings</w:t>
      </w:r>
      <w:r w:rsidR="003760C8" w:rsidRPr="00665516">
        <w:rPr>
          <w:vertAlign w:val="superscript"/>
        </w:rPr>
        <w:t>[3]</w:t>
      </w:r>
      <w:r w:rsidR="003760C8" w:rsidRPr="00665516">
        <w:t xml:space="preserve"> </w:t>
      </w:r>
      <w:r w:rsidR="002E2401" w:rsidRPr="00665516">
        <w:t xml:space="preserve"> and in some recent cases the azaarene is activated by a metal Lewis acid.</w:t>
      </w:r>
      <w:r w:rsidR="00D3271B" w:rsidRPr="00665516">
        <w:rPr>
          <w:vertAlign w:val="superscript"/>
        </w:rPr>
        <w:t>[4]</w:t>
      </w:r>
      <w:r w:rsidR="002E2401" w:rsidRPr="00665516">
        <w:t xml:space="preserve"> </w:t>
      </w:r>
      <w:r w:rsidRPr="00665516">
        <w:t xml:space="preserve">Other papers </w:t>
      </w:r>
      <w:r w:rsidR="00D3271B" w:rsidRPr="00665516">
        <w:t>involve t</w:t>
      </w:r>
      <w:r w:rsidRPr="00665516">
        <w:t>he presence of an activating EWG</w:t>
      </w:r>
      <w:r w:rsidR="00D3271B" w:rsidRPr="00665516">
        <w:t xml:space="preserve"> on the alkyl chain such as Me</w:t>
      </w:r>
      <w:r w:rsidRPr="00665516">
        <w:t>lchiorre and co-workers disclosed</w:t>
      </w:r>
      <w:r w:rsidR="00D3271B" w:rsidRPr="00665516">
        <w:t xml:space="preserve"> the activation of 2- and 4-methylpyridines bearing a nitroaryl substituents</w:t>
      </w:r>
      <w:r w:rsidR="00266A61" w:rsidRPr="00665516">
        <w:rPr>
          <w:vertAlign w:val="superscript"/>
        </w:rPr>
        <w:t xml:space="preserve">[5] </w:t>
      </w:r>
      <w:r w:rsidR="00D3271B" w:rsidRPr="00665516">
        <w:t>and our previously reported</w:t>
      </w:r>
      <w:r w:rsidR="00FA1121" w:rsidRPr="00665516">
        <w:t xml:space="preserve"> Michael addition of </w:t>
      </w:r>
      <w:r w:rsidR="00D3271B" w:rsidRPr="00665516">
        <w:t xml:space="preserve">alkylpyridine derivatives bearing an EWG on the alkyl chain </w:t>
      </w:r>
      <w:r w:rsidRPr="00665516">
        <w:t>with</w:t>
      </w:r>
      <w:r w:rsidR="00D3271B" w:rsidRPr="00665516">
        <w:t xml:space="preserve"> enals.</w:t>
      </w:r>
      <w:r w:rsidR="00266A61" w:rsidRPr="00665516">
        <w:rPr>
          <w:vertAlign w:val="superscript"/>
        </w:rPr>
        <w:t>[6</w:t>
      </w:r>
      <w:r w:rsidR="00D3271B" w:rsidRPr="00665516">
        <w:rPr>
          <w:vertAlign w:val="superscript"/>
        </w:rPr>
        <w:t>]</w:t>
      </w:r>
      <w:r w:rsidR="00D3271B" w:rsidRPr="00665516">
        <w:t xml:space="preserve"> Moreover, we developed an </w:t>
      </w:r>
      <w:r w:rsidR="00FA1121" w:rsidRPr="00665516">
        <w:t>alkylbenzoxazoles</w:t>
      </w:r>
      <w:r w:rsidR="00D3271B" w:rsidRPr="00665516">
        <w:t xml:space="preserve"> Michael addition</w:t>
      </w:r>
      <w:r w:rsidR="00FA1121" w:rsidRPr="00665516">
        <w:t xml:space="preserve"> to electrophiles (MBH and enals) by synergistic catalysis.</w:t>
      </w:r>
      <w:r w:rsidR="00266A61" w:rsidRPr="00665516">
        <w:rPr>
          <w:vertAlign w:val="superscript"/>
        </w:rPr>
        <w:t>[7</w:t>
      </w:r>
      <w:r w:rsidR="003760C8" w:rsidRPr="00665516">
        <w:rPr>
          <w:vertAlign w:val="superscript"/>
        </w:rPr>
        <w:t>]</w:t>
      </w:r>
      <w:r w:rsidR="00FA1121" w:rsidRPr="00665516">
        <w:t xml:space="preserve"> J</w:t>
      </w:r>
      <w:r w:rsidR="003B2EB8" w:rsidRPr="00665516">
        <w:rPr>
          <w:rFonts w:cs="Arial"/>
        </w:rPr>
        <w:t>ø</w:t>
      </w:r>
      <w:r w:rsidR="002E2401" w:rsidRPr="00665516">
        <w:t xml:space="preserve">rgensen </w:t>
      </w:r>
      <w:r w:rsidR="00FA1121" w:rsidRPr="00665516">
        <w:t>group described</w:t>
      </w:r>
      <w:r w:rsidR="002E2401" w:rsidRPr="00665516">
        <w:t xml:space="preserve"> the </w:t>
      </w:r>
      <w:r w:rsidR="002E2401" w:rsidRPr="00665516">
        <w:rPr>
          <w:rFonts w:ascii="Symbol" w:hAnsi="Symbol"/>
        </w:rPr>
        <w:t></w:t>
      </w:r>
      <w:r w:rsidR="002E2401" w:rsidRPr="00665516">
        <w:t>-addition of methylquinolines to enals in a synergistic fashion</w:t>
      </w:r>
      <w:r w:rsidR="003B2EB8" w:rsidRPr="00665516">
        <w:t>,</w:t>
      </w:r>
      <w:r w:rsidR="002E2401" w:rsidRPr="00665516">
        <w:t xml:space="preserve"> combi</w:t>
      </w:r>
      <w:r w:rsidRPr="00665516">
        <w:t>ning a secondary amine catalysis and indium acetate catalysis</w:t>
      </w:r>
      <w:r w:rsidR="002E2401" w:rsidRPr="00665516">
        <w:t>.</w:t>
      </w:r>
      <w:r w:rsidR="00266A61" w:rsidRPr="00665516">
        <w:rPr>
          <w:vertAlign w:val="superscript"/>
        </w:rPr>
        <w:t>[8</w:t>
      </w:r>
      <w:r w:rsidR="001020D0" w:rsidRPr="00665516">
        <w:rPr>
          <w:vertAlign w:val="superscript"/>
        </w:rPr>
        <w:t>]</w:t>
      </w:r>
      <w:r w:rsidR="002E2401" w:rsidRPr="00665516">
        <w:t xml:space="preserve"> </w:t>
      </w:r>
      <w:r w:rsidR="00A52C1F" w:rsidRPr="00665516">
        <w:t xml:space="preserve">Based </w:t>
      </w:r>
      <w:r w:rsidR="00A52C1F" w:rsidRPr="00665516">
        <w:lastRenderedPageBreak/>
        <w:t>on those precedents we were</w:t>
      </w:r>
      <w:r w:rsidR="00BC30D3" w:rsidRPr="00665516">
        <w:t xml:space="preserve"> interested in the activation of the </w:t>
      </w:r>
      <w:r w:rsidR="00BC30D3" w:rsidRPr="00665516">
        <w:rPr>
          <w:rFonts w:ascii="Symbol" w:hAnsi="Symbol"/>
        </w:rPr>
        <w:t></w:t>
      </w:r>
      <w:r w:rsidR="00BC30D3" w:rsidRPr="00665516">
        <w:t xml:space="preserve">-position of alkyl-quinolines. Two different strategies have been done for the activation of the </w:t>
      </w:r>
      <w:r w:rsidR="00BC30D3" w:rsidRPr="00665516">
        <w:rPr>
          <w:rFonts w:ascii="Symbol" w:hAnsi="Symbol"/>
        </w:rPr>
        <w:t></w:t>
      </w:r>
      <w:r w:rsidR="00BC30D3" w:rsidRPr="00665516">
        <w:t xml:space="preserve">-position. The most common relies in the </w:t>
      </w:r>
      <w:r w:rsidR="00A52C1F" w:rsidRPr="00665516">
        <w:t>conversion</w:t>
      </w:r>
      <w:r w:rsidR="00BC30D3" w:rsidRPr="00665516">
        <w:t xml:space="preserve"> of the </w:t>
      </w:r>
      <w:r w:rsidR="00BC30D3" w:rsidRPr="00665516">
        <w:rPr>
          <w:rFonts w:ascii="Symbol" w:hAnsi="Symbol"/>
        </w:rPr>
        <w:t></w:t>
      </w:r>
      <w:r w:rsidR="00BC30D3" w:rsidRPr="00665516">
        <w:t xml:space="preserve">-position in an electrophile, a good example of this strategy is the formation of allyl palladium complex which could be attacked by a nucleophile to functionalize the </w:t>
      </w:r>
      <w:r w:rsidR="00BC30D3" w:rsidRPr="00665516">
        <w:rPr>
          <w:rFonts w:ascii="Symbol" w:hAnsi="Symbol"/>
        </w:rPr>
        <w:t></w:t>
      </w:r>
      <w:r w:rsidR="00A52C1F" w:rsidRPr="00665516">
        <w:t>-</w:t>
      </w:r>
      <w:r w:rsidR="00BC30D3" w:rsidRPr="00665516">
        <w:t>position. Another strategy could be the activation of the gamma position converting it in a nucleophile, through the formation of an allyl anion, this can be easil</w:t>
      </w:r>
      <w:r w:rsidR="00A52C1F" w:rsidRPr="00665516">
        <w:t>y done by a vinylogous strategy</w:t>
      </w:r>
      <w:r w:rsidR="00BC30D3" w:rsidRPr="00665516">
        <w:t>.</w:t>
      </w:r>
      <w:r w:rsidR="00112FE1" w:rsidRPr="00665516">
        <w:t xml:space="preserve"> </w:t>
      </w:r>
      <w:r w:rsidR="003B2EB8" w:rsidRPr="00665516">
        <w:t xml:space="preserve">The only </w:t>
      </w:r>
      <w:r w:rsidR="003B2EB8" w:rsidRPr="00665516">
        <w:rPr>
          <w:lang w:val="en-GB"/>
        </w:rPr>
        <w:t>example</w:t>
      </w:r>
      <w:r w:rsidR="003B2EB8" w:rsidRPr="00665516">
        <w:t xml:space="preserve"> of enantioselective </w:t>
      </w:r>
      <w:r w:rsidR="003B2EB8" w:rsidRPr="00665516">
        <w:rPr>
          <w:rFonts w:ascii="Symbol" w:hAnsi="Symbol"/>
        </w:rPr>
        <w:t></w:t>
      </w:r>
      <w:r w:rsidR="003B2EB8" w:rsidRPr="00665516">
        <w:t xml:space="preserve">-functionalization </w:t>
      </w:r>
      <w:r w:rsidR="003B2EB8" w:rsidRPr="00665516">
        <w:rPr>
          <w:lang w:val="en-GB"/>
        </w:rPr>
        <w:t xml:space="preserve">of alkyl-azaarenes </w:t>
      </w:r>
      <w:r w:rsidR="003B2EB8" w:rsidRPr="00665516">
        <w:t>is</w:t>
      </w:r>
      <w:r w:rsidR="003B2EB8" w:rsidRPr="00665516">
        <w:rPr>
          <w:lang w:val="en-GB"/>
        </w:rPr>
        <w:t xml:space="preserve"> the</w:t>
      </w:r>
      <w:r w:rsidR="003B2EB8" w:rsidRPr="00665516">
        <w:t xml:space="preserve"> aldol reaction reported by Jiang </w:t>
      </w:r>
      <w:r w:rsidR="00FA1121" w:rsidRPr="00665516">
        <w:rPr>
          <w:lang w:val="en-GB"/>
        </w:rPr>
        <w:t>that</w:t>
      </w:r>
      <w:r w:rsidR="003B2EB8" w:rsidRPr="00665516">
        <w:rPr>
          <w:lang w:val="en-GB"/>
        </w:rPr>
        <w:t xml:space="preserve"> requires hig</w:t>
      </w:r>
      <w:r w:rsidR="00A52C1F" w:rsidRPr="00665516">
        <w:rPr>
          <w:lang w:val="en-GB"/>
        </w:rPr>
        <w:t>h</w:t>
      </w:r>
      <w:r w:rsidR="003B2EB8" w:rsidRPr="00665516">
        <w:rPr>
          <w:lang w:val="en-GB"/>
        </w:rPr>
        <w:t>ly reactive carbonyl electrophiles activated by strong EWG.</w:t>
      </w:r>
      <w:r w:rsidR="001020D0" w:rsidRPr="00665516">
        <w:rPr>
          <w:vertAlign w:val="superscript"/>
        </w:rPr>
        <w:t>[</w:t>
      </w:r>
      <w:r w:rsidR="00266A61" w:rsidRPr="00665516">
        <w:rPr>
          <w:vertAlign w:val="superscript"/>
        </w:rPr>
        <w:t>9</w:t>
      </w:r>
      <w:r w:rsidR="001020D0" w:rsidRPr="00665516">
        <w:rPr>
          <w:vertAlign w:val="superscript"/>
        </w:rPr>
        <w:t>]</w:t>
      </w:r>
    </w:p>
    <w:p w:rsidR="000667F8" w:rsidRPr="00665516" w:rsidRDefault="0004009B">
      <w:pPr>
        <w:spacing w:before="360"/>
        <w:rPr>
          <w:rFonts w:ascii="Arial" w:hAnsi="Arial" w:cs="Arial"/>
          <w:color w:val="FF0000"/>
          <w:sz w:val="14"/>
          <w:szCs w:val="16"/>
          <w:lang w:val="en-GB"/>
        </w:rPr>
      </w:pPr>
      <w:r w:rsidRPr="00665516">
        <w:object w:dxaOrig="4890" w:dyaOrig="3782">
          <v:shape id="_x0000_i1026" type="#_x0000_t75" style="width:244.75pt;height:188.9pt" o:ole="">
            <v:imagedata r:id="rId16" o:title=""/>
          </v:shape>
          <o:OLEObject Type="Embed" ProgID="ChemDraw.Document.6.0" ShapeID="_x0000_i1026" DrawAspect="Content" ObjectID="_1674393484" r:id="rId17"/>
        </w:object>
      </w:r>
    </w:p>
    <w:p w:rsidR="000667F8" w:rsidRPr="00665516" w:rsidRDefault="0004009B">
      <w:pPr>
        <w:pStyle w:val="SchemeCaption"/>
      </w:pPr>
      <w:r w:rsidRPr="00665516">
        <w:rPr>
          <w:b/>
        </w:rPr>
        <w:t>Figure 2.</w:t>
      </w:r>
      <w:r w:rsidRPr="00665516">
        <w:t xml:space="preserve"> Previous works and this work.</w:t>
      </w:r>
    </w:p>
    <w:p w:rsidR="000667F8" w:rsidRPr="00665516" w:rsidRDefault="0004009B">
      <w:pPr>
        <w:pStyle w:val="P1"/>
        <w:rPr>
          <w:lang w:val="en-GB"/>
        </w:rPr>
      </w:pPr>
      <w:r w:rsidRPr="00665516">
        <w:t xml:space="preserve">Interested in the regio- and enantioselective </w:t>
      </w:r>
      <w:r w:rsidRPr="00665516">
        <w:rPr>
          <w:rFonts w:ascii="Symbol" w:hAnsi="Symbol"/>
        </w:rPr>
        <w:t></w:t>
      </w:r>
      <w:r w:rsidRPr="00665516">
        <w:t xml:space="preserve">-functionalization of alkyl-azaarenes, we envisioned that allylquinolines could act as pronucleophiles, after treatment with a base, and promote the addition to an electrophile in the </w:t>
      </w:r>
      <w:r w:rsidRPr="00665516">
        <w:rPr>
          <w:rFonts w:ascii="Symbol" w:hAnsi="Symbol"/>
        </w:rPr>
        <w:t></w:t>
      </w:r>
      <w:r w:rsidRPr="00665516">
        <w:t xml:space="preserve">-position. Therefore, we started to study the reaction between 2-allylquinoline and 4-nitrocinnamaldehyde. As with the </w:t>
      </w:r>
      <w:r w:rsidRPr="00665516">
        <w:rPr>
          <w:rFonts w:cs="Arial"/>
        </w:rPr>
        <w:t>α</w:t>
      </w:r>
      <w:r w:rsidRPr="00665516">
        <w:t>-addition a synergistic activation with a metal Lewis acid was needed, we started testing the reaction with the diphenylprolinol catalyst to activate the enal and In(OAc)</w:t>
      </w:r>
      <w:r w:rsidRPr="00665516">
        <w:rPr>
          <w:vertAlign w:val="subscript"/>
        </w:rPr>
        <w:t>3</w:t>
      </w:r>
      <w:r w:rsidRPr="00665516">
        <w:t xml:space="preserve"> to activate the quinoline and, to our delight, the final product 5a was obtained with 93% yield and full conversion. When Pd(OAc)</w:t>
      </w:r>
      <w:r w:rsidRPr="00665516">
        <w:rPr>
          <w:vertAlign w:val="subscript"/>
        </w:rPr>
        <w:t>2</w:t>
      </w:r>
      <w:r w:rsidRPr="00665516">
        <w:t xml:space="preserve"> was used as Lewis acid, the regioisomer of the starting allylquinoline was obtained, </w:t>
      </w:r>
      <w:r w:rsidRPr="00665516">
        <w:rPr>
          <w:lang w:val="en-GB"/>
        </w:rPr>
        <w:t xml:space="preserve">due to the </w:t>
      </w:r>
      <w:r w:rsidRPr="00665516">
        <w:rPr>
          <w:rFonts w:ascii="Symbol" w:hAnsi="Symbol"/>
          <w:lang w:val="en-GB"/>
        </w:rPr>
        <w:t></w:t>
      </w:r>
      <w:r w:rsidRPr="00665516">
        <w:rPr>
          <w:lang w:val="en-GB"/>
        </w:rPr>
        <w:t xml:space="preserve">-hydride elimination by the palladium adduct. When the reaction was tested without the </w:t>
      </w:r>
      <w:r w:rsidRPr="00665516">
        <w:rPr>
          <w:lang w:val="en-GB"/>
        </w:rPr>
        <w:lastRenderedPageBreak/>
        <w:t>presence of any metal, we discovered that it is not necessary for the activation of the nuc</w:t>
      </w:r>
      <w:r w:rsidR="003004D5" w:rsidRPr="00665516">
        <w:rPr>
          <w:lang w:val="en-GB"/>
        </w:rPr>
        <w:t>leophile, but was only slightly</w:t>
      </w:r>
      <w:r w:rsidRPr="00665516">
        <w:rPr>
          <w:lang w:val="en-GB"/>
        </w:rPr>
        <w:t xml:space="preserve"> </w:t>
      </w:r>
      <w:r w:rsidR="003B12FF" w:rsidRPr="00665516">
        <w:rPr>
          <w:lang w:val="en-GB"/>
        </w:rPr>
        <w:t>increasing</w:t>
      </w:r>
      <w:r w:rsidRPr="00665516">
        <w:rPr>
          <w:lang w:val="en-GB"/>
        </w:rPr>
        <w:t xml:space="preserve"> the rate of the reaction, while the presence of the base was necessary for the activation. Therefore, after optimization, the best reaction conditions were found to be: 2-allylquinoline </w:t>
      </w:r>
      <w:r w:rsidRPr="00665516">
        <w:rPr>
          <w:b/>
          <w:lang w:val="en-GB"/>
        </w:rPr>
        <w:t>3</w:t>
      </w:r>
      <w:r w:rsidRPr="00665516">
        <w:rPr>
          <w:lang w:val="en-GB"/>
        </w:rPr>
        <w:t xml:space="preserve"> (2 equiv), </w:t>
      </w:r>
      <w:r w:rsidRPr="00665516">
        <w:rPr>
          <w:rFonts w:ascii="Symbol" w:hAnsi="Symbol"/>
          <w:lang w:val="en-GB"/>
        </w:rPr>
        <w:t></w:t>
      </w:r>
      <w:r w:rsidRPr="00665516">
        <w:rPr>
          <w:lang w:val="en-GB"/>
        </w:rPr>
        <w:t>,</w:t>
      </w:r>
      <w:r w:rsidRPr="00665516">
        <w:rPr>
          <w:rFonts w:ascii="Symbol" w:hAnsi="Symbol"/>
          <w:lang w:val="en-GB"/>
        </w:rPr>
        <w:t></w:t>
      </w:r>
      <w:r w:rsidRPr="00665516">
        <w:rPr>
          <w:lang w:val="en-GB"/>
        </w:rPr>
        <w:t xml:space="preserve">-unsaturated aldehyde </w:t>
      </w:r>
      <w:r w:rsidRPr="00665516">
        <w:rPr>
          <w:b/>
          <w:lang w:val="en-GB"/>
        </w:rPr>
        <w:t>4</w:t>
      </w:r>
      <w:r w:rsidRPr="00665516">
        <w:rPr>
          <w:lang w:val="en-GB"/>
        </w:rPr>
        <w:t xml:space="preserve"> (1 equiv), TMS-protected diphenyl prolinol </w:t>
      </w:r>
      <w:r w:rsidRPr="00665516">
        <w:rPr>
          <w:b/>
          <w:lang w:val="en-GB"/>
        </w:rPr>
        <w:t>6</w:t>
      </w:r>
      <w:r w:rsidRPr="00665516">
        <w:rPr>
          <w:lang w:val="en-GB"/>
        </w:rPr>
        <w:t xml:space="preserve"> as chiral organocatalyst, 2,6-lutidine (1 equiv) as the base in dichloroethane (DCE) at 50 °C. With these optimized reaction conditions (Scheme 1), the product </w:t>
      </w:r>
      <w:r w:rsidRPr="00665516">
        <w:rPr>
          <w:b/>
          <w:lang w:val="en-GB"/>
        </w:rPr>
        <w:t>5a</w:t>
      </w:r>
      <w:r w:rsidRPr="00665516">
        <w:rPr>
          <w:lang w:val="en-GB"/>
        </w:rPr>
        <w:t xml:space="preserve">, derived from 4-nitrocinnamaldehyde (EWG), was obtained in quantitative yields with 96% enantioselectivity (ee). We then explored the scope of the reaction regarding the substituents in the aromatic ring of the enal. With EDG on the aromatic ring of the enal, the reaction gave quantitative yields in the case of </w:t>
      </w:r>
      <w:r w:rsidRPr="00665516">
        <w:rPr>
          <w:i/>
          <w:iCs/>
          <w:lang w:val="en-GB"/>
        </w:rPr>
        <w:t>p</w:t>
      </w:r>
      <w:r w:rsidRPr="00665516">
        <w:rPr>
          <w:lang w:val="en-GB"/>
        </w:rPr>
        <w:t xml:space="preserve">-methoxy substituent </w:t>
      </w:r>
      <w:r w:rsidRPr="00665516">
        <w:rPr>
          <w:b/>
          <w:lang w:val="en-GB"/>
        </w:rPr>
        <w:t>5b</w:t>
      </w:r>
      <w:r w:rsidRPr="00665516">
        <w:rPr>
          <w:lang w:val="en-GB"/>
        </w:rPr>
        <w:t xml:space="preserve"> and 62% and 61% yield with </w:t>
      </w:r>
      <w:r w:rsidRPr="00665516">
        <w:rPr>
          <w:i/>
          <w:iCs/>
          <w:lang w:val="en-GB"/>
        </w:rPr>
        <w:t>p-</w:t>
      </w:r>
      <w:r w:rsidRPr="00665516">
        <w:rPr>
          <w:lang w:val="en-GB"/>
        </w:rPr>
        <w:t xml:space="preserve">methyl </w:t>
      </w:r>
      <w:r w:rsidRPr="00665516">
        <w:rPr>
          <w:b/>
          <w:lang w:val="en-GB"/>
        </w:rPr>
        <w:t>5c</w:t>
      </w:r>
      <w:r w:rsidRPr="00665516">
        <w:rPr>
          <w:lang w:val="en-GB"/>
        </w:rPr>
        <w:t xml:space="preserve"> and </w:t>
      </w:r>
      <w:r w:rsidRPr="00665516">
        <w:rPr>
          <w:i/>
          <w:iCs/>
          <w:lang w:val="en-GB"/>
        </w:rPr>
        <w:t>p-</w:t>
      </w:r>
      <w:r w:rsidRPr="00665516">
        <w:rPr>
          <w:lang w:val="en-GB"/>
        </w:rPr>
        <w:t xml:space="preserve">dimethylamino substituent </w:t>
      </w:r>
      <w:r w:rsidRPr="00665516">
        <w:rPr>
          <w:b/>
          <w:lang w:val="en-GB"/>
        </w:rPr>
        <w:t>5d</w:t>
      </w:r>
      <w:r w:rsidRPr="00665516">
        <w:rPr>
          <w:lang w:val="en-GB"/>
        </w:rPr>
        <w:t xml:space="preserve">, and in all cases excellent ee were observed. When cinnamaldehyde and halogens in para position of the enal were used, the final products </w:t>
      </w:r>
      <w:r w:rsidRPr="00665516">
        <w:rPr>
          <w:b/>
          <w:lang w:val="en-GB"/>
        </w:rPr>
        <w:t>5e-h</w:t>
      </w:r>
      <w:r w:rsidRPr="00665516">
        <w:rPr>
          <w:lang w:val="en-GB"/>
        </w:rPr>
        <w:t xml:space="preserve"> were obtained with yields ranging from 54% to 67% and excellent enanti</w:t>
      </w:r>
      <w:r w:rsidR="003004D5" w:rsidRPr="00665516">
        <w:rPr>
          <w:lang w:val="en-GB"/>
        </w:rPr>
        <w:t>oselectivities (95-99%), while</w:t>
      </w:r>
      <w:r w:rsidRPr="00665516">
        <w:rPr>
          <w:lang w:val="en-GB"/>
        </w:rPr>
        <w:t xml:space="preserve">, with a bulky Br in the </w:t>
      </w:r>
      <w:r w:rsidRPr="00665516">
        <w:rPr>
          <w:i/>
          <w:lang w:val="en-GB"/>
        </w:rPr>
        <w:t>ortho-</w:t>
      </w:r>
      <w:r w:rsidRPr="00665516">
        <w:rPr>
          <w:lang w:val="en-GB"/>
        </w:rPr>
        <w:t xml:space="preserve">position, </w:t>
      </w:r>
      <w:r w:rsidRPr="00665516">
        <w:rPr>
          <w:b/>
          <w:bCs/>
          <w:lang w:val="en-GB"/>
        </w:rPr>
        <w:t>5j</w:t>
      </w:r>
      <w:r w:rsidRPr="00665516">
        <w:rPr>
          <w:lang w:val="en-GB"/>
        </w:rPr>
        <w:t xml:space="preserve"> was obtained in 71% yield and 99% ee. Quantitative yields and ee were observed when an EDG or EWG was present in the </w:t>
      </w:r>
      <w:r w:rsidRPr="00665516">
        <w:rPr>
          <w:i/>
          <w:lang w:val="en-GB"/>
        </w:rPr>
        <w:t>ortho-</w:t>
      </w:r>
      <w:r w:rsidRPr="00665516">
        <w:rPr>
          <w:lang w:val="en-GB"/>
        </w:rPr>
        <w:t xml:space="preserve"> position of the enal (</w:t>
      </w:r>
      <w:r w:rsidRPr="00665516">
        <w:rPr>
          <w:b/>
          <w:lang w:val="en-GB"/>
        </w:rPr>
        <w:t>5i,k</w:t>
      </w:r>
      <w:r w:rsidRPr="00665516">
        <w:rPr>
          <w:lang w:val="en-GB"/>
        </w:rPr>
        <w:t xml:space="preserve">). The reaction was successfully expanded to a heteroaromatic (2-furyl) substituted enal that gave </w:t>
      </w:r>
      <w:r w:rsidRPr="00665516">
        <w:rPr>
          <w:b/>
          <w:lang w:val="en-GB"/>
        </w:rPr>
        <w:t>5l</w:t>
      </w:r>
      <w:r w:rsidRPr="00665516">
        <w:rPr>
          <w:lang w:val="en-GB"/>
        </w:rPr>
        <w:t xml:space="preserve"> in 62% yield and 89% ee.</w:t>
      </w:r>
    </w:p>
    <w:p w:rsidR="000667F8" w:rsidRPr="00665516" w:rsidRDefault="0004009B">
      <w:pPr>
        <w:spacing w:before="360"/>
        <w:rPr>
          <w:rFonts w:ascii="Arial" w:hAnsi="Arial" w:cs="Arial"/>
          <w:color w:val="FF0000"/>
          <w:sz w:val="14"/>
          <w:szCs w:val="16"/>
          <w:lang w:val="en-GB"/>
        </w:rPr>
      </w:pPr>
      <w:r w:rsidRPr="00665516">
        <w:object w:dxaOrig="4932" w:dyaOrig="7439">
          <v:shape id="_x0000_i1027" type="#_x0000_t75" style="width:246.35pt;height:371.95pt" o:ole="">
            <v:imagedata r:id="rId18" o:title=""/>
          </v:shape>
          <o:OLEObject Type="Embed" ProgID="ChemDraw.Document.6.0" ShapeID="_x0000_i1027" DrawAspect="Content" ObjectID="_1674393485" r:id="rId19"/>
        </w:object>
      </w:r>
      <w:r w:rsidRPr="00665516">
        <w:rPr>
          <w:rFonts w:ascii="Arial" w:hAnsi="Arial" w:cs="Arial"/>
          <w:color w:val="FF0000"/>
          <w:sz w:val="14"/>
          <w:szCs w:val="16"/>
          <w:lang w:val="en-GB"/>
        </w:rPr>
        <w:t xml:space="preserve"> </w:t>
      </w:r>
    </w:p>
    <w:p w:rsidR="000667F8" w:rsidRPr="00665516" w:rsidRDefault="0004009B">
      <w:pPr>
        <w:pStyle w:val="SchemeCaption"/>
      </w:pPr>
      <w:r w:rsidRPr="00665516">
        <w:rPr>
          <w:b/>
        </w:rPr>
        <w:t>Scheme 1.</w:t>
      </w:r>
      <w:r w:rsidRPr="00665516">
        <w:t xml:space="preserve"> Scope of the reaction of 2-allylquinoline </w:t>
      </w:r>
      <w:r w:rsidRPr="00665516">
        <w:rPr>
          <w:b/>
          <w:bCs/>
        </w:rPr>
        <w:t>3a</w:t>
      </w:r>
      <w:r w:rsidRPr="00665516">
        <w:t xml:space="preserve"> with </w:t>
      </w:r>
      <w:r w:rsidRPr="00665516">
        <w:rPr>
          <w:rFonts w:ascii="Symbol" w:hAnsi="Symbol"/>
        </w:rPr>
        <w:t></w:t>
      </w:r>
      <w:r w:rsidRPr="00665516">
        <w:rPr>
          <w:rFonts w:ascii="Symbol" w:hAnsi="Symbol"/>
        </w:rPr>
        <w:t></w:t>
      </w:r>
      <w:r w:rsidRPr="00665516">
        <w:rPr>
          <w:rFonts w:ascii="Symbol" w:hAnsi="Symbol"/>
        </w:rPr>
        <w:t></w:t>
      </w:r>
      <w:r w:rsidRPr="00665516">
        <w:t xml:space="preserve">-unsaturated aldehydes </w:t>
      </w:r>
      <w:r w:rsidRPr="00665516">
        <w:rPr>
          <w:b/>
        </w:rPr>
        <w:t>4a</w:t>
      </w:r>
      <w:r w:rsidRPr="00665516">
        <w:t>-</w:t>
      </w:r>
      <w:r w:rsidRPr="00665516">
        <w:rPr>
          <w:b/>
        </w:rPr>
        <w:t>l</w:t>
      </w:r>
      <w:r w:rsidRPr="00665516">
        <w:t xml:space="preserve">. </w:t>
      </w:r>
      <w:r w:rsidRPr="00665516">
        <w:rPr>
          <w:lang w:val="en-US"/>
        </w:rPr>
        <w:t xml:space="preserve">The reactions were performed on a 0.1 mmol scale. The regioselectivity was determined by </w:t>
      </w:r>
      <w:r w:rsidRPr="00665516">
        <w:rPr>
          <w:vertAlign w:val="superscript"/>
          <w:lang w:val="en-US"/>
        </w:rPr>
        <w:t>1</w:t>
      </w:r>
      <w:r w:rsidRPr="00665516">
        <w:rPr>
          <w:lang w:val="en-US"/>
        </w:rPr>
        <w:t xml:space="preserve">H NMR analysis of the crude reaction mixture. The </w:t>
      </w:r>
      <w:r w:rsidRPr="00665516">
        <w:rPr>
          <w:i/>
          <w:lang w:val="en-US"/>
        </w:rPr>
        <w:t>ee</w:t>
      </w:r>
      <w:r w:rsidRPr="00665516">
        <w:rPr>
          <w:lang w:val="en-US"/>
        </w:rPr>
        <w:t xml:space="preserve"> was determined by chiral HPLC.</w:t>
      </w:r>
      <w:r w:rsidR="009A6973" w:rsidRPr="00665516">
        <w:rPr>
          <w:lang w:val="en-US"/>
        </w:rPr>
        <w:t xml:space="preserve"> The yields are of the isolate products.</w:t>
      </w:r>
    </w:p>
    <w:p w:rsidR="000667F8" w:rsidRPr="00665516" w:rsidRDefault="0004009B">
      <w:pPr>
        <w:pStyle w:val="P1"/>
      </w:pPr>
      <w:r w:rsidRPr="00665516">
        <w:t>Next, the reaction of 2-al</w:t>
      </w:r>
      <w:r w:rsidRPr="00665516">
        <w:rPr>
          <w:lang w:val="en-GB"/>
        </w:rPr>
        <w:t>l</w:t>
      </w:r>
      <w:r w:rsidRPr="00665516">
        <w:t xml:space="preserve">ylquinolines bearing different substituents has been studied (Scheme 2). We were pleased to find that the reaction proceeds with EDG and halogens in different positions, therefore making the reported reaction independent from the presence of an activating electron withdrawing group on the quinoline ring. Quinolines with a methoxy group in 6 position, gave the final products </w:t>
      </w:r>
      <w:r w:rsidRPr="00665516">
        <w:rPr>
          <w:b/>
        </w:rPr>
        <w:t>5m</w:t>
      </w:r>
      <w:r w:rsidRPr="00665516">
        <w:t xml:space="preserve"> and </w:t>
      </w:r>
      <w:r w:rsidRPr="00665516">
        <w:rPr>
          <w:b/>
        </w:rPr>
        <w:t>5n</w:t>
      </w:r>
      <w:r w:rsidR="003004D5" w:rsidRPr="00665516">
        <w:t xml:space="preserve"> in high yields</w:t>
      </w:r>
      <w:r w:rsidRPr="00665516">
        <w:t xml:space="preserve"> with full control of the enantioselectivity. </w:t>
      </w:r>
      <w:r w:rsidR="003004D5" w:rsidRPr="00665516">
        <w:t>A</w:t>
      </w:r>
      <w:r w:rsidRPr="00665516">
        <w:t xml:space="preserve"> halogen in 6 position gave the products </w:t>
      </w:r>
      <w:r w:rsidRPr="00665516">
        <w:rPr>
          <w:b/>
        </w:rPr>
        <w:t>5o</w:t>
      </w:r>
      <w:r w:rsidRPr="00665516">
        <w:t xml:space="preserve"> and </w:t>
      </w:r>
      <w:r w:rsidRPr="00665516">
        <w:rPr>
          <w:b/>
        </w:rPr>
        <w:t>5p</w:t>
      </w:r>
      <w:r w:rsidRPr="00665516">
        <w:t xml:space="preserve"> with</w:t>
      </w:r>
      <w:r w:rsidR="003004D5" w:rsidRPr="00665516">
        <w:t xml:space="preserve"> 60% and 70% yield respectively</w:t>
      </w:r>
      <w:r w:rsidRPr="00665516">
        <w:t xml:space="preserve"> with excellent ee. With</w:t>
      </w:r>
      <w:r w:rsidR="003004D5" w:rsidRPr="00665516">
        <w:t xml:space="preserve"> methyl in 6 position</w:t>
      </w:r>
      <w:r w:rsidRPr="00665516">
        <w:t xml:space="preserve"> the product </w:t>
      </w:r>
      <w:r w:rsidRPr="00665516">
        <w:rPr>
          <w:b/>
        </w:rPr>
        <w:t xml:space="preserve">5q </w:t>
      </w:r>
      <w:r w:rsidRPr="00665516">
        <w:t>was obtained with high yields and selectivities. This methyl substituted qui</w:t>
      </w:r>
      <w:r w:rsidR="003004D5" w:rsidRPr="00665516">
        <w:t>noline was also tested with two</w:t>
      </w:r>
      <w:r w:rsidRPr="00665516">
        <w:t xml:space="preserve"> </w:t>
      </w:r>
      <w:r w:rsidRPr="00665516">
        <w:rPr>
          <w:lang w:val="en-GB"/>
        </w:rPr>
        <w:t xml:space="preserve">other </w:t>
      </w:r>
      <w:r w:rsidRPr="00665516">
        <w:t>enals: with 3</w:t>
      </w:r>
      <w:r w:rsidRPr="00665516">
        <w:rPr>
          <w:lang w:val="en-GB"/>
        </w:rPr>
        <w:t>-</w:t>
      </w:r>
      <w:r w:rsidRPr="00665516">
        <w:t>Br substituted enals excellent yields and ee were maintained (</w:t>
      </w:r>
      <w:r w:rsidRPr="00665516">
        <w:rPr>
          <w:b/>
        </w:rPr>
        <w:t>5r</w:t>
      </w:r>
      <w:r w:rsidRPr="00665516">
        <w:t>), making th</w:t>
      </w:r>
      <w:r w:rsidR="003B12FF" w:rsidRPr="00665516">
        <w:t>e reaction robust irrespective</w:t>
      </w:r>
      <w:r w:rsidRPr="00665516">
        <w:t xml:space="preserve"> of the possible substitution in the different position of the enals, while with 4-CF</w:t>
      </w:r>
      <w:r w:rsidRPr="00665516">
        <w:rPr>
          <w:vertAlign w:val="subscript"/>
        </w:rPr>
        <w:t>3</w:t>
      </w:r>
      <w:r w:rsidR="003004D5" w:rsidRPr="00665516">
        <w:t>, lower yields</w:t>
      </w:r>
      <w:r w:rsidRPr="00665516">
        <w:t xml:space="preserve"> </w:t>
      </w:r>
      <w:r w:rsidRPr="00665516">
        <w:rPr>
          <w:lang w:val="en-GB"/>
        </w:rPr>
        <w:t>(</w:t>
      </w:r>
      <w:r w:rsidRPr="00665516">
        <w:t>62%</w:t>
      </w:r>
      <w:r w:rsidRPr="00665516">
        <w:rPr>
          <w:lang w:val="en-GB"/>
        </w:rPr>
        <w:t>)</w:t>
      </w:r>
      <w:r w:rsidRPr="00665516">
        <w:t xml:space="preserve"> were observed for </w:t>
      </w:r>
      <w:r w:rsidRPr="00665516">
        <w:rPr>
          <w:b/>
        </w:rPr>
        <w:lastRenderedPageBreak/>
        <w:t>5s</w:t>
      </w:r>
      <w:r w:rsidRPr="00665516">
        <w:t xml:space="preserve">, </w:t>
      </w:r>
      <w:r w:rsidRPr="00665516">
        <w:rPr>
          <w:lang w:val="en-GB"/>
        </w:rPr>
        <w:t xml:space="preserve">but </w:t>
      </w:r>
      <w:r w:rsidRPr="00665516">
        <w:t xml:space="preserve">still maintaining high ee. The products </w:t>
      </w:r>
      <w:r w:rsidRPr="00665516">
        <w:rPr>
          <w:b/>
        </w:rPr>
        <w:t>5t</w:t>
      </w:r>
      <w:r w:rsidRPr="00665516">
        <w:t>, with a methyl in 8 position</w:t>
      </w:r>
      <w:r w:rsidR="00FF1F92" w:rsidRPr="00665516">
        <w:t>,</w:t>
      </w:r>
      <w:r w:rsidRPr="00665516">
        <w:t xml:space="preserve"> and </w:t>
      </w:r>
      <w:r w:rsidRPr="00665516">
        <w:rPr>
          <w:b/>
        </w:rPr>
        <w:t>5u</w:t>
      </w:r>
      <w:r w:rsidRPr="00665516">
        <w:t>, with a methyl in 4 position</w:t>
      </w:r>
      <w:r w:rsidR="00545584" w:rsidRPr="00665516">
        <w:t>,</w:t>
      </w:r>
      <w:r w:rsidRPr="00665516">
        <w:t xml:space="preserve"> were isolated in high yields (72% and 83%</w:t>
      </w:r>
      <w:r w:rsidRPr="00665516">
        <w:rPr>
          <w:lang w:val="en-GB"/>
        </w:rPr>
        <w:t xml:space="preserve"> respectively</w:t>
      </w:r>
      <w:r w:rsidRPr="00665516">
        <w:t>) and</w:t>
      </w:r>
      <w:r w:rsidR="003004D5" w:rsidRPr="00665516">
        <w:t xml:space="preserve"> 98% ee. To</w:t>
      </w:r>
      <w:r w:rsidRPr="00665516">
        <w:t xml:space="preserve"> </w:t>
      </w:r>
      <w:r w:rsidR="00B76F14" w:rsidRPr="00665516">
        <w:rPr>
          <w:lang w:val="en-GB"/>
        </w:rPr>
        <w:t>make</w:t>
      </w:r>
      <w:r w:rsidRPr="00665516">
        <w:rPr>
          <w:lang w:val="en-GB"/>
        </w:rPr>
        <w:t xml:space="preserve"> </w:t>
      </w:r>
      <w:r w:rsidR="003004D5" w:rsidRPr="00665516">
        <w:t>the reaction</w:t>
      </w:r>
      <w:r w:rsidRPr="00665516">
        <w:t xml:space="preserve"> </w:t>
      </w:r>
      <w:r w:rsidRPr="00665516">
        <w:rPr>
          <w:lang w:val="en-GB"/>
        </w:rPr>
        <w:t xml:space="preserve">leading to </w:t>
      </w:r>
      <w:r w:rsidRPr="00665516">
        <w:t xml:space="preserve">product </w:t>
      </w:r>
      <w:r w:rsidRPr="00665516">
        <w:rPr>
          <w:b/>
        </w:rPr>
        <w:t>5t</w:t>
      </w:r>
      <w:r w:rsidR="00B76F14" w:rsidRPr="00665516">
        <w:rPr>
          <w:b/>
        </w:rPr>
        <w:t xml:space="preserve"> </w:t>
      </w:r>
      <w:r w:rsidR="00B76F14" w:rsidRPr="00665516">
        <w:t>possible</w:t>
      </w:r>
      <w:r w:rsidRPr="00665516">
        <w:t>, In(OAc)</w:t>
      </w:r>
      <w:r w:rsidRPr="00665516">
        <w:rPr>
          <w:vertAlign w:val="subscript"/>
        </w:rPr>
        <w:t>3</w:t>
      </w:r>
      <w:r w:rsidRPr="00665516">
        <w:rPr>
          <w:vertAlign w:val="subscript"/>
          <w:lang w:val="en-GB"/>
        </w:rPr>
        <w:t xml:space="preserve"> </w:t>
      </w:r>
      <w:r w:rsidRPr="00665516">
        <w:rPr>
          <w:lang w:val="en-GB"/>
        </w:rPr>
        <w:t>was added to the reaction mixture</w:t>
      </w:r>
      <w:r w:rsidRPr="00665516">
        <w:t xml:space="preserve"> </w:t>
      </w:r>
      <w:r w:rsidRPr="00665516">
        <w:rPr>
          <w:lang w:val="en-GB"/>
        </w:rPr>
        <w:t xml:space="preserve">with the scope of </w:t>
      </w:r>
      <w:r w:rsidRPr="00665516">
        <w:t xml:space="preserve">acting as metal Lewis acid to increase the acidity of the </w:t>
      </w:r>
      <w:r w:rsidRPr="00665516">
        <w:rPr>
          <w:rFonts w:ascii="Symbol" w:hAnsi="Symbol"/>
        </w:rPr>
        <w:t></w:t>
      </w:r>
      <w:r w:rsidRPr="00665516">
        <w:t>-carbon of the quinoline</w:t>
      </w:r>
      <w:r w:rsidR="00266A61" w:rsidRPr="00665516">
        <w:t>, working in a synergistic fashion with the secondary amine catalyst</w:t>
      </w:r>
      <w:r w:rsidRPr="00665516">
        <w:t>.</w:t>
      </w:r>
      <w:r w:rsidR="00266A61" w:rsidRPr="00665516">
        <w:rPr>
          <w:vertAlign w:val="superscript"/>
        </w:rPr>
        <w:t>[10]</w:t>
      </w:r>
      <w:r w:rsidRPr="00665516">
        <w:t xml:space="preserve"> </w:t>
      </w:r>
      <w:r w:rsidR="008A3607" w:rsidRPr="00665516">
        <w:t xml:space="preserve">It has to be noted that, in all the examples, the final products were obtained with a complete control of the </w:t>
      </w:r>
      <w:r w:rsidR="00B01588" w:rsidRPr="00665516">
        <w:t>stereochemistry of the double bond</w:t>
      </w:r>
      <w:r w:rsidR="008A3607" w:rsidRPr="00665516">
        <w:t xml:space="preserve">, being only the </w:t>
      </w:r>
      <w:r w:rsidR="008A3607" w:rsidRPr="00665516">
        <w:rPr>
          <w:i/>
        </w:rPr>
        <w:t>E</w:t>
      </w:r>
      <w:r w:rsidR="008A3607" w:rsidRPr="00665516">
        <w:t xml:space="preserve"> product observed by the NMR of the crude. </w:t>
      </w:r>
      <w:r w:rsidRPr="00665516">
        <w:t xml:space="preserve">The absolute configuration of product </w:t>
      </w:r>
      <w:r w:rsidRPr="00665516">
        <w:rPr>
          <w:b/>
        </w:rPr>
        <w:t>5o</w:t>
      </w:r>
      <w:r w:rsidR="00B76F14" w:rsidRPr="00665516">
        <w:t xml:space="preserve"> </w:t>
      </w:r>
      <w:r w:rsidR="00E3483E" w:rsidRPr="00665516">
        <w:t xml:space="preserve">(from the reaction with the </w:t>
      </w:r>
      <w:r w:rsidR="00E3483E" w:rsidRPr="00665516">
        <w:rPr>
          <w:i/>
        </w:rPr>
        <w:t>R</w:t>
      </w:r>
      <w:r w:rsidR="00E3483E" w:rsidRPr="00665516">
        <w:t xml:space="preserve">-enantiomer of the organocatalyst) </w:t>
      </w:r>
      <w:r w:rsidR="00B76F14" w:rsidRPr="00665516">
        <w:t>was assigned by X-r</w:t>
      </w:r>
      <w:r w:rsidRPr="00665516">
        <w:t>ay crystallography</w:t>
      </w:r>
      <w:r w:rsidR="00266A61" w:rsidRPr="00665516">
        <w:rPr>
          <w:vertAlign w:val="superscript"/>
          <w:lang w:val="en-GB"/>
        </w:rPr>
        <w:t>[11</w:t>
      </w:r>
      <w:r w:rsidRPr="00665516">
        <w:rPr>
          <w:vertAlign w:val="superscript"/>
          <w:lang w:val="en-GB"/>
        </w:rPr>
        <w:t>]</w:t>
      </w:r>
      <w:r w:rsidRPr="00665516">
        <w:t xml:space="preserve"> (see ESI) and the other structures were assigned by analogy.</w:t>
      </w:r>
      <w:r w:rsidR="008A3607" w:rsidRPr="00665516">
        <w:t xml:space="preserve"> </w:t>
      </w:r>
    </w:p>
    <w:p w:rsidR="000667F8" w:rsidRPr="00665516" w:rsidRDefault="00E3483E">
      <w:pPr>
        <w:spacing w:before="360"/>
        <w:rPr>
          <w:rFonts w:ascii="Arial" w:hAnsi="Arial" w:cs="Arial"/>
          <w:color w:val="FF0000"/>
          <w:sz w:val="14"/>
          <w:szCs w:val="16"/>
          <w:lang w:val="en-GB"/>
        </w:rPr>
      </w:pPr>
      <w:r w:rsidRPr="00665516">
        <w:object w:dxaOrig="9641" w:dyaOrig="13315">
          <v:shape id="_x0000_i1028" type="#_x0000_t75" style="width:244.9pt;height:338.2pt" o:ole="">
            <v:imagedata r:id="rId20" o:title=""/>
          </v:shape>
          <o:OLEObject Type="Embed" ProgID="ChemDraw.Document.6.0" ShapeID="_x0000_i1028" DrawAspect="Content" ObjectID="_1674393486" r:id="rId21"/>
        </w:object>
      </w:r>
      <w:r w:rsidR="0004009B" w:rsidRPr="00665516">
        <w:rPr>
          <w:rFonts w:ascii="Arial" w:hAnsi="Arial" w:cs="Arial"/>
          <w:color w:val="FF0000"/>
          <w:sz w:val="14"/>
          <w:szCs w:val="16"/>
          <w:lang w:val="en-GB"/>
        </w:rPr>
        <w:t xml:space="preserve"> </w:t>
      </w:r>
    </w:p>
    <w:p w:rsidR="000667F8" w:rsidRPr="00665516" w:rsidRDefault="0004009B">
      <w:pPr>
        <w:pStyle w:val="SchemeCaption"/>
      </w:pPr>
      <w:r w:rsidRPr="00665516">
        <w:rPr>
          <w:b/>
        </w:rPr>
        <w:t>Scheme 2.</w:t>
      </w:r>
      <w:r w:rsidRPr="00665516">
        <w:t xml:space="preserve"> Scope of the reaction of 2-allylquinoline </w:t>
      </w:r>
      <w:r w:rsidRPr="00665516">
        <w:rPr>
          <w:b/>
          <w:bCs/>
        </w:rPr>
        <w:t>3b-f</w:t>
      </w:r>
      <w:r w:rsidRPr="00665516">
        <w:t xml:space="preserve"> with </w:t>
      </w:r>
      <w:r w:rsidRPr="00665516">
        <w:rPr>
          <w:rFonts w:ascii="Symbol" w:hAnsi="Symbol"/>
        </w:rPr>
        <w:t></w:t>
      </w:r>
      <w:r w:rsidRPr="00665516">
        <w:rPr>
          <w:rFonts w:ascii="Symbol" w:hAnsi="Symbol"/>
        </w:rPr>
        <w:t></w:t>
      </w:r>
      <w:r w:rsidRPr="00665516">
        <w:rPr>
          <w:rFonts w:ascii="Symbol" w:hAnsi="Symbol"/>
        </w:rPr>
        <w:t></w:t>
      </w:r>
      <w:r w:rsidRPr="00665516">
        <w:t xml:space="preserve">-unsaturated aldehydes </w:t>
      </w:r>
      <w:r w:rsidRPr="00665516">
        <w:rPr>
          <w:b/>
        </w:rPr>
        <w:t>4a,b,m,n</w:t>
      </w:r>
      <w:r w:rsidRPr="00665516">
        <w:t xml:space="preserve">. </w:t>
      </w:r>
      <w:r w:rsidRPr="00665516">
        <w:rPr>
          <w:lang w:val="en-US"/>
        </w:rPr>
        <w:t xml:space="preserve">The reactions were performed on a 0.1 mmol scale. </w:t>
      </w:r>
      <w:r w:rsidR="007535AA" w:rsidRPr="00665516">
        <w:rPr>
          <w:lang w:val="en-US"/>
        </w:rPr>
        <w:t xml:space="preserve">For entry </w:t>
      </w:r>
      <w:r w:rsidR="007535AA" w:rsidRPr="00665516">
        <w:rPr>
          <w:b/>
          <w:bCs/>
          <w:lang w:val="en-US"/>
        </w:rPr>
        <w:t>5t</w:t>
      </w:r>
      <w:r w:rsidR="007535AA" w:rsidRPr="00665516">
        <w:rPr>
          <w:lang w:val="en-US"/>
        </w:rPr>
        <w:t xml:space="preserve"> In(OAc)</w:t>
      </w:r>
      <w:r w:rsidR="007535AA" w:rsidRPr="00665516">
        <w:rPr>
          <w:vertAlign w:val="subscript"/>
          <w:lang w:val="en-US"/>
        </w:rPr>
        <w:t>3</w:t>
      </w:r>
      <w:r w:rsidR="007535AA" w:rsidRPr="00665516">
        <w:rPr>
          <w:lang w:val="en-US"/>
        </w:rPr>
        <w:t xml:space="preserve"> was added. </w:t>
      </w:r>
      <w:r w:rsidRPr="00665516">
        <w:rPr>
          <w:lang w:val="en-US"/>
        </w:rPr>
        <w:t xml:space="preserve">The regioselectivity was determined by </w:t>
      </w:r>
      <w:r w:rsidRPr="00665516">
        <w:rPr>
          <w:vertAlign w:val="superscript"/>
          <w:lang w:val="en-US"/>
        </w:rPr>
        <w:t>1</w:t>
      </w:r>
      <w:r w:rsidRPr="00665516">
        <w:rPr>
          <w:lang w:val="en-US"/>
        </w:rPr>
        <w:t xml:space="preserve">H NMR analysis of the crude reaction mixture. The </w:t>
      </w:r>
      <w:r w:rsidRPr="00665516">
        <w:rPr>
          <w:i/>
          <w:lang w:val="en-US"/>
        </w:rPr>
        <w:t>ee</w:t>
      </w:r>
      <w:r w:rsidRPr="00665516">
        <w:rPr>
          <w:lang w:val="en-US"/>
        </w:rPr>
        <w:t xml:space="preserve"> was determined by chiral HPLC</w:t>
      </w:r>
      <w:r w:rsidRPr="00665516">
        <w:t>.</w:t>
      </w:r>
      <w:r w:rsidR="009A6973" w:rsidRPr="00665516">
        <w:t xml:space="preserve"> </w:t>
      </w:r>
      <w:r w:rsidR="009A6973" w:rsidRPr="00665516">
        <w:rPr>
          <w:lang w:val="en-US"/>
        </w:rPr>
        <w:t>The yields are of the isolate products.</w:t>
      </w:r>
    </w:p>
    <w:p w:rsidR="000667F8" w:rsidRPr="00665516" w:rsidRDefault="0004009B">
      <w:pPr>
        <w:pStyle w:val="P1"/>
      </w:pPr>
      <w:r w:rsidRPr="00665516">
        <w:t xml:space="preserve">In Scheme 3 is reported the proposed reaction mechanism. The </w:t>
      </w:r>
      <w:r w:rsidRPr="00665516">
        <w:rPr>
          <w:rFonts w:ascii="Symbol" w:hAnsi="Symbol"/>
        </w:rPr>
        <w:t></w:t>
      </w:r>
      <w:r w:rsidRPr="00665516">
        <w:t xml:space="preserve">-position of the 2-allylquinoline </w:t>
      </w:r>
      <w:r w:rsidRPr="00665516">
        <w:rPr>
          <w:b/>
        </w:rPr>
        <w:t>3</w:t>
      </w:r>
      <w:r w:rsidRPr="00665516">
        <w:t xml:space="preserve"> is deprotonated by an organic </w:t>
      </w:r>
      <w:r w:rsidRPr="00665516">
        <w:lastRenderedPageBreak/>
        <w:t xml:space="preserve">base with the formation of the vinylogous intermediate </w:t>
      </w:r>
      <w:r w:rsidRPr="00665516">
        <w:rPr>
          <w:b/>
        </w:rPr>
        <w:t>I</w:t>
      </w:r>
      <w:r w:rsidRPr="00665516">
        <w:t xml:space="preserve">. At the same time the secondary amine organocatalyst </w:t>
      </w:r>
      <w:r w:rsidRPr="00665516">
        <w:rPr>
          <w:b/>
        </w:rPr>
        <w:t>6</w:t>
      </w:r>
      <w:r w:rsidRPr="00665516">
        <w:t xml:space="preserve"> reacts with the enal </w:t>
      </w:r>
      <w:r w:rsidRPr="00665516">
        <w:rPr>
          <w:b/>
        </w:rPr>
        <w:t>4</w:t>
      </w:r>
      <w:r w:rsidRPr="00665516">
        <w:t xml:space="preserve">, forming the iminium intermediate </w:t>
      </w:r>
      <w:r w:rsidRPr="00665516">
        <w:rPr>
          <w:b/>
        </w:rPr>
        <w:t>II</w:t>
      </w:r>
      <w:r w:rsidRPr="00665516">
        <w:t xml:space="preserve">. The nucleophilic intermediate </w:t>
      </w:r>
      <w:r w:rsidRPr="00665516">
        <w:rPr>
          <w:b/>
        </w:rPr>
        <w:t>I</w:t>
      </w:r>
      <w:r w:rsidRPr="00665516">
        <w:t xml:space="preserve"> attacks the electrophilic </w:t>
      </w:r>
      <w:r w:rsidRPr="00665516">
        <w:rPr>
          <w:rFonts w:ascii="Symbol" w:hAnsi="Symbol"/>
        </w:rPr>
        <w:t></w:t>
      </w:r>
      <w:r w:rsidRPr="00665516">
        <w:t xml:space="preserve">-position of the intermediate II, with the formation of the Michael addition intermediate III. Then the catalyst </w:t>
      </w:r>
      <w:r w:rsidRPr="00665516">
        <w:rPr>
          <w:b/>
        </w:rPr>
        <w:t>6</w:t>
      </w:r>
      <w:r w:rsidRPr="00665516">
        <w:t xml:space="preserve"> reenters in the catalytic cycle, releasing the final product </w:t>
      </w:r>
      <w:r w:rsidRPr="00665516">
        <w:rPr>
          <w:b/>
        </w:rPr>
        <w:t>5</w:t>
      </w:r>
      <w:r w:rsidRPr="00665516">
        <w:t>. The bulky group of the organocatalyst efficiently shields one face of the iminium ion intermediate, therefore the nucleophilic attack happens on the opposite face, rendering the excellent enantioselectivities observed in this reaction.</w:t>
      </w:r>
    </w:p>
    <w:p w:rsidR="000667F8" w:rsidRPr="00665516" w:rsidRDefault="0004009B">
      <w:pPr>
        <w:spacing w:before="360"/>
        <w:rPr>
          <w:rFonts w:ascii="Arial" w:hAnsi="Arial" w:cs="Arial"/>
          <w:color w:val="FF0000"/>
          <w:sz w:val="14"/>
          <w:szCs w:val="16"/>
          <w:lang w:val="en-GB"/>
        </w:rPr>
      </w:pPr>
      <w:r w:rsidRPr="00665516">
        <w:rPr>
          <w:rFonts w:ascii="Arial" w:hAnsi="Arial" w:cs="Arial"/>
          <w:sz w:val="14"/>
          <w:szCs w:val="16"/>
          <w:lang w:val="en-GB"/>
        </w:rPr>
        <w:object w:dxaOrig="4894" w:dyaOrig="2715">
          <v:shape id="_x0000_i1029" type="#_x0000_t75" style="width:244.5pt;height:135.75pt" o:ole="">
            <v:imagedata r:id="rId22" o:title=""/>
          </v:shape>
          <o:OLEObject Type="Embed" ProgID="ChemDraw.Document.6.0" ShapeID="_x0000_i1029" DrawAspect="Content" ObjectID="_1674393487" r:id="rId23"/>
        </w:object>
      </w:r>
      <w:r w:rsidRPr="00665516">
        <w:rPr>
          <w:rFonts w:ascii="Arial" w:hAnsi="Arial" w:cs="Arial"/>
          <w:color w:val="FF0000"/>
          <w:sz w:val="14"/>
          <w:szCs w:val="16"/>
          <w:lang w:val="en-GB"/>
        </w:rPr>
        <w:t xml:space="preserve"> </w:t>
      </w:r>
    </w:p>
    <w:p w:rsidR="000667F8" w:rsidRPr="00665516" w:rsidRDefault="0004009B">
      <w:pPr>
        <w:pStyle w:val="SchemeCaption"/>
      </w:pPr>
      <w:r w:rsidRPr="00665516">
        <w:rPr>
          <w:b/>
        </w:rPr>
        <w:t>Scheme 3.</w:t>
      </w:r>
      <w:r w:rsidRPr="00665516">
        <w:t xml:space="preserve"> Proposed reaction mechanism.</w:t>
      </w:r>
    </w:p>
    <w:p w:rsidR="000667F8" w:rsidRPr="00665516" w:rsidRDefault="0004009B">
      <w:pPr>
        <w:pStyle w:val="P1"/>
      </w:pPr>
      <w:r w:rsidRPr="00665516">
        <w:t xml:space="preserve">A control experiment was run to prove the need of the allylic starting material </w:t>
      </w:r>
      <w:r w:rsidRPr="00665516">
        <w:rPr>
          <w:b/>
        </w:rPr>
        <w:t>3</w:t>
      </w:r>
      <w:r w:rsidR="00B01588" w:rsidRPr="00665516">
        <w:t xml:space="preserve"> and </w:t>
      </w:r>
      <w:r w:rsidRPr="00665516">
        <w:t xml:space="preserve">the formation of the intermediate I, as shown in Scheme 4. </w:t>
      </w:r>
      <w:r w:rsidRPr="00665516">
        <w:rPr>
          <w:lang w:val="en-GB"/>
        </w:rPr>
        <w:t>When</w:t>
      </w:r>
      <w:r w:rsidRPr="00665516">
        <w:t xml:space="preserve"> 2-alkenyl quinoline </w:t>
      </w:r>
      <w:r w:rsidRPr="00665516">
        <w:rPr>
          <w:b/>
        </w:rPr>
        <w:t>7</w:t>
      </w:r>
      <w:r w:rsidR="003004D5" w:rsidRPr="00665516">
        <w:t xml:space="preserve"> was</w:t>
      </w:r>
      <w:r w:rsidRPr="00665516">
        <w:t xml:space="preserve"> tested in the optimized reaction conditions, no conversion was observed in the </w:t>
      </w:r>
      <w:r w:rsidRPr="00665516">
        <w:rPr>
          <w:vertAlign w:val="superscript"/>
        </w:rPr>
        <w:t>1</w:t>
      </w:r>
      <w:r w:rsidRPr="00665516">
        <w:t>H NMR of the crude reaction.</w:t>
      </w:r>
    </w:p>
    <w:p w:rsidR="000667F8" w:rsidRPr="00665516" w:rsidRDefault="0004009B">
      <w:pPr>
        <w:spacing w:before="360"/>
        <w:rPr>
          <w:rFonts w:ascii="Arial" w:hAnsi="Arial" w:cs="Arial"/>
          <w:sz w:val="14"/>
          <w:szCs w:val="16"/>
          <w:lang w:val="en-GB"/>
        </w:rPr>
      </w:pPr>
      <w:r w:rsidRPr="00665516">
        <w:object w:dxaOrig="4417" w:dyaOrig="1073">
          <v:shape id="_x0000_i1030" type="#_x0000_t75" style="width:220.5pt;height:53.25pt" o:ole="">
            <v:imagedata r:id="rId24" o:title=""/>
          </v:shape>
          <o:OLEObject Type="Embed" ProgID="ChemDraw.Document.6.0" ShapeID="_x0000_i1030" DrawAspect="Content" ObjectID="_1674393488" r:id="rId25"/>
        </w:object>
      </w:r>
    </w:p>
    <w:p w:rsidR="000667F8" w:rsidRPr="00665516" w:rsidRDefault="0004009B">
      <w:pPr>
        <w:pStyle w:val="SchemeCaption"/>
      </w:pPr>
      <w:r w:rsidRPr="00665516">
        <w:rPr>
          <w:b/>
        </w:rPr>
        <w:t>Scheme 4.</w:t>
      </w:r>
      <w:r w:rsidRPr="00665516">
        <w:t xml:space="preserve"> Control experiment.</w:t>
      </w:r>
    </w:p>
    <w:p w:rsidR="000667F8" w:rsidRPr="00665516" w:rsidRDefault="0004009B" w:rsidP="00FC66CB">
      <w:pPr>
        <w:pStyle w:val="P1"/>
      </w:pPr>
      <w:r w:rsidRPr="00665516">
        <w:t xml:space="preserve">To highlight the potential of the reported reaction, several useful transformations of the final products </w:t>
      </w:r>
      <w:r w:rsidRPr="00665516">
        <w:rPr>
          <w:b/>
        </w:rPr>
        <w:t>5</w:t>
      </w:r>
      <w:r w:rsidRPr="00665516">
        <w:t xml:space="preserve"> have been devised as reported in Scheme 5. </w:t>
      </w:r>
      <w:r w:rsidR="007713B9" w:rsidRPr="00665516">
        <w:t xml:space="preserve">The reduction of </w:t>
      </w:r>
      <w:r w:rsidR="007713B9" w:rsidRPr="00665516">
        <w:rPr>
          <w:b/>
        </w:rPr>
        <w:t>5e</w:t>
      </w:r>
      <w:r w:rsidR="007713B9" w:rsidRPr="00665516">
        <w:t xml:space="preserve"> with NaBH</w:t>
      </w:r>
      <w:r w:rsidR="007713B9" w:rsidRPr="00665516">
        <w:rPr>
          <w:vertAlign w:val="subscript"/>
        </w:rPr>
        <w:t>4</w:t>
      </w:r>
      <w:r w:rsidR="007713B9" w:rsidRPr="00665516">
        <w:t xml:space="preserve"> provided the product </w:t>
      </w:r>
      <w:r w:rsidR="007713B9" w:rsidRPr="00665516">
        <w:rPr>
          <w:b/>
        </w:rPr>
        <w:t>8</w:t>
      </w:r>
      <w:r w:rsidR="007713B9" w:rsidRPr="00665516">
        <w:t xml:space="preserve"> in </w:t>
      </w:r>
      <w:r w:rsidR="0001469D" w:rsidRPr="00665516">
        <w:t xml:space="preserve">92% yield and 98% ee, while the oxidation of </w:t>
      </w:r>
      <w:r w:rsidR="0001469D" w:rsidRPr="00665516">
        <w:rPr>
          <w:b/>
        </w:rPr>
        <w:t>5e</w:t>
      </w:r>
      <w:r w:rsidR="0001469D" w:rsidRPr="00665516">
        <w:t xml:space="preserve"> with NaClO</w:t>
      </w:r>
      <w:r w:rsidR="0001469D" w:rsidRPr="00665516">
        <w:rPr>
          <w:vertAlign w:val="subscript"/>
        </w:rPr>
        <w:t>2</w:t>
      </w:r>
      <w:r w:rsidR="0001469D" w:rsidRPr="00665516">
        <w:t xml:space="preserve"> and KH</w:t>
      </w:r>
      <w:r w:rsidR="0001469D" w:rsidRPr="00665516">
        <w:rPr>
          <w:vertAlign w:val="subscript"/>
        </w:rPr>
        <w:t>2</w:t>
      </w:r>
      <w:r w:rsidR="0001469D" w:rsidRPr="00665516">
        <w:t>PO</w:t>
      </w:r>
      <w:r w:rsidR="0001469D" w:rsidRPr="00665516">
        <w:rPr>
          <w:vertAlign w:val="subscript"/>
        </w:rPr>
        <w:t>4</w:t>
      </w:r>
      <w:r w:rsidR="0001469D" w:rsidRPr="00665516">
        <w:t xml:space="preserve"> gave the product </w:t>
      </w:r>
      <w:r w:rsidR="0001469D" w:rsidRPr="00665516">
        <w:rPr>
          <w:b/>
        </w:rPr>
        <w:t>9</w:t>
      </w:r>
      <w:r w:rsidR="0001469D" w:rsidRPr="00665516">
        <w:t xml:space="preserve"> in quantitative yields.</w:t>
      </w:r>
      <w:r w:rsidR="00FC66CB" w:rsidRPr="00665516">
        <w:t xml:space="preserve"> </w:t>
      </w:r>
      <w:r w:rsidR="00FC66CB" w:rsidRPr="00665516">
        <w:rPr>
          <w:b/>
        </w:rPr>
        <w:t>5e</w:t>
      </w:r>
      <w:r w:rsidR="00FC66CB" w:rsidRPr="00665516">
        <w:t xml:space="preserve"> was also subjected to a Wittig reaction with </w:t>
      </w:r>
      <w:r w:rsidR="00FC66CB" w:rsidRPr="00665516">
        <w:rPr>
          <w:rFonts w:ascii="Symbol" w:hAnsi="Symbol"/>
        </w:rPr>
        <w:t></w:t>
      </w:r>
      <w:r w:rsidR="00FC66CB" w:rsidRPr="00665516">
        <w:t>,</w:t>
      </w:r>
      <w:r w:rsidR="00FC66CB" w:rsidRPr="00665516">
        <w:rPr>
          <w:rFonts w:ascii="Symbol" w:hAnsi="Symbol"/>
        </w:rPr>
        <w:t></w:t>
      </w:r>
      <w:r w:rsidR="00FC66CB" w:rsidRPr="00665516">
        <w:t xml:space="preserve">-unsaturated ketone </w:t>
      </w:r>
      <w:r w:rsidR="00FC66CB" w:rsidRPr="00665516">
        <w:rPr>
          <w:b/>
        </w:rPr>
        <w:t>10</w:t>
      </w:r>
      <w:r w:rsidR="00FC66CB" w:rsidRPr="00665516">
        <w:t xml:space="preserve"> and the compound </w:t>
      </w:r>
      <w:r w:rsidR="00FC66CB" w:rsidRPr="00665516">
        <w:rPr>
          <w:b/>
        </w:rPr>
        <w:t>11</w:t>
      </w:r>
      <w:r w:rsidR="00FC66CB" w:rsidRPr="00665516">
        <w:t xml:space="preserve"> was obtained in 79% yield and 99% ee. Moreover, the bromo-substituted quinoline </w:t>
      </w:r>
      <w:r w:rsidR="00FC66CB" w:rsidRPr="00665516">
        <w:rPr>
          <w:b/>
        </w:rPr>
        <w:t>5p</w:t>
      </w:r>
      <w:r w:rsidR="00FC66CB" w:rsidRPr="00665516">
        <w:t xml:space="preserve"> was reacted in a Suzuki coupling with</w:t>
      </w:r>
      <w:r w:rsidR="008274A5" w:rsidRPr="00665516">
        <w:t xml:space="preserve"> (4-methoxyphenyl)boronic acid </w:t>
      </w:r>
      <w:r w:rsidR="008274A5" w:rsidRPr="00665516">
        <w:rPr>
          <w:b/>
        </w:rPr>
        <w:t>12</w:t>
      </w:r>
      <w:r w:rsidR="00FC66CB" w:rsidRPr="00665516">
        <w:t xml:space="preserve"> </w:t>
      </w:r>
      <w:r w:rsidR="00CF133A" w:rsidRPr="00665516">
        <w:t xml:space="preserve">and the coupling product </w:t>
      </w:r>
      <w:r w:rsidR="00CF133A" w:rsidRPr="00665516">
        <w:rPr>
          <w:b/>
        </w:rPr>
        <w:t>13</w:t>
      </w:r>
      <w:r w:rsidR="00CF133A" w:rsidRPr="00665516">
        <w:t xml:space="preserve"> was obtained in 99% yield, maintaining the high ee of the starting material </w:t>
      </w:r>
      <w:r w:rsidR="00CF133A" w:rsidRPr="00665516">
        <w:rPr>
          <w:b/>
        </w:rPr>
        <w:t>5p</w:t>
      </w:r>
      <w:r w:rsidR="00CF133A" w:rsidRPr="00665516">
        <w:t>.</w:t>
      </w:r>
      <w:r w:rsidR="00DA1727" w:rsidRPr="00665516">
        <w:t xml:space="preserve"> In addition, </w:t>
      </w:r>
      <w:r w:rsidR="00E03C31" w:rsidRPr="00665516">
        <w:rPr>
          <w:b/>
        </w:rPr>
        <w:t>5e</w:t>
      </w:r>
      <w:r w:rsidR="00E03C31" w:rsidRPr="00665516">
        <w:t xml:space="preserve"> </w:t>
      </w:r>
      <w:r w:rsidR="00E03C31" w:rsidRPr="00665516">
        <w:lastRenderedPageBreak/>
        <w:t>was subjected to a</w:t>
      </w:r>
      <w:r w:rsidR="0022301C" w:rsidRPr="00665516">
        <w:t>n exploratory</w:t>
      </w:r>
      <w:r w:rsidR="00E03C31" w:rsidRPr="00665516">
        <w:t xml:space="preserve"> synergistic catalytic activation, with In(OAc)</w:t>
      </w:r>
      <w:r w:rsidR="00E03C31" w:rsidRPr="00665516">
        <w:rPr>
          <w:vertAlign w:val="subscript"/>
        </w:rPr>
        <w:t>3</w:t>
      </w:r>
      <w:r w:rsidR="00E03C31" w:rsidRPr="00665516">
        <w:t xml:space="preserve"> and an </w:t>
      </w:r>
      <w:r w:rsidR="00E03C31" w:rsidRPr="00665516">
        <w:rPr>
          <w:i/>
        </w:rPr>
        <w:t>N</w:t>
      </w:r>
      <w:r w:rsidR="00E03C31" w:rsidRPr="00665516">
        <w:t xml:space="preserve">-heterocyclic carbene </w:t>
      </w:r>
      <w:r w:rsidR="00E03C31" w:rsidRPr="00665516">
        <w:rPr>
          <w:b/>
        </w:rPr>
        <w:t>14</w:t>
      </w:r>
      <w:r w:rsidR="00E03C31" w:rsidRPr="00665516">
        <w:t xml:space="preserve"> to render </w:t>
      </w:r>
      <w:r w:rsidR="00E03C31" w:rsidRPr="00665516">
        <w:rPr>
          <w:b/>
        </w:rPr>
        <w:t>15</w:t>
      </w:r>
      <w:r w:rsidR="00E03C31" w:rsidRPr="00665516">
        <w:t xml:space="preserve"> in 26% yield. Indium acetate acts as a metal Lewis acid, coordinating with the nitrogen of the quinoline and activating the double bond, while the carbene activates the aldehyde, promoting the cyclization.</w:t>
      </w:r>
      <w:r w:rsidR="00266A61" w:rsidRPr="00665516">
        <w:rPr>
          <w:vertAlign w:val="superscript"/>
        </w:rPr>
        <w:t>[10]</w:t>
      </w:r>
    </w:p>
    <w:p w:rsidR="000667F8" w:rsidRPr="00665516" w:rsidRDefault="005420E7">
      <w:pPr>
        <w:spacing w:before="360"/>
        <w:rPr>
          <w:rFonts w:ascii="Arial" w:hAnsi="Arial" w:cs="Arial"/>
          <w:color w:val="FF0000"/>
          <w:sz w:val="14"/>
          <w:szCs w:val="16"/>
          <w:lang w:val="en-GB"/>
        </w:rPr>
      </w:pPr>
      <w:r w:rsidRPr="00665516">
        <w:object w:dxaOrig="9725" w:dyaOrig="10738">
          <v:shape id="_x0000_i1031" type="#_x0000_t75" style="width:241.5pt;height:267pt" o:ole="">
            <v:imagedata r:id="rId26" o:title=""/>
          </v:shape>
          <o:OLEObject Type="Embed" ProgID="ChemDraw.Document.6.0" ShapeID="_x0000_i1031" DrawAspect="Content" ObjectID="_1674393489" r:id="rId27"/>
        </w:object>
      </w:r>
      <w:r w:rsidR="0004009B" w:rsidRPr="00665516">
        <w:rPr>
          <w:rFonts w:ascii="Arial" w:hAnsi="Arial" w:cs="Arial"/>
          <w:color w:val="FF0000"/>
          <w:sz w:val="14"/>
          <w:szCs w:val="16"/>
          <w:lang w:val="en-GB"/>
        </w:rPr>
        <w:t xml:space="preserve"> </w:t>
      </w:r>
    </w:p>
    <w:p w:rsidR="000667F8" w:rsidRPr="00665516" w:rsidRDefault="0004009B" w:rsidP="009A6973">
      <w:pPr>
        <w:pStyle w:val="SchemeCaption"/>
      </w:pPr>
      <w:r w:rsidRPr="00665516">
        <w:rPr>
          <w:b/>
        </w:rPr>
        <w:t>Scheme 5.</w:t>
      </w:r>
      <w:r w:rsidRPr="00665516">
        <w:t xml:space="preserve"> Late stage derivatizations. The reactions were performed on a 0.1 mmol scale. The ee was determined by chiral HPLC. </w:t>
      </w:r>
      <w:r w:rsidR="009A6973" w:rsidRPr="00665516">
        <w:rPr>
          <w:lang w:val="en-US"/>
        </w:rPr>
        <w:t>The yields are of the isolate products.</w:t>
      </w:r>
    </w:p>
    <w:p w:rsidR="000667F8" w:rsidRPr="00665516" w:rsidRDefault="009A6973" w:rsidP="009A6973">
      <w:pPr>
        <w:pStyle w:val="P1"/>
      </w:pPr>
      <w:r w:rsidRPr="00665516">
        <w:t xml:space="preserve">In summary, we have reported the first regio- and enantioselective organocatalytic </w:t>
      </w:r>
      <w:r w:rsidRPr="00665516">
        <w:rPr>
          <w:rFonts w:ascii="Symbol" w:hAnsi="Symbol"/>
        </w:rPr>
        <w:t></w:t>
      </w:r>
      <w:r w:rsidRPr="00665516">
        <w:t>-allylic alkylation of 2-allylquinolines.</w:t>
      </w:r>
      <w:r w:rsidR="007162E4" w:rsidRPr="00665516">
        <w:t xml:space="preserve"> The reaction shows a broad tolerance of functionalities both in the aromatic ring of the enal and on the quinoline</w:t>
      </w:r>
      <w:r w:rsidR="002B7199" w:rsidRPr="00665516">
        <w:t>,</w:t>
      </w:r>
      <w:r w:rsidR="007162E4" w:rsidRPr="00665516">
        <w:t xml:space="preserve"> and the produc</w:t>
      </w:r>
      <w:r w:rsidR="00B01588" w:rsidRPr="00665516">
        <w:t>ts are obtained with</w:t>
      </w:r>
      <w:r w:rsidR="007162E4" w:rsidRPr="00665516">
        <w:t xml:space="preserve"> complete control of regioselectivity </w:t>
      </w:r>
      <w:r w:rsidR="0078291A" w:rsidRPr="00665516">
        <w:t xml:space="preserve">and </w:t>
      </w:r>
      <w:r w:rsidR="00B01588" w:rsidRPr="00665516">
        <w:t xml:space="preserve">of the double bond </w:t>
      </w:r>
      <w:r w:rsidR="00B01588" w:rsidRPr="00665516">
        <w:rPr>
          <w:i/>
        </w:rPr>
        <w:t>E</w:t>
      </w:r>
      <w:r w:rsidR="00B01588" w:rsidRPr="00665516">
        <w:t xml:space="preserve"> configuration </w:t>
      </w:r>
      <w:r w:rsidR="007162E4" w:rsidRPr="00665516">
        <w:t xml:space="preserve">and </w:t>
      </w:r>
      <w:r w:rsidR="0078291A" w:rsidRPr="00665516">
        <w:t xml:space="preserve">with </w:t>
      </w:r>
      <w:r w:rsidR="007162E4" w:rsidRPr="00665516">
        <w:t>excellent enantioselectivities and yields.</w:t>
      </w:r>
    </w:p>
    <w:p w:rsidR="000667F8" w:rsidRPr="00665516" w:rsidRDefault="0004009B">
      <w:pPr>
        <w:pStyle w:val="HExperimentalSection"/>
        <w:rPr>
          <w:lang w:val="en-US"/>
        </w:rPr>
      </w:pPr>
      <w:r w:rsidRPr="00665516">
        <w:rPr>
          <w:lang w:val="en-US"/>
        </w:rPr>
        <w:t>Experimental Section</w:t>
      </w:r>
    </w:p>
    <w:p w:rsidR="000667F8" w:rsidRPr="00665516" w:rsidRDefault="0004009B">
      <w:pPr>
        <w:pStyle w:val="ExperimentalSection"/>
        <w:rPr>
          <w:lang w:val="en-US"/>
        </w:rPr>
      </w:pPr>
      <w:r w:rsidRPr="00665516">
        <w:rPr>
          <w:lang w:val="en-US"/>
        </w:rPr>
        <w:t xml:space="preserve">In a closed vial were added the organic catalyst 2-(diphenyl((trimethylsilyl)oxy)methyl)pyrrolidine (20 mol%), the α,β-unsaturated aldehyde (0.1 mmol, 1 equiv), 2,6-lutidine (1 equiv) and dichloroethane (2 ml) and stirred at 50 </w:t>
      </w:r>
      <w:r w:rsidRPr="00665516">
        <w:rPr>
          <w:vertAlign w:val="superscript"/>
          <w:lang w:val="en-US"/>
        </w:rPr>
        <w:t>o</w:t>
      </w:r>
      <w:r w:rsidRPr="00665516">
        <w:rPr>
          <w:lang w:val="en-US"/>
        </w:rPr>
        <w:t xml:space="preserve">C. 2-allylquinoline (2 equiv) dissolved in 0.8 ml of dichloroethane, was slowly added with a syringe pump at 0.1 µl per minutes. The reaction mixture was stirred at 50 </w:t>
      </w:r>
      <w:r w:rsidRPr="00665516">
        <w:rPr>
          <w:vertAlign w:val="superscript"/>
          <w:lang w:val="en-US"/>
        </w:rPr>
        <w:t>o</w:t>
      </w:r>
      <w:r w:rsidRPr="00665516">
        <w:rPr>
          <w:lang w:val="en-US"/>
        </w:rPr>
        <w:t xml:space="preserve">C for 24-48 h, monitored by </w:t>
      </w:r>
      <w:r w:rsidR="007535AA" w:rsidRPr="00665516">
        <w:rPr>
          <w:vertAlign w:val="superscript"/>
          <w:lang w:val="en-US"/>
        </w:rPr>
        <w:t>1</w:t>
      </w:r>
      <w:r w:rsidR="007535AA" w:rsidRPr="00665516">
        <w:rPr>
          <w:lang w:val="en-US"/>
        </w:rPr>
        <w:t xml:space="preserve">H </w:t>
      </w:r>
      <w:r w:rsidRPr="00665516">
        <w:rPr>
          <w:lang w:val="en-US"/>
        </w:rPr>
        <w:t>NMR.</w:t>
      </w:r>
      <w:r w:rsidRPr="00665516">
        <w:rPr>
          <w:i/>
          <w:lang w:val="en-US"/>
        </w:rPr>
        <w:t xml:space="preserve"> </w:t>
      </w:r>
      <w:r w:rsidRPr="00665516">
        <w:rPr>
          <w:lang w:val="en-US"/>
        </w:rPr>
        <w:t xml:space="preserve">(For entry </w:t>
      </w:r>
      <w:r w:rsidRPr="00665516">
        <w:rPr>
          <w:b/>
          <w:bCs/>
          <w:lang w:val="en-US"/>
        </w:rPr>
        <w:t>5t</w:t>
      </w:r>
      <w:r w:rsidRPr="00665516">
        <w:rPr>
          <w:lang w:val="en-US"/>
        </w:rPr>
        <w:t xml:space="preserve"> In(OAc)</w:t>
      </w:r>
      <w:r w:rsidRPr="00665516">
        <w:rPr>
          <w:vertAlign w:val="subscript"/>
          <w:lang w:val="en-US"/>
        </w:rPr>
        <w:t>3</w:t>
      </w:r>
      <w:r w:rsidRPr="00665516">
        <w:rPr>
          <w:lang w:val="en-US"/>
        </w:rPr>
        <w:t xml:space="preserve"> was added after the </w:t>
      </w:r>
      <w:r w:rsidRPr="00665516">
        <w:rPr>
          <w:lang w:val="en-US"/>
        </w:rPr>
        <w:lastRenderedPageBreak/>
        <w:t>end of the slow a</w:t>
      </w:r>
      <w:r w:rsidR="007535AA" w:rsidRPr="00665516">
        <w:rPr>
          <w:lang w:val="en-US"/>
        </w:rPr>
        <w:t>ddition</w:t>
      </w:r>
      <w:r w:rsidRPr="00665516">
        <w:rPr>
          <w:lang w:val="en-US"/>
        </w:rPr>
        <w:t>). The crude was purified by flash column chromatography (</w:t>
      </w:r>
      <w:r w:rsidRPr="00665516">
        <w:rPr>
          <w:i/>
          <w:lang w:val="en-US"/>
        </w:rPr>
        <w:t>n-</w:t>
      </w:r>
      <w:r w:rsidRPr="00665516">
        <w:rPr>
          <w:lang w:val="en-US"/>
        </w:rPr>
        <w:t>hexane/EtOAc) to obtain the desired product.</w:t>
      </w:r>
    </w:p>
    <w:p w:rsidR="000667F8" w:rsidRPr="00665516" w:rsidRDefault="0004009B">
      <w:pPr>
        <w:pStyle w:val="HAcknowledgements"/>
        <w:rPr>
          <w:color w:val="FF0000"/>
        </w:rPr>
      </w:pPr>
      <w:r w:rsidRPr="00665516">
        <w:t>Acknowledgements</w:t>
      </w:r>
    </w:p>
    <w:p w:rsidR="000667F8" w:rsidRPr="00665516" w:rsidRDefault="0004009B" w:rsidP="0078291A">
      <w:pPr>
        <w:pStyle w:val="Acknowledgements"/>
        <w:spacing w:after="120"/>
        <w:rPr>
          <w:lang w:val="en-GB"/>
        </w:rPr>
      </w:pPr>
      <w:r w:rsidRPr="00665516">
        <w:rPr>
          <w:lang w:val="en-GB"/>
        </w:rPr>
        <w:t>M. M. and R. R. are grateful for EPSRC Core Capability Funding (EP/K039466/1).</w:t>
      </w:r>
      <w:r w:rsidR="0078291A" w:rsidRPr="00665516">
        <w:rPr>
          <w:lang w:val="en-GB"/>
        </w:rPr>
        <w:t xml:space="preserve"> The authors are grateful for financial support from the European Union by the MULTY2HYCAT EU-Horizon 2020 funded project under grant agreement no. 720783.</w:t>
      </w:r>
    </w:p>
    <w:p w:rsidR="000667F8" w:rsidRPr="00665516" w:rsidRDefault="0004009B">
      <w:pPr>
        <w:pStyle w:val="Keywords"/>
        <w:spacing w:before="120" w:after="120"/>
      </w:pPr>
      <w:r w:rsidRPr="00665516">
        <w:rPr>
          <w:b/>
        </w:rPr>
        <w:t>Keywords:</w:t>
      </w:r>
      <w:r w:rsidRPr="00665516">
        <w:t xml:space="preserve"> asymmetric catalysis • quinoline • organocatalysis • enantioselective • regioselective</w:t>
      </w:r>
    </w:p>
    <w:p w:rsidR="000667F8" w:rsidRPr="00665516" w:rsidRDefault="0004009B">
      <w:pPr>
        <w:pStyle w:val="References"/>
        <w:rPr>
          <w:rFonts w:cs="Arial"/>
        </w:rPr>
      </w:pPr>
      <w:r w:rsidRPr="00665516">
        <w:t>[1]</w:t>
      </w:r>
      <w:r w:rsidRPr="00665516">
        <w:tab/>
        <w:t>a</w:t>
      </w:r>
      <w:r w:rsidRPr="00665516">
        <w:rPr>
          <w:rFonts w:cs="Arial"/>
        </w:rPr>
        <w:t xml:space="preserve">) D. Best, H. W. Lam, </w:t>
      </w:r>
      <w:r w:rsidRPr="00665516">
        <w:rPr>
          <w:rFonts w:cs="Arial"/>
          <w:i/>
        </w:rPr>
        <w:t>J. Org. Chem.</w:t>
      </w:r>
      <w:r w:rsidRPr="00665516">
        <w:rPr>
          <w:rFonts w:cs="Arial"/>
        </w:rPr>
        <w:t xml:space="preserve"> </w:t>
      </w:r>
      <w:r w:rsidRPr="00665516">
        <w:rPr>
          <w:rFonts w:cs="Arial"/>
          <w:b/>
        </w:rPr>
        <w:t>2014</w:t>
      </w:r>
      <w:r w:rsidRPr="00665516">
        <w:rPr>
          <w:rFonts w:cs="Arial"/>
        </w:rPr>
        <w:t xml:space="preserve">, </w:t>
      </w:r>
      <w:r w:rsidRPr="00665516">
        <w:rPr>
          <w:rFonts w:cs="Arial"/>
          <w:i/>
        </w:rPr>
        <w:t>79</w:t>
      </w:r>
      <w:r w:rsidRPr="00665516">
        <w:rPr>
          <w:rFonts w:cs="Arial"/>
        </w:rPr>
        <w:t>, 831</w:t>
      </w:r>
      <w:r w:rsidR="00E379D3" w:rsidRPr="00665516">
        <w:rPr>
          <w:rFonts w:cs="Arial"/>
        </w:rPr>
        <w:t xml:space="preserve"> </w:t>
      </w:r>
      <w:r w:rsidR="00E379D3" w:rsidRPr="00665516">
        <w:rPr>
          <w:rFonts w:cs="Arial"/>
          <w:lang w:eastAsia="en-GB"/>
        </w:rPr>
        <w:t>– 845</w:t>
      </w:r>
      <w:r w:rsidRPr="00665516">
        <w:rPr>
          <w:rFonts w:cs="Arial"/>
        </w:rPr>
        <w:t xml:space="preserve">; b) M. Meazza, R. Rios, </w:t>
      </w:r>
      <w:r w:rsidRPr="00665516">
        <w:rPr>
          <w:rFonts w:cs="Arial"/>
          <w:i/>
        </w:rPr>
        <w:t xml:space="preserve">Asian. </w:t>
      </w:r>
      <w:r w:rsidRPr="00665516">
        <w:rPr>
          <w:rFonts w:cs="Arial"/>
          <w:i/>
          <w:lang w:val="de-DE"/>
        </w:rPr>
        <w:t>J. Org. Chem.</w:t>
      </w:r>
      <w:r w:rsidRPr="00665516">
        <w:rPr>
          <w:rFonts w:cs="Arial"/>
          <w:lang w:val="de-DE"/>
        </w:rPr>
        <w:t xml:space="preserve"> </w:t>
      </w:r>
      <w:r w:rsidRPr="00665516">
        <w:rPr>
          <w:rFonts w:cs="Arial"/>
          <w:b/>
          <w:lang w:val="de-DE"/>
        </w:rPr>
        <w:t>2019</w:t>
      </w:r>
      <w:r w:rsidRPr="00665516">
        <w:rPr>
          <w:rFonts w:cs="Arial"/>
          <w:lang w:val="de-DE"/>
        </w:rPr>
        <w:t>,</w:t>
      </w:r>
      <w:r w:rsidR="005C01D2" w:rsidRPr="00665516">
        <w:rPr>
          <w:rFonts w:cs="Arial"/>
          <w:lang w:eastAsia="en-GB"/>
        </w:rPr>
        <w:t xml:space="preserve"> 1800 – 1810.</w:t>
      </w:r>
    </w:p>
    <w:p w:rsidR="000667F8" w:rsidRPr="00665516" w:rsidRDefault="0004009B" w:rsidP="00E379D3">
      <w:pPr>
        <w:pStyle w:val="References"/>
        <w:rPr>
          <w:rFonts w:cs="Arial"/>
        </w:rPr>
      </w:pPr>
      <w:r w:rsidRPr="00665516">
        <w:rPr>
          <w:rFonts w:cs="Arial"/>
        </w:rPr>
        <w:t>[2]</w:t>
      </w:r>
      <w:r w:rsidRPr="00665516">
        <w:rPr>
          <w:rFonts w:cs="Arial"/>
        </w:rPr>
        <w:tab/>
      </w:r>
      <w:r w:rsidR="00E379D3" w:rsidRPr="00665516">
        <w:rPr>
          <w:rFonts w:cs="Arial"/>
          <w:lang w:eastAsia="en-GB"/>
        </w:rPr>
        <w:t xml:space="preserve">a) E. Pan, N. W. Oswald, A. G. Legako, J. M. Life, B. A. Posner, J. B. MacMillan, </w:t>
      </w:r>
      <w:r w:rsidR="00E379D3" w:rsidRPr="00665516">
        <w:rPr>
          <w:rFonts w:cs="Arial"/>
          <w:i/>
          <w:lang w:eastAsia="en-GB"/>
        </w:rPr>
        <w:t>Chem. Sci.</w:t>
      </w:r>
      <w:r w:rsidR="00E379D3" w:rsidRPr="00665516">
        <w:rPr>
          <w:rFonts w:cs="Arial"/>
          <w:lang w:eastAsia="en-GB"/>
        </w:rPr>
        <w:t xml:space="preserve"> </w:t>
      </w:r>
      <w:r w:rsidR="00E379D3" w:rsidRPr="00665516">
        <w:rPr>
          <w:rFonts w:cs="Arial"/>
          <w:b/>
          <w:lang w:eastAsia="en-GB"/>
        </w:rPr>
        <w:t>2013</w:t>
      </w:r>
      <w:r w:rsidR="00E379D3" w:rsidRPr="00665516">
        <w:rPr>
          <w:rFonts w:cs="Arial"/>
          <w:lang w:eastAsia="en-GB"/>
        </w:rPr>
        <w:t xml:space="preserve">, </w:t>
      </w:r>
      <w:r w:rsidR="00E379D3" w:rsidRPr="00665516">
        <w:rPr>
          <w:rFonts w:cs="Arial"/>
          <w:i/>
          <w:lang w:eastAsia="en-GB"/>
        </w:rPr>
        <w:t>4</w:t>
      </w:r>
      <w:r w:rsidR="00E379D3" w:rsidRPr="00665516">
        <w:rPr>
          <w:rFonts w:cs="Arial"/>
          <w:lang w:eastAsia="en-GB"/>
        </w:rPr>
        <w:t xml:space="preserve">, 482 – 488; b) S. Vandekerckhove, H. G. Tran, T. Desmet, M. D_Hoogle, </w:t>
      </w:r>
      <w:r w:rsidR="00E379D3" w:rsidRPr="00665516">
        <w:rPr>
          <w:rFonts w:cs="Arial"/>
          <w:i/>
          <w:lang w:eastAsia="en-GB"/>
        </w:rPr>
        <w:t>Bioorg. Med. Chem. Lett.</w:t>
      </w:r>
      <w:r w:rsidR="00E379D3" w:rsidRPr="00665516">
        <w:rPr>
          <w:rFonts w:cs="Arial"/>
          <w:lang w:eastAsia="en-GB"/>
        </w:rPr>
        <w:t xml:space="preserve"> </w:t>
      </w:r>
      <w:r w:rsidR="00E379D3" w:rsidRPr="00665516">
        <w:rPr>
          <w:rFonts w:cs="Arial"/>
          <w:b/>
          <w:lang w:eastAsia="en-GB"/>
        </w:rPr>
        <w:t>2013</w:t>
      </w:r>
      <w:r w:rsidR="00E379D3" w:rsidRPr="00665516">
        <w:rPr>
          <w:rFonts w:cs="Arial"/>
          <w:lang w:eastAsia="en-GB"/>
        </w:rPr>
        <w:t xml:space="preserve">, </w:t>
      </w:r>
      <w:r w:rsidR="00E379D3" w:rsidRPr="00665516">
        <w:rPr>
          <w:rFonts w:cs="Arial"/>
          <w:i/>
          <w:lang w:eastAsia="en-GB"/>
        </w:rPr>
        <w:t>23</w:t>
      </w:r>
      <w:r w:rsidR="00E379D3" w:rsidRPr="00665516">
        <w:rPr>
          <w:rFonts w:cs="Arial"/>
          <w:lang w:eastAsia="en-GB"/>
        </w:rPr>
        <w:t xml:space="preserve">, 4641 – 4643; c) S. C. Teguh, N. Klonis, S. Duffy, L. Lucantoni, V. M. Avery, C. A. Hutton, J. B. Baell, L. Tilley, </w:t>
      </w:r>
      <w:r w:rsidR="00E379D3" w:rsidRPr="00665516">
        <w:rPr>
          <w:rFonts w:cs="Arial"/>
          <w:i/>
          <w:lang w:eastAsia="en-GB"/>
        </w:rPr>
        <w:t>J. Med. Chem.</w:t>
      </w:r>
      <w:r w:rsidR="00E379D3" w:rsidRPr="00665516">
        <w:rPr>
          <w:rFonts w:cs="Arial"/>
          <w:lang w:eastAsia="en-GB"/>
        </w:rPr>
        <w:t xml:space="preserve"> </w:t>
      </w:r>
      <w:r w:rsidR="00E379D3" w:rsidRPr="00665516">
        <w:rPr>
          <w:rFonts w:cs="Arial"/>
          <w:b/>
          <w:lang w:eastAsia="en-GB"/>
        </w:rPr>
        <w:t>2013</w:t>
      </w:r>
      <w:r w:rsidR="00E379D3" w:rsidRPr="00665516">
        <w:rPr>
          <w:rFonts w:cs="Arial"/>
          <w:lang w:eastAsia="en-GB"/>
        </w:rPr>
        <w:t xml:space="preserve">, </w:t>
      </w:r>
      <w:r w:rsidR="00E379D3" w:rsidRPr="00665516">
        <w:rPr>
          <w:rFonts w:cs="Arial"/>
          <w:i/>
          <w:lang w:eastAsia="en-GB"/>
        </w:rPr>
        <w:t>56</w:t>
      </w:r>
      <w:r w:rsidR="00E379D3" w:rsidRPr="00665516">
        <w:rPr>
          <w:rFonts w:cs="Arial"/>
          <w:lang w:eastAsia="en-GB"/>
        </w:rPr>
        <w:t>, 6200 –</w:t>
      </w:r>
      <w:r w:rsidR="00E379D3" w:rsidRPr="00665516">
        <w:rPr>
          <w:rFonts w:cs="Arial"/>
        </w:rPr>
        <w:t xml:space="preserve"> 6215; d) K. Kaur, M. Jain, R. P. Reddy, R. Jain, Eur. </w:t>
      </w:r>
      <w:r w:rsidR="00E379D3" w:rsidRPr="00665516">
        <w:rPr>
          <w:rFonts w:cs="Arial"/>
          <w:i/>
        </w:rPr>
        <w:t xml:space="preserve">J. Med. </w:t>
      </w:r>
      <w:proofErr w:type="spellStart"/>
      <w:r w:rsidR="00E379D3" w:rsidRPr="00665516">
        <w:rPr>
          <w:rFonts w:cs="Arial"/>
          <w:i/>
          <w:lang w:val="es-ES"/>
        </w:rPr>
        <w:t>Chem</w:t>
      </w:r>
      <w:proofErr w:type="spellEnd"/>
      <w:r w:rsidR="00E379D3" w:rsidRPr="00665516">
        <w:rPr>
          <w:rFonts w:cs="Arial"/>
          <w:i/>
          <w:lang w:val="es-ES"/>
        </w:rPr>
        <w:t>.</w:t>
      </w:r>
      <w:r w:rsidR="00E379D3" w:rsidRPr="00665516">
        <w:rPr>
          <w:rFonts w:cs="Arial"/>
          <w:lang w:val="es-ES"/>
        </w:rPr>
        <w:t xml:space="preserve"> </w:t>
      </w:r>
      <w:r w:rsidR="00E379D3" w:rsidRPr="00665516">
        <w:rPr>
          <w:rFonts w:cs="Arial"/>
          <w:b/>
          <w:lang w:val="es-ES"/>
        </w:rPr>
        <w:t>2010</w:t>
      </w:r>
      <w:r w:rsidR="00E379D3" w:rsidRPr="00665516">
        <w:rPr>
          <w:rFonts w:cs="Arial"/>
          <w:lang w:val="es-ES"/>
        </w:rPr>
        <w:t xml:space="preserve">, </w:t>
      </w:r>
      <w:r w:rsidR="00E379D3" w:rsidRPr="00665516">
        <w:rPr>
          <w:rFonts w:cs="Arial"/>
          <w:i/>
          <w:lang w:val="es-ES"/>
        </w:rPr>
        <w:t>45</w:t>
      </w:r>
      <w:r w:rsidR="00E379D3" w:rsidRPr="00665516">
        <w:rPr>
          <w:rFonts w:cs="Arial"/>
          <w:lang w:val="es-ES"/>
        </w:rPr>
        <w:t xml:space="preserve">, 3245 – 3264; e) M. V. N. de Souza, K. C. </w:t>
      </w:r>
      <w:proofErr w:type="spellStart"/>
      <w:r w:rsidR="00E379D3" w:rsidRPr="00665516">
        <w:rPr>
          <w:rFonts w:cs="Arial"/>
          <w:lang w:val="es-ES"/>
        </w:rPr>
        <w:t>Pais</w:t>
      </w:r>
      <w:proofErr w:type="spellEnd"/>
      <w:r w:rsidR="00E379D3" w:rsidRPr="00665516">
        <w:rPr>
          <w:rFonts w:cs="Arial"/>
          <w:lang w:val="es-ES"/>
        </w:rPr>
        <w:t xml:space="preserve">, C. R. </w:t>
      </w:r>
      <w:proofErr w:type="spellStart"/>
      <w:r w:rsidR="00E379D3" w:rsidRPr="00665516">
        <w:rPr>
          <w:rFonts w:cs="Arial"/>
          <w:lang w:val="es-ES"/>
        </w:rPr>
        <w:t>Kaiser</w:t>
      </w:r>
      <w:proofErr w:type="spellEnd"/>
      <w:r w:rsidR="00E379D3" w:rsidRPr="00665516">
        <w:rPr>
          <w:rFonts w:cs="Arial"/>
          <w:lang w:val="es-ES"/>
        </w:rPr>
        <w:t xml:space="preserve">, M. A. Peralta, M. de L. Ferreira, M. C. S. </w:t>
      </w:r>
      <w:proofErr w:type="spellStart"/>
      <w:r w:rsidR="00E379D3" w:rsidRPr="00665516">
        <w:rPr>
          <w:rFonts w:cs="Arial"/>
          <w:lang w:val="es-ES"/>
        </w:rPr>
        <w:t>Lourenco</w:t>
      </w:r>
      <w:proofErr w:type="spellEnd"/>
      <w:r w:rsidR="00E379D3" w:rsidRPr="00665516">
        <w:rPr>
          <w:rFonts w:cs="Arial"/>
          <w:lang w:val="es-ES"/>
        </w:rPr>
        <w:t xml:space="preserve">, </w:t>
      </w:r>
      <w:proofErr w:type="spellStart"/>
      <w:r w:rsidR="00E379D3" w:rsidRPr="00665516">
        <w:rPr>
          <w:rFonts w:cs="Arial"/>
          <w:i/>
          <w:lang w:val="es-ES"/>
        </w:rPr>
        <w:t>Bioorg</w:t>
      </w:r>
      <w:proofErr w:type="spellEnd"/>
      <w:r w:rsidR="00E379D3" w:rsidRPr="00665516">
        <w:rPr>
          <w:rFonts w:cs="Arial"/>
          <w:i/>
          <w:lang w:val="es-ES"/>
        </w:rPr>
        <w:t xml:space="preserve">. </w:t>
      </w:r>
      <w:r w:rsidR="00E379D3" w:rsidRPr="00665516">
        <w:rPr>
          <w:rFonts w:cs="Arial"/>
          <w:i/>
        </w:rPr>
        <w:t xml:space="preserve">Med. Chem. </w:t>
      </w:r>
      <w:r w:rsidR="00E379D3" w:rsidRPr="00665516">
        <w:rPr>
          <w:rFonts w:cs="Arial"/>
          <w:b/>
        </w:rPr>
        <w:t>2009</w:t>
      </w:r>
      <w:r w:rsidR="00E379D3" w:rsidRPr="00665516">
        <w:rPr>
          <w:rFonts w:cs="Arial"/>
        </w:rPr>
        <w:t xml:space="preserve">, </w:t>
      </w:r>
      <w:r w:rsidR="00E379D3" w:rsidRPr="00665516">
        <w:rPr>
          <w:rFonts w:cs="Arial"/>
          <w:i/>
        </w:rPr>
        <w:t>17</w:t>
      </w:r>
      <w:r w:rsidR="00E379D3" w:rsidRPr="00665516">
        <w:rPr>
          <w:rFonts w:cs="Arial"/>
        </w:rPr>
        <w:t>, 1474 – 1480.</w:t>
      </w:r>
    </w:p>
    <w:p w:rsidR="000667F8" w:rsidRPr="00665516" w:rsidRDefault="003760C8" w:rsidP="003760C8">
      <w:pPr>
        <w:pStyle w:val="References"/>
        <w:rPr>
          <w:rFonts w:cs="Arial"/>
        </w:rPr>
      </w:pPr>
      <w:r w:rsidRPr="00665516">
        <w:rPr>
          <w:rFonts w:cs="Arial"/>
        </w:rPr>
        <w:t>[3]</w:t>
      </w:r>
      <w:r w:rsidRPr="00665516">
        <w:rPr>
          <w:rFonts w:cs="Arial"/>
        </w:rPr>
        <w:tab/>
        <w:t>T. Li, J. Zhu, D.</w:t>
      </w:r>
      <w:r w:rsidR="00E02E61" w:rsidRPr="00665516">
        <w:rPr>
          <w:rFonts w:cs="Arial"/>
        </w:rPr>
        <w:t xml:space="preserve"> </w:t>
      </w:r>
      <w:r w:rsidRPr="00665516">
        <w:rPr>
          <w:rFonts w:cs="Arial"/>
        </w:rPr>
        <w:t>Wu, X. Li, S.</w:t>
      </w:r>
      <w:r w:rsidR="00E02E61" w:rsidRPr="00665516">
        <w:rPr>
          <w:rFonts w:cs="Arial"/>
        </w:rPr>
        <w:t xml:space="preserve"> </w:t>
      </w:r>
      <w:r w:rsidRPr="00665516">
        <w:rPr>
          <w:rFonts w:cs="Arial"/>
        </w:rPr>
        <w:t>Wang, H. Li, J. Li,</w:t>
      </w:r>
      <w:r w:rsidR="00E02E61" w:rsidRPr="00665516">
        <w:rPr>
          <w:rFonts w:cs="Arial"/>
        </w:rPr>
        <w:t xml:space="preserve"> </w:t>
      </w:r>
      <w:r w:rsidRPr="00665516">
        <w:rPr>
          <w:rFonts w:cs="Arial"/>
        </w:rPr>
        <w:t>W.</w:t>
      </w:r>
      <w:r w:rsidR="00E02E61" w:rsidRPr="00665516">
        <w:rPr>
          <w:rFonts w:cs="Arial"/>
        </w:rPr>
        <w:t xml:space="preserve"> </w:t>
      </w:r>
      <w:r w:rsidRPr="00665516">
        <w:rPr>
          <w:rFonts w:cs="Arial"/>
        </w:rPr>
        <w:t xml:space="preserve">Wang, </w:t>
      </w:r>
      <w:r w:rsidRPr="00665516">
        <w:rPr>
          <w:rFonts w:cs="Arial"/>
          <w:i/>
        </w:rPr>
        <w:t xml:space="preserve">Chem. Eur. J. </w:t>
      </w:r>
      <w:r w:rsidRPr="00665516">
        <w:rPr>
          <w:rFonts w:cs="Arial"/>
          <w:b/>
        </w:rPr>
        <w:t>2013</w:t>
      </w:r>
      <w:r w:rsidRPr="00665516">
        <w:rPr>
          <w:rFonts w:cs="Arial"/>
        </w:rPr>
        <w:t xml:space="preserve">, </w:t>
      </w:r>
      <w:r w:rsidRPr="00665516">
        <w:rPr>
          <w:rFonts w:cs="Arial"/>
          <w:i/>
        </w:rPr>
        <w:t>19</w:t>
      </w:r>
      <w:r w:rsidRPr="00665516">
        <w:rPr>
          <w:rFonts w:cs="Arial"/>
        </w:rPr>
        <w:t>, 9147 – 9150.</w:t>
      </w:r>
    </w:p>
    <w:p w:rsidR="000667F8" w:rsidRPr="00665516" w:rsidRDefault="001735A7" w:rsidP="001735A7">
      <w:pPr>
        <w:pStyle w:val="References"/>
        <w:rPr>
          <w:rFonts w:cs="Arial"/>
          <w:lang w:val="pt-PT"/>
        </w:rPr>
      </w:pPr>
      <w:r w:rsidRPr="00665516">
        <w:rPr>
          <w:rFonts w:cs="Arial"/>
        </w:rPr>
        <w:t>[4</w:t>
      </w:r>
      <w:r w:rsidR="0004009B" w:rsidRPr="00665516">
        <w:rPr>
          <w:rFonts w:cs="Arial"/>
        </w:rPr>
        <w:t>]</w:t>
      </w:r>
      <w:r w:rsidR="0004009B" w:rsidRPr="00665516">
        <w:rPr>
          <w:rFonts w:cs="Arial"/>
        </w:rPr>
        <w:tab/>
      </w:r>
      <w:r w:rsidR="003760C8" w:rsidRPr="00665516">
        <w:rPr>
          <w:rFonts w:cs="Arial"/>
        </w:rPr>
        <w:t>D. Best, S. Kujawa, H.</w:t>
      </w:r>
      <w:r w:rsidR="00E02E61" w:rsidRPr="00665516">
        <w:rPr>
          <w:rFonts w:cs="Arial"/>
        </w:rPr>
        <w:t xml:space="preserve"> </w:t>
      </w:r>
      <w:r w:rsidR="003760C8" w:rsidRPr="00665516">
        <w:rPr>
          <w:rFonts w:cs="Arial"/>
        </w:rPr>
        <w:t xml:space="preserve">W. Lam, </w:t>
      </w:r>
      <w:r w:rsidR="003760C8" w:rsidRPr="00665516">
        <w:rPr>
          <w:rFonts w:cs="Arial"/>
          <w:i/>
        </w:rPr>
        <w:t xml:space="preserve">J. Am. </w:t>
      </w:r>
      <w:r w:rsidR="003760C8" w:rsidRPr="00665516">
        <w:rPr>
          <w:rFonts w:cs="Arial"/>
          <w:i/>
          <w:lang w:val="pt-PT"/>
        </w:rPr>
        <w:t>Chem. Soc.</w:t>
      </w:r>
      <w:r w:rsidR="003760C8" w:rsidRPr="00665516">
        <w:rPr>
          <w:rFonts w:cs="Arial"/>
          <w:lang w:val="pt-PT"/>
        </w:rPr>
        <w:t xml:space="preserve"> </w:t>
      </w:r>
      <w:r w:rsidR="003760C8" w:rsidRPr="00665516">
        <w:rPr>
          <w:rFonts w:cs="Arial"/>
          <w:b/>
          <w:lang w:val="pt-PT"/>
        </w:rPr>
        <w:t>2012</w:t>
      </w:r>
      <w:r w:rsidR="003760C8" w:rsidRPr="00665516">
        <w:rPr>
          <w:rFonts w:cs="Arial"/>
          <w:lang w:val="pt-PT"/>
        </w:rPr>
        <w:t xml:space="preserve">, </w:t>
      </w:r>
      <w:r w:rsidR="003760C8" w:rsidRPr="00665516">
        <w:rPr>
          <w:rFonts w:cs="Arial"/>
          <w:i/>
          <w:lang w:val="pt-PT"/>
        </w:rPr>
        <w:t>134</w:t>
      </w:r>
      <w:r w:rsidR="003760C8" w:rsidRPr="00665516">
        <w:rPr>
          <w:rFonts w:cs="Arial"/>
          <w:lang w:val="pt-PT"/>
        </w:rPr>
        <w:t>,</w:t>
      </w:r>
      <w:r w:rsidRPr="00665516">
        <w:rPr>
          <w:rFonts w:cs="Arial"/>
          <w:lang w:val="pt-PT"/>
        </w:rPr>
        <w:t xml:space="preserve"> </w:t>
      </w:r>
      <w:r w:rsidR="00D3271B" w:rsidRPr="00665516">
        <w:rPr>
          <w:rFonts w:cs="Arial"/>
          <w:lang w:val="pt-PT"/>
        </w:rPr>
        <w:t>18193 – 18196.</w:t>
      </w:r>
    </w:p>
    <w:p w:rsidR="000667F8" w:rsidRPr="00665516" w:rsidRDefault="001020D0" w:rsidP="00266A61">
      <w:pPr>
        <w:pStyle w:val="References"/>
        <w:rPr>
          <w:rFonts w:cs="Arial"/>
          <w:lang w:val="pt-PT"/>
        </w:rPr>
      </w:pPr>
      <w:r w:rsidRPr="00665516">
        <w:rPr>
          <w:rFonts w:cs="Arial"/>
          <w:lang w:val="pt-PT"/>
        </w:rPr>
        <w:t>[5</w:t>
      </w:r>
      <w:r w:rsidR="0004009B" w:rsidRPr="00665516">
        <w:rPr>
          <w:rFonts w:cs="Arial"/>
          <w:lang w:val="pt-PT"/>
        </w:rPr>
        <w:t>]</w:t>
      </w:r>
      <w:r w:rsidR="0004009B" w:rsidRPr="00665516">
        <w:rPr>
          <w:rFonts w:cs="Arial"/>
          <w:lang w:val="pt-PT"/>
        </w:rPr>
        <w:tab/>
      </w:r>
      <w:r w:rsidR="00266A61" w:rsidRPr="00665516">
        <w:rPr>
          <w:rFonts w:cs="Arial"/>
          <w:lang w:val="pt-PT"/>
        </w:rPr>
        <w:t xml:space="preserve">S. Vera, Y. Liu, M. Marigo, E. C. Escudero-Adan, C. Eduardo, P. Melchiorre, </w:t>
      </w:r>
      <w:r w:rsidR="00266A61" w:rsidRPr="00665516">
        <w:rPr>
          <w:rFonts w:cs="Arial"/>
          <w:i/>
          <w:lang w:val="pt-PT"/>
        </w:rPr>
        <w:t>Synlett</w:t>
      </w:r>
      <w:r w:rsidR="00266A61" w:rsidRPr="00665516">
        <w:rPr>
          <w:rFonts w:cs="Arial"/>
          <w:lang w:val="pt-PT"/>
        </w:rPr>
        <w:t xml:space="preserve"> </w:t>
      </w:r>
      <w:r w:rsidR="00266A61" w:rsidRPr="00665516">
        <w:rPr>
          <w:rFonts w:cs="Arial"/>
          <w:b/>
          <w:lang w:val="pt-PT"/>
        </w:rPr>
        <w:t>2011</w:t>
      </w:r>
      <w:r w:rsidR="00266A61" w:rsidRPr="00665516">
        <w:rPr>
          <w:rFonts w:cs="Arial"/>
          <w:lang w:val="pt-PT"/>
        </w:rPr>
        <w:t xml:space="preserve">, </w:t>
      </w:r>
      <w:r w:rsidR="00266A61" w:rsidRPr="00665516">
        <w:rPr>
          <w:rFonts w:cs="Arial"/>
          <w:i/>
          <w:lang w:val="pt-PT"/>
        </w:rPr>
        <w:t>4</w:t>
      </w:r>
      <w:r w:rsidR="00266A61" w:rsidRPr="00665516">
        <w:rPr>
          <w:rFonts w:cs="Arial"/>
          <w:lang w:val="pt-PT"/>
        </w:rPr>
        <w:t>, 489</w:t>
      </w:r>
      <w:r w:rsidR="008F75D7" w:rsidRPr="00665516">
        <w:rPr>
          <w:rFonts w:cs="Arial"/>
          <w:lang w:val="pt-PT"/>
        </w:rPr>
        <w:t xml:space="preserve"> </w:t>
      </w:r>
      <w:r w:rsidR="00266A61" w:rsidRPr="00665516">
        <w:rPr>
          <w:rFonts w:cs="Arial"/>
          <w:lang w:val="pt-PT"/>
        </w:rPr>
        <w:t>–</w:t>
      </w:r>
      <w:r w:rsidR="008F75D7" w:rsidRPr="00665516">
        <w:rPr>
          <w:rFonts w:cs="Arial"/>
          <w:lang w:val="pt-PT"/>
        </w:rPr>
        <w:t xml:space="preserve"> </w:t>
      </w:r>
      <w:r w:rsidR="00266A61" w:rsidRPr="00665516">
        <w:rPr>
          <w:rFonts w:cs="Arial"/>
          <w:lang w:val="pt-PT"/>
        </w:rPr>
        <w:t>494.</w:t>
      </w:r>
    </w:p>
    <w:p w:rsidR="000667F8" w:rsidRPr="00665516" w:rsidRDefault="001020D0" w:rsidP="00266A61">
      <w:pPr>
        <w:pStyle w:val="References"/>
        <w:rPr>
          <w:rFonts w:cs="Arial"/>
        </w:rPr>
      </w:pPr>
      <w:r w:rsidRPr="00665516">
        <w:rPr>
          <w:rFonts w:cs="Arial"/>
          <w:lang w:val="it-IT"/>
        </w:rPr>
        <w:t>[6]</w:t>
      </w:r>
      <w:r w:rsidRPr="00665516">
        <w:rPr>
          <w:rFonts w:cs="Arial"/>
          <w:lang w:val="it-IT"/>
        </w:rPr>
        <w:tab/>
      </w:r>
      <w:r w:rsidR="00266A61" w:rsidRPr="00665516">
        <w:rPr>
          <w:rFonts w:cs="Arial"/>
          <w:lang w:val="it-IT"/>
        </w:rPr>
        <w:t>M. Meazza, M. Potter, M. B. Pitak, S. J. Coles, A. Mazzanti, R. Rios</w:t>
      </w:r>
      <w:r w:rsidR="008F75D7" w:rsidRPr="00665516">
        <w:rPr>
          <w:rFonts w:cs="Arial"/>
          <w:lang w:val="it-IT"/>
        </w:rPr>
        <w:t>,</w:t>
      </w:r>
      <w:r w:rsidR="00266A61" w:rsidRPr="00665516">
        <w:rPr>
          <w:rFonts w:cs="Arial"/>
          <w:lang w:val="it-IT"/>
        </w:rPr>
        <w:t xml:space="preserve"> </w:t>
      </w:r>
      <w:r w:rsidR="00266A61" w:rsidRPr="00665516">
        <w:rPr>
          <w:rFonts w:cs="Arial"/>
          <w:i/>
          <w:lang w:val="it-IT"/>
        </w:rPr>
        <w:t xml:space="preserve">Eur. J. Org. </w:t>
      </w:r>
      <w:r w:rsidR="00266A61" w:rsidRPr="00665516">
        <w:rPr>
          <w:rFonts w:cs="Arial"/>
          <w:i/>
        </w:rPr>
        <w:t>Chem.</w:t>
      </w:r>
      <w:r w:rsidR="00266A61" w:rsidRPr="00665516">
        <w:rPr>
          <w:rFonts w:cs="Arial"/>
        </w:rPr>
        <w:t xml:space="preserve"> </w:t>
      </w:r>
      <w:r w:rsidR="00266A61" w:rsidRPr="00665516">
        <w:rPr>
          <w:rFonts w:cs="Arial"/>
          <w:b/>
        </w:rPr>
        <w:t>2017</w:t>
      </w:r>
      <w:r w:rsidR="00266A61" w:rsidRPr="00665516">
        <w:rPr>
          <w:rFonts w:cs="Arial"/>
        </w:rPr>
        <w:t>, 719</w:t>
      </w:r>
      <w:r w:rsidR="008F75D7" w:rsidRPr="00665516">
        <w:rPr>
          <w:rFonts w:cs="Arial"/>
        </w:rPr>
        <w:t xml:space="preserve"> </w:t>
      </w:r>
      <w:r w:rsidR="00266A61" w:rsidRPr="00665516">
        <w:rPr>
          <w:rFonts w:cs="Arial"/>
        </w:rPr>
        <w:t>–</w:t>
      </w:r>
      <w:r w:rsidR="008F75D7" w:rsidRPr="00665516">
        <w:rPr>
          <w:rFonts w:cs="Arial"/>
        </w:rPr>
        <w:t xml:space="preserve"> </w:t>
      </w:r>
      <w:r w:rsidR="00266A61" w:rsidRPr="00665516">
        <w:rPr>
          <w:rFonts w:cs="Arial"/>
        </w:rPr>
        <w:t>725.</w:t>
      </w:r>
    </w:p>
    <w:p w:rsidR="001020D0" w:rsidRPr="00665516" w:rsidRDefault="00266A61" w:rsidP="001020D0">
      <w:pPr>
        <w:pStyle w:val="References"/>
        <w:rPr>
          <w:rFonts w:cs="Arial"/>
          <w:lang w:val="de-DE"/>
        </w:rPr>
      </w:pPr>
      <w:r w:rsidRPr="00665516">
        <w:rPr>
          <w:rFonts w:cs="Arial"/>
        </w:rPr>
        <w:t>[7</w:t>
      </w:r>
      <w:r w:rsidR="00D3271B" w:rsidRPr="00665516">
        <w:rPr>
          <w:rFonts w:cs="Arial"/>
        </w:rPr>
        <w:t>]</w:t>
      </w:r>
      <w:r w:rsidR="00D3271B" w:rsidRPr="00665516">
        <w:rPr>
          <w:rFonts w:cs="Arial"/>
        </w:rPr>
        <w:tab/>
      </w:r>
      <w:r w:rsidRPr="00665516">
        <w:rPr>
          <w:rFonts w:cs="Arial"/>
        </w:rPr>
        <w:t xml:space="preserve">a) </w:t>
      </w:r>
      <w:r w:rsidR="00D3271B" w:rsidRPr="00665516">
        <w:rPr>
          <w:rFonts w:cs="Arial"/>
        </w:rPr>
        <w:t xml:space="preserve">M. Meazza, M. E. Light, A. Mazzanti, R. Rios, </w:t>
      </w:r>
      <w:r w:rsidR="00D3271B" w:rsidRPr="00665516">
        <w:rPr>
          <w:rFonts w:cs="Arial"/>
          <w:i/>
        </w:rPr>
        <w:t>Chem. Sci.</w:t>
      </w:r>
      <w:r w:rsidR="00D3271B" w:rsidRPr="00665516">
        <w:rPr>
          <w:rFonts w:cs="Arial"/>
        </w:rPr>
        <w:t xml:space="preserve"> </w:t>
      </w:r>
      <w:r w:rsidR="00D3271B" w:rsidRPr="00665516">
        <w:rPr>
          <w:rFonts w:cs="Arial"/>
          <w:b/>
        </w:rPr>
        <w:t>2016</w:t>
      </w:r>
      <w:r w:rsidR="00D3271B" w:rsidRPr="00665516">
        <w:rPr>
          <w:rFonts w:cs="Arial"/>
        </w:rPr>
        <w:t xml:space="preserve">, </w:t>
      </w:r>
      <w:r w:rsidR="00D3271B" w:rsidRPr="00665516">
        <w:rPr>
          <w:rFonts w:cs="Arial"/>
          <w:i/>
        </w:rPr>
        <w:t>7</w:t>
      </w:r>
      <w:r w:rsidRPr="00665516">
        <w:rPr>
          <w:rFonts w:cs="Arial"/>
        </w:rPr>
        <w:t>, 984 – 988; b</w:t>
      </w:r>
      <w:r w:rsidR="00D3271B" w:rsidRPr="00665516">
        <w:rPr>
          <w:rFonts w:cs="Arial"/>
        </w:rPr>
        <w:t xml:space="preserve">) M. Meazza, V. Ceban, M. B. Pitak, S. J. Coles, R. Rios, </w:t>
      </w:r>
      <w:r w:rsidR="00D3271B" w:rsidRPr="00665516">
        <w:rPr>
          <w:rFonts w:cs="Arial"/>
          <w:i/>
        </w:rPr>
        <w:t xml:space="preserve">Chem. Eur. J. </w:t>
      </w:r>
      <w:r w:rsidR="00D3271B" w:rsidRPr="00665516">
        <w:rPr>
          <w:rFonts w:cs="Arial"/>
          <w:b/>
        </w:rPr>
        <w:t>2014</w:t>
      </w:r>
      <w:r w:rsidR="00D3271B" w:rsidRPr="00665516">
        <w:rPr>
          <w:rFonts w:cs="Arial"/>
        </w:rPr>
        <w:t xml:space="preserve">, </w:t>
      </w:r>
      <w:r w:rsidR="00D3271B" w:rsidRPr="00665516">
        <w:rPr>
          <w:rFonts w:cs="Arial"/>
          <w:i/>
        </w:rPr>
        <w:t>20</w:t>
      </w:r>
      <w:r w:rsidR="00D3271B" w:rsidRPr="00665516">
        <w:rPr>
          <w:rFonts w:cs="Arial"/>
        </w:rPr>
        <w:t xml:space="preserve">, 16853 – 16857; </w:t>
      </w:r>
      <w:r w:rsidRPr="00665516">
        <w:rPr>
          <w:rFonts w:cs="Arial"/>
        </w:rPr>
        <w:t>c</w:t>
      </w:r>
      <w:r w:rsidR="00D3271B" w:rsidRPr="00665516">
        <w:rPr>
          <w:rFonts w:cs="Arial"/>
        </w:rPr>
        <w:t>) V. Ceban, P. Putaj, M. Meazza, M. B. Pitak, S. J. Coles, J. Vesely, R. Rios,</w:t>
      </w:r>
      <w:r w:rsidRPr="00665516">
        <w:rPr>
          <w:rFonts w:cs="Arial"/>
        </w:rPr>
        <w:t xml:space="preserve"> </w:t>
      </w:r>
      <w:r w:rsidRPr="00665516">
        <w:rPr>
          <w:rFonts w:cs="Arial"/>
          <w:i/>
        </w:rPr>
        <w:t xml:space="preserve">Chem. </w:t>
      </w:r>
      <w:r w:rsidRPr="00665516">
        <w:rPr>
          <w:rFonts w:cs="Arial"/>
          <w:i/>
          <w:lang w:val="de-DE"/>
        </w:rPr>
        <w:t>Commun.</w:t>
      </w:r>
      <w:r w:rsidRPr="00665516">
        <w:rPr>
          <w:rFonts w:cs="Arial"/>
          <w:lang w:val="de-DE"/>
        </w:rPr>
        <w:t xml:space="preserve"> </w:t>
      </w:r>
      <w:r w:rsidRPr="00665516">
        <w:rPr>
          <w:rFonts w:cs="Arial"/>
          <w:b/>
          <w:lang w:val="de-DE"/>
        </w:rPr>
        <w:t>2014</w:t>
      </w:r>
      <w:r w:rsidRPr="00665516">
        <w:rPr>
          <w:rFonts w:cs="Arial"/>
          <w:lang w:val="de-DE"/>
        </w:rPr>
        <w:t xml:space="preserve">, </w:t>
      </w:r>
      <w:r w:rsidRPr="00665516">
        <w:rPr>
          <w:rFonts w:cs="Arial"/>
          <w:i/>
          <w:lang w:val="de-DE"/>
        </w:rPr>
        <w:t>50</w:t>
      </w:r>
      <w:r w:rsidRPr="00665516">
        <w:rPr>
          <w:rFonts w:cs="Arial"/>
          <w:lang w:val="de-DE"/>
        </w:rPr>
        <w:t>, 7447 –</w:t>
      </w:r>
      <w:r w:rsidR="00D3271B" w:rsidRPr="00665516">
        <w:rPr>
          <w:rFonts w:cs="Arial"/>
          <w:lang w:val="de-DE"/>
        </w:rPr>
        <w:t>7450.</w:t>
      </w:r>
    </w:p>
    <w:p w:rsidR="001020D0" w:rsidRPr="00665516" w:rsidRDefault="00266A61" w:rsidP="001020D0">
      <w:pPr>
        <w:pStyle w:val="References"/>
        <w:rPr>
          <w:rFonts w:cs="Arial"/>
          <w:lang w:val="de-DE"/>
        </w:rPr>
      </w:pPr>
      <w:r w:rsidRPr="00665516">
        <w:rPr>
          <w:rFonts w:cs="Arial"/>
          <w:lang w:val="de-DE"/>
        </w:rPr>
        <w:t>[8]</w:t>
      </w:r>
      <w:r w:rsidRPr="00665516">
        <w:rPr>
          <w:rFonts w:cs="Arial"/>
          <w:lang w:val="de-DE"/>
        </w:rPr>
        <w:tab/>
        <w:t xml:space="preserve">M. Meazza, F. Tur, N. Hammer, K. A. Jørgensen, </w:t>
      </w:r>
      <w:r w:rsidRPr="00665516">
        <w:rPr>
          <w:rFonts w:cs="Arial"/>
          <w:i/>
          <w:lang w:val="de-DE"/>
        </w:rPr>
        <w:t>Angew. Chem. Int. Ed.</w:t>
      </w:r>
      <w:r w:rsidRPr="00665516">
        <w:rPr>
          <w:rFonts w:cs="Arial"/>
          <w:lang w:val="de-DE"/>
        </w:rPr>
        <w:t xml:space="preserve"> </w:t>
      </w:r>
      <w:r w:rsidRPr="00665516">
        <w:rPr>
          <w:rFonts w:cs="Arial"/>
          <w:b/>
          <w:lang w:val="de-DE"/>
        </w:rPr>
        <w:t>2017</w:t>
      </w:r>
      <w:r w:rsidRPr="00665516">
        <w:rPr>
          <w:rFonts w:cs="Arial"/>
          <w:lang w:val="de-DE"/>
        </w:rPr>
        <w:t xml:space="preserve">, </w:t>
      </w:r>
      <w:r w:rsidRPr="00665516">
        <w:rPr>
          <w:rFonts w:cs="Arial"/>
          <w:i/>
          <w:lang w:val="de-DE"/>
        </w:rPr>
        <w:t>56</w:t>
      </w:r>
      <w:r w:rsidRPr="00665516">
        <w:rPr>
          <w:rFonts w:cs="Arial"/>
          <w:lang w:val="de-DE"/>
        </w:rPr>
        <w:t>, 1634</w:t>
      </w:r>
      <w:r w:rsidR="008F75D7" w:rsidRPr="00665516">
        <w:rPr>
          <w:rFonts w:cs="Arial"/>
          <w:lang w:val="de-DE"/>
        </w:rPr>
        <w:t xml:space="preserve"> </w:t>
      </w:r>
      <w:r w:rsidRPr="00665516">
        <w:rPr>
          <w:rFonts w:cs="Arial"/>
          <w:lang w:val="de-DE"/>
        </w:rPr>
        <w:t>–</w:t>
      </w:r>
      <w:r w:rsidR="008F75D7" w:rsidRPr="00665516">
        <w:rPr>
          <w:rFonts w:cs="Arial"/>
          <w:lang w:val="de-DE"/>
        </w:rPr>
        <w:t xml:space="preserve"> </w:t>
      </w:r>
      <w:r w:rsidRPr="00665516">
        <w:rPr>
          <w:rFonts w:cs="Arial"/>
          <w:lang w:val="de-DE"/>
        </w:rPr>
        <w:t>1638.</w:t>
      </w:r>
    </w:p>
    <w:p w:rsidR="001020D0" w:rsidRPr="00665516" w:rsidRDefault="00266A61" w:rsidP="001020D0">
      <w:pPr>
        <w:pStyle w:val="References"/>
        <w:rPr>
          <w:rFonts w:cs="Arial"/>
          <w:lang w:val="de-DE"/>
        </w:rPr>
      </w:pPr>
      <w:r w:rsidRPr="00665516">
        <w:rPr>
          <w:rFonts w:cs="Arial"/>
          <w:lang w:val="de-DE"/>
        </w:rPr>
        <w:t>[9]</w:t>
      </w:r>
      <w:r w:rsidRPr="00665516">
        <w:rPr>
          <w:rFonts w:cs="Arial"/>
          <w:lang w:val="de-DE"/>
        </w:rPr>
        <w:tab/>
        <w:t xml:space="preserve">X. Bai, G. Zeng, T. Shao, Z. Jiang, </w:t>
      </w:r>
      <w:r w:rsidRPr="00665516">
        <w:rPr>
          <w:rFonts w:cs="Arial"/>
          <w:i/>
          <w:lang w:val="de-DE" w:eastAsia="en-GB"/>
        </w:rPr>
        <w:t>Angew. Chem. Int. Ed.</w:t>
      </w:r>
      <w:r w:rsidRPr="00665516">
        <w:rPr>
          <w:rFonts w:cs="Arial"/>
          <w:lang w:val="de-DE" w:eastAsia="en-GB"/>
        </w:rPr>
        <w:t xml:space="preserve"> </w:t>
      </w:r>
      <w:r w:rsidRPr="00665516">
        <w:rPr>
          <w:rFonts w:cs="Arial"/>
          <w:b/>
          <w:lang w:val="de-DE" w:eastAsia="en-GB"/>
        </w:rPr>
        <w:t>2017</w:t>
      </w:r>
      <w:r w:rsidRPr="00665516">
        <w:rPr>
          <w:rFonts w:cs="Arial"/>
          <w:lang w:val="de-DE" w:eastAsia="en-GB"/>
        </w:rPr>
        <w:t xml:space="preserve">, </w:t>
      </w:r>
      <w:r w:rsidRPr="00665516">
        <w:rPr>
          <w:rFonts w:cs="Arial"/>
          <w:i/>
          <w:lang w:val="de-DE" w:eastAsia="en-GB"/>
        </w:rPr>
        <w:t>56</w:t>
      </w:r>
      <w:r w:rsidRPr="00665516">
        <w:rPr>
          <w:rFonts w:cs="Arial"/>
          <w:lang w:val="de-DE" w:eastAsia="en-GB"/>
        </w:rPr>
        <w:t>, 3684</w:t>
      </w:r>
      <w:r w:rsidR="008F75D7" w:rsidRPr="00665516">
        <w:rPr>
          <w:rFonts w:cs="Arial"/>
          <w:lang w:val="de-DE" w:eastAsia="en-GB"/>
        </w:rPr>
        <w:t xml:space="preserve"> </w:t>
      </w:r>
      <w:r w:rsidRPr="00665516">
        <w:rPr>
          <w:rFonts w:cs="Arial"/>
          <w:lang w:val="de-DE" w:eastAsia="en-GB"/>
        </w:rPr>
        <w:t>–</w:t>
      </w:r>
      <w:r w:rsidR="008F75D7" w:rsidRPr="00665516">
        <w:rPr>
          <w:rFonts w:cs="Arial"/>
          <w:lang w:val="de-DE" w:eastAsia="en-GB"/>
        </w:rPr>
        <w:t xml:space="preserve"> </w:t>
      </w:r>
      <w:r w:rsidRPr="00665516">
        <w:rPr>
          <w:rFonts w:cs="Arial"/>
          <w:lang w:val="de-DE" w:eastAsia="en-GB"/>
        </w:rPr>
        <w:t>3688.</w:t>
      </w:r>
    </w:p>
    <w:p w:rsidR="001020D0" w:rsidRPr="00665516" w:rsidRDefault="00266A61" w:rsidP="00266A61">
      <w:pPr>
        <w:pStyle w:val="References"/>
        <w:rPr>
          <w:rFonts w:cs="Arial"/>
        </w:rPr>
      </w:pPr>
      <w:r w:rsidRPr="00665516">
        <w:rPr>
          <w:rFonts w:cs="Arial"/>
          <w:lang w:val="de-DE"/>
        </w:rPr>
        <w:t>[10</w:t>
      </w:r>
      <w:r w:rsidR="001020D0" w:rsidRPr="00665516">
        <w:rPr>
          <w:rFonts w:cs="Arial"/>
          <w:lang w:val="de-DE"/>
        </w:rPr>
        <w:t>]</w:t>
      </w:r>
      <w:r w:rsidR="001020D0" w:rsidRPr="00665516">
        <w:rPr>
          <w:rFonts w:cs="Arial"/>
          <w:lang w:val="de-DE"/>
        </w:rPr>
        <w:tab/>
      </w:r>
      <w:r w:rsidRPr="00665516">
        <w:rPr>
          <w:rFonts w:cs="Arial"/>
          <w:lang w:val="de-DE"/>
        </w:rPr>
        <w:t xml:space="preserve">a) A. E Allen, D. W. C. MacMillan, </w:t>
      </w:r>
      <w:r w:rsidRPr="00665516">
        <w:rPr>
          <w:rFonts w:cs="Arial"/>
          <w:i/>
          <w:lang w:val="de-DE"/>
        </w:rPr>
        <w:t>Chem. Sci.</w:t>
      </w:r>
      <w:r w:rsidRPr="00665516">
        <w:rPr>
          <w:rFonts w:cs="Arial"/>
          <w:lang w:val="de-DE"/>
        </w:rPr>
        <w:t xml:space="preserve"> </w:t>
      </w:r>
      <w:r w:rsidRPr="00665516">
        <w:rPr>
          <w:rFonts w:cs="Arial"/>
          <w:b/>
          <w:lang w:val="de-DE"/>
        </w:rPr>
        <w:t>2012</w:t>
      </w:r>
      <w:r w:rsidRPr="00665516">
        <w:rPr>
          <w:rFonts w:cs="Arial"/>
          <w:lang w:val="de-DE"/>
        </w:rPr>
        <w:t xml:space="preserve">, </w:t>
      </w:r>
      <w:r w:rsidRPr="00665516">
        <w:rPr>
          <w:rFonts w:cs="Arial"/>
          <w:i/>
          <w:lang w:val="de-DE"/>
        </w:rPr>
        <w:t>3</w:t>
      </w:r>
      <w:r w:rsidRPr="00665516">
        <w:rPr>
          <w:rFonts w:cs="Arial"/>
          <w:lang w:val="de-DE"/>
        </w:rPr>
        <w:t>, 633</w:t>
      </w:r>
      <w:r w:rsidR="008F75D7" w:rsidRPr="00665516">
        <w:rPr>
          <w:rFonts w:cs="Arial"/>
          <w:lang w:val="de-DE"/>
        </w:rPr>
        <w:t xml:space="preserve"> </w:t>
      </w:r>
      <w:r w:rsidRPr="00665516">
        <w:rPr>
          <w:rFonts w:cs="Arial"/>
          <w:lang w:val="de-DE"/>
        </w:rPr>
        <w:t>–</w:t>
      </w:r>
      <w:r w:rsidR="008F75D7" w:rsidRPr="00665516">
        <w:rPr>
          <w:rFonts w:cs="Arial"/>
          <w:lang w:val="de-DE"/>
        </w:rPr>
        <w:t xml:space="preserve"> </w:t>
      </w:r>
      <w:r w:rsidRPr="00665516">
        <w:rPr>
          <w:rFonts w:cs="Arial"/>
          <w:lang w:val="de-DE"/>
        </w:rPr>
        <w:t xml:space="preserve">658; b) M. Meazza, R. Rios, </w:t>
      </w:r>
      <w:r w:rsidR="005C457E" w:rsidRPr="00665516">
        <w:rPr>
          <w:rFonts w:cs="Arial"/>
          <w:i/>
          <w:lang w:val="de-DE"/>
        </w:rPr>
        <w:t>Synthesis</w:t>
      </w:r>
      <w:r w:rsidR="005C457E" w:rsidRPr="00665516">
        <w:rPr>
          <w:rFonts w:cs="Arial"/>
          <w:lang w:val="de-DE"/>
        </w:rPr>
        <w:t xml:space="preserve"> </w:t>
      </w:r>
      <w:r w:rsidR="005C457E" w:rsidRPr="00665516">
        <w:rPr>
          <w:rFonts w:cs="Arial"/>
          <w:b/>
          <w:lang w:val="de-DE"/>
        </w:rPr>
        <w:t>2016</w:t>
      </w:r>
      <w:r w:rsidR="005C457E" w:rsidRPr="00665516">
        <w:rPr>
          <w:rFonts w:cs="Arial"/>
          <w:lang w:val="de-DE"/>
        </w:rPr>
        <w:t xml:space="preserve">, </w:t>
      </w:r>
      <w:r w:rsidR="005C457E" w:rsidRPr="00665516">
        <w:rPr>
          <w:rFonts w:cs="Arial"/>
          <w:i/>
          <w:lang w:val="de-DE"/>
        </w:rPr>
        <w:t>48</w:t>
      </w:r>
      <w:r w:rsidR="008F75D7" w:rsidRPr="00665516">
        <w:rPr>
          <w:rFonts w:cs="Arial"/>
          <w:lang w:val="de-DE"/>
        </w:rPr>
        <w:t xml:space="preserve">, 960 </w:t>
      </w:r>
      <w:r w:rsidR="008F75D7" w:rsidRPr="00665516">
        <w:rPr>
          <w:rStyle w:val="cit-pagerange"/>
          <w:rFonts w:cs="Arial"/>
          <w:lang w:val="de-DE"/>
        </w:rPr>
        <w:t xml:space="preserve">– </w:t>
      </w:r>
      <w:r w:rsidR="005C457E" w:rsidRPr="00665516">
        <w:rPr>
          <w:rFonts w:cs="Arial"/>
          <w:lang w:val="de-DE"/>
        </w:rPr>
        <w:t xml:space="preserve">973; c) S. Afewerki, A. Cordova, </w:t>
      </w:r>
      <w:r w:rsidR="005C457E" w:rsidRPr="00665516">
        <w:rPr>
          <w:rStyle w:val="cit-title"/>
          <w:rFonts w:cs="Arial"/>
          <w:i/>
          <w:iCs/>
          <w:lang w:val="de-DE"/>
        </w:rPr>
        <w:t xml:space="preserve">Chem. </w:t>
      </w:r>
      <w:r w:rsidR="005C457E" w:rsidRPr="00665516">
        <w:rPr>
          <w:rStyle w:val="cit-title"/>
          <w:rFonts w:cs="Arial"/>
          <w:i/>
          <w:iCs/>
        </w:rPr>
        <w:t>Rev.</w:t>
      </w:r>
      <w:r w:rsidR="005C457E" w:rsidRPr="00665516">
        <w:rPr>
          <w:rFonts w:cs="Arial"/>
        </w:rPr>
        <w:t xml:space="preserve"> </w:t>
      </w:r>
      <w:r w:rsidR="005C457E" w:rsidRPr="00665516">
        <w:rPr>
          <w:rStyle w:val="cit-year-info"/>
          <w:rFonts w:cs="Arial"/>
          <w:b/>
        </w:rPr>
        <w:t>2016</w:t>
      </w:r>
      <w:r w:rsidR="005C457E" w:rsidRPr="00665516">
        <w:rPr>
          <w:rStyle w:val="cit-volume"/>
          <w:rFonts w:cs="Arial"/>
        </w:rPr>
        <w:t xml:space="preserve">, </w:t>
      </w:r>
      <w:r w:rsidR="005C457E" w:rsidRPr="00665516">
        <w:rPr>
          <w:rStyle w:val="cit-volume"/>
          <w:rFonts w:cs="Arial"/>
          <w:i/>
        </w:rPr>
        <w:t>116</w:t>
      </w:r>
      <w:r w:rsidR="005C457E" w:rsidRPr="00665516">
        <w:rPr>
          <w:rStyle w:val="cit-issue"/>
          <w:rFonts w:cs="Arial"/>
        </w:rPr>
        <w:t>, 22</w:t>
      </w:r>
      <w:r w:rsidR="005C457E" w:rsidRPr="00665516">
        <w:rPr>
          <w:rStyle w:val="cit-pagerange"/>
          <w:rFonts w:cs="Arial"/>
        </w:rPr>
        <w:t>, 13512</w:t>
      </w:r>
      <w:r w:rsidR="008F75D7" w:rsidRPr="00665516">
        <w:rPr>
          <w:rStyle w:val="cit-pagerange"/>
          <w:rFonts w:cs="Arial"/>
        </w:rPr>
        <w:t xml:space="preserve"> </w:t>
      </w:r>
      <w:r w:rsidR="005C457E" w:rsidRPr="00665516">
        <w:rPr>
          <w:rStyle w:val="cit-pagerange"/>
          <w:rFonts w:cs="Arial"/>
        </w:rPr>
        <w:t>–</w:t>
      </w:r>
      <w:r w:rsidR="008F75D7" w:rsidRPr="00665516">
        <w:rPr>
          <w:rStyle w:val="cit-pagerange"/>
          <w:rFonts w:cs="Arial"/>
        </w:rPr>
        <w:t xml:space="preserve"> </w:t>
      </w:r>
      <w:r w:rsidR="005C457E" w:rsidRPr="00665516">
        <w:rPr>
          <w:rStyle w:val="cit-pagerange"/>
          <w:rFonts w:cs="Arial"/>
        </w:rPr>
        <w:t>13570.</w:t>
      </w:r>
    </w:p>
    <w:p w:rsidR="00266A61" w:rsidRPr="00441DBC" w:rsidRDefault="00266A61" w:rsidP="00266A61">
      <w:pPr>
        <w:pStyle w:val="References"/>
        <w:rPr>
          <w:rFonts w:cs="Arial"/>
        </w:rPr>
      </w:pPr>
      <w:r w:rsidRPr="00665516">
        <w:rPr>
          <w:rFonts w:cs="Arial"/>
        </w:rPr>
        <w:t>[11]</w:t>
      </w:r>
      <w:r w:rsidRPr="00665516">
        <w:rPr>
          <w:rFonts w:cs="Arial"/>
        </w:rPr>
        <w:tab/>
        <w:t>CCDC 1877640 (</w:t>
      </w:r>
      <w:r w:rsidRPr="00665516">
        <w:rPr>
          <w:rFonts w:cs="Arial"/>
          <w:b/>
        </w:rPr>
        <w:t>5o</w:t>
      </w:r>
      <w:r w:rsidRPr="00665516">
        <w:rPr>
          <w:rFonts w:cs="Arial"/>
        </w:rPr>
        <w:t>) contains the supplementary crystallographic data for this paper. These data are provided free of charge by The Cambridge Crystallographic Data Centre.</w:t>
      </w:r>
      <w:bookmarkStart w:id="0" w:name="_GoBack"/>
      <w:bookmarkEnd w:id="0"/>
    </w:p>
    <w:p w:rsidR="001020D0" w:rsidRPr="00441DBC" w:rsidRDefault="001020D0" w:rsidP="00E379D3">
      <w:pPr>
        <w:pStyle w:val="References"/>
        <w:rPr>
          <w:rFonts w:cs="Arial"/>
        </w:rPr>
      </w:pPr>
    </w:p>
    <w:p w:rsidR="000667F8" w:rsidRPr="00441DBC" w:rsidRDefault="000667F8">
      <w:pPr>
        <w:rPr>
          <w:rFonts w:ascii="Arial" w:hAnsi="Arial" w:cs="Arial"/>
          <w:lang w:val="en-GB"/>
        </w:rPr>
      </w:pPr>
    </w:p>
    <w:p w:rsidR="000667F8" w:rsidRDefault="000667F8">
      <w:pPr>
        <w:pStyle w:val="References"/>
      </w:pPr>
    </w:p>
    <w:p w:rsidR="000667F8" w:rsidRDefault="000667F8">
      <w:pPr>
        <w:rPr>
          <w:lang w:val="en-GB"/>
        </w:rPr>
      </w:pPr>
    </w:p>
    <w:p w:rsidR="000667F8" w:rsidRDefault="000667F8">
      <w:pPr>
        <w:pStyle w:val="References"/>
      </w:pPr>
    </w:p>
    <w:p w:rsidR="000667F8" w:rsidRDefault="000667F8">
      <w:pPr>
        <w:rPr>
          <w:lang w:val="en-GB"/>
        </w:rPr>
      </w:pPr>
    </w:p>
    <w:p w:rsidR="000667F8" w:rsidRDefault="000667F8">
      <w:pPr>
        <w:rPr>
          <w:lang w:val="en-GB"/>
        </w:rPr>
        <w:sectPr w:rsidR="000667F8">
          <w:type w:val="continuous"/>
          <w:pgSz w:w="11906" w:h="16838"/>
          <w:pgMar w:top="1673" w:right="936" w:bottom="1134" w:left="936" w:header="709" w:footer="709" w:gutter="0"/>
          <w:cols w:num="2" w:space="284"/>
          <w:docGrid w:linePitch="360"/>
        </w:sectPr>
      </w:pPr>
    </w:p>
    <w:p w:rsidR="000667F8" w:rsidRDefault="000667F8">
      <w:pPr>
        <w:rPr>
          <w:bCs/>
          <w:lang w:val="en-GB"/>
        </w:rPr>
        <w:sectPr w:rsidR="000667F8">
          <w:type w:val="continuous"/>
          <w:pgSz w:w="11906" w:h="16838"/>
          <w:pgMar w:top="1134" w:right="936" w:bottom="1134" w:left="936" w:header="1021" w:footer="0" w:gutter="0"/>
          <w:cols w:num="2" w:space="284"/>
          <w:docGrid w:linePitch="360"/>
        </w:sectPr>
      </w:pPr>
    </w:p>
    <w:p w:rsidR="000667F8" w:rsidRDefault="000667F8">
      <w:pPr>
        <w:rPr>
          <w:bCs/>
          <w:lang w:val="en-GB"/>
        </w:rPr>
      </w:pPr>
    </w:p>
    <w:p w:rsidR="000667F8" w:rsidRPr="00BE3A1D" w:rsidRDefault="0004009B">
      <w:pPr>
        <w:rPr>
          <w:b/>
          <w:lang w:val="en-GB"/>
        </w:rPr>
      </w:pPr>
      <w:r>
        <w:rPr>
          <w:b/>
          <w:lang w:val="en-GB"/>
        </w:rPr>
        <w:t>Entry for the Table of Contents</w:t>
      </w:r>
    </w:p>
    <w:p w:rsidR="000667F8" w:rsidRDefault="000667F8">
      <w:pPr>
        <w:rPr>
          <w:lang w:val="en-GB"/>
        </w:rPr>
      </w:pPr>
    </w:p>
    <w:p w:rsidR="000667F8" w:rsidRDefault="00DE0A63">
      <w:pPr>
        <w:spacing w:after="240"/>
        <w:rPr>
          <w:lang w:val="en-GB"/>
        </w:rPr>
      </w:pPr>
      <w:r>
        <w:rPr>
          <w:lang w:val="en-GB"/>
        </w:rPr>
        <w:t>Layout 2:</w:t>
      </w:r>
    </w:p>
    <w:tbl>
      <w:tblPr>
        <w:tblW w:w="10093" w:type="dxa"/>
        <w:tblLayout w:type="fixed"/>
        <w:tblLook w:val="04A0" w:firstRow="1" w:lastRow="0" w:firstColumn="1" w:lastColumn="0" w:noHBand="0" w:noVBand="1"/>
      </w:tblPr>
      <w:tblGrid>
        <w:gridCol w:w="6520"/>
        <w:gridCol w:w="284"/>
        <w:gridCol w:w="3289"/>
      </w:tblGrid>
      <w:tr w:rsidR="000667F8">
        <w:trPr>
          <w:trHeight w:hRule="exact" w:val="340"/>
        </w:trPr>
        <w:tc>
          <w:tcPr>
            <w:tcW w:w="10093" w:type="dxa"/>
            <w:gridSpan w:val="3"/>
            <w:tcBorders>
              <w:bottom w:val="single" w:sz="36" w:space="0" w:color="BFBFBF"/>
            </w:tcBorders>
            <w:shd w:val="clear" w:color="auto" w:fill="auto"/>
          </w:tcPr>
          <w:p w:rsidR="000667F8" w:rsidRDefault="0004009B">
            <w:pPr>
              <w:pStyle w:val="ColumnTitleTOC"/>
            </w:pPr>
            <w:r>
              <w:t>COMMUNICATION</w:t>
            </w:r>
          </w:p>
        </w:tc>
      </w:tr>
      <w:tr w:rsidR="000667F8" w:rsidRPr="00DD409B">
        <w:trPr>
          <w:trHeight w:val="340"/>
        </w:trPr>
        <w:tc>
          <w:tcPr>
            <w:tcW w:w="6520" w:type="dxa"/>
            <w:vMerge w:val="restart"/>
            <w:tcBorders>
              <w:top w:val="single" w:sz="36" w:space="0" w:color="BFBFBF"/>
            </w:tcBorders>
            <w:shd w:val="clear" w:color="auto" w:fill="auto"/>
          </w:tcPr>
          <w:p w:rsidR="000667F8" w:rsidRDefault="0004009B">
            <w:pPr>
              <w:pStyle w:val="TableOfContentText"/>
              <w:spacing w:before="1680"/>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-75111</wp:posOffset>
                      </wp:positionH>
                      <wp:positionV relativeFrom="paragraph">
                        <wp:posOffset>72844</wp:posOffset>
                      </wp:positionV>
                      <wp:extent cx="4140200" cy="1181100"/>
                      <wp:effectExtent l="0" t="0" r="635" b="0"/>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1181100"/>
                              </a:xfrm>
                              <a:prstGeom prst="rect">
                                <a:avLst/>
                              </a:prstGeom>
                              <a:solidFill>
                                <a:srgbClr val="EAEAEA"/>
                              </a:solidFill>
                              <a:ln>
                                <a:noFill/>
                              </a:ln>
                            </wps:spPr>
                            <wps:txbx>
                              <w:txbxContent>
                                <w:p w:rsidR="000667F8" w:rsidRDefault="00BE3A1D">
                                  <w:pPr>
                                    <w:spacing w:before="360"/>
                                    <w:jc w:val="center"/>
                                    <w:rPr>
                                      <w:sz w:val="18"/>
                                    </w:rPr>
                                  </w:pPr>
                                  <w:r>
                                    <w:object w:dxaOrig="7914" w:dyaOrig="1781">
                                      <v:shape id="_x0000_i1033" type="#_x0000_t75" style="width:290.25pt;height:65.25pt" o:ole="">
                                        <v:imagedata r:id="rId28" o:title=""/>
                                      </v:shape>
                                      <o:OLEObject Type="Embed" ProgID="ChemDraw.Document.6.0" ShapeID="_x0000_i1033" DrawAspect="Content" ObjectID="_1674393490" r:id="rId29"/>
                                    </w:object>
                                  </w:r>
                                </w:p>
                              </w:txbxContent>
                            </wps:txbx>
                            <wps:bodyPr rot="0" vert="horz" wrap="none" lIns="91440" tIns="45720" rIns="91440" bIns="45720" anchor="t" anchorCtr="0" upright="1">
                              <a:noAutofit/>
                            </wps:bodyPr>
                          </wps:wsp>
                        </a:graphicData>
                      </a:graphic>
                      <wp14:sizeRelV relativeFrom="margin">
                        <wp14:pctHeight>0</wp14:pctHeight>
                      </wp14:sizeRelV>
                    </wp:anchor>
                  </w:drawing>
                </mc:Choice>
                <mc:Fallback xmlns:cx1="http://schemas.microsoft.com/office/drawing/2015/9/8/chartex">
                  <w:pict>
                    <v:rect id="Rectangle 36" o:spid="_x0000_s1027" style="position:absolute;margin-left:-5.9pt;margin-top:5.75pt;width:326pt;height:93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" fillcolor="#eaeaea" stroked="f">
                      <v:textbox>
                        <w:txbxContent>
                          <w:p w:rsidR="000667F8" w:rsidRDefault="00BE3A1D">
                            <w:pPr>
                              <w:spacing w:before="360"/>
                              <w:jc w:val="center"/>
                              <w:rPr>
                                <w:sz w:val="18"/>
                              </w:rPr>
                            </w:pPr>
                            <w:r>
                              <w:object w:dxaOrig="7914" w:dyaOrig="1781">
                                <v:shape id="_x0000_i1052" type="#_x0000_t75" style="width:290.05pt;height:65.45pt" o:ole="">
                                  <v:imagedata r:id="rId30" o:title=""/>
                                </v:shape>
                                <o:OLEObject Type="Embed" ProgID="ChemDraw.Document.6.0" ShapeID="_x0000_i1052" DrawAspect="Content" ObjectID="_1655232043" r:id="rId31"/>
                              </w:object>
                            </w:r>
                          </w:p>
                        </w:txbxContent>
                      </v:textbox>
                    </v:rect>
                  </w:pict>
                </mc:Fallback>
              </mc:AlternateContent>
            </w:r>
            <w:r>
              <w:t>Text for Table of Contents</w:t>
            </w:r>
          </w:p>
        </w:tc>
        <w:tc>
          <w:tcPr>
            <w:tcW w:w="284" w:type="dxa"/>
            <w:tcBorders>
              <w:top w:val="single" w:sz="36" w:space="0" w:color="BFBFBF"/>
            </w:tcBorders>
            <w:shd w:val="clear" w:color="auto" w:fill="auto"/>
          </w:tcPr>
          <w:p w:rsidR="000667F8" w:rsidRDefault="000667F8">
            <w:pPr>
              <w:rPr>
                <w:lang w:val="en-GB"/>
              </w:rPr>
            </w:pPr>
          </w:p>
        </w:tc>
        <w:tc>
          <w:tcPr>
            <w:tcW w:w="3289" w:type="dxa"/>
            <w:vMerge w:val="restart"/>
            <w:tcBorders>
              <w:top w:val="single" w:sz="36" w:space="0" w:color="BFBFBF"/>
            </w:tcBorders>
            <w:shd w:val="clear" w:color="auto" w:fill="auto"/>
          </w:tcPr>
          <w:p w:rsidR="000667F8" w:rsidRPr="00665516" w:rsidRDefault="00DE0A63">
            <w:pPr>
              <w:pStyle w:val="AuthorsTOC"/>
              <w:rPr>
                <w:vertAlign w:val="superscript"/>
                <w:lang w:val="es-ES"/>
              </w:rPr>
            </w:pPr>
            <w:r w:rsidRPr="00DE0A63">
              <w:rPr>
                <w:noProof/>
                <w:lang w:eastAsia="en-GB"/>
              </w:rPr>
              <mc:AlternateContent>
                <mc:Choice Requires="wps">
                  <w:drawing>
                    <wp:anchor distT="180340" distB="0" distL="114300" distR="180340" simplePos="0" relativeHeight="251660800" behindDoc="0" locked="1" layoutInCell="1" allowOverlap="1" wp14:anchorId="333BA8E9" wp14:editId="12CBBD80">
                      <wp:simplePos x="0" y="0"/>
                      <wp:positionH relativeFrom="column">
                        <wp:posOffset>-64135</wp:posOffset>
                      </wp:positionH>
                      <wp:positionV relativeFrom="page">
                        <wp:posOffset>8898890</wp:posOffset>
                      </wp:positionV>
                      <wp:extent cx="3150235" cy="1558290"/>
                      <wp:effectExtent l="7620" t="635" r="4445" b="3175"/>
                      <wp:wrapSquare wrapText="right"/>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wps:spPr>
                            <wps:txbx>
                              <w:txbxContent>
                                <w:p w:rsidR="00DE0A63" w:rsidRDefault="00DE0A63" w:rsidP="00DE0A63">
                                  <w:pPr>
                                    <w:pStyle w:val="Adress"/>
                                    <w:pBdr>
                                      <w:top w:val="single" w:sz="4" w:space="1" w:color="000000"/>
                                    </w:pBdr>
                                    <w:rPr>
                                      <w:lang w:val="en-GB"/>
                                    </w:rPr>
                                  </w:pPr>
                                  <w:r>
                                    <w:rPr>
                                      <w:lang w:val="en-GB"/>
                                    </w:rPr>
                                    <w:t>[a]</w:t>
                                  </w:r>
                                  <w:r>
                                    <w:rPr>
                                      <w:lang w:val="en-GB"/>
                                    </w:rPr>
                                    <w:tab/>
                                    <w:t xml:space="preserve">Dr. </w:t>
                                  </w:r>
                                  <w:r>
                                    <w:rPr>
                                      <w:lang w:val="en-US"/>
                                    </w:rPr>
                                    <w:t>Marta Meazza, Dr. Ramon Rios</w:t>
                                  </w:r>
                                  <w:r>
                                    <w:rPr>
                                      <w:lang w:val="en-GB"/>
                                    </w:rPr>
                                    <w:br/>
                                    <w:t>School of Chemistry, University of Southampton</w:t>
                                  </w:r>
                                  <w:r>
                                    <w:rPr>
                                      <w:highlight w:val="yellow"/>
                                      <w:lang w:val="en-GB"/>
                                    </w:rPr>
                                    <w:br/>
                                  </w:r>
                                  <w:r>
                                    <w:rPr>
                                      <w:lang w:val="en-GB"/>
                                    </w:rPr>
                                    <w:t>Highfield Campus, SO17 1BJ, Southampton, UK</w:t>
                                  </w:r>
                                  <w:r>
                                    <w:rPr>
                                      <w:lang w:val="en-GB"/>
                                    </w:rPr>
                                    <w:br/>
                                    <w:t>E-mail: m.meazza@soton.ac.uk</w:t>
                                  </w:r>
                                </w:p>
                                <w:p w:rsidR="00DE0A63" w:rsidRDefault="00DE0A63" w:rsidP="00DE0A63">
                                  <w:pPr>
                                    <w:pStyle w:val="Footnote"/>
                                  </w:pPr>
                                  <w:r>
                                    <w:tab/>
                                    <w:t>Supporting information for this article is given via a link at the end of the document.</w:t>
                                  </w:r>
                                </w:p>
                              </w:txbxContent>
                            </wps:txbx>
                            <wps:bodyPr rot="0" vert="horz" wrap="square" lIns="91440" tIns="45720" rIns="91440" bIns="45720" anchor="t" anchorCtr="0" upright="1">
                              <a:spAutoFit/>
                            </wps:bodyPr>
                          </wps:wsp>
                        </a:graphicData>
                      </a:graphic>
                    </wp:anchor>
                  </w:drawing>
                </mc:Choice>
                <mc:Fallback xmlns:cx1="http://schemas.microsoft.com/office/drawing/2015/9/8/chartex">
                  <w:pict>
                    <v:shapetype w14:anchorId="333BA8E9" id="_x0000_t202" coordsize="21600,21600" o:spt="202" path="m,l,21600r21600,l21600,xe">
                      <v:stroke joinstyle="miter"/>
                      <v:path gradientshapeok="t" o:connecttype="rect"/>
                    </v:shapetype>
                    <v:shape id="_x0000_s1028" type="#_x0000_t202" style="position:absolute;margin-left:-5.05pt;margin-top:700.7pt;width:248.05pt;height:122.7pt;z-index:251660800;visibility:visible;mso-wrap-style:square;mso-wrap-distance-left:9pt;mso-wrap-distance-top:14.2pt;mso-wrap-distance-right:14.2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" stroked="f">
                      <v:fill opacity="0"/>
                      <v:textbox style="mso-fit-shape-to-text:t">
                        <w:txbxContent>
                          <w:p w:rsidR="00DE0A63" w:rsidRDefault="00DE0A63" w:rsidP="00DE0A63">
                            <w:pPr>
                              <w:pStyle w:val="Adress"/>
                              <w:pBdr>
                                <w:top w:val="single" w:sz="4" w:space="1" w:color="000000"/>
                              </w:pBdr>
                              <w:rPr>
                                <w:lang w:val="en-GB"/>
                              </w:rPr>
                            </w:pPr>
                            <w:r>
                              <w:rPr>
                                <w:lang w:val="en-GB"/>
                              </w:rPr>
                              <w:t>[a]</w:t>
                            </w:r>
                            <w:r>
                              <w:rPr>
                                <w:lang w:val="en-GB"/>
                              </w:rPr>
                              <w:tab/>
                            </w:r>
                            <w:proofErr w:type="spellStart"/>
                            <w:r>
                              <w:rPr>
                                <w:lang w:val="en-GB"/>
                              </w:rPr>
                              <w:t>Dr.</w:t>
                            </w:r>
                            <w:proofErr w:type="spellEnd"/>
                            <w:r>
                              <w:rPr>
                                <w:lang w:val="en-GB"/>
                              </w:rPr>
                              <w:t xml:space="preserve"> </w:t>
                            </w:r>
                            <w:r>
                              <w:rPr>
                                <w:lang w:val="en-US"/>
                              </w:rPr>
                              <w:t>Marta Meazza, Dr. Ramon Rios</w:t>
                            </w:r>
                            <w:r>
                              <w:rPr>
                                <w:lang w:val="en-GB"/>
                              </w:rPr>
                              <w:br/>
                              <w:t>School of Chemistry, University of Southampton</w:t>
                            </w:r>
                            <w:r>
                              <w:rPr>
                                <w:highlight w:val="yellow"/>
                                <w:lang w:val="en-GB"/>
                              </w:rPr>
                              <w:br/>
                            </w:r>
                            <w:r>
                              <w:rPr>
                                <w:lang w:val="en-GB"/>
                              </w:rPr>
                              <w:t>Highfield Campus, SO17 1BJ, Southampton, UK</w:t>
                            </w:r>
                            <w:r>
                              <w:rPr>
                                <w:lang w:val="en-GB"/>
                              </w:rPr>
                              <w:br/>
                              <w:t>E-mail: m.meazza@soton.ac.uk</w:t>
                            </w:r>
                          </w:p>
                          <w:p w:rsidR="00DE0A63" w:rsidRDefault="00DE0A63" w:rsidP="00DE0A63">
                            <w:pPr>
                              <w:pStyle w:val="Footnote"/>
                            </w:pPr>
                            <w:r>
                              <w:tab/>
                              <w:t>Supporting information for this article is given via a link at the end of the document.</w:t>
                            </w:r>
                          </w:p>
                        </w:txbxContent>
                      </v:textbox>
                      <w10:wrap type="square" side="right" anchory="page"/>
                      <w10:anchorlock/>
                    </v:shape>
                  </w:pict>
                </mc:Fallback>
              </mc:AlternateContent>
            </w:r>
            <w:r w:rsidRPr="00665516">
              <w:rPr>
                <w:lang w:val="es-ES"/>
              </w:rPr>
              <w:t>Marta Meazza*, Ramon Rios</w:t>
            </w:r>
          </w:p>
          <w:p w:rsidR="000667F8" w:rsidRPr="00665516" w:rsidRDefault="0004009B">
            <w:pPr>
              <w:pStyle w:val="PageNumbers"/>
              <w:rPr>
                <w:lang w:val="es-ES"/>
              </w:rPr>
            </w:pPr>
            <w:r w:rsidRPr="00665516">
              <w:rPr>
                <w:lang w:val="es-ES"/>
              </w:rPr>
              <w:t>Page No. – Page No.</w:t>
            </w:r>
          </w:p>
          <w:p w:rsidR="000667F8" w:rsidRPr="00DE0A63" w:rsidRDefault="00DE0A63">
            <w:pPr>
              <w:pStyle w:val="TitleTOC"/>
              <w:rPr>
                <w:lang w:val="en-US"/>
              </w:rPr>
            </w:pPr>
            <w:r w:rsidRPr="00DE0A63">
              <w:rPr>
                <w:lang w:val="en-US"/>
              </w:rPr>
              <w:t xml:space="preserve">Highly Regio- and Enantioselective Organocatalytic </w:t>
            </w:r>
            <w:r w:rsidRPr="00DE0A63">
              <w:rPr>
                <w:rFonts w:ascii="Symbol" w:hAnsi="Symbol"/>
                <w:lang w:val="en-US"/>
              </w:rPr>
              <w:t></w:t>
            </w:r>
            <w:r w:rsidRPr="00DE0A63">
              <w:rPr>
                <w:lang w:val="en-US"/>
              </w:rPr>
              <w:t>-Allylic Alkylation of Quinolines</w:t>
            </w:r>
          </w:p>
          <w:p w:rsidR="000667F8" w:rsidRDefault="000667F8">
            <w:pPr>
              <w:rPr>
                <w:lang w:val="en-GB"/>
              </w:rPr>
            </w:pPr>
          </w:p>
        </w:tc>
      </w:tr>
      <w:tr w:rsidR="000667F8" w:rsidRPr="00DD409B">
        <w:trPr>
          <w:trHeight w:hRule="exact" w:val="2722"/>
        </w:trPr>
        <w:tc>
          <w:tcPr>
            <w:tcW w:w="6520" w:type="dxa"/>
            <w:vMerge/>
            <w:shd w:val="clear" w:color="auto" w:fill="auto"/>
          </w:tcPr>
          <w:p w:rsidR="000667F8" w:rsidRDefault="000667F8">
            <w:pPr>
              <w:rPr>
                <w:lang w:val="en-GB"/>
              </w:rPr>
            </w:pPr>
          </w:p>
        </w:tc>
        <w:tc>
          <w:tcPr>
            <w:tcW w:w="284" w:type="dxa"/>
            <w:shd w:val="clear" w:color="auto" w:fill="auto"/>
          </w:tcPr>
          <w:p w:rsidR="000667F8" w:rsidRDefault="000667F8">
            <w:pPr>
              <w:rPr>
                <w:lang w:val="en-GB"/>
              </w:rPr>
            </w:pPr>
          </w:p>
        </w:tc>
        <w:tc>
          <w:tcPr>
            <w:tcW w:w="3289" w:type="dxa"/>
            <w:vMerge/>
            <w:shd w:val="clear" w:color="auto" w:fill="auto"/>
          </w:tcPr>
          <w:p w:rsidR="000667F8" w:rsidRDefault="000667F8">
            <w:pPr>
              <w:rPr>
                <w:lang w:val="en-GB"/>
              </w:rPr>
            </w:pPr>
          </w:p>
        </w:tc>
      </w:tr>
    </w:tbl>
    <w:p w:rsidR="000667F8" w:rsidRDefault="000667F8">
      <w:pPr>
        <w:rPr>
          <w:lang w:val="en-GB"/>
        </w:rPr>
      </w:pPr>
    </w:p>
    <w:p w:rsidR="000667F8" w:rsidRDefault="000667F8">
      <w:pPr>
        <w:rPr>
          <w:bCs/>
          <w:lang w:val="en-GB"/>
        </w:rPr>
      </w:pPr>
    </w:p>
    <w:sectPr w:rsidR="000667F8">
      <w:pgSz w:w="11906" w:h="16838"/>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CD5" w:rsidRDefault="00282CD5">
      <w:pPr>
        <w:spacing w:after="0" w:line="240" w:lineRule="auto"/>
      </w:pPr>
      <w:r>
        <w:separator/>
      </w:r>
    </w:p>
  </w:endnote>
  <w:endnote w:type="continuationSeparator" w:id="0">
    <w:p w:rsidR="00282CD5" w:rsidRDefault="00282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7F8" w:rsidRDefault="000667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7F8" w:rsidRDefault="000667F8">
    <w:pPr>
      <w:pStyle w:val="Footer"/>
      <w:pBdr>
        <w:top w:val="single" w:sz="18" w:space="1" w:color="C0C0C0"/>
      </w:pBdr>
    </w:pPr>
  </w:p>
  <w:p w:rsidR="000667F8" w:rsidRDefault="000667F8">
    <w:pPr>
      <w:pStyle w:val="Footer"/>
    </w:pPr>
  </w:p>
  <w:p w:rsidR="000667F8" w:rsidRDefault="000667F8">
    <w:pPr>
      <w:pStyle w:val="Footer"/>
    </w:pPr>
  </w:p>
  <w:p w:rsidR="000667F8" w:rsidRDefault="000667F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7F8" w:rsidRDefault="000667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CD5" w:rsidRDefault="00282CD5">
      <w:pPr>
        <w:spacing w:after="0" w:line="240" w:lineRule="auto"/>
      </w:pPr>
      <w:r>
        <w:separator/>
      </w:r>
    </w:p>
  </w:footnote>
  <w:footnote w:type="continuationSeparator" w:id="0">
    <w:p w:rsidR="00282CD5" w:rsidRDefault="00282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7F8" w:rsidRDefault="00282CD5">
    <w:pPr>
      <w:pStyle w:val="Header"/>
      <w:pBdr>
        <w:bottom w:val="single" w:sz="36" w:space="1" w:color="C0C0C0"/>
      </w:pBdr>
      <w:rPr>
        <w:rFonts w:ascii="Arial Narrow" w:hAnsi="Arial Narrow" w:cs="Arial"/>
        <w:b/>
        <w:bCs/>
        <w:color w:val="C0C0C0"/>
        <w:sz w:val="36"/>
        <w:szCs w:val="36"/>
      </w:rPr>
    </w:pPr>
    <w:r>
      <w:rPr>
        <w:rFonts w:ascii="Arial Narrow" w:hAnsi="Arial Narrow" w:cs="Arial"/>
        <w:b/>
        <w:bCs/>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mso-width-relative:page;mso-height-relative:page" o:allowincell="f">
          <v:imagedata r:id="rId1" o:title="Wiley-VCH_gedreht" gain="19661f" blacklevel="22938f"/>
          <w10:wrap anchorx="margin" anchory="margin"/>
        </v:shape>
      </w:pict>
    </w:r>
    <w:r w:rsidR="0004009B">
      <w:rPr>
        <w:rFonts w:ascii="Arial Narrow" w:hAnsi="Arial Narrow" w:cs="Arial"/>
        <w:b/>
        <w:bCs/>
        <w:noProof/>
        <w:color w:val="C0C0C0"/>
        <w:sz w:val="40"/>
        <w:szCs w:val="36"/>
        <w:lang w:val="en-GB" w:eastAsia="en-GB"/>
      </w:rPr>
      <w:drawing>
        <wp:inline distT="0" distB="0" distL="0" distR="0">
          <wp:extent cx="145542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455420" cy="365760"/>
                  </a:xfrm>
                  <a:prstGeom prst="rect">
                    <a:avLst/>
                  </a:prstGeom>
                  <a:noFill/>
                  <a:ln>
                    <a:noFill/>
                  </a:ln>
                </pic:spPr>
              </pic:pic>
            </a:graphicData>
          </a:graphic>
        </wp:inline>
      </w:drawing>
    </w:r>
    <w:r w:rsidR="0004009B">
      <w:rPr>
        <w:rFonts w:ascii="Arial Narrow" w:hAnsi="Arial Narrow" w:cs="Arial"/>
        <w:b/>
        <w:bCs/>
        <w:color w:val="C0C0C0"/>
        <w:sz w:val="40"/>
        <w:szCs w:val="36"/>
      </w:rPr>
      <w:tab/>
    </w:r>
    <w:r w:rsidR="0004009B">
      <w:rPr>
        <w:rFonts w:ascii="Arial Narrow" w:hAnsi="Arial Narrow" w:cs="Arial"/>
        <w:b/>
        <w:bCs/>
        <w:color w:val="C0C0C0"/>
        <w:sz w:val="40"/>
        <w:szCs w:val="36"/>
      </w:rPr>
      <w:tab/>
      <w:t xml:space="preserve">                            </w:t>
    </w:r>
    <w:r w:rsidR="0004009B">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7F8" w:rsidRDefault="00282CD5">
    <w:pPr>
      <w:pStyle w:val="Header"/>
      <w:pBdr>
        <w:bottom w:val="single" w:sz="18" w:space="1" w:color="C0C0C0"/>
      </w:pBdr>
      <w:rPr>
        <w:rFonts w:ascii="Arial Narrow" w:hAnsi="Arial Narrow" w:cs="Arial"/>
        <w:sz w:val="32"/>
        <w:szCs w:val="36"/>
      </w:rPr>
    </w:pPr>
    <w:r>
      <w:rPr>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mso-width-relative:page;mso-height-relative:page" o:allowincell="f">
          <v:imagedata r:id="rId1" o:title="Wiley-VCH_gedreht" gain="19661f" blacklevel="22938f"/>
          <w10:wrap anchorx="margin" anchory="margin"/>
        </v:shape>
      </w:pict>
    </w:r>
    <w:r w:rsidR="0004009B">
      <w:rPr>
        <w:noProof/>
        <w:sz w:val="20"/>
        <w:lang w:val="en-GB" w:eastAsia="en-GB"/>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79500" cy="273050"/>
                  </a:xfrm>
                  <a:prstGeom prst="rect">
                    <a:avLst/>
                  </a:prstGeom>
                  <a:noFill/>
                  <a:ln>
                    <a:noFill/>
                  </a:ln>
                </pic:spPr>
              </pic:pic>
            </a:graphicData>
          </a:graphic>
        </wp:anchor>
      </w:drawing>
    </w:r>
    <w:r w:rsidR="0004009B">
      <w:rPr>
        <w:rFonts w:ascii="Arial Narrow" w:hAnsi="Arial Narrow" w:cs="Arial"/>
        <w:b/>
        <w:bCs/>
        <w:color w:val="C0C0C0"/>
        <w:sz w:val="32"/>
        <w:szCs w:val="36"/>
      </w:rPr>
      <w:t>COMMUNICATION</w:t>
    </w:r>
    <w:r w:rsidR="0004009B">
      <w:rPr>
        <w:rFonts w:ascii="Arial Narrow" w:hAnsi="Arial Narrow" w:cs="Arial"/>
        <w:sz w:val="32"/>
        <w:szCs w:val="36"/>
      </w:rPr>
      <w:tab/>
    </w:r>
    <w:r w:rsidR="0004009B">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7F8" w:rsidRDefault="00282CD5">
    <w:pPr>
      <w:pStyle w:val="Header"/>
    </w:pPr>
    <w:r>
      <w:rPr>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mso-width-relative:page;mso-height-relative:page"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8DB"/>
    <w:rsid w:val="0000214A"/>
    <w:rsid w:val="00002DBC"/>
    <w:rsid w:val="00003927"/>
    <w:rsid w:val="0000457A"/>
    <w:rsid w:val="000068B7"/>
    <w:rsid w:val="00010410"/>
    <w:rsid w:val="00011C0D"/>
    <w:rsid w:val="00011D51"/>
    <w:rsid w:val="00013DD7"/>
    <w:rsid w:val="0001469D"/>
    <w:rsid w:val="00015283"/>
    <w:rsid w:val="00020619"/>
    <w:rsid w:val="00022DB4"/>
    <w:rsid w:val="00024ABE"/>
    <w:rsid w:val="00027F3A"/>
    <w:rsid w:val="00033C26"/>
    <w:rsid w:val="00033D1A"/>
    <w:rsid w:val="00033F43"/>
    <w:rsid w:val="00034716"/>
    <w:rsid w:val="00036490"/>
    <w:rsid w:val="0004009B"/>
    <w:rsid w:val="0004091A"/>
    <w:rsid w:val="00042BF0"/>
    <w:rsid w:val="00045AB9"/>
    <w:rsid w:val="00045DF8"/>
    <w:rsid w:val="0005096E"/>
    <w:rsid w:val="00050AEE"/>
    <w:rsid w:val="0005140E"/>
    <w:rsid w:val="00055485"/>
    <w:rsid w:val="0006281D"/>
    <w:rsid w:val="00063E0F"/>
    <w:rsid w:val="0006489B"/>
    <w:rsid w:val="000650AB"/>
    <w:rsid w:val="000667F8"/>
    <w:rsid w:val="0006694D"/>
    <w:rsid w:val="000669E3"/>
    <w:rsid w:val="00066B8E"/>
    <w:rsid w:val="00070B55"/>
    <w:rsid w:val="00070E0D"/>
    <w:rsid w:val="0007315F"/>
    <w:rsid w:val="00077560"/>
    <w:rsid w:val="0008077D"/>
    <w:rsid w:val="00083AAC"/>
    <w:rsid w:val="0009539C"/>
    <w:rsid w:val="00095C2F"/>
    <w:rsid w:val="000A37F3"/>
    <w:rsid w:val="000A58DB"/>
    <w:rsid w:val="000A77DC"/>
    <w:rsid w:val="000B6DF3"/>
    <w:rsid w:val="000C192A"/>
    <w:rsid w:val="000C1DBD"/>
    <w:rsid w:val="000C4579"/>
    <w:rsid w:val="000C53F1"/>
    <w:rsid w:val="000D37AC"/>
    <w:rsid w:val="000D70F8"/>
    <w:rsid w:val="000D75B7"/>
    <w:rsid w:val="000D7701"/>
    <w:rsid w:val="000E0815"/>
    <w:rsid w:val="000E0CEA"/>
    <w:rsid w:val="000E0EC4"/>
    <w:rsid w:val="000E1C81"/>
    <w:rsid w:val="000E517A"/>
    <w:rsid w:val="000E5FDC"/>
    <w:rsid w:val="000E718F"/>
    <w:rsid w:val="000E76B8"/>
    <w:rsid w:val="000F29A4"/>
    <w:rsid w:val="000F2C63"/>
    <w:rsid w:val="000F2EA1"/>
    <w:rsid w:val="000F5BD1"/>
    <w:rsid w:val="000F7847"/>
    <w:rsid w:val="001020D0"/>
    <w:rsid w:val="001037A1"/>
    <w:rsid w:val="00103EF7"/>
    <w:rsid w:val="00104119"/>
    <w:rsid w:val="0010543E"/>
    <w:rsid w:val="00105F97"/>
    <w:rsid w:val="00107E8C"/>
    <w:rsid w:val="00112FE1"/>
    <w:rsid w:val="001158DE"/>
    <w:rsid w:val="0011757B"/>
    <w:rsid w:val="00120F2E"/>
    <w:rsid w:val="0012336D"/>
    <w:rsid w:val="001237B3"/>
    <w:rsid w:val="0012381E"/>
    <w:rsid w:val="00127E5B"/>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06DC"/>
    <w:rsid w:val="0016203E"/>
    <w:rsid w:val="001639AE"/>
    <w:rsid w:val="001654DF"/>
    <w:rsid w:val="00166BEB"/>
    <w:rsid w:val="00166D41"/>
    <w:rsid w:val="001678B6"/>
    <w:rsid w:val="0017048F"/>
    <w:rsid w:val="00172F48"/>
    <w:rsid w:val="001732A4"/>
    <w:rsid w:val="001735A7"/>
    <w:rsid w:val="001800AA"/>
    <w:rsid w:val="0018165B"/>
    <w:rsid w:val="00181774"/>
    <w:rsid w:val="00184380"/>
    <w:rsid w:val="00186601"/>
    <w:rsid w:val="001878D0"/>
    <w:rsid w:val="0019014F"/>
    <w:rsid w:val="00191F3C"/>
    <w:rsid w:val="00194818"/>
    <w:rsid w:val="00194A21"/>
    <w:rsid w:val="00196DEB"/>
    <w:rsid w:val="00197F42"/>
    <w:rsid w:val="001A0D55"/>
    <w:rsid w:val="001A3120"/>
    <w:rsid w:val="001A38D7"/>
    <w:rsid w:val="001A39AE"/>
    <w:rsid w:val="001A438D"/>
    <w:rsid w:val="001B0DFC"/>
    <w:rsid w:val="001C1039"/>
    <w:rsid w:val="001C21E3"/>
    <w:rsid w:val="001C26A7"/>
    <w:rsid w:val="001D0EA4"/>
    <w:rsid w:val="001D1155"/>
    <w:rsid w:val="001D13EA"/>
    <w:rsid w:val="001D216B"/>
    <w:rsid w:val="001D29CA"/>
    <w:rsid w:val="001D54CA"/>
    <w:rsid w:val="001D7ECC"/>
    <w:rsid w:val="001E164A"/>
    <w:rsid w:val="001E2F1C"/>
    <w:rsid w:val="001F1024"/>
    <w:rsid w:val="001F16EF"/>
    <w:rsid w:val="001F1A2D"/>
    <w:rsid w:val="001F252B"/>
    <w:rsid w:val="001F4235"/>
    <w:rsid w:val="001F45C3"/>
    <w:rsid w:val="001F4EE4"/>
    <w:rsid w:val="00200C6E"/>
    <w:rsid w:val="0020306E"/>
    <w:rsid w:val="00205632"/>
    <w:rsid w:val="00212CDE"/>
    <w:rsid w:val="00213D0E"/>
    <w:rsid w:val="002221BA"/>
    <w:rsid w:val="00222D97"/>
    <w:rsid w:val="0022301C"/>
    <w:rsid w:val="0022537E"/>
    <w:rsid w:val="0022582C"/>
    <w:rsid w:val="00232C14"/>
    <w:rsid w:val="002362C7"/>
    <w:rsid w:val="00241D85"/>
    <w:rsid w:val="00242E54"/>
    <w:rsid w:val="002433F0"/>
    <w:rsid w:val="00243927"/>
    <w:rsid w:val="00260EDA"/>
    <w:rsid w:val="00261387"/>
    <w:rsid w:val="00261882"/>
    <w:rsid w:val="0026553A"/>
    <w:rsid w:val="00265DCA"/>
    <w:rsid w:val="00266A61"/>
    <w:rsid w:val="00267F8A"/>
    <w:rsid w:val="002702BC"/>
    <w:rsid w:val="0027068B"/>
    <w:rsid w:val="00282CD5"/>
    <w:rsid w:val="00284843"/>
    <w:rsid w:val="00287256"/>
    <w:rsid w:val="00287B32"/>
    <w:rsid w:val="00291C93"/>
    <w:rsid w:val="002A36FA"/>
    <w:rsid w:val="002A5030"/>
    <w:rsid w:val="002A561E"/>
    <w:rsid w:val="002A69D1"/>
    <w:rsid w:val="002B16E2"/>
    <w:rsid w:val="002B22BA"/>
    <w:rsid w:val="002B25E2"/>
    <w:rsid w:val="002B453B"/>
    <w:rsid w:val="002B7199"/>
    <w:rsid w:val="002B7CA9"/>
    <w:rsid w:val="002C36E0"/>
    <w:rsid w:val="002C3BD0"/>
    <w:rsid w:val="002C6B86"/>
    <w:rsid w:val="002C726A"/>
    <w:rsid w:val="002D0B17"/>
    <w:rsid w:val="002D24CB"/>
    <w:rsid w:val="002D42FF"/>
    <w:rsid w:val="002D5148"/>
    <w:rsid w:val="002D5B99"/>
    <w:rsid w:val="002E066F"/>
    <w:rsid w:val="002E2401"/>
    <w:rsid w:val="002E2CA8"/>
    <w:rsid w:val="002E7F4C"/>
    <w:rsid w:val="002F0269"/>
    <w:rsid w:val="002F1479"/>
    <w:rsid w:val="002F17FB"/>
    <w:rsid w:val="002F56D6"/>
    <w:rsid w:val="002F6A4C"/>
    <w:rsid w:val="002F73A5"/>
    <w:rsid w:val="003004D5"/>
    <w:rsid w:val="003006A7"/>
    <w:rsid w:val="00301167"/>
    <w:rsid w:val="00301D1E"/>
    <w:rsid w:val="00303FBE"/>
    <w:rsid w:val="003040CB"/>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9CA"/>
    <w:rsid w:val="00336A5A"/>
    <w:rsid w:val="003403BB"/>
    <w:rsid w:val="00340A08"/>
    <w:rsid w:val="003447D7"/>
    <w:rsid w:val="0034496B"/>
    <w:rsid w:val="00354B57"/>
    <w:rsid w:val="00364753"/>
    <w:rsid w:val="00364A2A"/>
    <w:rsid w:val="00364E0F"/>
    <w:rsid w:val="00364E45"/>
    <w:rsid w:val="003657B6"/>
    <w:rsid w:val="00366676"/>
    <w:rsid w:val="00375415"/>
    <w:rsid w:val="003760C8"/>
    <w:rsid w:val="00376792"/>
    <w:rsid w:val="00376F37"/>
    <w:rsid w:val="0038014D"/>
    <w:rsid w:val="00382690"/>
    <w:rsid w:val="0038506F"/>
    <w:rsid w:val="00390DD7"/>
    <w:rsid w:val="00396BE2"/>
    <w:rsid w:val="003A1D61"/>
    <w:rsid w:val="003A6B35"/>
    <w:rsid w:val="003B04BA"/>
    <w:rsid w:val="003B0FC4"/>
    <w:rsid w:val="003B12FF"/>
    <w:rsid w:val="003B2EB8"/>
    <w:rsid w:val="003B6C60"/>
    <w:rsid w:val="003B70C8"/>
    <w:rsid w:val="003C134A"/>
    <w:rsid w:val="003C1CCA"/>
    <w:rsid w:val="003C2972"/>
    <w:rsid w:val="003C2C9C"/>
    <w:rsid w:val="003C6E1A"/>
    <w:rsid w:val="003D0F51"/>
    <w:rsid w:val="003D1C1A"/>
    <w:rsid w:val="003D617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0AA8"/>
    <w:rsid w:val="00431151"/>
    <w:rsid w:val="00432307"/>
    <w:rsid w:val="00435D6F"/>
    <w:rsid w:val="00436338"/>
    <w:rsid w:val="00437B5A"/>
    <w:rsid w:val="00441DBC"/>
    <w:rsid w:val="004435AB"/>
    <w:rsid w:val="00444E3C"/>
    <w:rsid w:val="0044534B"/>
    <w:rsid w:val="00445D5C"/>
    <w:rsid w:val="004465F9"/>
    <w:rsid w:val="004466B0"/>
    <w:rsid w:val="0045477D"/>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3B31"/>
    <w:rsid w:val="004841CA"/>
    <w:rsid w:val="00485C84"/>
    <w:rsid w:val="00486215"/>
    <w:rsid w:val="0048630D"/>
    <w:rsid w:val="00490E63"/>
    <w:rsid w:val="004921CF"/>
    <w:rsid w:val="004930F0"/>
    <w:rsid w:val="00497271"/>
    <w:rsid w:val="004A0BA8"/>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C14B8"/>
    <w:rsid w:val="004C1836"/>
    <w:rsid w:val="004C22E6"/>
    <w:rsid w:val="004C2834"/>
    <w:rsid w:val="004C2FAC"/>
    <w:rsid w:val="004C3CC9"/>
    <w:rsid w:val="004C471F"/>
    <w:rsid w:val="004C5F41"/>
    <w:rsid w:val="004C6D04"/>
    <w:rsid w:val="004D090A"/>
    <w:rsid w:val="004D31C6"/>
    <w:rsid w:val="004D4293"/>
    <w:rsid w:val="004D5ABB"/>
    <w:rsid w:val="004D6DB8"/>
    <w:rsid w:val="004E0BDE"/>
    <w:rsid w:val="004E3F83"/>
    <w:rsid w:val="004E4A53"/>
    <w:rsid w:val="004E4DFF"/>
    <w:rsid w:val="004E5278"/>
    <w:rsid w:val="004E74F4"/>
    <w:rsid w:val="004F0129"/>
    <w:rsid w:val="004F257F"/>
    <w:rsid w:val="004F35CD"/>
    <w:rsid w:val="004F49F8"/>
    <w:rsid w:val="004F6E98"/>
    <w:rsid w:val="00501639"/>
    <w:rsid w:val="00501EFF"/>
    <w:rsid w:val="0050277D"/>
    <w:rsid w:val="005035EB"/>
    <w:rsid w:val="0050689B"/>
    <w:rsid w:val="005068AA"/>
    <w:rsid w:val="00506EDB"/>
    <w:rsid w:val="00511093"/>
    <w:rsid w:val="00512641"/>
    <w:rsid w:val="00512A8E"/>
    <w:rsid w:val="00520422"/>
    <w:rsid w:val="0052085F"/>
    <w:rsid w:val="0052404D"/>
    <w:rsid w:val="005261D0"/>
    <w:rsid w:val="00527D68"/>
    <w:rsid w:val="00530284"/>
    <w:rsid w:val="005321B0"/>
    <w:rsid w:val="0053418A"/>
    <w:rsid w:val="005349D6"/>
    <w:rsid w:val="005352D1"/>
    <w:rsid w:val="00536BC1"/>
    <w:rsid w:val="00537F36"/>
    <w:rsid w:val="00541205"/>
    <w:rsid w:val="005420E7"/>
    <w:rsid w:val="005433DE"/>
    <w:rsid w:val="0054420E"/>
    <w:rsid w:val="00545584"/>
    <w:rsid w:val="005472E5"/>
    <w:rsid w:val="0055057E"/>
    <w:rsid w:val="00550B0C"/>
    <w:rsid w:val="0055113D"/>
    <w:rsid w:val="005551F3"/>
    <w:rsid w:val="00556A65"/>
    <w:rsid w:val="00561C0E"/>
    <w:rsid w:val="005662EA"/>
    <w:rsid w:val="00567B5A"/>
    <w:rsid w:val="00567C18"/>
    <w:rsid w:val="0057009B"/>
    <w:rsid w:val="005735B3"/>
    <w:rsid w:val="005801F0"/>
    <w:rsid w:val="00580EAF"/>
    <w:rsid w:val="005826CC"/>
    <w:rsid w:val="005839B9"/>
    <w:rsid w:val="00586DF8"/>
    <w:rsid w:val="00591AB8"/>
    <w:rsid w:val="00597954"/>
    <w:rsid w:val="005B10C2"/>
    <w:rsid w:val="005B15A7"/>
    <w:rsid w:val="005B3509"/>
    <w:rsid w:val="005B430B"/>
    <w:rsid w:val="005B43B7"/>
    <w:rsid w:val="005B5D4F"/>
    <w:rsid w:val="005B6716"/>
    <w:rsid w:val="005B6C80"/>
    <w:rsid w:val="005B71FC"/>
    <w:rsid w:val="005C01D2"/>
    <w:rsid w:val="005C08BF"/>
    <w:rsid w:val="005C457E"/>
    <w:rsid w:val="005C4CEE"/>
    <w:rsid w:val="005C4F38"/>
    <w:rsid w:val="005C5196"/>
    <w:rsid w:val="005D1EBB"/>
    <w:rsid w:val="005D3A1E"/>
    <w:rsid w:val="005D43FD"/>
    <w:rsid w:val="005D57EE"/>
    <w:rsid w:val="005D65E6"/>
    <w:rsid w:val="005E6E22"/>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7F57"/>
    <w:rsid w:val="00644209"/>
    <w:rsid w:val="00647525"/>
    <w:rsid w:val="006479FE"/>
    <w:rsid w:val="00654E17"/>
    <w:rsid w:val="00656634"/>
    <w:rsid w:val="0066216C"/>
    <w:rsid w:val="00665516"/>
    <w:rsid w:val="00665E34"/>
    <w:rsid w:val="006675EA"/>
    <w:rsid w:val="00671B81"/>
    <w:rsid w:val="00671E1E"/>
    <w:rsid w:val="006722A0"/>
    <w:rsid w:val="006724B9"/>
    <w:rsid w:val="00672587"/>
    <w:rsid w:val="006726FE"/>
    <w:rsid w:val="00672D95"/>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2F63"/>
    <w:rsid w:val="00710691"/>
    <w:rsid w:val="00710812"/>
    <w:rsid w:val="00711E9D"/>
    <w:rsid w:val="007130CE"/>
    <w:rsid w:val="00713548"/>
    <w:rsid w:val="00713B1C"/>
    <w:rsid w:val="00714DB9"/>
    <w:rsid w:val="00714DC9"/>
    <w:rsid w:val="007162E4"/>
    <w:rsid w:val="0071700B"/>
    <w:rsid w:val="00717BD5"/>
    <w:rsid w:val="00720FED"/>
    <w:rsid w:val="007249D7"/>
    <w:rsid w:val="007252DA"/>
    <w:rsid w:val="00732798"/>
    <w:rsid w:val="00737264"/>
    <w:rsid w:val="007406C2"/>
    <w:rsid w:val="007407AE"/>
    <w:rsid w:val="007408CD"/>
    <w:rsid w:val="00740CE1"/>
    <w:rsid w:val="0074126C"/>
    <w:rsid w:val="00741B47"/>
    <w:rsid w:val="00745DE7"/>
    <w:rsid w:val="00746C0D"/>
    <w:rsid w:val="00750326"/>
    <w:rsid w:val="0075278E"/>
    <w:rsid w:val="007535AA"/>
    <w:rsid w:val="00754F5F"/>
    <w:rsid w:val="007558D9"/>
    <w:rsid w:val="00757401"/>
    <w:rsid w:val="00757673"/>
    <w:rsid w:val="007576FA"/>
    <w:rsid w:val="00757C71"/>
    <w:rsid w:val="00763D77"/>
    <w:rsid w:val="00763EDE"/>
    <w:rsid w:val="00764F01"/>
    <w:rsid w:val="00765C4D"/>
    <w:rsid w:val="007663E0"/>
    <w:rsid w:val="00770613"/>
    <w:rsid w:val="007713B9"/>
    <w:rsid w:val="00773904"/>
    <w:rsid w:val="00773C4B"/>
    <w:rsid w:val="00773D16"/>
    <w:rsid w:val="007740A8"/>
    <w:rsid w:val="00775C8A"/>
    <w:rsid w:val="00775F73"/>
    <w:rsid w:val="007776E8"/>
    <w:rsid w:val="007815C4"/>
    <w:rsid w:val="0078291A"/>
    <w:rsid w:val="00783FBE"/>
    <w:rsid w:val="0078628B"/>
    <w:rsid w:val="0078784C"/>
    <w:rsid w:val="00791E6F"/>
    <w:rsid w:val="007958BF"/>
    <w:rsid w:val="007A6D99"/>
    <w:rsid w:val="007A712B"/>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202F"/>
    <w:rsid w:val="007F20D9"/>
    <w:rsid w:val="007F4343"/>
    <w:rsid w:val="007F46F6"/>
    <w:rsid w:val="007F664A"/>
    <w:rsid w:val="007F66E6"/>
    <w:rsid w:val="007F68CC"/>
    <w:rsid w:val="00804822"/>
    <w:rsid w:val="0080636B"/>
    <w:rsid w:val="00813005"/>
    <w:rsid w:val="00813FEF"/>
    <w:rsid w:val="00817ACD"/>
    <w:rsid w:val="00823310"/>
    <w:rsid w:val="008249B7"/>
    <w:rsid w:val="00826879"/>
    <w:rsid w:val="008272FD"/>
    <w:rsid w:val="008274A5"/>
    <w:rsid w:val="00827A4E"/>
    <w:rsid w:val="00832891"/>
    <w:rsid w:val="008339A8"/>
    <w:rsid w:val="00833D4E"/>
    <w:rsid w:val="00836959"/>
    <w:rsid w:val="00843A60"/>
    <w:rsid w:val="0084748A"/>
    <w:rsid w:val="00847D4E"/>
    <w:rsid w:val="00851D03"/>
    <w:rsid w:val="008536CE"/>
    <w:rsid w:val="00854C3B"/>
    <w:rsid w:val="00855988"/>
    <w:rsid w:val="00856D80"/>
    <w:rsid w:val="00860C40"/>
    <w:rsid w:val="00862A5B"/>
    <w:rsid w:val="00862D4C"/>
    <w:rsid w:val="0086441B"/>
    <w:rsid w:val="00865C7C"/>
    <w:rsid w:val="00870558"/>
    <w:rsid w:val="00873E64"/>
    <w:rsid w:val="00874EBC"/>
    <w:rsid w:val="00875FFC"/>
    <w:rsid w:val="008773A8"/>
    <w:rsid w:val="00880861"/>
    <w:rsid w:val="00884733"/>
    <w:rsid w:val="00886901"/>
    <w:rsid w:val="008923EB"/>
    <w:rsid w:val="008935DC"/>
    <w:rsid w:val="00896252"/>
    <w:rsid w:val="0089651C"/>
    <w:rsid w:val="00896608"/>
    <w:rsid w:val="008A3607"/>
    <w:rsid w:val="008A75A2"/>
    <w:rsid w:val="008C0905"/>
    <w:rsid w:val="008C26A3"/>
    <w:rsid w:val="008C4A56"/>
    <w:rsid w:val="008C642F"/>
    <w:rsid w:val="008D03B8"/>
    <w:rsid w:val="008D05CC"/>
    <w:rsid w:val="008D0D68"/>
    <w:rsid w:val="008D306F"/>
    <w:rsid w:val="008D3292"/>
    <w:rsid w:val="008D3912"/>
    <w:rsid w:val="008D4885"/>
    <w:rsid w:val="008D6E41"/>
    <w:rsid w:val="008E1877"/>
    <w:rsid w:val="008E4C32"/>
    <w:rsid w:val="008E4E12"/>
    <w:rsid w:val="008F195C"/>
    <w:rsid w:val="008F3789"/>
    <w:rsid w:val="008F525A"/>
    <w:rsid w:val="008F5663"/>
    <w:rsid w:val="008F6D3F"/>
    <w:rsid w:val="008F71A1"/>
    <w:rsid w:val="008F75D7"/>
    <w:rsid w:val="008F7FE1"/>
    <w:rsid w:val="00900B9E"/>
    <w:rsid w:val="00901A45"/>
    <w:rsid w:val="00902AF3"/>
    <w:rsid w:val="00915FA4"/>
    <w:rsid w:val="00916FCA"/>
    <w:rsid w:val="009179FB"/>
    <w:rsid w:val="009203FD"/>
    <w:rsid w:val="0092483C"/>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8401D"/>
    <w:rsid w:val="009849E5"/>
    <w:rsid w:val="0098683C"/>
    <w:rsid w:val="0098753E"/>
    <w:rsid w:val="009923A9"/>
    <w:rsid w:val="00993B14"/>
    <w:rsid w:val="00996071"/>
    <w:rsid w:val="009964CD"/>
    <w:rsid w:val="00997637"/>
    <w:rsid w:val="009A27D2"/>
    <w:rsid w:val="009A3E4B"/>
    <w:rsid w:val="009A53C8"/>
    <w:rsid w:val="009A6414"/>
    <w:rsid w:val="009A6973"/>
    <w:rsid w:val="009B3D65"/>
    <w:rsid w:val="009B426B"/>
    <w:rsid w:val="009B5513"/>
    <w:rsid w:val="009B626F"/>
    <w:rsid w:val="009B7251"/>
    <w:rsid w:val="009C0ABF"/>
    <w:rsid w:val="009C43E7"/>
    <w:rsid w:val="009D14CA"/>
    <w:rsid w:val="009D5757"/>
    <w:rsid w:val="009D58EF"/>
    <w:rsid w:val="009D7DB0"/>
    <w:rsid w:val="009E1D78"/>
    <w:rsid w:val="009E20AB"/>
    <w:rsid w:val="009E295D"/>
    <w:rsid w:val="009E448D"/>
    <w:rsid w:val="009E5B17"/>
    <w:rsid w:val="009E78B5"/>
    <w:rsid w:val="009E7925"/>
    <w:rsid w:val="009E798E"/>
    <w:rsid w:val="009F0C8C"/>
    <w:rsid w:val="009F1127"/>
    <w:rsid w:val="009F271D"/>
    <w:rsid w:val="009F4E1E"/>
    <w:rsid w:val="009F6FBF"/>
    <w:rsid w:val="009F70DC"/>
    <w:rsid w:val="00A001C3"/>
    <w:rsid w:val="00A02C15"/>
    <w:rsid w:val="00A0349A"/>
    <w:rsid w:val="00A04427"/>
    <w:rsid w:val="00A04B91"/>
    <w:rsid w:val="00A04D83"/>
    <w:rsid w:val="00A054B0"/>
    <w:rsid w:val="00A069E1"/>
    <w:rsid w:val="00A1019C"/>
    <w:rsid w:val="00A11648"/>
    <w:rsid w:val="00A178AE"/>
    <w:rsid w:val="00A17E0C"/>
    <w:rsid w:val="00A2029A"/>
    <w:rsid w:val="00A24878"/>
    <w:rsid w:val="00A25ED4"/>
    <w:rsid w:val="00A26E89"/>
    <w:rsid w:val="00A30DC0"/>
    <w:rsid w:val="00A32D0C"/>
    <w:rsid w:val="00A33868"/>
    <w:rsid w:val="00A3587B"/>
    <w:rsid w:val="00A41956"/>
    <w:rsid w:val="00A42756"/>
    <w:rsid w:val="00A4397B"/>
    <w:rsid w:val="00A43EB3"/>
    <w:rsid w:val="00A44DD4"/>
    <w:rsid w:val="00A47DD9"/>
    <w:rsid w:val="00A50FB9"/>
    <w:rsid w:val="00A51F4E"/>
    <w:rsid w:val="00A52C1F"/>
    <w:rsid w:val="00A5397B"/>
    <w:rsid w:val="00A54DA6"/>
    <w:rsid w:val="00A57D58"/>
    <w:rsid w:val="00A6116D"/>
    <w:rsid w:val="00A65F2C"/>
    <w:rsid w:val="00A66775"/>
    <w:rsid w:val="00A67C46"/>
    <w:rsid w:val="00A71DC3"/>
    <w:rsid w:val="00A72188"/>
    <w:rsid w:val="00A734EF"/>
    <w:rsid w:val="00A737D3"/>
    <w:rsid w:val="00A73873"/>
    <w:rsid w:val="00A8041F"/>
    <w:rsid w:val="00A8062A"/>
    <w:rsid w:val="00A807A5"/>
    <w:rsid w:val="00A842F8"/>
    <w:rsid w:val="00A8458D"/>
    <w:rsid w:val="00A87B0A"/>
    <w:rsid w:val="00A93198"/>
    <w:rsid w:val="00A9668D"/>
    <w:rsid w:val="00A968D0"/>
    <w:rsid w:val="00A97137"/>
    <w:rsid w:val="00AA1BF0"/>
    <w:rsid w:val="00AA4441"/>
    <w:rsid w:val="00AA5045"/>
    <w:rsid w:val="00AA73FE"/>
    <w:rsid w:val="00AA7D8F"/>
    <w:rsid w:val="00AB14AF"/>
    <w:rsid w:val="00AC2E6D"/>
    <w:rsid w:val="00AC390C"/>
    <w:rsid w:val="00AC51F3"/>
    <w:rsid w:val="00AC532F"/>
    <w:rsid w:val="00AC710B"/>
    <w:rsid w:val="00AC768E"/>
    <w:rsid w:val="00AC7B67"/>
    <w:rsid w:val="00AD06EF"/>
    <w:rsid w:val="00AD0B89"/>
    <w:rsid w:val="00AD47D4"/>
    <w:rsid w:val="00AD62D8"/>
    <w:rsid w:val="00AE1546"/>
    <w:rsid w:val="00AE33D9"/>
    <w:rsid w:val="00AE7A63"/>
    <w:rsid w:val="00AF267E"/>
    <w:rsid w:val="00AF381A"/>
    <w:rsid w:val="00AF6312"/>
    <w:rsid w:val="00AF63C3"/>
    <w:rsid w:val="00AF7CE1"/>
    <w:rsid w:val="00B00E7C"/>
    <w:rsid w:val="00B011E3"/>
    <w:rsid w:val="00B01588"/>
    <w:rsid w:val="00B0301F"/>
    <w:rsid w:val="00B0351C"/>
    <w:rsid w:val="00B03934"/>
    <w:rsid w:val="00B043EB"/>
    <w:rsid w:val="00B048B1"/>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BF8"/>
    <w:rsid w:val="00B64D08"/>
    <w:rsid w:val="00B70A39"/>
    <w:rsid w:val="00B70AB2"/>
    <w:rsid w:val="00B72EEE"/>
    <w:rsid w:val="00B76F14"/>
    <w:rsid w:val="00B76F72"/>
    <w:rsid w:val="00B809B1"/>
    <w:rsid w:val="00B824F1"/>
    <w:rsid w:val="00B87183"/>
    <w:rsid w:val="00B87462"/>
    <w:rsid w:val="00B92AD4"/>
    <w:rsid w:val="00BA1684"/>
    <w:rsid w:val="00BB1819"/>
    <w:rsid w:val="00BB42DF"/>
    <w:rsid w:val="00BB4EBA"/>
    <w:rsid w:val="00BB5DA9"/>
    <w:rsid w:val="00BC0126"/>
    <w:rsid w:val="00BC014F"/>
    <w:rsid w:val="00BC0164"/>
    <w:rsid w:val="00BC28D4"/>
    <w:rsid w:val="00BC30D3"/>
    <w:rsid w:val="00BC5B54"/>
    <w:rsid w:val="00BC78A2"/>
    <w:rsid w:val="00BD142D"/>
    <w:rsid w:val="00BD505D"/>
    <w:rsid w:val="00BD61A7"/>
    <w:rsid w:val="00BE09CA"/>
    <w:rsid w:val="00BE114C"/>
    <w:rsid w:val="00BE3A1D"/>
    <w:rsid w:val="00BE6376"/>
    <w:rsid w:val="00BE7761"/>
    <w:rsid w:val="00BF03A9"/>
    <w:rsid w:val="00BF0F57"/>
    <w:rsid w:val="00BF14BC"/>
    <w:rsid w:val="00BF7292"/>
    <w:rsid w:val="00C00948"/>
    <w:rsid w:val="00C047F9"/>
    <w:rsid w:val="00C06CDB"/>
    <w:rsid w:val="00C06D0F"/>
    <w:rsid w:val="00C070FB"/>
    <w:rsid w:val="00C13799"/>
    <w:rsid w:val="00C2460C"/>
    <w:rsid w:val="00C2552A"/>
    <w:rsid w:val="00C308BE"/>
    <w:rsid w:val="00C31F57"/>
    <w:rsid w:val="00C31F5F"/>
    <w:rsid w:val="00C32053"/>
    <w:rsid w:val="00C36154"/>
    <w:rsid w:val="00C40FD8"/>
    <w:rsid w:val="00C41733"/>
    <w:rsid w:val="00C42804"/>
    <w:rsid w:val="00C43D44"/>
    <w:rsid w:val="00C462C4"/>
    <w:rsid w:val="00C55A65"/>
    <w:rsid w:val="00C60C71"/>
    <w:rsid w:val="00C632B3"/>
    <w:rsid w:val="00C63B7C"/>
    <w:rsid w:val="00C70D48"/>
    <w:rsid w:val="00C71038"/>
    <w:rsid w:val="00C7592C"/>
    <w:rsid w:val="00C77158"/>
    <w:rsid w:val="00C77DFE"/>
    <w:rsid w:val="00C80D4B"/>
    <w:rsid w:val="00C8278A"/>
    <w:rsid w:val="00C8558C"/>
    <w:rsid w:val="00C859CD"/>
    <w:rsid w:val="00C85ABE"/>
    <w:rsid w:val="00C87571"/>
    <w:rsid w:val="00C90A57"/>
    <w:rsid w:val="00C91F07"/>
    <w:rsid w:val="00C92120"/>
    <w:rsid w:val="00C942FC"/>
    <w:rsid w:val="00C95CA6"/>
    <w:rsid w:val="00C966DA"/>
    <w:rsid w:val="00C976B2"/>
    <w:rsid w:val="00CA1213"/>
    <w:rsid w:val="00CA2E29"/>
    <w:rsid w:val="00CA3607"/>
    <w:rsid w:val="00CA72F1"/>
    <w:rsid w:val="00CB0CF2"/>
    <w:rsid w:val="00CB179D"/>
    <w:rsid w:val="00CB2DCB"/>
    <w:rsid w:val="00CB4591"/>
    <w:rsid w:val="00CB6F85"/>
    <w:rsid w:val="00CC0473"/>
    <w:rsid w:val="00CC1794"/>
    <w:rsid w:val="00CC1E8D"/>
    <w:rsid w:val="00CC3970"/>
    <w:rsid w:val="00CC3ED1"/>
    <w:rsid w:val="00CC4988"/>
    <w:rsid w:val="00CD66D5"/>
    <w:rsid w:val="00CE0A40"/>
    <w:rsid w:val="00CE1852"/>
    <w:rsid w:val="00CE2946"/>
    <w:rsid w:val="00CE4329"/>
    <w:rsid w:val="00CF1014"/>
    <w:rsid w:val="00CF133A"/>
    <w:rsid w:val="00CF7619"/>
    <w:rsid w:val="00D00EA0"/>
    <w:rsid w:val="00D01999"/>
    <w:rsid w:val="00D01A50"/>
    <w:rsid w:val="00D02AFB"/>
    <w:rsid w:val="00D05D33"/>
    <w:rsid w:val="00D12C96"/>
    <w:rsid w:val="00D15DD4"/>
    <w:rsid w:val="00D160F3"/>
    <w:rsid w:val="00D17B72"/>
    <w:rsid w:val="00D17E86"/>
    <w:rsid w:val="00D201E6"/>
    <w:rsid w:val="00D20FFB"/>
    <w:rsid w:val="00D23118"/>
    <w:rsid w:val="00D2517E"/>
    <w:rsid w:val="00D25CD7"/>
    <w:rsid w:val="00D27D96"/>
    <w:rsid w:val="00D3261D"/>
    <w:rsid w:val="00D3271B"/>
    <w:rsid w:val="00D33A08"/>
    <w:rsid w:val="00D35F06"/>
    <w:rsid w:val="00D36226"/>
    <w:rsid w:val="00D455D4"/>
    <w:rsid w:val="00D45E62"/>
    <w:rsid w:val="00D46DC4"/>
    <w:rsid w:val="00D5062B"/>
    <w:rsid w:val="00D53541"/>
    <w:rsid w:val="00D55E39"/>
    <w:rsid w:val="00D60633"/>
    <w:rsid w:val="00D620FF"/>
    <w:rsid w:val="00D63E1C"/>
    <w:rsid w:val="00D65A90"/>
    <w:rsid w:val="00D65BF3"/>
    <w:rsid w:val="00D73D35"/>
    <w:rsid w:val="00D74C34"/>
    <w:rsid w:val="00D761E4"/>
    <w:rsid w:val="00D7679A"/>
    <w:rsid w:val="00D76A3B"/>
    <w:rsid w:val="00D83505"/>
    <w:rsid w:val="00D872B1"/>
    <w:rsid w:val="00D91D07"/>
    <w:rsid w:val="00D95AFA"/>
    <w:rsid w:val="00DA1727"/>
    <w:rsid w:val="00DA25B6"/>
    <w:rsid w:val="00DA55F6"/>
    <w:rsid w:val="00DC1CC0"/>
    <w:rsid w:val="00DC273F"/>
    <w:rsid w:val="00DC38B8"/>
    <w:rsid w:val="00DC4475"/>
    <w:rsid w:val="00DC58C0"/>
    <w:rsid w:val="00DD3A2B"/>
    <w:rsid w:val="00DD409B"/>
    <w:rsid w:val="00DD5A2F"/>
    <w:rsid w:val="00DD61DE"/>
    <w:rsid w:val="00DD6641"/>
    <w:rsid w:val="00DD7094"/>
    <w:rsid w:val="00DE0A63"/>
    <w:rsid w:val="00DE0BEB"/>
    <w:rsid w:val="00DE11A5"/>
    <w:rsid w:val="00DE25A0"/>
    <w:rsid w:val="00DE4E91"/>
    <w:rsid w:val="00DF0B35"/>
    <w:rsid w:val="00DF39D2"/>
    <w:rsid w:val="00DF56A7"/>
    <w:rsid w:val="00DF6BBB"/>
    <w:rsid w:val="00DF7117"/>
    <w:rsid w:val="00DF7125"/>
    <w:rsid w:val="00E0036F"/>
    <w:rsid w:val="00E017F3"/>
    <w:rsid w:val="00E01912"/>
    <w:rsid w:val="00E02E61"/>
    <w:rsid w:val="00E02FD6"/>
    <w:rsid w:val="00E03C31"/>
    <w:rsid w:val="00E04749"/>
    <w:rsid w:val="00E07A22"/>
    <w:rsid w:val="00E10161"/>
    <w:rsid w:val="00E125B6"/>
    <w:rsid w:val="00E13103"/>
    <w:rsid w:val="00E16674"/>
    <w:rsid w:val="00E21911"/>
    <w:rsid w:val="00E2417A"/>
    <w:rsid w:val="00E25B4B"/>
    <w:rsid w:val="00E26437"/>
    <w:rsid w:val="00E3483E"/>
    <w:rsid w:val="00E379D3"/>
    <w:rsid w:val="00E37F4B"/>
    <w:rsid w:val="00E411A9"/>
    <w:rsid w:val="00E4350D"/>
    <w:rsid w:val="00E4387D"/>
    <w:rsid w:val="00E43A22"/>
    <w:rsid w:val="00E50FDE"/>
    <w:rsid w:val="00E5325E"/>
    <w:rsid w:val="00E54CEB"/>
    <w:rsid w:val="00E557D7"/>
    <w:rsid w:val="00E55E85"/>
    <w:rsid w:val="00E55EED"/>
    <w:rsid w:val="00E560EA"/>
    <w:rsid w:val="00E62588"/>
    <w:rsid w:val="00E6313E"/>
    <w:rsid w:val="00E7396A"/>
    <w:rsid w:val="00E73FD6"/>
    <w:rsid w:val="00E74EFA"/>
    <w:rsid w:val="00E75850"/>
    <w:rsid w:val="00E76CD4"/>
    <w:rsid w:val="00E868E9"/>
    <w:rsid w:val="00E86CF4"/>
    <w:rsid w:val="00E90586"/>
    <w:rsid w:val="00E91181"/>
    <w:rsid w:val="00E9183E"/>
    <w:rsid w:val="00E91C1D"/>
    <w:rsid w:val="00E936B6"/>
    <w:rsid w:val="00E94476"/>
    <w:rsid w:val="00E948E4"/>
    <w:rsid w:val="00E95A1E"/>
    <w:rsid w:val="00E960BA"/>
    <w:rsid w:val="00E96C90"/>
    <w:rsid w:val="00E9768D"/>
    <w:rsid w:val="00EA067A"/>
    <w:rsid w:val="00EA090D"/>
    <w:rsid w:val="00EA1A26"/>
    <w:rsid w:val="00EA23A1"/>
    <w:rsid w:val="00EA2F92"/>
    <w:rsid w:val="00EA5A23"/>
    <w:rsid w:val="00EA5AB8"/>
    <w:rsid w:val="00EA7141"/>
    <w:rsid w:val="00EB27E9"/>
    <w:rsid w:val="00EB420B"/>
    <w:rsid w:val="00EB5774"/>
    <w:rsid w:val="00EB6169"/>
    <w:rsid w:val="00EB64CF"/>
    <w:rsid w:val="00EB74A3"/>
    <w:rsid w:val="00EC1F3E"/>
    <w:rsid w:val="00EC5166"/>
    <w:rsid w:val="00EC65CA"/>
    <w:rsid w:val="00EC7D97"/>
    <w:rsid w:val="00ED2C01"/>
    <w:rsid w:val="00ED7B9C"/>
    <w:rsid w:val="00EE2467"/>
    <w:rsid w:val="00EE3131"/>
    <w:rsid w:val="00EE6D9A"/>
    <w:rsid w:val="00EE7426"/>
    <w:rsid w:val="00EF0027"/>
    <w:rsid w:val="00EF0F49"/>
    <w:rsid w:val="00EF26EB"/>
    <w:rsid w:val="00EF291C"/>
    <w:rsid w:val="00EF584E"/>
    <w:rsid w:val="00F007F5"/>
    <w:rsid w:val="00F01A13"/>
    <w:rsid w:val="00F01D4C"/>
    <w:rsid w:val="00F02583"/>
    <w:rsid w:val="00F04C12"/>
    <w:rsid w:val="00F052B6"/>
    <w:rsid w:val="00F115D4"/>
    <w:rsid w:val="00F12BD1"/>
    <w:rsid w:val="00F12FC0"/>
    <w:rsid w:val="00F13AF3"/>
    <w:rsid w:val="00F14219"/>
    <w:rsid w:val="00F14A3D"/>
    <w:rsid w:val="00F14D23"/>
    <w:rsid w:val="00F1565A"/>
    <w:rsid w:val="00F156C3"/>
    <w:rsid w:val="00F25E14"/>
    <w:rsid w:val="00F271F7"/>
    <w:rsid w:val="00F34535"/>
    <w:rsid w:val="00F36A8D"/>
    <w:rsid w:val="00F36B32"/>
    <w:rsid w:val="00F412BE"/>
    <w:rsid w:val="00F43230"/>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1121"/>
    <w:rsid w:val="00FA24B0"/>
    <w:rsid w:val="00FA4314"/>
    <w:rsid w:val="00FA45BB"/>
    <w:rsid w:val="00FA5099"/>
    <w:rsid w:val="00FA72FD"/>
    <w:rsid w:val="00FB04B7"/>
    <w:rsid w:val="00FB3EBB"/>
    <w:rsid w:val="00FB698B"/>
    <w:rsid w:val="00FC2F44"/>
    <w:rsid w:val="00FC62BC"/>
    <w:rsid w:val="00FC63D2"/>
    <w:rsid w:val="00FC66CB"/>
    <w:rsid w:val="00FD1481"/>
    <w:rsid w:val="00FD30D6"/>
    <w:rsid w:val="00FD6378"/>
    <w:rsid w:val="00FD742D"/>
    <w:rsid w:val="00FE2612"/>
    <w:rsid w:val="00FE2DE8"/>
    <w:rsid w:val="00FE7F47"/>
    <w:rsid w:val="00FF018B"/>
    <w:rsid w:val="00FF0708"/>
    <w:rsid w:val="00FF0CF2"/>
    <w:rsid w:val="00FF170B"/>
    <w:rsid w:val="00FF1E32"/>
    <w:rsid w:val="00FF1F92"/>
    <w:rsid w:val="00FF3038"/>
    <w:rsid w:val="00FF432E"/>
    <w:rsid w:val="00FF47AC"/>
    <w:rsid w:val="00FF7048"/>
    <w:rsid w:val="00FF7BA7"/>
    <w:rsid w:val="2F3E04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fillcolor="white">
      <v:fill color="white"/>
    </o:shapedefaults>
    <o:shapelayout v:ext="edit">
      <o:idmap v:ext="edit" data="1"/>
    </o:shapelayout>
  </w:shapeDefaults>
  <w:decimalSymbol w:val="."/>
  <w:listSeparator w:val=","/>
  <w15:docId w15:val="{E7225A30-DD46-4082-951B-D8AA856EB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703"/>
        <w:tab w:val="right" w:pos="9406"/>
      </w:tabs>
    </w:pPr>
  </w:style>
  <w:style w:type="paragraph" w:styleId="Header">
    <w:name w:val="header"/>
    <w:basedOn w:val="Normal"/>
    <w:link w:val="HeaderChar"/>
    <w:uiPriority w:val="99"/>
    <w:unhideWhenUsed/>
    <w:pPr>
      <w:tabs>
        <w:tab w:val="center" w:pos="4703"/>
        <w:tab w:val="right" w:pos="9406"/>
      </w:tabs>
    </w:pPr>
  </w:style>
  <w:style w:type="paragraph" w:customStyle="1" w:styleId="Title1">
    <w:name w:val="Title1"/>
    <w:basedOn w:val="Normal"/>
    <w:next w:val="Normal"/>
    <w:qFormat/>
    <w:pPr>
      <w:spacing w:before="120" w:line="480" w:lineRule="exact"/>
    </w:pPr>
    <w:rPr>
      <w:rFonts w:ascii="Arial" w:hAnsi="Arial"/>
      <w:b/>
      <w:sz w:val="32"/>
      <w:szCs w:val="28"/>
    </w:rPr>
  </w:style>
  <w:style w:type="paragraph" w:customStyle="1" w:styleId="Authors">
    <w:name w:val="Authors"/>
    <w:basedOn w:val="Normal"/>
    <w:qFormat/>
    <w:pPr>
      <w:spacing w:before="120" w:after="120" w:line="320" w:lineRule="exact"/>
    </w:pPr>
    <w:rPr>
      <w:rFonts w:ascii="Arial" w:hAnsi="Arial"/>
      <w:sz w:val="22"/>
      <w:lang w:val="en-GB"/>
    </w:rPr>
  </w:style>
  <w:style w:type="paragraph" w:customStyle="1" w:styleId="Dedication">
    <w:name w:val="Dedication"/>
    <w:basedOn w:val="Normal"/>
    <w:qFormat/>
    <w:pPr>
      <w:spacing w:before="230" w:after="360" w:line="230" w:lineRule="exact"/>
    </w:pPr>
    <w:rPr>
      <w:rFonts w:ascii="Arial" w:hAnsi="Arial"/>
      <w:sz w:val="17"/>
    </w:rPr>
  </w:style>
  <w:style w:type="paragraph" w:customStyle="1" w:styleId="P1withoutIndendation">
    <w:name w:val="P1_without_Indendation"/>
    <w:basedOn w:val="Normal"/>
    <w:qFormat/>
    <w:pPr>
      <w:spacing w:line="225" w:lineRule="exact"/>
      <w:jc w:val="both"/>
    </w:pPr>
    <w:rPr>
      <w:rFonts w:ascii="Arial" w:hAnsi="Arial"/>
      <w:sz w:val="17"/>
    </w:rPr>
  </w:style>
  <w:style w:type="paragraph" w:customStyle="1" w:styleId="History">
    <w:name w:val="History"/>
    <w:basedOn w:val="Normal"/>
    <w:pPr>
      <w:spacing w:before="230" w:after="460" w:line="180" w:lineRule="exact"/>
    </w:pPr>
    <w:rPr>
      <w:rFonts w:ascii="Arial" w:hAnsi="Arial"/>
      <w:sz w:val="14"/>
      <w:szCs w:val="16"/>
    </w:rPr>
  </w:style>
  <w:style w:type="paragraph" w:customStyle="1" w:styleId="Adress">
    <w:name w:val="Adress"/>
    <w:basedOn w:val="Normal"/>
    <w:qFormat/>
    <w:pPr>
      <w:spacing w:line="180" w:lineRule="exact"/>
      <w:ind w:left="425" w:hanging="425"/>
    </w:pPr>
    <w:rPr>
      <w:rFonts w:ascii="Arial" w:hAnsi="Arial"/>
      <w:sz w:val="14"/>
      <w:szCs w:val="20"/>
    </w:rPr>
  </w:style>
  <w:style w:type="paragraph" w:customStyle="1" w:styleId="Footnote">
    <w:name w:val="Footnote"/>
    <w:basedOn w:val="Adress"/>
    <w:pPr>
      <w:spacing w:before="120"/>
    </w:pPr>
    <w:rPr>
      <w:szCs w:val="14"/>
      <w:lang w:val="en-GB"/>
    </w:rPr>
  </w:style>
  <w:style w:type="paragraph" w:customStyle="1" w:styleId="References">
    <w:name w:val="References"/>
    <w:basedOn w:val="Normal"/>
    <w:qFormat/>
    <w:pPr>
      <w:spacing w:line="200" w:lineRule="exact"/>
      <w:ind w:left="425" w:hanging="425"/>
      <w:jc w:val="both"/>
    </w:pPr>
    <w:rPr>
      <w:rFonts w:ascii="Arial" w:hAnsi="Arial"/>
      <w:sz w:val="14"/>
      <w:szCs w:val="14"/>
      <w:lang w:val="en-GB"/>
    </w:rPr>
  </w:style>
  <w:style w:type="paragraph" w:customStyle="1" w:styleId="ColumnTitle">
    <w:name w:val="ColumnTitle"/>
    <w:basedOn w:val="Normal"/>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pPr>
      <w:spacing w:after="240" w:line="200" w:lineRule="exact"/>
      <w:jc w:val="both"/>
    </w:pPr>
    <w:rPr>
      <w:rFonts w:ascii="Arial" w:hAnsi="Arial"/>
      <w:sz w:val="15"/>
      <w:szCs w:val="14"/>
      <w:lang w:val="en-GB"/>
    </w:rPr>
  </w:style>
  <w:style w:type="paragraph" w:customStyle="1" w:styleId="HExperimentalSection">
    <w:name w:val="HExperimental_Section"/>
    <w:basedOn w:val="Normal"/>
    <w:qFormat/>
    <w:pPr>
      <w:spacing w:before="460" w:after="230" w:line="230" w:lineRule="atLeast"/>
    </w:pPr>
    <w:rPr>
      <w:rFonts w:ascii="Arial" w:hAnsi="Arial"/>
      <w:b/>
      <w:sz w:val="22"/>
      <w:szCs w:val="20"/>
    </w:rPr>
  </w:style>
  <w:style w:type="paragraph" w:customStyle="1" w:styleId="SchemeCaption">
    <w:name w:val="SchemeCaption"/>
    <w:basedOn w:val="Normal"/>
    <w:pPr>
      <w:spacing w:before="230" w:after="460" w:line="180" w:lineRule="exact"/>
      <w:jc w:val="both"/>
    </w:pPr>
    <w:rPr>
      <w:rFonts w:ascii="Arial" w:hAnsi="Arial"/>
      <w:sz w:val="14"/>
      <w:szCs w:val="14"/>
      <w:lang w:val="en-GB"/>
    </w:rPr>
  </w:style>
  <w:style w:type="paragraph" w:customStyle="1" w:styleId="FigureCaption">
    <w:name w:val="FigureCaption"/>
    <w:basedOn w:val="Normal"/>
    <w:pPr>
      <w:spacing w:before="230" w:after="460" w:line="180" w:lineRule="exact"/>
      <w:jc w:val="both"/>
    </w:pPr>
    <w:rPr>
      <w:rFonts w:ascii="Arial" w:hAnsi="Arial"/>
      <w:sz w:val="14"/>
      <w:szCs w:val="14"/>
      <w:lang w:val="en-GB"/>
    </w:rPr>
  </w:style>
  <w:style w:type="paragraph" w:customStyle="1" w:styleId="TableCaption">
    <w:name w:val="TableCaption"/>
    <w:basedOn w:val="Normal"/>
    <w:qFormat/>
    <w:pPr>
      <w:spacing w:after="120" w:line="180" w:lineRule="exact"/>
      <w:jc w:val="both"/>
    </w:pPr>
    <w:rPr>
      <w:rFonts w:ascii="Arial" w:hAnsi="Arial"/>
      <w:sz w:val="14"/>
      <w:szCs w:val="14"/>
      <w:lang w:val="en-GB"/>
    </w:rPr>
  </w:style>
  <w:style w:type="paragraph" w:customStyle="1" w:styleId="TableHead">
    <w:name w:val="TableHead"/>
    <w:basedOn w:val="TableCaption"/>
    <w:qFormat/>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style>
  <w:style w:type="paragraph" w:customStyle="1" w:styleId="TableFoot">
    <w:name w:val="TableFoot"/>
    <w:basedOn w:val="TableBody"/>
    <w:pPr>
      <w:spacing w:before="60" w:after="60"/>
    </w:pPr>
  </w:style>
  <w:style w:type="paragraph" w:customStyle="1" w:styleId="Keywords">
    <w:name w:val="Keywords"/>
    <w:basedOn w:val="Normal"/>
    <w:qFormat/>
    <w:pPr>
      <w:spacing w:before="240" w:after="240" w:line="250" w:lineRule="exact"/>
    </w:pPr>
    <w:rPr>
      <w:rFonts w:ascii="Arial" w:hAnsi="Arial"/>
      <w:sz w:val="17"/>
      <w:szCs w:val="20"/>
      <w:lang w:val="en-GB"/>
    </w:rPr>
  </w:style>
  <w:style w:type="paragraph" w:customStyle="1" w:styleId="ManuscriptID">
    <w:name w:val="ManuscriptID"/>
    <w:basedOn w:val="Normal"/>
    <w:qFormat/>
    <w:pPr>
      <w:spacing w:before="220" w:line="230" w:lineRule="exact"/>
    </w:pPr>
    <w:rPr>
      <w:rFonts w:ascii="Arial" w:hAnsi="Arial"/>
      <w:b/>
      <w:sz w:val="17"/>
      <w:szCs w:val="15"/>
      <w:lang w:val="en-GB"/>
    </w:rPr>
  </w:style>
  <w:style w:type="paragraph" w:customStyle="1" w:styleId="AuthorsTOC">
    <w:name w:val="Authors_TOC"/>
    <w:basedOn w:val="Authors"/>
    <w:pPr>
      <w:spacing w:after="0" w:line="225" w:lineRule="atLeast"/>
    </w:pPr>
    <w:rPr>
      <w:i/>
      <w:sz w:val="17"/>
      <w:szCs w:val="20"/>
    </w:rPr>
  </w:style>
  <w:style w:type="paragraph" w:customStyle="1" w:styleId="TitleTOC">
    <w:name w:val="Title_TOC"/>
    <w:basedOn w:val="AuthorsTOC"/>
    <w:rPr>
      <w:b/>
      <w:i w:val="0"/>
    </w:rPr>
  </w:style>
  <w:style w:type="paragraph" w:customStyle="1" w:styleId="TableOfContentText">
    <w:name w:val="TableOfContentText"/>
    <w:basedOn w:val="AuthorsTOC"/>
    <w:qFormat/>
    <w:rPr>
      <w:i w:val="0"/>
      <w:color w:val="000000"/>
    </w:rPr>
  </w:style>
  <w:style w:type="paragraph" w:customStyle="1" w:styleId="P1withIndendation">
    <w:name w:val="P1_with_Indendation"/>
    <w:basedOn w:val="TableCaption"/>
    <w:qFormat/>
    <w:pPr>
      <w:spacing w:line="225" w:lineRule="exact"/>
      <w:ind w:firstLine="284"/>
    </w:pPr>
    <w:rPr>
      <w:sz w:val="17"/>
    </w:rPr>
  </w:style>
  <w:style w:type="paragraph" w:customStyle="1" w:styleId="HAcknowledgements">
    <w:name w:val="HAcknowledgements"/>
    <w:basedOn w:val="Normal"/>
    <w:qFormat/>
    <w:pPr>
      <w:spacing w:before="480" w:after="230" w:line="230" w:lineRule="atLeast"/>
    </w:pPr>
    <w:rPr>
      <w:rFonts w:ascii="Arial" w:hAnsi="Arial"/>
      <w:b/>
      <w:sz w:val="22"/>
      <w:lang w:val="en-GB"/>
    </w:rPr>
  </w:style>
  <w:style w:type="paragraph" w:customStyle="1" w:styleId="Acknowledgements">
    <w:name w:val="Acknowledgements"/>
    <w:basedOn w:val="P1withoutIndendation"/>
    <w:qFormat/>
    <w:pPr>
      <w:spacing w:after="240" w:line="230" w:lineRule="atLeast"/>
    </w:pPr>
  </w:style>
  <w:style w:type="paragraph" w:customStyle="1" w:styleId="ColumnTitleTOC">
    <w:name w:val="ColumnTitle_TOC"/>
    <w:basedOn w:val="ColumnTitle"/>
    <w:qFormat/>
    <w:pPr>
      <w:pBdr>
        <w:bottom w:val="single" w:sz="36" w:space="3" w:color="008080"/>
      </w:pBdr>
      <w:spacing w:after="0"/>
      <w:jc w:val="left"/>
    </w:pPr>
    <w:rPr>
      <w:b w:val="0"/>
      <w:color w:val="000000"/>
      <w:sz w:val="28"/>
      <w:szCs w:val="28"/>
    </w:rPr>
  </w:style>
  <w:style w:type="paragraph" w:customStyle="1" w:styleId="SubjectHeadingTOC">
    <w:name w:val="SubjectHeading_TOC"/>
    <w:basedOn w:val="Normal"/>
    <w:pPr>
      <w:spacing w:before="60" w:after="60" w:line="230" w:lineRule="exact"/>
    </w:pPr>
    <w:rPr>
      <w:rFonts w:ascii="Arial" w:hAnsi="Arial"/>
      <w:b/>
      <w:i/>
      <w:color w:val="FFFFFF"/>
      <w:sz w:val="21"/>
      <w:szCs w:val="18"/>
      <w:lang w:val="en-GB"/>
    </w:rPr>
  </w:style>
  <w:style w:type="paragraph" w:customStyle="1" w:styleId="GAAuthors">
    <w:name w:val="GAAuthors"/>
    <w:basedOn w:val="Normal"/>
    <w:pPr>
      <w:spacing w:before="360" w:after="60" w:line="220" w:lineRule="exact"/>
    </w:pPr>
    <w:rPr>
      <w:b/>
      <w:sz w:val="18"/>
      <w:szCs w:val="20"/>
      <w:lang w:val="en-GB"/>
    </w:rPr>
  </w:style>
  <w:style w:type="paragraph" w:customStyle="1" w:styleId="GACatchPhrase">
    <w:name w:val="GACatchPhrase"/>
    <w:basedOn w:val="Normal"/>
    <w:pPr>
      <w:spacing w:before="40"/>
      <w:jc w:val="right"/>
    </w:pPr>
    <w:rPr>
      <w:rFonts w:cs="Arial"/>
      <w:b/>
      <w:color w:val="008080"/>
      <w:sz w:val="18"/>
      <w:szCs w:val="16"/>
      <w:lang w:val="en-GB"/>
    </w:rPr>
  </w:style>
  <w:style w:type="paragraph" w:customStyle="1" w:styleId="GAText">
    <w:name w:val="GAText"/>
    <w:basedOn w:val="Normal"/>
    <w:pPr>
      <w:spacing w:before="120" w:line="220" w:lineRule="exact"/>
    </w:pPr>
    <w:rPr>
      <w:color w:val="000000"/>
      <w:sz w:val="18"/>
    </w:rPr>
  </w:style>
  <w:style w:type="paragraph" w:customStyle="1" w:styleId="GATitel">
    <w:name w:val="GATitel"/>
    <w:basedOn w:val="GAAuthors"/>
    <w:pPr>
      <w:spacing w:before="240"/>
    </w:pPr>
    <w:rPr>
      <w:b w:val="0"/>
    </w:rPr>
  </w:style>
  <w:style w:type="paragraph" w:customStyle="1" w:styleId="GAKeywords">
    <w:name w:val="GAKeywords"/>
    <w:basedOn w:val="Keywords"/>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pPr>
      <w:spacing w:before="230"/>
    </w:pPr>
    <w:rPr>
      <w:rFonts w:ascii="Arial" w:hAnsi="Arial"/>
      <w:b/>
      <w:i/>
      <w:sz w:val="17"/>
    </w:rPr>
  </w:style>
  <w:style w:type="character" w:customStyle="1" w:styleId="HeaderChar">
    <w:name w:val="Header Char"/>
    <w:link w:val="Header"/>
    <w:uiPriority w:val="99"/>
    <w:rPr>
      <w:sz w:val="24"/>
      <w:szCs w:val="24"/>
      <w:lang w:val="de-DE" w:eastAsia="ja-JP" w:bidi="ar-SA"/>
    </w:rPr>
  </w:style>
  <w:style w:type="character" w:customStyle="1" w:styleId="FooterChar">
    <w:name w:val="Footer Char"/>
    <w:link w:val="Footer"/>
    <w:uiPriority w:val="99"/>
    <w:rPr>
      <w:sz w:val="24"/>
      <w:szCs w:val="24"/>
      <w:lang w:val="de-DE" w:eastAsia="ja-JP" w:bidi="ar-SA"/>
    </w:rPr>
  </w:style>
  <w:style w:type="character" w:customStyle="1" w:styleId="BalloonTextChar">
    <w:name w:val="Balloon Text Char"/>
    <w:link w:val="BalloonText"/>
    <w:uiPriority w:val="99"/>
    <w:semiHidden/>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pPr>
      <w:spacing w:before="720"/>
    </w:pPr>
    <w:rPr>
      <w:szCs w:val="20"/>
    </w:rPr>
  </w:style>
  <w:style w:type="paragraph" w:customStyle="1" w:styleId="TableSpacer">
    <w:name w:val="TableSpacer"/>
    <w:basedOn w:val="Normal"/>
    <w:qFormat/>
    <w:pPr>
      <w:spacing w:before="360"/>
    </w:pPr>
    <w:rPr>
      <w:rFonts w:ascii="Arial" w:hAnsi="Arial"/>
      <w:sz w:val="14"/>
    </w:rPr>
  </w:style>
  <w:style w:type="paragraph" w:customStyle="1" w:styleId="Abstract">
    <w:name w:val="Abstract"/>
    <w:basedOn w:val="Normal"/>
    <w:qFormat/>
    <w:pPr>
      <w:spacing w:after="360" w:line="225" w:lineRule="exact"/>
      <w:jc w:val="both"/>
    </w:pPr>
    <w:rPr>
      <w:rFonts w:ascii="Arial" w:hAnsi="Arial"/>
      <w:sz w:val="16"/>
      <w:szCs w:val="20"/>
      <w:lang w:val="en-GB"/>
    </w:rPr>
  </w:style>
  <w:style w:type="paragraph" w:customStyle="1" w:styleId="P1">
    <w:name w:val="P1"/>
    <w:basedOn w:val="P1withoutIndendation"/>
    <w:qFormat/>
    <w:rPr>
      <w:lang w:val="en-US"/>
    </w:rPr>
  </w:style>
  <w:style w:type="character" w:customStyle="1" w:styleId="cit-title">
    <w:name w:val="cit-title"/>
    <w:basedOn w:val="DefaultParagraphFont"/>
    <w:rsid w:val="005C457E"/>
  </w:style>
  <w:style w:type="character" w:customStyle="1" w:styleId="cit-year-info">
    <w:name w:val="cit-year-info"/>
    <w:basedOn w:val="DefaultParagraphFont"/>
    <w:rsid w:val="005C457E"/>
  </w:style>
  <w:style w:type="character" w:customStyle="1" w:styleId="cit-volume">
    <w:name w:val="cit-volume"/>
    <w:basedOn w:val="DefaultParagraphFont"/>
    <w:rsid w:val="005C457E"/>
  </w:style>
  <w:style w:type="character" w:customStyle="1" w:styleId="cit-issue">
    <w:name w:val="cit-issue"/>
    <w:basedOn w:val="DefaultParagraphFont"/>
    <w:rsid w:val="005C457E"/>
  </w:style>
  <w:style w:type="character" w:customStyle="1" w:styleId="cit-pagerange">
    <w:name w:val="cit-pagerange"/>
    <w:basedOn w:val="DefaultParagraphFont"/>
    <w:rsid w:val="005C4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10.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3m12\AppData\Local\Temp\Temp1_wvch_communication_dot.zi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62"/>
    <customShpInfo spid="_x0000_s2061"/>
    <customShpInfo spid="_x0000_s206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ABB90-7D88-4F19-9415-BE3C3AE8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Template>
  <TotalTime>0</TotalTime>
  <Pages>6</Pages>
  <Words>2069</Words>
  <Characters>11798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Meazza M.</dc:creator>
  <cp:lastModifiedBy>Ramon Rios Torres</cp:lastModifiedBy>
  <cp:revision>3</cp:revision>
  <cp:lastPrinted>2020-07-03T19:54:00Z</cp:lastPrinted>
  <dcterms:created xsi:type="dcterms:W3CDTF">2021-01-07T16:32:00Z</dcterms:created>
  <dcterms:modified xsi:type="dcterms:W3CDTF">2021-02-09T16:31:00Z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