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93EE8" w14:textId="5FC6C054" w:rsidR="007713AF" w:rsidRPr="00446DFA" w:rsidRDefault="007713AF" w:rsidP="00BA3143">
      <w:pPr>
        <w:pStyle w:val="MDPI11articletype"/>
      </w:pPr>
      <w:r w:rsidRPr="00446DFA">
        <w:t>Article</w:t>
      </w:r>
    </w:p>
    <w:p w14:paraId="0D3F3C1A" w14:textId="77777777" w:rsidR="007713AF" w:rsidRPr="00446DFA" w:rsidRDefault="00AF1F79" w:rsidP="00BA3143">
      <w:pPr>
        <w:pStyle w:val="MDPI12title"/>
      </w:pPr>
      <w:r w:rsidRPr="00446DFA">
        <w:t xml:space="preserve">Elution Kinetics from Antibiotic-Loaded Calcium Sulfate Beads, Antibiotic-Loaded Polymethacrylate Spacers, and a Powdered Antibiotic Bolus for Surgical Site Infections in a novel </w:t>
      </w:r>
      <w:r w:rsidRPr="00446DFA">
        <w:rPr>
          <w:i/>
          <w:iCs/>
        </w:rPr>
        <w:t>In Vitro</w:t>
      </w:r>
      <w:r w:rsidRPr="00446DFA">
        <w:t xml:space="preserve"> Draining Knee Model</w:t>
      </w:r>
    </w:p>
    <w:p w14:paraId="4038293A" w14:textId="63D60BB0" w:rsidR="007713AF" w:rsidRPr="00446DFA" w:rsidRDefault="00483FB2" w:rsidP="00BA3143">
      <w:pPr>
        <w:pStyle w:val="MDPI13authornames"/>
      </w:pPr>
      <w:r w:rsidRPr="00446DFA">
        <w:t xml:space="preserve">Kelly Moore </w:t>
      </w:r>
      <w:r w:rsidRPr="00446DFA">
        <w:rPr>
          <w:vertAlign w:val="superscript"/>
        </w:rPr>
        <w:t>1</w:t>
      </w:r>
      <w:r w:rsidRPr="00446DFA">
        <w:t xml:space="preserve">, Rebecca Wilson-van </w:t>
      </w:r>
      <w:proofErr w:type="spellStart"/>
      <w:r w:rsidRPr="00446DFA">
        <w:t>Os</w:t>
      </w:r>
      <w:proofErr w:type="spellEnd"/>
      <w:r w:rsidRPr="00446DFA">
        <w:t xml:space="preserve"> </w:t>
      </w:r>
      <w:r w:rsidRPr="00446DFA">
        <w:rPr>
          <w:vertAlign w:val="superscript"/>
        </w:rPr>
        <w:t>2</w:t>
      </w:r>
      <w:r w:rsidRPr="00446DFA">
        <w:t>, Devendra H. Dusane</w:t>
      </w:r>
      <w:r w:rsidR="00F11920">
        <w:t xml:space="preserve"> </w:t>
      </w:r>
      <w:r w:rsidR="00F11920">
        <w:rPr>
          <w:vertAlign w:val="superscript"/>
        </w:rPr>
        <w:t>1</w:t>
      </w:r>
      <w:r w:rsidRPr="00446DFA">
        <w:t xml:space="preserve">, Jacob R. Brooks </w:t>
      </w:r>
      <w:r w:rsidRPr="00446DFA">
        <w:rPr>
          <w:vertAlign w:val="superscript"/>
        </w:rPr>
        <w:t>1</w:t>
      </w:r>
      <w:r w:rsidRPr="00446DFA">
        <w:t xml:space="preserve">, Craig </w:t>
      </w:r>
      <w:proofErr w:type="spellStart"/>
      <w:r w:rsidRPr="00446DFA">
        <w:t>Delury</w:t>
      </w:r>
      <w:proofErr w:type="spellEnd"/>
      <w:r w:rsidRPr="00446DFA">
        <w:t xml:space="preserve"> </w:t>
      </w:r>
      <w:r w:rsidRPr="00446DFA">
        <w:rPr>
          <w:vertAlign w:val="superscript"/>
        </w:rPr>
        <w:t>2</w:t>
      </w:r>
      <w:r w:rsidRPr="00446DFA">
        <w:t>,</w:t>
      </w:r>
      <w:r w:rsidRPr="00446DFA">
        <w:rPr>
          <w:position w:val="8"/>
        </w:rPr>
        <w:t xml:space="preserve"> </w:t>
      </w:r>
      <w:r w:rsidRPr="00446DFA">
        <w:t xml:space="preserve">Sean S. Aiken </w:t>
      </w:r>
      <w:r w:rsidRPr="00446DFA">
        <w:rPr>
          <w:vertAlign w:val="superscript"/>
        </w:rPr>
        <w:t>2</w:t>
      </w:r>
      <w:r w:rsidRPr="00446DFA">
        <w:t>,</w:t>
      </w:r>
      <w:r w:rsidRPr="00446DFA">
        <w:rPr>
          <w:position w:val="8"/>
        </w:rPr>
        <w:t xml:space="preserve"> </w:t>
      </w:r>
      <w:r w:rsidRPr="00446DFA">
        <w:t xml:space="preserve">Phillip A. Laycock </w:t>
      </w:r>
      <w:r w:rsidRPr="00446DFA">
        <w:rPr>
          <w:vertAlign w:val="superscript"/>
        </w:rPr>
        <w:t>2</w:t>
      </w:r>
      <w:r w:rsidRPr="00446DFA">
        <w:t>,</w:t>
      </w:r>
      <w:r w:rsidRPr="00446DFA">
        <w:rPr>
          <w:position w:val="8"/>
        </w:rPr>
        <w:t xml:space="preserve"> </w:t>
      </w:r>
      <w:r w:rsidRPr="00446DFA">
        <w:t xml:space="preserve">Anne Sullivan </w:t>
      </w:r>
      <w:r w:rsidRPr="00446DFA">
        <w:rPr>
          <w:vertAlign w:val="superscript"/>
        </w:rPr>
        <w:t>3</w:t>
      </w:r>
      <w:r w:rsidRPr="00446DFA">
        <w:t>,</w:t>
      </w:r>
      <w:r w:rsidRPr="00446DFA">
        <w:rPr>
          <w:position w:val="8"/>
        </w:rPr>
        <w:t xml:space="preserve"> </w:t>
      </w:r>
      <w:r w:rsidRPr="00446DFA">
        <w:t xml:space="preserve">Jeffrey F. Granger </w:t>
      </w:r>
      <w:r w:rsidRPr="00446DFA">
        <w:rPr>
          <w:vertAlign w:val="superscript"/>
        </w:rPr>
        <w:t>4</w:t>
      </w:r>
      <w:r w:rsidRPr="00446DFA">
        <w:t xml:space="preserve">, Matthew V. </w:t>
      </w:r>
      <w:proofErr w:type="spellStart"/>
      <w:r w:rsidRPr="00446DFA">
        <w:t>Dipane</w:t>
      </w:r>
      <w:proofErr w:type="spellEnd"/>
      <w:r w:rsidRPr="00446DFA">
        <w:t xml:space="preserve"> </w:t>
      </w:r>
      <w:r w:rsidRPr="00446DFA">
        <w:rPr>
          <w:vertAlign w:val="superscript"/>
        </w:rPr>
        <w:t>4</w:t>
      </w:r>
      <w:r w:rsidRPr="00446DFA">
        <w:t xml:space="preserve">, Edward J. McPherson </w:t>
      </w:r>
      <w:r w:rsidRPr="00446DFA">
        <w:rPr>
          <w:vertAlign w:val="superscript"/>
        </w:rPr>
        <w:t>4</w:t>
      </w:r>
      <w:r w:rsidRPr="00446DFA">
        <w:t xml:space="preserve"> and Paul</w:t>
      </w:r>
      <w:r w:rsidR="00BA3143" w:rsidRPr="00446DFA">
        <w:t xml:space="preserve"> </w:t>
      </w:r>
      <w:r w:rsidRPr="00446DFA">
        <w:t xml:space="preserve">Stoodley </w:t>
      </w:r>
      <w:r w:rsidRPr="00446DFA">
        <w:rPr>
          <w:vertAlign w:val="superscript"/>
        </w:rPr>
        <w:t>1,3,</w:t>
      </w:r>
      <w:proofErr w:type="gramStart"/>
      <w:r w:rsidRPr="00446DFA">
        <w:rPr>
          <w:vertAlign w:val="superscript"/>
        </w:rPr>
        <w:t>5,*</w:t>
      </w:r>
      <w:proofErr w:type="gramEnd"/>
    </w:p>
    <w:p w14:paraId="45926917" w14:textId="5FC34CAF" w:rsidR="00AF1F79" w:rsidRPr="00446DFA" w:rsidRDefault="007713AF" w:rsidP="00BA3143">
      <w:pPr>
        <w:pStyle w:val="MDPI16affiliation"/>
      </w:pPr>
      <w:r w:rsidRPr="00446DFA">
        <w:rPr>
          <w:vertAlign w:val="superscript"/>
        </w:rPr>
        <w:t>1</w:t>
      </w:r>
      <w:r w:rsidR="00BA3143" w:rsidRPr="00446DFA">
        <w:tab/>
      </w:r>
      <w:r w:rsidR="00AF1F79" w:rsidRPr="00446DFA">
        <w:t>Department of Microbial Infection and Immunity, The Ohio State University, Wexner Medical Center, Columbus, Ohio, USA.</w:t>
      </w:r>
    </w:p>
    <w:p w14:paraId="1CD67B16" w14:textId="4D89FF0D" w:rsidR="00483FB2" w:rsidRPr="00446DFA" w:rsidRDefault="00AF1F79" w:rsidP="00BA3143">
      <w:pPr>
        <w:pStyle w:val="MDPI16affiliation"/>
      </w:pPr>
      <w:r w:rsidRPr="00446DFA">
        <w:rPr>
          <w:position w:val="8"/>
          <w:vertAlign w:val="superscript"/>
        </w:rPr>
        <w:t>2</w:t>
      </w:r>
      <w:r w:rsidR="00BA3143" w:rsidRPr="00446DFA">
        <w:rPr>
          <w:position w:val="8"/>
        </w:rPr>
        <w:tab/>
      </w:r>
      <w:r w:rsidRPr="00446DFA">
        <w:t xml:space="preserve">Biocomposites Ltd., </w:t>
      </w:r>
      <w:proofErr w:type="spellStart"/>
      <w:r w:rsidRPr="00446DFA">
        <w:t>Keele</w:t>
      </w:r>
      <w:proofErr w:type="spellEnd"/>
      <w:r w:rsidRPr="00446DFA">
        <w:t xml:space="preserve"> Science Park, </w:t>
      </w:r>
      <w:proofErr w:type="spellStart"/>
      <w:r w:rsidRPr="00446DFA">
        <w:t>Keele</w:t>
      </w:r>
      <w:proofErr w:type="spellEnd"/>
      <w:r w:rsidRPr="00446DFA">
        <w:t>, Staffordshire, ST5 5NL, U</w:t>
      </w:r>
      <w:r w:rsidR="00483FB2" w:rsidRPr="00446DFA">
        <w:t>K</w:t>
      </w:r>
    </w:p>
    <w:p w14:paraId="6B3CCBC3" w14:textId="30621556" w:rsidR="00AF1F79" w:rsidRPr="00446DFA" w:rsidRDefault="00483FB2" w:rsidP="00BA3143">
      <w:pPr>
        <w:pStyle w:val="MDPI16affiliation"/>
      </w:pPr>
      <w:r w:rsidRPr="00446DFA">
        <w:rPr>
          <w:vertAlign w:val="superscript"/>
        </w:rPr>
        <w:t>3</w:t>
      </w:r>
      <w:r w:rsidR="00BA3143" w:rsidRPr="00446DFA">
        <w:tab/>
      </w:r>
      <w:r w:rsidR="00AF1F79" w:rsidRPr="00446DFA">
        <w:t xml:space="preserve">Department of </w:t>
      </w:r>
      <w:proofErr w:type="spellStart"/>
      <w:r w:rsidR="00AF1F79" w:rsidRPr="00446DFA">
        <w:t>Orthopaedics</w:t>
      </w:r>
      <w:proofErr w:type="spellEnd"/>
      <w:r w:rsidR="00AF1F79" w:rsidRPr="00446DFA">
        <w:t>, The Ohio State University, Wexner Medical Center, Columbus,</w:t>
      </w:r>
      <w:r w:rsidR="00BA3143" w:rsidRPr="00446DFA">
        <w:t xml:space="preserve"> </w:t>
      </w:r>
      <w:r w:rsidR="00AF1F79" w:rsidRPr="00446DFA">
        <w:t>Ohio, USA.</w:t>
      </w:r>
    </w:p>
    <w:p w14:paraId="1661F0B4" w14:textId="04F01C2A" w:rsidR="00AF1F79" w:rsidRPr="00446DFA" w:rsidRDefault="00483FB2" w:rsidP="00BA3143">
      <w:pPr>
        <w:pStyle w:val="MDPI16affiliation"/>
      </w:pPr>
      <w:r w:rsidRPr="00446DFA">
        <w:rPr>
          <w:vertAlign w:val="superscript"/>
        </w:rPr>
        <w:t>4</w:t>
      </w:r>
      <w:r w:rsidR="00BA3143" w:rsidRPr="00446DFA">
        <w:tab/>
      </w:r>
      <w:r w:rsidR="00AF1F79" w:rsidRPr="00446DFA">
        <w:t xml:space="preserve">Department of </w:t>
      </w:r>
      <w:proofErr w:type="spellStart"/>
      <w:r w:rsidR="00AF1F79" w:rsidRPr="00446DFA">
        <w:t>Orthopaedic</w:t>
      </w:r>
      <w:proofErr w:type="spellEnd"/>
      <w:r w:rsidR="00AF1F79" w:rsidRPr="00446DFA">
        <w:t xml:space="preserve"> Surgery, David Geffen School of Medicine at UCLA, Santa Monica, CA, USA.</w:t>
      </w:r>
    </w:p>
    <w:p w14:paraId="465BDC6B" w14:textId="5F14477B" w:rsidR="00AF1F79" w:rsidRPr="00446DFA" w:rsidRDefault="00483FB2" w:rsidP="00BA3143">
      <w:pPr>
        <w:pStyle w:val="MDPI16affiliation"/>
      </w:pPr>
      <w:r w:rsidRPr="00446DFA">
        <w:rPr>
          <w:vertAlign w:val="superscript"/>
        </w:rPr>
        <w:t>5</w:t>
      </w:r>
      <w:r w:rsidR="00BA3143" w:rsidRPr="00446DFA">
        <w:tab/>
      </w:r>
      <w:r w:rsidR="00AF1F79" w:rsidRPr="00446DFA">
        <w:t>National Centre for Advanced Tribology at Southampton (</w:t>
      </w:r>
      <w:proofErr w:type="spellStart"/>
      <w:r w:rsidR="00AF1F79" w:rsidRPr="00446DFA">
        <w:t>nCATS</w:t>
      </w:r>
      <w:proofErr w:type="spellEnd"/>
      <w:r w:rsidR="00AF1F79" w:rsidRPr="00446DFA">
        <w:t>), National Biofilm Innovation Centre (NBIC), Department of Mechanical</w:t>
      </w:r>
      <w:r w:rsidR="00BA3143" w:rsidRPr="00446DFA">
        <w:t xml:space="preserve"> </w:t>
      </w:r>
      <w:r w:rsidR="00AF1F79" w:rsidRPr="00446DFA">
        <w:t>Engineering, University of Southampton, Southampton, UK.</w:t>
      </w:r>
    </w:p>
    <w:tbl>
      <w:tblPr>
        <w:tblpPr w:leftFromText="198" w:rightFromText="198" w:vertAnchor="page" w:horzAnchor="margin" w:tblpY="9126"/>
        <w:tblW w:w="2410" w:type="dxa"/>
        <w:tblLayout w:type="fixed"/>
        <w:tblCellMar>
          <w:left w:w="0" w:type="dxa"/>
          <w:right w:w="0" w:type="dxa"/>
        </w:tblCellMar>
        <w:tblLook w:val="04A0" w:firstRow="1" w:lastRow="0" w:firstColumn="1" w:lastColumn="0" w:noHBand="0" w:noVBand="1"/>
      </w:tblPr>
      <w:tblGrid>
        <w:gridCol w:w="2410"/>
      </w:tblGrid>
      <w:tr w:rsidR="00E82051" w:rsidRPr="00446DFA" w14:paraId="566E47FE" w14:textId="77777777" w:rsidTr="00E82051">
        <w:tc>
          <w:tcPr>
            <w:tcW w:w="2410" w:type="dxa"/>
            <w:shd w:val="clear" w:color="auto" w:fill="auto"/>
          </w:tcPr>
          <w:p w14:paraId="4D23C319" w14:textId="77777777" w:rsidR="00E82051" w:rsidRPr="00446DFA" w:rsidRDefault="00E82051" w:rsidP="00BA3143">
            <w:pPr>
              <w:pStyle w:val="MDPI61Citation"/>
              <w:spacing w:line="240" w:lineRule="exact"/>
            </w:pPr>
            <w:r w:rsidRPr="00446DFA">
              <w:rPr>
                <w:b/>
              </w:rPr>
              <w:t>Citation:</w:t>
            </w:r>
            <w:r w:rsidRPr="00446DFA">
              <w:t xml:space="preserve"> </w:t>
            </w:r>
            <w:proofErr w:type="spellStart"/>
            <w:r w:rsidRPr="00446DFA">
              <w:t>Lastname</w:t>
            </w:r>
            <w:proofErr w:type="spellEnd"/>
            <w:r w:rsidRPr="00446DFA">
              <w:t xml:space="preserve">, F.; </w:t>
            </w:r>
            <w:proofErr w:type="spellStart"/>
            <w:r w:rsidRPr="00446DFA">
              <w:t>Lastname</w:t>
            </w:r>
            <w:proofErr w:type="spellEnd"/>
            <w:r w:rsidRPr="00446DFA">
              <w:t xml:space="preserve">, F.; Last-name, F. Title. </w:t>
            </w:r>
            <w:r w:rsidRPr="00446DFA">
              <w:rPr>
                <w:i/>
              </w:rPr>
              <w:t xml:space="preserve">Antibiotics </w:t>
            </w:r>
            <w:r w:rsidRPr="00446DFA">
              <w:rPr>
                <w:b/>
              </w:rPr>
              <w:t>2021</w:t>
            </w:r>
            <w:r w:rsidRPr="00446DFA">
              <w:t xml:space="preserve">, </w:t>
            </w:r>
            <w:r w:rsidRPr="00446DFA">
              <w:rPr>
                <w:i/>
              </w:rPr>
              <w:t>10</w:t>
            </w:r>
            <w:r w:rsidRPr="00446DFA">
              <w:t>, x. https://doi.org/10.3390/xxxxx</w:t>
            </w:r>
          </w:p>
          <w:p w14:paraId="700061D5" w14:textId="77777777" w:rsidR="00E82051" w:rsidRPr="00446DFA" w:rsidRDefault="00E82051" w:rsidP="00BA3143">
            <w:pPr>
              <w:pStyle w:val="MDPI14history"/>
              <w:spacing w:before="240"/>
              <w:rPr>
                <w:szCs w:val="14"/>
              </w:rPr>
            </w:pPr>
            <w:r w:rsidRPr="00446DFA">
              <w:rPr>
                <w:szCs w:val="14"/>
              </w:rPr>
              <w:t>Received: date</w:t>
            </w:r>
          </w:p>
          <w:p w14:paraId="59B61AB8" w14:textId="77777777" w:rsidR="00E82051" w:rsidRPr="00446DFA" w:rsidRDefault="00E82051" w:rsidP="00BA3143">
            <w:pPr>
              <w:pStyle w:val="MDPI14history"/>
              <w:rPr>
                <w:szCs w:val="14"/>
              </w:rPr>
            </w:pPr>
            <w:r w:rsidRPr="00446DFA">
              <w:rPr>
                <w:szCs w:val="14"/>
              </w:rPr>
              <w:t>Accepted: date</w:t>
            </w:r>
          </w:p>
          <w:p w14:paraId="3A2BE5E0" w14:textId="77777777" w:rsidR="00E82051" w:rsidRPr="00446DFA" w:rsidRDefault="00E82051" w:rsidP="00BA3143">
            <w:pPr>
              <w:pStyle w:val="MDPI14history"/>
              <w:spacing w:after="240"/>
              <w:rPr>
                <w:szCs w:val="14"/>
              </w:rPr>
            </w:pPr>
            <w:r w:rsidRPr="00446DFA">
              <w:rPr>
                <w:szCs w:val="14"/>
              </w:rPr>
              <w:t>Published: date</w:t>
            </w:r>
          </w:p>
          <w:p w14:paraId="411EA4D5" w14:textId="77777777" w:rsidR="00E82051" w:rsidRPr="00446DFA" w:rsidRDefault="00E82051" w:rsidP="00BA3143">
            <w:pPr>
              <w:pStyle w:val="MDPI63Notes"/>
            </w:pPr>
            <w:r w:rsidRPr="00446DFA">
              <w:rPr>
                <w:b/>
              </w:rPr>
              <w:t>Publisher’s Note:</w:t>
            </w:r>
            <w:r w:rsidRPr="00446DFA">
              <w:t xml:space="preserve"> MDPI stays neutral </w:t>
            </w:r>
            <w:proofErr w:type="gramStart"/>
            <w:r w:rsidRPr="00446DFA">
              <w:t>with regard to</w:t>
            </w:r>
            <w:proofErr w:type="gramEnd"/>
            <w:r w:rsidRPr="00446DFA">
              <w:t xml:space="preserve"> jurisdictional claims in published maps and institutional affiliations.</w:t>
            </w:r>
          </w:p>
          <w:p w14:paraId="4FA64CC7" w14:textId="77777777" w:rsidR="00E82051" w:rsidRPr="00446DFA" w:rsidRDefault="00E82051" w:rsidP="00BA3143">
            <w:pPr>
              <w:adjustRightInd w:val="0"/>
              <w:snapToGrid w:val="0"/>
              <w:spacing w:before="60" w:after="60" w:line="240" w:lineRule="atLeast"/>
              <w:ind w:right="113"/>
              <w:jc w:val="left"/>
              <w:rPr>
                <w:rFonts w:eastAsia="DengXian"/>
                <w:bCs/>
                <w:noProof w:val="0"/>
                <w:sz w:val="14"/>
                <w:szCs w:val="14"/>
                <w:lang w:bidi="en-US"/>
              </w:rPr>
            </w:pPr>
            <w:r w:rsidRPr="00446DFA">
              <w:rPr>
                <w:rFonts w:eastAsia="DengXian"/>
              </w:rPr>
              <w:drawing>
                <wp:inline distT="0" distB="0" distL="0" distR="0" wp14:anchorId="1C89A0FE" wp14:editId="66F200E5">
                  <wp:extent cx="697230" cy="253365"/>
                  <wp:effectExtent l="0" t="0" r="0" b="0"/>
                  <wp:docPr id="1" name="Picture 4"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descr="A picture containing text, clipart&#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 cy="253365"/>
                          </a:xfrm>
                          <a:prstGeom prst="rect">
                            <a:avLst/>
                          </a:prstGeom>
                          <a:noFill/>
                          <a:ln>
                            <a:noFill/>
                          </a:ln>
                        </pic:spPr>
                      </pic:pic>
                    </a:graphicData>
                  </a:graphic>
                </wp:inline>
              </w:drawing>
            </w:r>
          </w:p>
          <w:p w14:paraId="39DC607C" w14:textId="77777777" w:rsidR="00E82051" w:rsidRPr="00446DFA" w:rsidRDefault="00E82051" w:rsidP="00BA3143">
            <w:pPr>
              <w:adjustRightInd w:val="0"/>
              <w:snapToGrid w:val="0"/>
              <w:spacing w:before="60" w:line="240" w:lineRule="atLeast"/>
              <w:ind w:right="113"/>
              <w:jc w:val="left"/>
              <w:rPr>
                <w:rFonts w:eastAsia="DengXian"/>
                <w:bCs/>
                <w:noProof w:val="0"/>
                <w:sz w:val="14"/>
                <w:szCs w:val="14"/>
                <w:lang w:bidi="en-US"/>
              </w:rPr>
            </w:pPr>
            <w:r w:rsidRPr="00446DFA">
              <w:rPr>
                <w:rFonts w:eastAsia="DengXian"/>
                <w:b/>
                <w:bCs/>
                <w:noProof w:val="0"/>
                <w:sz w:val="14"/>
                <w:szCs w:val="14"/>
                <w:lang w:bidi="en-US"/>
              </w:rPr>
              <w:t>Copyright:</w:t>
            </w:r>
            <w:r w:rsidRPr="00446DFA">
              <w:rPr>
                <w:rFonts w:eastAsia="DengXian"/>
                <w:bCs/>
                <w:noProof w:val="0"/>
                <w:sz w:val="14"/>
                <w:szCs w:val="14"/>
                <w:lang w:bidi="en-US"/>
              </w:rPr>
              <w:t xml:space="preserve"> © 2021 by the authors. Submitted for possible open access publication under the terms and conditions of the Creative Commons Attribution (CC BY) license (http://creativecommons.org/licenses/by/4.0/).</w:t>
            </w:r>
          </w:p>
        </w:tc>
      </w:tr>
    </w:tbl>
    <w:p w14:paraId="5FCCB808" w14:textId="63F76DF3" w:rsidR="007713AF" w:rsidRPr="00446DFA" w:rsidRDefault="00BA3143" w:rsidP="00BA3143">
      <w:pPr>
        <w:pStyle w:val="MDPI16affiliation"/>
      </w:pPr>
      <w:r w:rsidRPr="00446DFA">
        <w:rPr>
          <w:b/>
        </w:rPr>
        <w:t>*</w:t>
      </w:r>
      <w:r w:rsidRPr="00446DFA">
        <w:tab/>
        <w:t xml:space="preserve">Correspondence: </w:t>
      </w:r>
      <w:r w:rsidR="007713AF" w:rsidRPr="00446DFA">
        <w:t>e-mail@e-mail.com; Tel.: (optional; include country code; if there are multiple corresponding authors, add author initials)</w:t>
      </w:r>
    </w:p>
    <w:p w14:paraId="0CD3EC5B" w14:textId="77777777" w:rsidR="00E52840" w:rsidRDefault="00E52840" w:rsidP="002D5379">
      <w:pPr>
        <w:spacing w:line="240" w:lineRule="auto"/>
        <w:ind w:left="2550"/>
        <w:jc w:val="left"/>
        <w:rPr>
          <w:b/>
          <w:szCs w:val="16"/>
        </w:rPr>
      </w:pPr>
    </w:p>
    <w:p w14:paraId="73F0EC9C" w14:textId="30A7952B" w:rsidR="002D5379" w:rsidRPr="004D5D00" w:rsidRDefault="007713AF" w:rsidP="002D5379">
      <w:pPr>
        <w:spacing w:line="240" w:lineRule="auto"/>
        <w:ind w:left="2550"/>
        <w:jc w:val="left"/>
        <w:rPr>
          <w:rFonts w:ascii="Calibri" w:hAnsi="Calibri" w:cs="Calibri"/>
          <w:sz w:val="22"/>
          <w:szCs w:val="22"/>
        </w:rPr>
      </w:pPr>
      <w:r w:rsidRPr="00446DFA">
        <w:rPr>
          <w:b/>
          <w:szCs w:val="16"/>
        </w:rPr>
        <w:t xml:space="preserve">Abstract: </w:t>
      </w:r>
      <w:bookmarkStart w:id="0" w:name="_Hlk5891045"/>
      <w:r w:rsidR="002D5379" w:rsidRPr="002D5379">
        <w:rPr>
          <w:rFonts w:cs="Calibri"/>
          <w:sz w:val="18"/>
          <w:szCs w:val="18"/>
        </w:rPr>
        <w:t>Antibiotic-tolerant bacterial biofilms are notorious in causing PJI. Antibiotic loaded calcium sulfate bead (CSB</w:t>
      </w:r>
      <w:r w:rsidR="002D5379" w:rsidRPr="004B1AD3">
        <w:rPr>
          <w:rFonts w:cs="Calibri"/>
          <w:sz w:val="18"/>
          <w:szCs w:val="18"/>
        </w:rPr>
        <w:t>) bone void fillers</w:t>
      </w:r>
      <w:r w:rsidR="00AE54B6">
        <w:rPr>
          <w:rFonts w:cs="Calibri"/>
          <w:sz w:val="18"/>
          <w:szCs w:val="18"/>
        </w:rPr>
        <w:t xml:space="preserve"> and</w:t>
      </w:r>
      <w:r w:rsidR="00F11920">
        <w:rPr>
          <w:rFonts w:cs="Calibri"/>
          <w:sz w:val="18"/>
          <w:szCs w:val="18"/>
        </w:rPr>
        <w:t xml:space="preserve"> </w:t>
      </w:r>
      <w:r w:rsidR="002D5379" w:rsidRPr="004B1AD3">
        <w:rPr>
          <w:rFonts w:cs="Calibri"/>
          <w:sz w:val="18"/>
          <w:szCs w:val="18"/>
        </w:rPr>
        <w:t xml:space="preserve">PMMA cement and powdered vancomycin </w:t>
      </w:r>
      <w:r w:rsidR="00AE54B6">
        <w:rPr>
          <w:rFonts w:cs="Calibri"/>
          <w:sz w:val="18"/>
          <w:szCs w:val="18"/>
        </w:rPr>
        <w:t>have been</w:t>
      </w:r>
      <w:r w:rsidR="002D5379" w:rsidRPr="004B1AD3">
        <w:rPr>
          <w:rFonts w:cs="Calibri"/>
          <w:sz w:val="18"/>
          <w:szCs w:val="18"/>
        </w:rPr>
        <w:t xml:space="preserve"> used to </w:t>
      </w:r>
      <w:r w:rsidR="002D5379" w:rsidRPr="004D5D00">
        <w:rPr>
          <w:rFonts w:cs="Calibri"/>
          <w:sz w:val="18"/>
          <w:szCs w:val="18"/>
        </w:rPr>
        <w:t xml:space="preserve">achieve high local antibiotic concentrations; however, the effect of drainage on concentration is poorly understood. We designed an </w:t>
      </w:r>
      <w:r w:rsidR="002D5379" w:rsidRPr="004D5D00">
        <w:rPr>
          <w:rFonts w:cs="Calibri"/>
          <w:i/>
          <w:iCs/>
          <w:sz w:val="18"/>
          <w:szCs w:val="18"/>
        </w:rPr>
        <w:t>in vitro</w:t>
      </w:r>
      <w:r w:rsidR="002D5379" w:rsidRPr="004D5D00">
        <w:rPr>
          <w:rFonts w:cs="Calibri"/>
          <w:sz w:val="18"/>
          <w:szCs w:val="18"/>
        </w:rPr>
        <w:t xml:space="preserve"> flow reactor which provides post-surgical drainage rates after knee revision surgery to determine antibiotic concentration profiles. Tobramycin and vancomycin concentrations were determined using LCMS, zones of inhibition confirmed potency and the area under the concentration-time curve (AUC) at various time points was used to compare applications. Concentrations </w:t>
      </w:r>
      <w:r w:rsidR="00AE54B6">
        <w:rPr>
          <w:rFonts w:cs="Calibri"/>
          <w:sz w:val="18"/>
          <w:szCs w:val="18"/>
        </w:rPr>
        <w:t xml:space="preserve">of antibioitcs </w:t>
      </w:r>
      <w:r w:rsidR="002D5379" w:rsidRPr="004D5D00">
        <w:rPr>
          <w:rFonts w:cs="Calibri"/>
          <w:sz w:val="18"/>
          <w:szCs w:val="18"/>
        </w:rPr>
        <w:t xml:space="preserve">from the PMMA and CSB initially increased then decreased before increasing after 2 to 3 hrs, correlating with decreased drainage, demonstrating that concentration was controlled by both release and flow rates. VP achieved the greatest AUC after 2hr, but rapidly dropped below inhibitory levels. CSB combined with PMMA achieved the greatest AUC after 2hr. The combination of PMMA and CSB may present an </w:t>
      </w:r>
      <w:r w:rsidR="004D5D00" w:rsidRPr="004D5D00">
        <w:rPr>
          <w:rFonts w:cs="Calibri"/>
          <w:sz w:val="18"/>
          <w:szCs w:val="18"/>
        </w:rPr>
        <w:t xml:space="preserve">effective </w:t>
      </w:r>
      <w:r w:rsidR="002D5379" w:rsidRPr="004D5D00">
        <w:rPr>
          <w:rFonts w:cs="Calibri"/>
          <w:sz w:val="18"/>
          <w:szCs w:val="18"/>
        </w:rPr>
        <w:t>combination for killing biofilm bacteria, however cytotoxicity and appropriate antibiotic stewardship should be considered. The model may be useful in comparing antibiotic concentration profiles when varying fluid exchange is important. However, further studies are required to assess its utility for predicting clinical efficacy.</w:t>
      </w:r>
    </w:p>
    <w:bookmarkEnd w:id="0"/>
    <w:p w14:paraId="1FF3A5C4" w14:textId="5FFE01C1" w:rsidR="007713AF" w:rsidRPr="00446DFA" w:rsidRDefault="00BA3143" w:rsidP="002D5379">
      <w:pPr>
        <w:pStyle w:val="MDPI18keywords"/>
        <w:rPr>
          <w:szCs w:val="18"/>
        </w:rPr>
      </w:pPr>
      <w:r w:rsidRPr="004D5D00">
        <w:rPr>
          <w:b/>
          <w:szCs w:val="18"/>
        </w:rPr>
        <w:t>Keywords:</w:t>
      </w:r>
      <w:r w:rsidR="007713AF" w:rsidRPr="004D5D00">
        <w:rPr>
          <w:b/>
          <w:szCs w:val="18"/>
        </w:rPr>
        <w:t xml:space="preserve"> </w:t>
      </w:r>
      <w:r w:rsidR="00705A42" w:rsidRPr="004D5D00">
        <w:rPr>
          <w:bCs/>
          <w:szCs w:val="18"/>
        </w:rPr>
        <w:t>Periprosthetic joint infection</w:t>
      </w:r>
      <w:r w:rsidRPr="004D5D00">
        <w:rPr>
          <w:bCs/>
          <w:szCs w:val="18"/>
        </w:rPr>
        <w:t xml:space="preserve">; </w:t>
      </w:r>
      <w:r w:rsidR="00705A42" w:rsidRPr="00A12322">
        <w:t>Antibiotic loaded calcium sulfate beads</w:t>
      </w:r>
      <w:r w:rsidRPr="00A12322">
        <w:t xml:space="preserve">; </w:t>
      </w:r>
      <w:r w:rsidR="00705A42" w:rsidRPr="0067794F">
        <w:t>Polymethylmethacrylate (PMMA) bone cement</w:t>
      </w:r>
      <w:r w:rsidRPr="004D5D00">
        <w:t xml:space="preserve">; </w:t>
      </w:r>
      <w:r w:rsidR="00661ADD" w:rsidRPr="004D5D00">
        <w:t>v</w:t>
      </w:r>
      <w:r w:rsidR="00705A42" w:rsidRPr="004D5D00">
        <w:t>ancomycin</w:t>
      </w:r>
      <w:r w:rsidRPr="00446DFA">
        <w:t xml:space="preserve">; </w:t>
      </w:r>
      <w:r w:rsidR="00661ADD" w:rsidRPr="00446DFA">
        <w:t>t</w:t>
      </w:r>
      <w:r w:rsidR="00705A42" w:rsidRPr="00446DFA">
        <w:t>obramycin</w:t>
      </w:r>
    </w:p>
    <w:p w14:paraId="612B1E34" w14:textId="77777777" w:rsidR="007713AF" w:rsidRPr="00446DFA" w:rsidRDefault="007713AF" w:rsidP="00BA3143">
      <w:pPr>
        <w:pStyle w:val="MDPI19line"/>
        <w:pBdr>
          <w:bottom w:val="single" w:sz="4" w:space="1" w:color="000000"/>
        </w:pBdr>
      </w:pPr>
    </w:p>
    <w:p w14:paraId="048253CA" w14:textId="070C98D4" w:rsidR="007713AF" w:rsidRPr="00446DFA" w:rsidRDefault="00BA3143" w:rsidP="00BA3143">
      <w:pPr>
        <w:pStyle w:val="MDPI21heading1"/>
      </w:pPr>
      <w:r w:rsidRPr="00446DFA">
        <w:t xml:space="preserve">1. </w:t>
      </w:r>
      <w:r w:rsidR="007713AF" w:rsidRPr="00446DFA">
        <w:t>Introduction</w:t>
      </w:r>
    </w:p>
    <w:p w14:paraId="16D525C8" w14:textId="40C59E93" w:rsidR="002E4A63" w:rsidRPr="00446DFA" w:rsidRDefault="002E4A63" w:rsidP="00BA3143">
      <w:pPr>
        <w:pStyle w:val="MDPI31text"/>
      </w:pPr>
      <w:r w:rsidRPr="00446DFA">
        <w:t xml:space="preserve">Periprosthetic joint infections (PJI) present many challenges for orthopedic surgeons as the economic burden and incidence rate increases </w:t>
      </w:r>
      <w:r w:rsidR="0084309A" w:rsidRPr="00446DFA">
        <w:t>[</w:t>
      </w:r>
      <w:r w:rsidRPr="00446DFA">
        <w:fldChar w:fldCharType="begin" w:fldLock="1"/>
      </w:r>
      <w:r w:rsidRPr="00446DFA">
        <w:instrText>ADDIN CSL_CITATION {"citationItems":[{"id":"ITEM-1","itemData":{"DOI":"10.1016/j.arth.2012.02.022","ISSN":"15328406","abstract":"This study characterizes the patient and clinical factors influencing the economic burden of periprosthetic joint infection (PJI) in the United States. The 2001-2009 Nationwide Inpatient Sample was used to identify total hip and knee arthroplasties using International Classification of Diseases, Ninth Revision, procedure codes. The relative incidence of PJI ranged between 2.0% and 2.4% of total hip arthroplasties and total knee arthroplasties and increased over time. The mean cost to treat hip PJIs was $5965 greater than the mean cost for knee PJIs. The annual cost of infected revisions to US hospitals increased from $320 million to $566 million during the study period and was projected to exceed $1.62 billion by 2020. As the demand for joint arthroplasty is expected to increase substantially over the coming decade, so too will the economic burden of prosthetic infections. © 2012.","author":[{"dropping-particle":"","family":"Kurtz","given":"Steven M.","non-dropping-particle":"","parse-names":false,"suffix":""},{"dropping-particle":"","family":"Lau","given":"Edmund","non-dropping-particle":"","parse-names":false,"suffix":""},{"dropping-particle":"","family":"Watson","given":"Heather","non-dropping-particle":"","parse-names":false,"suffix":""},{"dropping-particle":"","family":"Schmier","given":"Jordana K.","non-dropping-particle":"","parse-names":false,"suffix":""},{"dropping-particle":"","family":"Parvizi","given":"Javad","non-dropping-particle":"","parse-names":false,"suffix":""}],"container-title":"Journal of Arthroplasty","id":"ITEM-1","issue":"8 SUPPL.","issued":{"date-parts":[["2012"]]},"page":"61-65.e1","publisher":"Elsevier B.V.","title":"Economic burden of periprosthetic joint infection in the united states","type":"article-journal","volume":"27"},"uris":["http://www.mendeley.com/documents/?uuid=4f0f5ef8-e432-409a-9070-46771a7f8dbb"]}],"mendeley":{"formattedCitation":"&lt;sup&gt;1&lt;/sup&gt;","plainTextFormattedCitation":"1","previouslyFormattedCitation":"&lt;sup&gt;1&lt;/sup&gt;"},"properties":{"noteIndex":0},"schema":"https://github.com/citation-style-language/schema/raw/master/csl-citation.json"}</w:instrText>
      </w:r>
      <w:r w:rsidRPr="00446DFA">
        <w:fldChar w:fldCharType="separate"/>
      </w:r>
      <w:r w:rsidRPr="00446DFA">
        <w:rPr>
          <w:noProof/>
        </w:rPr>
        <w:t>1</w:t>
      </w:r>
      <w:r w:rsidRPr="00446DFA">
        <w:fldChar w:fldCharType="end"/>
      </w:r>
      <w:r w:rsidR="0084309A" w:rsidRPr="00446DFA">
        <w:t>]</w:t>
      </w:r>
      <w:r w:rsidRPr="00446DFA">
        <w:t xml:space="preserve">. These infections lengthen </w:t>
      </w:r>
      <w:r w:rsidRPr="00446DFA">
        <w:lastRenderedPageBreak/>
        <w:t xml:space="preserve">hospitalizations and increase the risk of mortality and morbidity </w:t>
      </w:r>
      <w:r w:rsidR="00D97EF0" w:rsidRPr="00446DFA">
        <w:t>[</w:t>
      </w:r>
      <w:r w:rsidRPr="00446DFA">
        <w:fldChar w:fldCharType="begin" w:fldLock="1"/>
      </w:r>
      <w:r w:rsidRPr="00446DFA">
        <w:instrText>ADDIN CSL_CITATION {"citationItems":[{"id":"ITEM-1","itemData":{"DOI":"10.1016/S0195-6701(08)60017-1","ISSN":"01956701","abstract":"Surgical site infections (SSIs) are defined as infections occurring up to 30 days after surgery (or up to one year after surgery in patients receiving implants) and affecting either the incision or deep tissue at the operation site. Despite improvements in prevention, SSIs remain a significant clinical problem as they are associated with substantial mortality and morbidity and impose severe demands on healthcare resources. The incidence of SSIs may be as high as 20%, depending on the surgical procedure, the surveillance criteria used, and the quality of data collection. In many SSIs, the responsible pathogens originate from the patient's endogenous flora. The causative pathogens depend on the type of surgery; the most commonly isolated organisms are Staphylococcus aureus, coagulase-negative staphylococci, Enterococcus spp. and Escherichia coli. Numerous patient-related and procedure-related factors influence the risk of SSI, and hence prevention requires a 'bundle' approach, with systematic attention to multiple risk factors, in order to reduce the risk of bacterial contamination and improve the patient's defences. The Centers for Disease Control and Prevention guidelines for the prevention of SSIs emphasise the importance of good patient preparation, aseptic practice, and attention to surgical technique; antimicrobial prophylaxis is also indicated in specific circumstances. Emerging technologies, such as microbial sealants, offer the ability to seal and immobilise skin flora for the duration of a surgical procedure; a strong case therefore exists for evaluating such technologies and implementing them into routine clinical practice as appropriate. © 2008 The Hospital Infection Society.","author":[{"dropping-particle":"","family":"Owens","given":"C. D.","non-dropping-particle":"","parse-names":false,"suffix":""},{"dropping-particle":"","family":"Stoessel","given":"K.","non-dropping-particle":"","parse-names":false,"suffix":""}],"container-title":"Journal of Hospital Infection","id":"ITEM-1","issue":"SUPPL. 2","issued":{"date-parts":[["2008"]]},"page":"3-10","publisher":"The Hospital Infection Society","title":"Surgical site infections: epidemiology, microbiology and prevention","type":"article-journal","volume":"70"},"uris":["http://www.mendeley.com/documents/?uuid=ea85f7d5-5640-4d3b-8946-36f4eb8e1307"]}],"mendeley":{"formattedCitation":"&lt;sup&gt;2&lt;/sup&gt;","plainTextFormattedCitation":"2","previouslyFormattedCitation":"&lt;sup&gt;2&lt;/sup&gt;"},"properties":{"noteIndex":0},"schema":"https://github.com/citation-style-language/schema/raw/master/csl-citation.json"}</w:instrText>
      </w:r>
      <w:r w:rsidRPr="00446DFA">
        <w:fldChar w:fldCharType="separate"/>
      </w:r>
      <w:r w:rsidRPr="00446DFA">
        <w:rPr>
          <w:noProof/>
        </w:rPr>
        <w:t>2</w:t>
      </w:r>
      <w:r w:rsidRPr="00446DFA">
        <w:fldChar w:fldCharType="end"/>
      </w:r>
      <w:r w:rsidR="00D97EF0" w:rsidRPr="00446DFA">
        <w:t>]</w:t>
      </w:r>
      <w:r w:rsidRPr="00446DFA">
        <w:t xml:space="preserve">. Antibiotic tolerant bacterial biofilms play a major role in the pathogenesis and treatment of (PJI) </w:t>
      </w:r>
      <w:r w:rsidR="00D97EF0" w:rsidRPr="00446DFA">
        <w:t>[</w:t>
      </w:r>
      <w:r w:rsidRPr="00446DFA">
        <w:fldChar w:fldCharType="begin" w:fldLock="1"/>
      </w:r>
      <w:r w:rsidRPr="00446DFA">
        <w:instrText>ADDIN CSL_CITATION {"citationItems":[{"id":"ITEM-1","itemData":{"DOI":"10.2217/fmb.14.64","ISSN":"17460921","abstract":"As the number of total joint arthroplasty and internal fixation procedures continues to rise, the threat of infection following surgery has significant clinical implications. These infections may have highly morbid consequences to patients, who often endure additional surgeries and lengthy exposures to systemic antibiotics, neither of which are guaranteed to resolve the infection. Of particular concern is the threat of bacterial biofilm development, since biofilm-mediated infections are difficult to diagnose and effective treatments are lacking. Developing therapeutic strategies have targeted mechanisms of biofilm formation and the means by which these bacteria communicate with each other to take on specialized roles such as persister cells within the biofilm. In addition, prevention of infection through novel coatings for prostheses and the local delivery of high concentrations of antibiotics by absorbable carriers has shown promise in laboratory and animal studies. Biofilm development, especially in an arthoplasty environment, and future diagnostic and treatment options are discussed.","author":[{"dropping-particle":"","family":"McConoughey","given":"Stephen J.","non-dropping-particle":"","parse-names":false,"suffix":""},{"dropping-particle":"","family":"Howlin","given":"Rob","non-dropping-particle":"","parse-names":false,"suffix":""},{"dropping-particle":"","family":"Granger","given":"Jeff F.","non-dropping-particle":"","parse-names":false,"suffix":""},{"dropping-particle":"","family":"Manring","given":"Maurice M.","non-dropping-particle":"","parse-names":false,"suffix":""},{"dropping-particle":"","family":"Calhoun","given":"Jason H.","non-dropping-particle":"","parse-names":false,"suffix":""},{"dropping-particle":"","family":"Shirtliff","given":"Mark","non-dropping-particle":"","parse-names":false,"suffix":""},{"dropping-particle":"","family":"Kathju","given":"Sandeep","non-dropping-particle":"","parse-names":false,"suffix":""},{"dropping-particle":"","family":"Stoodley","given":"Paul","non-dropping-particle":"","parse-names":false,"suffix":""}],"container-title":"Future Microbiology","id":"ITEM-1","issue":"8","issued":{"date-parts":[["2014"]]},"page":"987-1007","title":"Biofilms in periprosthetic orthopedic infections","type":"article-journal","volume":"9"},"uris":["http://www.mendeley.com/documents/?uuid=0cfd2613-b5a1-4e4c-86a2-99f06237dacc"]}],"mendeley":{"formattedCitation":"&lt;sup&gt;3&lt;/sup&gt;","plainTextFormattedCitation":"3","previouslyFormattedCitation":"&lt;sup&gt;3&lt;/sup&gt;"},"properties":{"noteIndex":0},"schema":"https://github.com/citation-style-language/schema/raw/master/csl-citation.json"}</w:instrText>
      </w:r>
      <w:r w:rsidRPr="00446DFA">
        <w:fldChar w:fldCharType="separate"/>
      </w:r>
      <w:r w:rsidRPr="00446DFA">
        <w:rPr>
          <w:noProof/>
        </w:rPr>
        <w:t>3</w:t>
      </w:r>
      <w:r w:rsidRPr="00446DFA">
        <w:fldChar w:fldCharType="end"/>
      </w:r>
      <w:r w:rsidR="00D97EF0" w:rsidRPr="00446DFA">
        <w:t>]</w:t>
      </w:r>
      <w:r w:rsidR="00AF2E55">
        <w:t>.</w:t>
      </w:r>
      <w:r w:rsidR="005B3E36">
        <w:t xml:space="preserve"> </w:t>
      </w:r>
      <w:r w:rsidR="00AF2E55">
        <w:t>D</w:t>
      </w:r>
      <w:r w:rsidRPr="00446DFA">
        <w:t xml:space="preserve">ue to a higher tolerance to antibiotics compared with planktonic cells, biofilms require extended or repeated high concentrations of exposure </w:t>
      </w:r>
      <w:r w:rsidR="00D97EF0" w:rsidRPr="00446DFA">
        <w:t>[</w:t>
      </w:r>
      <w:r w:rsidRPr="00446DFA">
        <w:fldChar w:fldCharType="begin" w:fldLock="1"/>
      </w:r>
      <w:r w:rsidRPr="00446DFA">
        <w:instrText>ADDIN CSL_CITATION {"citationItems":[{"id":"ITEM-1","itemData":{"author":[{"dropping-particle":"","family":"Howlin","given":"RP","non-dropping-particle":"","parse-names":false,"suffix":""},{"dropping-particle":"","family":"Winnard","given":"C","non-dropping-particle":"","parse-names":false,"suffix":""},{"dropping-particle":"","family":"Frapwell","given":"CJ","non-dropping-particle":"","parse-names":false,"suffix":""},{"dropping-particle":"","family":"Webb","given":"JS","non-dropping-particle":"","parse-names":false,"suffix":""},{"dropping-particle":"","family":"Cooper","given":"JJ","non-dropping-particle":"","parse-names":false,"suffix":""},{"dropping-particle":"","family":"Aiken","given":"SS","non-dropping-particle":"","parse-names":false,"suffix":""},{"dropping-particle":"","family":"Stoodley","given":"P","non-dropping-particle":"","parse-names":false,"suffix":""}],"container-title":"Biomed Mater","id":"ITEM-1","issue":"1","issued":{"date-parts":[["2016"]]},"page":"015002","title":"Biofilm prevention of gram-negative bacterial pathogens involved in periprosthetic infection by antibiotic-loaded calcium sulfate beads in vitro","type":"article-journal","volume":"12"},"uris":["http://www.mendeley.com/documents/?uuid=f9a83a05-c32e-4c1c-a57f-ceef063f91b5"]},{"id":"ITEM-2","itemData":{"author":[{"dropping-particle":"","family":"Costerton","given":"J.W","non-dropping-particle":"","parse-names":false,"suffix":""},{"dropping-particle":"","family":"Lewandowski","given":"Z","non-dropping-particle":"","parse-names":false,"suffix":""},{"dropping-particle":"","family":"Caldwell","given":"D.E","non-dropping-particle":"","parse-names":false,"suffix":""},{"dropping-particle":"","family":"Korber","given":"D.R","non-dropping-particle":"","parse-names":false,"suffix":""},{"dropping-particle":"","family":"Lappin-Scott","given":"H.M","non-dropping-particle":"","parse-names":false,"suffix":""}],"container-title":"Ann. Rev. Microbiol.","id":"ITEM-2","issued":{"date-parts":[["1995"]]},"page":"711-745","title":"Microbial biofilms","type":"article-journal","volume":"49"},"uris":["http://www.mendeley.com/documents/?uuid=95bd22f3-6aaa-450b-af55-a8edee66bcd6"]}],"mendeley":{"formattedCitation":"&lt;sup&gt;4,5&lt;/sup&gt;","plainTextFormattedCitation":"4,5","previouslyFormattedCitation":"&lt;sup&gt;4,5&lt;/sup&gt;"},"properties":{"noteIndex":0},"schema":"https://github.com/citation-style-language/schema/raw/master/csl-citation.json"}</w:instrText>
      </w:r>
      <w:r w:rsidRPr="00446DFA">
        <w:fldChar w:fldCharType="separate"/>
      </w:r>
      <w:r w:rsidRPr="00446DFA">
        <w:rPr>
          <w:noProof/>
        </w:rPr>
        <w:t>4,5</w:t>
      </w:r>
      <w:r w:rsidRPr="00446DFA">
        <w:fldChar w:fldCharType="end"/>
      </w:r>
      <w:r w:rsidR="00D97EF0" w:rsidRPr="00446DFA">
        <w:t>]</w:t>
      </w:r>
      <w:r w:rsidRPr="00446DFA">
        <w:t xml:space="preserve">. </w:t>
      </w:r>
    </w:p>
    <w:p w14:paraId="0A172261" w14:textId="46B002E3" w:rsidR="002E4A63" w:rsidRPr="00446DFA" w:rsidRDefault="002E4A63" w:rsidP="00BA3143">
      <w:pPr>
        <w:pStyle w:val="MDPI31text"/>
      </w:pPr>
      <w:r w:rsidRPr="00446DFA">
        <w:t>To treat bacterial biofilm PJIs,</w:t>
      </w:r>
      <w:r w:rsidR="004D5D00">
        <w:t xml:space="preserve"> antibiotics such as</w:t>
      </w:r>
      <w:r w:rsidRPr="00446DFA">
        <w:t xml:space="preserve"> vancomycin and the aminoglycosides</w:t>
      </w:r>
      <w:r w:rsidR="00FF3F8C">
        <w:t xml:space="preserve"> </w:t>
      </w:r>
      <w:r w:rsidRPr="00446DFA">
        <w:t xml:space="preserve">tobramycin and gentamicin are often mixed into bone cement to provide locally high concentrations and broad spectrum coverage against </w:t>
      </w:r>
      <w:r w:rsidR="004D5D00">
        <w:t>G</w:t>
      </w:r>
      <w:r w:rsidRPr="00446DFA">
        <w:t xml:space="preserve">ram positive and negative pathogens </w:t>
      </w:r>
      <w:r w:rsidR="00D97EF0" w:rsidRPr="00446DFA">
        <w:t>[</w:t>
      </w:r>
      <w:r w:rsidRPr="00446DFA">
        <w:fldChar w:fldCharType="begin" w:fldLock="1"/>
      </w:r>
      <w:r w:rsidRPr="00446DFA">
        <w:instrText>ADDIN CSL_CITATION {"citationItems":[{"id":"ITEM-1","itemData":{"author":[{"dropping-particle":"","family":"K.","given":"Anagnostakos","non-dropping-particle":"","parse-names":false,"suffix":""}],"container-title":"Orthopedics","id":"ITEM-1","issued":{"date-parts":[["2014"]]},"page":"297-298","title":"What do we (not) know about antibiotic-loaded hip spacers?","type":"article-journal","volume":"37"},"uris":["http://www.mendeley.com/documents/?uuid=6f1b9801-31e5-4042-b03b-263a02d493e7"]}],"mendeley":{"formattedCitation":"&lt;sup&gt;6&lt;/sup&gt;","plainTextFormattedCitation":"6","previouslyFormattedCitation":"&lt;sup&gt;6&lt;/sup&gt;"},"properties":{"noteIndex":0},"schema":"https://github.com/citation-style-language/schema/raw/master/csl-citation.json"}</w:instrText>
      </w:r>
      <w:r w:rsidRPr="00446DFA">
        <w:fldChar w:fldCharType="separate"/>
      </w:r>
      <w:r w:rsidRPr="00446DFA">
        <w:rPr>
          <w:noProof/>
        </w:rPr>
        <w:t>6</w:t>
      </w:r>
      <w:r w:rsidRPr="00446DFA">
        <w:fldChar w:fldCharType="end"/>
      </w:r>
      <w:r w:rsidR="00D97EF0" w:rsidRPr="00446DFA">
        <w:t>]</w:t>
      </w:r>
      <w:r w:rsidRPr="00446DFA">
        <w:t xml:space="preserve">. </w:t>
      </w:r>
      <w:r w:rsidR="004D5D00">
        <w:t>B</w:t>
      </w:r>
      <w:r w:rsidRPr="00446DFA">
        <w:t xml:space="preserve">road spectrum antibiotics are used because culture data may not identify the infecting bacteria or this information may not be available at the time of operation </w:t>
      </w:r>
      <w:r w:rsidR="00D97EF0" w:rsidRPr="00446DFA">
        <w:t>[</w:t>
      </w:r>
      <w:r w:rsidRPr="00446DFA">
        <w:fldChar w:fldCharType="begin" w:fldLock="1"/>
      </w:r>
      <w:r w:rsidRPr="00446DFA">
        <w:instrText>ADDIN CSL_CITATION {"citationItems":[{"id":"ITEM-1","itemData":{"DOI":"10.4065/mcp.2010.0639","ISSN":"00256196","abstract":"Antimicrobial agents are some of the most widely, and often injudiciously, used therapeutic drugs worldwide. Important considerations when prescribing antimicrobial therapy include obtaining an accurate diagnosis of infection; understanding the difference between empiric and definitive therapy; identifying opportunities to switch to narrow-spectrum, cost-effective oral agents for the shortest duration necessary; understanding drug characteristics that are peculiar to antimicrobial agents (such as pharmacodynamics and efficacy at the site of infection); accounting for host characteristics that influence antimicrobial activity; and in turn, recognizing the adverse effects of antimicrobial agents on the host. It is also important to understand the importance of antimicrobial stewardship, to know when to consult infectious disease specialists for guidance, and to be able to identify situations when antimicrobial therapy is not needed. By following these general principles, all practicing physicians should be able to use antimicrobial agents in a responsible manner that benefits both the individual patient and the community. © 2011 Mayo Foundation for Medical Education and Research.","author":[{"dropping-particle":"","family":"Leekha","given":"Surbhi","non-dropping-particle":"","parse-names":false,"suffix":""},{"dropping-particle":"","family":"Terrell","given":"Christine L.","non-dropping-particle":"","parse-names":false,"suffix":""},{"dropping-particle":"","family":"Edson","given":"Randall S.","non-dropping-particle":"","parse-names":false,"suffix":""}],"container-title":"Mayo Clinic Proceedings","id":"ITEM-1","issue":"2","issued":{"date-parts":[["2011"]]},"page":"156-167","title":"General principles of antimicrobial therapy","type":"article-journal","volume":"86"},"uris":["http://www.mendeley.com/documents/?uuid=4f1743a5-2299-409e-9355-aa1d631e1cb4"]},{"id":"ITEM-2","itemData":{"DOI":"10.1186/s13756-016-0159-7","ISBN":"1375601601","ISSN":"20472994","abstract":"Background: Cambodia is affected by antibiotic resistance but interventions to reduce the level of resistance require knowledge of the phenomena that lead to inappropriate prescribing. We interviewed physicians working in public hospitals to explore the drivers of inappropriate antibiotic prescribing. Methods: Hospitals participating in a knowledge, attitudes and practices survey prior to this study were purposively selected and physicians were randomly recruited to participate in focus group discussions. Nvivo version 10 was used to inductively code the qualitative transcripts and manage thematic data analysis. Results: Inappropriate antibiotic prescribing was a common practice and driven by seven factors: prescribing habit, limited diagnostic capacity, lack of microbiology evidence, non-evidence-based clinical guidelines, perceived patient demand, poor hygiene and infection control, and perceived bacterial resistance to narrow spectrum antibiotics. \"Every day, doctors are not performing appropriately. We have made lots of mistakes with our antibiotic prescribing.\" Conclusions: The practice of prescribing antibiotics by Cambodian physicians is inappropriate and based on prescribing habit rather than microbiology evidence. Improvement in prescribing practice is unlikely to occur unless an education program for physicians focuses on the diagnostic capacity and usefulness of microbiology services. In parallel, hygiene and infection control in hospital must be improved, evidence-based antibiotic prescribing guidelines must be developed, and access to antibiotics in community must be restricted.","author":[{"dropping-particle":"","family":"Om","given":"Chhorvoin","non-dropping-particle":"","parse-names":false,"suffix":""},{"dropping-particle":"","family":"Daily","given":"Frances","non-dropping-particle":"","parse-names":false,"suffix":""},{"dropping-particle":"","family":"Vlieghe","given":"Erika","non-dropping-particle":"","parse-names":false,"suffix":""},{"dropping-particle":"","family":"McLaughlin","given":"James C.","non-dropping-particle":"","parse-names":false,"suffix":""},{"dropping-particle":"","family":"McLaws","given":"Mary Louise","non-dropping-particle":"","parse-names":false,"suffix":""}],"container-title":"Antimicrobial Resistance and Infection Control","id":"ITEM-2","issue":"1","issued":{"date-parts":[["2016"]]},"page":"1-8","publisher":"Antimicrobial Resistance &amp; Infection Control","title":"\"If it's a broad spectrum, it can shoot better\": Inappropriate antibiotic prescribing in Cambodia","type":"article-journal","volume":"5"},"uris":["http://www.mendeley.com/documents/?uuid=77254f01-bd1f-4738-adee-ee2cb3e702c0"]}],"mendeley":{"formattedCitation":"&lt;sup&gt;7,8&lt;/sup&gt;","plainTextFormattedCitation":"7,8","previouslyFormattedCitation":"&lt;sup&gt;7,8&lt;/sup&gt;"},"properties":{"noteIndex":0},"schema":"https://github.com/citation-style-language/schema/raw/master/csl-citation.json"}</w:instrText>
      </w:r>
      <w:r w:rsidRPr="00446DFA">
        <w:fldChar w:fldCharType="separate"/>
      </w:r>
      <w:r w:rsidRPr="00446DFA">
        <w:rPr>
          <w:noProof/>
        </w:rPr>
        <w:t>7,8</w:t>
      </w:r>
      <w:r w:rsidRPr="00446DFA">
        <w:fldChar w:fldCharType="end"/>
      </w:r>
      <w:r w:rsidR="00D97EF0" w:rsidRPr="00446DFA">
        <w:t>]</w:t>
      </w:r>
      <w:r w:rsidRPr="00446DFA">
        <w:t xml:space="preserve">. Systemic antibiotic administration can decrease overall infection rates, however there is evidence that local administration further reduces infection </w:t>
      </w:r>
      <w:r w:rsidR="00D97EF0" w:rsidRPr="00446DFA">
        <w:t>[</w:t>
      </w:r>
      <w:r w:rsidRPr="00446DFA">
        <w:fldChar w:fldCharType="begin" w:fldLock="1"/>
      </w:r>
      <w:r w:rsidRPr="00446DFA">
        <w:instrText>ADDIN CSL_CITATION {"citationItems":[{"id":"ITEM-1","itemData":{"author":[{"dropping-particle":"","family":"Ostermann","given":"P","non-dropping-particle":"","parse-names":false,"suffix":""},{"dropping-particle":"","family":"Seligson","given":"D","non-dropping-particle":"","parse-names":false,"suffix":""},{"dropping-particle":"","family":"Henry","given":"S","non-dropping-particle":"","parse-names":false,"suffix":""}],"container-title":"The Journal of Bone and Joint Surgery. British Volume","id":"ITEM-1","issue":"1","issued":{"date-parts":[["1995"]]},"page":"93-97","title":"Local antibiotic therapy for severe open fractures. A review of 1085 consecutive cases","type":"article-journal","volume":"77-B"},"uris":["http://www.mendeley.com/documents/?uuid=95acdffe-988d-4ae8-a70d-95c652f366e6"]}],"mendeley":{"formattedCitation":"&lt;sup&gt;9&lt;/sup&gt;","plainTextFormattedCitation":"9","previouslyFormattedCitation":"&lt;sup&gt;9&lt;/sup&gt;"},"properties":{"noteIndex":0},"schema":"https://github.com/citation-style-language/schema/raw/master/csl-citation.json"}</w:instrText>
      </w:r>
      <w:r w:rsidRPr="00446DFA">
        <w:fldChar w:fldCharType="separate"/>
      </w:r>
      <w:r w:rsidRPr="00446DFA">
        <w:rPr>
          <w:noProof/>
        </w:rPr>
        <w:t>9</w:t>
      </w:r>
      <w:r w:rsidRPr="00446DFA">
        <w:fldChar w:fldCharType="end"/>
      </w:r>
      <w:r w:rsidR="00D97EF0" w:rsidRPr="00446DFA">
        <w:t>]</w:t>
      </w:r>
      <w:r w:rsidRPr="00446DFA">
        <w:t xml:space="preserve">. </w:t>
      </w:r>
      <w:bookmarkStart w:id="1" w:name="_Hlk65572203"/>
      <w:r w:rsidRPr="00446DFA">
        <w:t xml:space="preserve">Historically, surgeons have used antibiotic loaded </w:t>
      </w:r>
      <w:r w:rsidRPr="00446DFA">
        <w:rPr>
          <w:rFonts w:eastAsia="Cambria Math"/>
          <w:iCs/>
          <w:lang w:eastAsia="ja-JP"/>
        </w:rPr>
        <w:t>polymethylmethacrylate</w:t>
      </w:r>
      <w:r w:rsidRPr="00446DFA">
        <w:t xml:space="preserve"> (PMMA) bone cement in the form of spacers and beads as methods of local administration </w:t>
      </w:r>
      <w:r w:rsidR="00D97EF0" w:rsidRPr="00446DFA">
        <w:t>[</w:t>
      </w:r>
      <w:r w:rsidRPr="00446DFA">
        <w:fldChar w:fldCharType="begin" w:fldLock="1"/>
      </w:r>
      <w:r w:rsidRPr="00446DFA">
        <w:instrText>ADDIN CSL_CITATION {"citationItems":[{"id":"ITEM-1","itemData":{"author":[{"dropping-particle":"","family":"Howlin","given":"RP","non-dropping-particle":"","parse-names":false,"suffix":""},{"dropping-particle":"","family":"Winnard","given":"C","non-dropping-particle":"","parse-names":false,"suffix":""},{"dropping-particle":"","family":"Frapwell","given":"CJ","non-dropping-particle":"","parse-names":false,"suffix":""},{"dropping-particle":"","family":"Webb","given":"JS","non-dropping-particle":"","parse-names":false,"suffix":""},{"dropping-particle":"","family":"Cooper","given":"JJ","non-dropping-particle":"","parse-names":false,"suffix":""},{"dropping-particle":"","family":"Aiken","given":"SS","non-dropping-particle":"","parse-names":false,"suffix":""},{"dropping-particle":"","family":"Stoodley","given":"P","non-dropping-particle":"","parse-names":false,"suffix":""}],"container-title":"Biomed Mater","id":"ITEM-1","issue":"1","issued":{"date-parts":[["2016"]]},"page":"015002","title":"Biofilm prevention of gram-negative bacterial pathogens involved in periprosthetic infection by antibiotic-loaded calcium sulfate beads in vitro","type":"article-journal","volume":"12"},"uris":["http://www.mendeley.com/documents/?uuid=f9a83a05-c32e-4c1c-a57f-ceef063f91b5"]}],"mendeley":{"formattedCitation":"&lt;sup&gt;4&lt;/sup&gt;","plainTextFormattedCitation":"4","previouslyFormattedCitation":"&lt;sup&gt;4&lt;/sup&gt;"},"properties":{"noteIndex":0},"schema":"https://github.com/citation-style-language/schema/raw/master/csl-citation.json"}</w:instrText>
      </w:r>
      <w:r w:rsidRPr="00446DFA">
        <w:fldChar w:fldCharType="separate"/>
      </w:r>
      <w:r w:rsidRPr="00446DFA">
        <w:rPr>
          <w:noProof/>
        </w:rPr>
        <w:t>4</w:t>
      </w:r>
      <w:r w:rsidRPr="00446DFA">
        <w:fldChar w:fldCharType="end"/>
      </w:r>
      <w:r w:rsidR="00D97EF0" w:rsidRPr="00446DFA">
        <w:t>]</w:t>
      </w:r>
      <w:r w:rsidRPr="00446DFA">
        <w:t xml:space="preserve">. </w:t>
      </w:r>
      <w:r w:rsidR="005B3E36">
        <w:t>Antibiotic loaded c</w:t>
      </w:r>
      <w:r w:rsidRPr="00446DFA">
        <w:t>alcium sulfate (CaSO</w:t>
      </w:r>
      <w:r w:rsidRPr="00446DFA">
        <w:rPr>
          <w:vertAlign w:val="subscript"/>
        </w:rPr>
        <w:t>4</w:t>
      </w:r>
      <w:r w:rsidRPr="00446DFA">
        <w:t xml:space="preserve">) hemihydrate </w:t>
      </w:r>
      <w:r w:rsidR="005B3E36">
        <w:t xml:space="preserve">void filler </w:t>
      </w:r>
      <w:r w:rsidRPr="00446DFA">
        <w:t xml:space="preserve">beads have </w:t>
      </w:r>
      <w:r w:rsidR="00FF3F8C">
        <w:t xml:space="preserve">also </w:t>
      </w:r>
      <w:r w:rsidRPr="00446DFA">
        <w:t>been used</w:t>
      </w:r>
      <w:r w:rsidR="00FF3F8C">
        <w:t xml:space="preserve"> because they are compatible with many classes of antibiotics</w:t>
      </w:r>
      <w:r w:rsidR="00F11920" w:rsidRPr="00F11920">
        <w:t xml:space="preserve"> [</w:t>
      </w:r>
      <w:r w:rsidR="00F11920" w:rsidRPr="00F11920">
        <w:fldChar w:fldCharType="begin" w:fldLock="1"/>
      </w:r>
      <w:r w:rsidR="00F11920">
        <w:instrText>ADDIN CSL_CITATION {"citationItems":[{"id":"ITEM-1","itemData":{"DOI":"10.3390/ma11112265","ISSN":"19961944","abstract":"15 different antibiotics were individually mixed with commercially available calcium sulfate bone void filler beads. The antibiotics were: amikacin, ceftriaxone, cefuroxime, ciprofloxacin, clindamycin, colistamethate sodium, daptomycin, gentamicin, imipenem/cilastatin, meropenem, nafcillin, rifampicin, teicoplanin, tobramycin and vancomycin. The efficacy of specific released antibiotics was validated by zone of inhibition (ZOI) testing using a modified Kirby-Bauer disk diffusion method against common periprosthetic joint infection pathogens. With a subset of experiments (daptomycin, rifampin, vancomycin alone and rifampin and vancomycin in combination), we investigated how release varied over 15 days using a repeated ZOI assay. We also tested the ability of these beads to kill biofilms formed by Staphylococcus epidermidis 35984, a prolific biofilm former. The results suggested that certain antibiotics could be combined and released from calcium sulfate with retained antibacterial efficacy. The daptomycin and rifampin plus vancomycin beads showed antimicrobial efficacy for the full 15 days of testing and vancomycin in combination with rifampin prevented resistant mutants. In the biofilm killing assay, all of the antibiotic combinations showed a significant reduction in biofilm bacteria after 24 h. The exposure time was an important factor in the amount of killing, and varied among the antibiotics.","author":[{"dropping-particle":"","family":"Laycock","given":"Phillip A.","non-dropping-particle":"","parse-names":false,"suffix":""},{"dropping-particle":"","family":"Cooper","given":"John J.","non-dropping-particle":"","parse-names":false,"suffix":""},{"dropping-particle":"","family":"Howlin","given":"Robert P.","non-dropping-particle":"","parse-names":false,"suffix":""},{"dropping-particle":"","family":"Delury","given":"Craig","non-dropping-particle":"","parse-names":false,"suffix":""},{"dropping-particle":"","family":"Aiken","given":"Sean","non-dropping-particle":"","parse-names":false,"suffix":""},{"dropping-particle":"","family":"Stoodley","given":"Paul","non-dropping-particle":"","parse-names":false,"suffix":""}],"container-title":"Materials","id":"ITEM-1","issue":"11","issued":{"date-parts":[["2018"]]},"title":"In vitro efficacy of antibiotics released from calcium sulfate bone void filler beads","type":"article-journal","volume":"11"},"uris":["http://www.mendeley.com/documents/?uuid=b134c77d-59ca-4e03-b015-bbb8cdd006f9"]}],"mendeley":{"formattedCitation":"&lt;sup&gt;10&lt;/sup&gt;","plainTextFormattedCitation":"10","previouslyFormattedCitation":"&lt;sup&gt;10&lt;/sup&gt;"},"properties":{"noteIndex":0},"schema":"https://github.com/citation-style-language/schema/raw/master/csl-citation.json"}</w:instrText>
      </w:r>
      <w:r w:rsidR="00F11920" w:rsidRPr="00F11920">
        <w:fldChar w:fldCharType="separate"/>
      </w:r>
      <w:r w:rsidR="00F11920" w:rsidRPr="00F11920">
        <w:rPr>
          <w:noProof/>
        </w:rPr>
        <w:t>10</w:t>
      </w:r>
      <w:r w:rsidR="00F11920" w:rsidRPr="00F11920">
        <w:fldChar w:fldCharType="end"/>
      </w:r>
      <w:r w:rsidR="00FF3F8C">
        <w:t>] and</w:t>
      </w:r>
      <w:r w:rsidR="00FC3B14">
        <w:t xml:space="preserve"> because</w:t>
      </w:r>
      <w:r w:rsidRPr="00446DFA">
        <w:t xml:space="preserve"> </w:t>
      </w:r>
      <w:r w:rsidR="00FC3B14">
        <w:t>t</w:t>
      </w:r>
      <w:r w:rsidRPr="00446DFA">
        <w:t>hey are fully absorbable promoting the release of all antibiotic</w:t>
      </w:r>
      <w:r w:rsidR="001D407D">
        <w:t xml:space="preserve"> </w:t>
      </w:r>
      <w:r w:rsidR="00D97EF0" w:rsidRPr="00F11920">
        <w:t>[</w:t>
      </w:r>
      <w:r w:rsidRPr="00F11920">
        <w:fldChar w:fldCharType="begin" w:fldLock="1"/>
      </w:r>
      <w:r w:rsidR="00F11920">
        <w:instrText>ADDIN CSL_CITATION {"citationItems":[{"id":"ITEM-1","itemData":{"DOI":"10.1155/2018/8065141","ISSN":"23146141","PMID":"29693016","abstract":"Management of dead space (DS) is a fundamental aspect of surgery. Residual DS following surgery can fill with hematoma and provide an environment for bacterial growth, increasing the incidence of postoperative infection. Materials for managing DS include polymethyl-methacrylate (PMMA), which is nonresorbing and requires removal in a second surgical procedure. The use of calcium sulfate (CS) offers the advantage of being fully absorbed and does not require subsequent surgical removal. As CS has historically been used as a bone void filler, there are some concerns for the risk of heterotopic ossification (HO) when implanted adjacent to soft tissue. This study assessed the osteoinductive potential of CS and identified and characterised residual material present in muscle tissue using histology, energy-dispersive X-ray spectroscopy analysis, and scanning electron microscopy (SEM). CS beads with and without antibiotic were implanted in intramuscular sites in both athymic rats and New Zealand white rabbits. At 28 days after implantation in the rat model, no signs of osteoinduction were observed. In the rabbit model, at 21 days after implantation, almost complete bead absorption and presence of a \"halo\" of material in the surrounding muscle tissue were confirmed. Our results suggested that the halo of material was a calcium phosphate precipitate, not HO.","author":[{"dropping-particle":"","family":"Oliver","given":"Rema A.","non-dropping-particle":"","parse-names":false,"suffix":""},{"dropping-particle":"","family":"Lovric","given":"Vedran","non-dropping-particle":"","parse-names":false,"suffix":""},{"dropping-particle":"","family":"Christou","given":"Chris","non-dropping-particle":"","parse-names":false,"suffix":""},{"dropping-particle":"","family":"Aiken","given":"Sean S.","non-dropping-particle":"","parse-names":false,"suffix":""},{"dropping-particle":"","family":"Cooper","given":"John J.","non-dropping-particle":"","parse-names":false,"suffix":""},{"dropping-particle":"","family":"Walsh","given":"William R.","non-dropping-particle":"","parse-names":false,"suffix":""}],"container-title":"BioMed Research International","id":"ITEM-1","issued":{"date-parts":[["2018"]]},"title":"Application of Calcium Sulfate for Dead Space Management in Soft Tissue: Characterisation of a Novel in Vivo Response","type":"article-journal","volume":"2018"},"uris":["http://www.mendeley.com/documents/?uuid=9033db88-4300-4350-95ba-bc5ce6a6f1b2"]},{"id":"ITEM-2","itemData":{"DOI":"10.1097/00003086-200101000-00008","ISSN":"15281132","PMID":"11154003","abstract":"In a prospective, nonrandomized, multicenter study, 109 patients with bone defects were treated with a surgical grade calcium sulfate preparation as a bone graft substitute. The calcium sulfate pellets were used in place of morselized cancellous bone graft for the treatment of patients with bone defects who usually would require grafting secondary to trauma, periprosthetic bone loss, tumor, or fusion. The calcium sulfate was used alone or mixed with other materials such as bone marrow aspirate, demineralized bone matrix, or autograft. The defects that were treated were contained and were not necessary for the stability of the bony structure. Radiographic and clinical data were collected at predetermined intervals for 12 months. At 6 months postoperatively, radiographic results for all patients showed that 99% of the calcium sulfate had been resorbed and 88% of the defect was filled with trabeculated bone. There were 13 complications; however, only four (3.6%) were attributable to the product. The results of a subgroup of 46 patients with benign bone lesions treated in the same manner are identical to the results of the overall study population. Surgical grade calcium sulfate pellets are considered a convenient, safe, and readily available bone graft substitute that yield consistent successful results.","author":[{"dropping-particle":"","family":"Kelly","given":"Cynthia M.","non-dropping-particle":"","parse-names":false,"suffix":""},{"dropping-particle":"","family":"Wilkins","given":"Ross M.","non-dropping-particle":"","parse-names":false,"suffix":""},{"dropping-particle":"","family":"Gitelis","given":"Steven","non-dropping-particle":"","parse-names":false,"suffix":""},{"dropping-particle":"","family":"Hartjen","given":"Charles","non-dropping-particle":"","parse-names":false,"suffix":""},{"dropping-particle":"","family":"Watson","given":"J. Tracy","non-dropping-particle":"","parse-names":false,"suffix":""},{"dropping-particle":"","family":"Kim","given":"Poong Taek","non-dropping-particle":"","parse-names":false,"suffix":""},{"dropping-particle":"","family":"Camozzi","given":"Anne B.","non-dropping-particle":"","parse-names":false,"suffix":""}],"container-title":"Clinical Orthopaedics and Related Research","id":"ITEM-2","issue":"382","issued":{"date-parts":[["2001"]]},"page":"42-50","title":"The use of a surgical grade calcium sulfate as a bone graft substitute: Results of a multicenter trial","type":"article-journal"},"uris":["http://www.mendeley.com/documents/?uuid=11ef3d1e-d379-480c-aa5c-77170a0a4e0b"]},{"id":"ITEM-3","itemData":{"author":[{"dropping-particle":"","family":"Howlin","given":"R. P.","non-dropping-particle":"","parse-names":false,"suffix":""},{"dropping-particle":"","family":"Brayford","given":"M. J.","non-dropping-particle":"","parse-names":false,"suffix":""},{"dropping-particle":"","family":"Webb","given":"J. S.","non-dropping-particle":"","parse-names":false,"suffix":""},{"dropping-particle":"","family":"Cooper","given":"J. J.","non-dropping-particle":"","parse-names":false,"suffix":""},{"dropping-particle":"","family":"Aiken","given":"S. S.","non-dropping-particle":"","parse-names":false,"suffix":""},{"dropping-particle":"","family":"Stoodley","given":"P.","non-dropping-particle":"","parse-names":false,"suffix":""}],"container-title":"Antimicrobial Agents and Chemotherapy","id":"ITEM-3","issue":"1","issued":{"date-parts":[["2014"]]},"page":"111-120","title":"Antibiotic-Loaded Synthetic Calcium Sulfate Beads for Prevention of Bacterial Colonization and Biofilm Formation in Periprosthetic Infections","type":"article-journal","volume":"59"},"uris":["http://www.mendeley.com/documents/?uuid=aac116af-5f8a-4213-991c-a92c5fabd20d"]}],"mendeley":{"formattedCitation":"&lt;sup&gt;11–13&lt;/sup&gt;","plainTextFormattedCitation":"11–13","previouslyFormattedCitation":"&lt;sup&gt;11–13&lt;/sup&gt;"},"properties":{"noteIndex":0},"schema":"https://github.com/citation-style-language/schema/raw/master/csl-citation.json"}</w:instrText>
      </w:r>
      <w:r w:rsidRPr="00F11920">
        <w:fldChar w:fldCharType="separate"/>
      </w:r>
      <w:r w:rsidR="00F11920" w:rsidRPr="00F11920">
        <w:rPr>
          <w:noProof/>
        </w:rPr>
        <w:t>11–13</w:t>
      </w:r>
      <w:r w:rsidRPr="00F11920">
        <w:fldChar w:fldCharType="end"/>
      </w:r>
      <w:r w:rsidR="00D97EF0" w:rsidRPr="001D407D">
        <w:t>]</w:t>
      </w:r>
      <w:r w:rsidRPr="001D407D">
        <w:t xml:space="preserve">. </w:t>
      </w:r>
      <w:bookmarkStart w:id="2" w:name="_Hlk65572250"/>
      <w:r w:rsidR="00FF3F8C">
        <w:t>M</w:t>
      </w:r>
      <w:r w:rsidR="004359AE">
        <w:t>ore recently</w:t>
      </w:r>
      <w:r w:rsidR="00F11920">
        <w:t>,</w:t>
      </w:r>
      <w:r w:rsidR="004359AE">
        <w:t xml:space="preserve"> v</w:t>
      </w:r>
      <w:r w:rsidR="004359AE" w:rsidRPr="004359AE">
        <w:t xml:space="preserve">ancomycin powder has been </w:t>
      </w:r>
      <w:r w:rsidR="00FF3F8C">
        <w:t xml:space="preserve">directly administered intraoperatively </w:t>
      </w:r>
      <w:r w:rsidR="004359AE" w:rsidRPr="004359AE">
        <w:t xml:space="preserve">in revision hip and knee arthroplasty </w:t>
      </w:r>
      <w:r w:rsidR="004359AE" w:rsidRPr="00F11920">
        <w:t>[</w:t>
      </w:r>
      <w:r w:rsidR="00F11920" w:rsidRPr="00F11920">
        <w:fldChar w:fldCharType="begin" w:fldLock="1"/>
      </w:r>
      <w:r w:rsidR="00330C6B">
        <w:instrText>ADDIN CSL_CITATION {"citationItems":[{"id":"ITEM-1","itemData":{"ISSN":"1090-3941","abstract":"Intrawound vancomycin powder has shown efficacy and safety in decreasing postoperative spine infections, but its use in arthroplasty has not been well established. The purpose of this study was to compare the rate of early prosthetic joint infections (PJI) with and without the use of intrawound vancomycin powder during joint arthroplasty. A retrospective cohort of all patients who underwent primary or revision hip or knee arthroplasty by two surgeons over a two-year period at a single hospital system was evaluated. The control group received standard systemic prophylaxis only, whereas the treatment group received 1 g of vancomycin powder in the surgical wound in addition to systemic prophylaxis. A statistically significant decrease in the overall PJI rate was found in the treatment group (4/816=0.49%) compared to the control group (13/824=1.57%; p=0.0479). Subgroup analysis demonstrated a trend toward fewer PJIs in the vancomycin group, however, only the revision procedures showed a statistically significant reduction in early PJIs after the initiation of vancomycin (7/180=3.89% to 0/134=0%; p=0.0217). The use of intrawound vancomycin powder was associated with a significant reduction in the overall incidence of early PJIs following joint arthroplasty, however, only the revision procedures demonstrated a significant reduction in the rate of early PJIs.","author":[{"dropping-particle":"","family":"Otte","given":"Jeffrey E","non-dropping-particle":"","parse-names":false,"suffix":""},{"dropping-particle":"","family":"Politi","given":"Joel R","non-dropping-particle":"","parse-names":false,"suffix":""},{"dropping-particle":"","family":"Chambers","given":"Bryan","non-dropping-particle":"","parse-names":false,"suffix":""},{"dropping-particle":"","family":"Smith","given":"Craig A","non-dropping-particle":"","parse-names":false,"suffix":""}],"container-title":"Surgical technology international","id":"ITEM-1","issued":{"date-parts":[["2017","2"]]},"page":"284—289","title":"Intrawound Vancomycin Powder Reduces Early Prosthetic Joint Infections in Revision Hip and Knee Arthroplasty","type":"article-journal","volume":"30"},"uris":["http://www.mendeley.com/documents/?uuid=09e9d526-2e91-4e5f-a5d9-b368b18a797c"]}],"mendeley":{"formattedCitation":"&lt;sup&gt;14&lt;/sup&gt;","plainTextFormattedCitation":"14","previouslyFormattedCitation":"&lt;sup&gt;14&lt;/sup&gt;"},"properties":{"noteIndex":0},"schema":"https://github.com/citation-style-language/schema/raw/master/csl-citation.json"}</w:instrText>
      </w:r>
      <w:r w:rsidR="00F11920" w:rsidRPr="00F11920">
        <w:fldChar w:fldCharType="separate"/>
      </w:r>
      <w:r w:rsidR="00F11920" w:rsidRPr="00F11920">
        <w:rPr>
          <w:noProof/>
        </w:rPr>
        <w:t>14</w:t>
      </w:r>
      <w:r w:rsidR="00F11920" w:rsidRPr="00F11920">
        <w:fldChar w:fldCharType="end"/>
      </w:r>
      <w:r w:rsidR="004359AE" w:rsidRPr="004359AE">
        <w:t>]</w:t>
      </w:r>
      <w:r w:rsidR="00FF3F8C">
        <w:t>.</w:t>
      </w:r>
    </w:p>
    <w:bookmarkEnd w:id="1"/>
    <w:bookmarkEnd w:id="2"/>
    <w:p w14:paraId="569BF596" w14:textId="7134CA5B" w:rsidR="002E4A63" w:rsidRPr="00446DFA" w:rsidRDefault="002E4A63" w:rsidP="00BA3143">
      <w:pPr>
        <w:pStyle w:val="MDPI31text"/>
      </w:pPr>
      <w:r w:rsidRPr="00446DFA">
        <w:t>Elution kinetics of antibiotics within each body cavity is an important factor in treating bacterial biofilm infections. It is important for the antibiotics to maintain</w:t>
      </w:r>
      <w:r w:rsidR="005B3E36">
        <w:t xml:space="preserve"> or surpass</w:t>
      </w:r>
      <w:r w:rsidRPr="00446DFA">
        <w:t xml:space="preserve"> the minimum inhibitory concentration (MIC), as bacterial biofilms require higher than MIC concentrations for an extended time to </w:t>
      </w:r>
      <w:r w:rsidR="005B3E36">
        <w:t>eradicate</w:t>
      </w:r>
      <w:r w:rsidR="006B26C8">
        <w:t xml:space="preserve"> biofilm</w:t>
      </w:r>
      <w:r w:rsidR="005B3E36" w:rsidRPr="00446DFA">
        <w:t xml:space="preserve"> </w:t>
      </w:r>
      <w:r w:rsidRPr="00446DFA">
        <w:t>bacteri</w:t>
      </w:r>
      <w:r w:rsidRPr="00F11920">
        <w:t xml:space="preserve">a </w:t>
      </w:r>
      <w:r w:rsidR="00D97EF0" w:rsidRPr="00F11920">
        <w:t>[</w:t>
      </w:r>
      <w:r w:rsidRPr="00F11920">
        <w:fldChar w:fldCharType="begin" w:fldLock="1"/>
      </w:r>
      <w:r w:rsidR="00330C6B">
        <w:instrText>ADDIN CSL_CITATION {"citationItems":[{"id":"ITEM-1","itemData":{"author":[{"dropping-particle":"","family":"Boddapati","given":"V","non-dropping-particle":"","parse-names":false,"suffix":""},{"dropping-particle":"","family":"Fu","given":"MC","non-dropping-particle":"","parse-names":false,"suffix":""},{"dropping-particle":"","family":"Mayman","given":"DJ","non-dropping-particle":"","parse-names":false,"suffix":""},{"dropping-particle":"","family":"Su","given":"EP","non-dropping-particle":"","parse-names":false,"suffix":""},{"dropping-particle":"","family":"Sculco","given":"PK","non-dropping-particle":"","parse-names":false,"suffix":""},{"dropping-particle":"","family":"McLawhorn","given":"AS","non-dropping-particle":"","parse-names":false,"suffix":""}],"container-title":"J Arthroplasty","id":"ITEM-1","issue":"2","issued":{"date-parts":[["2018"]]},"page":"521-526","title":"Revision Total Knee Arthroplasty for Periprosthetic Joint Infection Is Associated With Increased Postoperative Morbidity and Mortality Relative to Noninfectious Revisions","type":"article-journal","volume":"33"},"uris":["http://www.mendeley.com/documents/?uuid=f21238d8-c1fb-4dec-9cf1-d6118de1655c"]}],"mendeley":{"formattedCitation":"&lt;sup&gt;15&lt;/sup&gt;","plainTextFormattedCitation":"15","previouslyFormattedCitation":"&lt;sup&gt;15&lt;/sup&gt;"},"properties":{"noteIndex":0},"schema":"https://github.com/citation-style-language/schema/raw/master/csl-citation.json"}</w:instrText>
      </w:r>
      <w:r w:rsidRPr="00F11920">
        <w:fldChar w:fldCharType="separate"/>
      </w:r>
      <w:r w:rsidR="00F11920" w:rsidRPr="00F11920">
        <w:rPr>
          <w:noProof/>
        </w:rPr>
        <w:t>15</w:t>
      </w:r>
      <w:r w:rsidRPr="00F11920">
        <w:fldChar w:fldCharType="end"/>
      </w:r>
      <w:r w:rsidR="00D97EF0" w:rsidRPr="00446DFA">
        <w:t>]</w:t>
      </w:r>
      <w:r w:rsidRPr="00446DFA">
        <w:t xml:space="preserve">. Whilst the concentrations of antibiotics are crucial to treatment and prevention of infection, it is </w:t>
      </w:r>
      <w:r w:rsidR="006B26C8">
        <w:t>important to know</w:t>
      </w:r>
      <w:r w:rsidR="006B26C8" w:rsidRPr="00446DFA">
        <w:t xml:space="preserve"> </w:t>
      </w:r>
      <w:r w:rsidRPr="00446DFA">
        <w:t>whether the antibiotics are released in bursts, at a steady rate, or if they are washed out by fluid exchange in the body. Conventional laboratory elution kinetic studies use closed system</w:t>
      </w:r>
      <w:r w:rsidR="006B26C8">
        <w:t>s</w:t>
      </w:r>
      <w:r w:rsidRPr="00446DFA">
        <w:t xml:space="preserve"> where the antibiotic containing depot is placed into a known volume of liquid</w:t>
      </w:r>
      <w:r w:rsidR="00661ADD" w:rsidRPr="00446DFA">
        <w:t xml:space="preserve"> and </w:t>
      </w:r>
      <w:r w:rsidRPr="00446DFA">
        <w:t>periodically completely</w:t>
      </w:r>
      <w:r w:rsidR="006B26C8">
        <w:t>,</w:t>
      </w:r>
      <w:r w:rsidRPr="00446DFA">
        <w:t xml:space="preserve"> or partially</w:t>
      </w:r>
      <w:r w:rsidR="006B26C8">
        <w:t>,</w:t>
      </w:r>
      <w:r w:rsidRPr="00446DFA">
        <w:t xml:space="preserve"> exchanged, and the concentration in which the </w:t>
      </w:r>
      <w:r w:rsidRPr="00446DFA">
        <w:rPr>
          <w:color w:val="000000" w:themeColor="text1"/>
        </w:rPr>
        <w:t>antibiotics are released overtime is measure</w:t>
      </w:r>
      <w:r w:rsidRPr="00F11920">
        <w:rPr>
          <w:color w:val="000000" w:themeColor="text1"/>
        </w:rPr>
        <w:t xml:space="preserve">d </w:t>
      </w:r>
      <w:r w:rsidR="00D97EF0" w:rsidRPr="00F11920">
        <w:rPr>
          <w:color w:val="000000" w:themeColor="text1"/>
        </w:rPr>
        <w:t>[</w:t>
      </w:r>
      <w:r w:rsidRPr="00F11920">
        <w:rPr>
          <w:color w:val="000000" w:themeColor="text1"/>
        </w:rPr>
        <w:fldChar w:fldCharType="begin" w:fldLock="1"/>
      </w:r>
      <w:r w:rsidR="00330C6B">
        <w:rPr>
          <w:color w:val="000000" w:themeColor="text1"/>
        </w:rPr>
        <w:instrText>ADDIN CSL_CITATION {"citationItems":[{"id":"ITEM-1","itemData":{"DOI":"10.1002/jor.23722","ISSN":"1554527X","abstract":"Two-stage revision treatment of prosthetic joint infection (PJI) frequently employs the use of a temporary bone cement spacer loaded with multiple antibiotic types. Tobramycin and vancomycin are commonly used antibiotics in cement spacers, however, there is no consensus on the relative concentrations and combinations that should be used. Therefore, the purpose of this study was to investigate the influence of dual antibiotic loading on the total antibiotic elution and compressive mechanical properties of acrylic bone cement. Varying concentrations of tobramycin (0–3 g) and vancomycin (0–3 g) were added either alone or in combination to acrylic cement (Palacos R), resulting in 12 experimental groups. Samples were submerged in 37°C saline for 28 d and sampled at specific time points. The collected eluent was analyzed to determine the cumulative antibiotic release. In addition, the cement's compressive mechanical properties and porosity were characterized. Interestingly, the cement with the highest concentration of antibiotics did not possess the best elution properties. Cement samples containing both 3 g of tobramycin and 2 g vancomycin demonstrated the highest cumulative antibiotic release after 28 d, which was coupled with a significant decrease in the mechanical properties and an increased porosity. The collected data also suggests that tobramycin elutes more effectively than vancomycin from cement. In conclusion, this study demonstrates that high antibiotic loading in cement does not necessarily lead to enhanced antibiotic elution. Clinically this information may be used to optimize cement spacer antibiotic loading so that both duration and amount of antibiotics eluted are optimized. © 2017 Orthopaedic Research Society. Published by Wiley Periodicals, Inc. J Orthop Res 36:1078–1085, 2018.","author":[{"dropping-particle":"","family":"Slane","given":"Joshua","non-dropping-particle":"","parse-names":false,"suffix":""},{"dropping-particle":"","family":"Gietman","given":"Bradley","non-dropping-particle":"","parse-names":false,"suffix":""},{"dropping-particle":"","family":"Squire","given":"Matthew","non-dropping-particle":"","parse-names":false,"suffix":""}],"container-title":"Journal of Orthopaedic Research","id":"ITEM-1","issue":"4","issued":{"date-parts":[["2018"]]},"page":"1078-1085","title":"Antibiotic elution from acrylic bone cement loaded with high doses of tobramycin and vancomycin","type":"article-journal","volume":"36"},"uris":["http://www.mendeley.com/documents/?uuid=7a29e579-2105-436a-9221-4b9951c58b45"]},{"id":"ITEM-2","itemData":{"DOI":"10.1002/2211-5463.12809","ISSN":"22115463","PMID":"32052585","abstract":"Both antibiotic-impregnated poly(methyl acrylate, methyl methacrylate) (PMMA) and antibiotic-impregnated calcium sulfate have been successfully used as local antibiotic delivery vehicles for the management of chronic osteomyelitis. Here, we examined the antibiotic elution characteristics and antibacterial properties of a composite drug delivery system consisting of PMMA/calcium sulfate carrying vancomycin (dual carrier-v) against Staphylococcus aureus, with PMMA loaded with vancomycin (PMMA-v) as a control. Vancomycin gradually degraded from dual carrier-v and PMMA-v up to about 8 and 6 weeks, respectively. At different elution time points, the inhibition zones of the dual carrier-v were larger than the inhibition zones of the PMMA-v (P &lt; 0.05). The colony inhibition rate of the dual carrier-v was 95.57%, whereas it was 77.87% for PMMA-v. Scanning electron microscopy was used to demonstrate biofilm formation on the surface of plates treated with vancomycin-unloaded PMMA, whereas there was no biofilm formation on the surface of plates treated with dual carrier-v or PMMA-v. The dual carrier-v was more effective at antibacterial adhesion at each time point after immersion in simulated body fluid as compared with PMMA-v (P &lt; 0.05). In conclusion, our results suggest that the dual carrier-v can release higher concentrations of antibiotics and inhibit bacteria growth more effectively in vitro as compared with PMMA-v. The dual carrier-v thus may have potential as an alternative strategy for osteomyelitis management.","author":[{"dropping-particle":"","family":"Luo","given":"Shanchao","non-dropping-particle":"","parse-names":false,"suffix":""},{"dropping-particle":"","family":"Jiang","given":"Tongmeng","non-dropping-particle":"","parse-names":false,"suffix":""},{"dropping-particle":"","family":"Long","given":"Lina","non-dropping-particle":"","parse-names":false,"suffix":""},{"dropping-particle":"","family":"Yang","given":"Yingnian","non-dropping-particle":"","parse-names":false,"suffix":""},{"dropping-particle":"","family":"Yang","given":"Xiaoping","non-dropping-particle":"","parse-names":false,"suffix":""},{"dropping-particle":"","family":"Luo","given":"Lan","non-dropping-particle":"","parse-names":false,"suffix":""},{"dropping-particle":"","family":"Li","given":"Jinli","non-dropping-particle":"","parse-names":false,"suffix":""},{"dropping-particle":"","family":"Chen","given":"Zhiyu","non-dropping-particle":"","parse-names":false,"suffix":""},{"dropping-particle":"","family":"Zou","given":"Chongqi","non-dropping-particle":"","parse-names":false,"suffix":""},{"dropping-particle":"","family":"Luo","given":"Shixing","non-dropping-particle":"","parse-names":false,"suffix":""}],"container-title":"FEBS Open Bio","id":"ITEM-2","issue":"4","issued":{"date-parts":[["2020"]]},"page":"552-560","title":"A dual PMMA/calcium sulfate carrier of vancomycin is more effective than PMMA-vancomycin at inhibiting Staphylococcus aureus growth in vitro","type":"article-journal","volume":"10"},"uris":["http://www.mendeley.com/documents/?uuid=46887f65-8e0f-4543-9992-b473c53e8b78"]},{"id":"ITEM-3","itemData":{"author":[{"dropping-particle":"","family":"Galvez-Lopez","given":"R","non-dropping-particle":"","parse-names":false,"suffix":""},{"dropping-particle":"","family":"Pena-Monje","given":"A","non-dropping-particle":"","parse-names":false,"suffix":""},{"dropping-particle":"","family":"Antelo-Lorenzo","given":"R","non-dropping-particle":"","parse-names":false,"suffix":""},{"dropping-particle":"","family":"Guardia-Olmedo","given":"J","non-dropping-particle":"","parse-names":false,"suffix":""},{"dropping-particle":"","family":"Moliz","given":"J","non-dropping-particle":"","parse-names":false,"suffix":""},{"dropping-particle":"","family":"Hernandez-Quero","given":"J","non-dropping-particle":"","parse-names":false,"suffix":""},{"dropping-particle":"","family":"Parra-Ruiz","given":"J","non-dropping-particle":"","parse-names":false,"suffix":""}],"container-title":"Diagnostic Microbiology and Infectious Disease","id":"ITEM-3","issue":"1","issued":{"date-parts":[["2014"]]},"page":"70-74","title":"Elution kinetics, antimicrobial activity, and mexhanical properties of 11 different antibiotics loaded acrylic bone cement.","type":"article-journal","volume":"78"},"uris":["http://www.mendeley.com/documents/?uuid=a0b56530-df4d-4067-b692-bd592e124274"]}],"mendeley":{"formattedCitation":"&lt;sup&gt;16–18&lt;/sup&gt;","plainTextFormattedCitation":"16–18","previouslyFormattedCitation":"&lt;sup&gt;16–18&lt;/sup&gt;"},"properties":{"noteIndex":0},"schema":"https://github.com/citation-style-language/schema/raw/master/csl-citation.json"}</w:instrText>
      </w:r>
      <w:r w:rsidRPr="00F11920">
        <w:rPr>
          <w:color w:val="000000" w:themeColor="text1"/>
        </w:rPr>
        <w:fldChar w:fldCharType="separate"/>
      </w:r>
      <w:r w:rsidR="00F11920" w:rsidRPr="00F11920">
        <w:rPr>
          <w:noProof/>
          <w:color w:val="000000" w:themeColor="text1"/>
        </w:rPr>
        <w:t>16–18</w:t>
      </w:r>
      <w:r w:rsidRPr="00F11920">
        <w:rPr>
          <w:color w:val="000000" w:themeColor="text1"/>
        </w:rPr>
        <w:fldChar w:fldCharType="end"/>
      </w:r>
      <w:r w:rsidR="00D97EF0" w:rsidRPr="00446DFA">
        <w:rPr>
          <w:color w:val="000000" w:themeColor="text1"/>
        </w:rPr>
        <w:t>]</w:t>
      </w:r>
      <w:r w:rsidRPr="00446DFA">
        <w:rPr>
          <w:color w:val="000000" w:themeColor="text1"/>
        </w:rPr>
        <w:t>. This method provides a quantitative mathematical description of the elution kine</w:t>
      </w:r>
      <w:r w:rsidRPr="00F11920">
        <w:rPr>
          <w:color w:val="000000" w:themeColor="text1"/>
        </w:rPr>
        <w:t xml:space="preserve">tics </w:t>
      </w:r>
      <w:r w:rsidR="00D97EF0" w:rsidRPr="00F11920">
        <w:rPr>
          <w:color w:val="000000" w:themeColor="text1"/>
        </w:rPr>
        <w:t>[</w:t>
      </w:r>
      <w:r w:rsidRPr="00F11920">
        <w:rPr>
          <w:color w:val="000000" w:themeColor="text1"/>
        </w:rPr>
        <w:fldChar w:fldCharType="begin" w:fldLock="1"/>
      </w:r>
      <w:r w:rsidR="00330C6B">
        <w:rPr>
          <w:color w:val="000000" w:themeColor="text1"/>
        </w:rPr>
        <w:instrText>ADDIN CSL_CITATION {"citationItems":[{"id":"ITEM-1","itemData":{"DOI":"10.1016/j.jor.2018.08.035","ISSN":"0972978X","abstract":"Objective: Periprosthetic Joint Infection (PjI) is considered one of the most difficult complication to manage after total knee or hip arthroplasty, with a mean incidence of 1%. Antibiotic loaded bone cement is used as prophylaxis during primary arthroplasty and as local therapy during two-stage revision. The aim of this study is to evaluate the mechanical and elution properties of G3 Low Viscosity Bone Cement (G-21 San Possidonio, Modena, Italy) loaded with different doses of up to three antibiotics (12 specimens). Methods: Compressive Strength, Bending Strength and Bending Modulus were evaluated. Cumulative Vancomycin elution by adding different doses of antibiotics was evaluated. Results: The mean Compressive Strength was 81.55 MPa, the mean Bending Strength was 2161.7 MPa, and the mean Bending Modulus was 36.6 MPa. The highest cumulative Vancomycin elution was observed in specimen 12 (1906.9 mg at 2 weeks). This is the first study, at our knowledge, that analysed how cement mechanical properties, and antibiotic elution kinetics, are modified by adding up to three antibiotic. Conclusion: The results obtained in this pilot study using G3 Low-Viscosity Bone Cement, demonstrated that mechanical properties not decrease significantly by adding large doses of antibiotics, while the Vancomycin elution increase until swelled to twice.","author":[{"dropping-particle":"","family":"Cacciola","given":"Giorgio","non-dropping-particle":"","parse-names":false,"suffix":""},{"dropping-particle":"","family":"Meo","given":"Federico","non-dropping-particle":"De","parse-names":false,"suffix":""},{"dropping-particle":"","family":"Cavaliere","given":"Pietro","non-dropping-particle":"","parse-names":false,"suffix":""}],"container-title":"Journal of Orthopaedics","id":"ITEM-1","issue":"4","issued":{"date-parts":[["2018"]]},"page":"1004-1007","publisher":"Elsevier","title":"Mechanical and elution properties of G3 Low Viscosity bone cement loaded up to three antibiotics","type":"article-journal","volume":"15"},"uris":["http://www.mendeley.com/documents/?uuid=6fd72d90-241f-4d0a-8f95-5114110fb33e"]}],"mendeley":{"formattedCitation":"&lt;sup&gt;19&lt;/sup&gt;","plainTextFormattedCitation":"19","previouslyFormattedCitation":"&lt;sup&gt;19&lt;/sup&gt;"},"properties":{"noteIndex":0},"schema":"https://github.com/citation-style-language/schema/raw/master/csl-citation.json"}</w:instrText>
      </w:r>
      <w:r w:rsidRPr="00F11920">
        <w:rPr>
          <w:color w:val="000000" w:themeColor="text1"/>
        </w:rPr>
        <w:fldChar w:fldCharType="separate"/>
      </w:r>
      <w:r w:rsidR="00F11920" w:rsidRPr="00F11920">
        <w:rPr>
          <w:noProof/>
          <w:color w:val="000000" w:themeColor="text1"/>
        </w:rPr>
        <w:t>19</w:t>
      </w:r>
      <w:r w:rsidRPr="00F11920">
        <w:rPr>
          <w:color w:val="000000" w:themeColor="text1"/>
        </w:rPr>
        <w:fldChar w:fldCharType="end"/>
      </w:r>
      <w:r w:rsidR="00D97EF0" w:rsidRPr="00446DFA">
        <w:rPr>
          <w:color w:val="000000" w:themeColor="text1"/>
        </w:rPr>
        <w:t>]</w:t>
      </w:r>
      <w:r w:rsidRPr="00446DFA">
        <w:rPr>
          <w:color w:val="000000" w:themeColor="text1"/>
        </w:rPr>
        <w:t xml:space="preserve">, but neglects to consider </w:t>
      </w:r>
      <w:r w:rsidR="006B26C8">
        <w:rPr>
          <w:color w:val="000000" w:themeColor="text1"/>
        </w:rPr>
        <w:t xml:space="preserve">continuous </w:t>
      </w:r>
      <w:r w:rsidRPr="00446DFA">
        <w:rPr>
          <w:color w:val="000000" w:themeColor="text1"/>
        </w:rPr>
        <w:t xml:space="preserve">fluid exchange which changes in the joint space as observed from clinically measured draining </w:t>
      </w:r>
      <w:r w:rsidRPr="00F11920">
        <w:rPr>
          <w:color w:val="000000" w:themeColor="text1"/>
        </w:rPr>
        <w:t xml:space="preserve">rates </w:t>
      </w:r>
      <w:r w:rsidR="00D97EF0" w:rsidRPr="00F11920">
        <w:rPr>
          <w:color w:val="000000" w:themeColor="text1"/>
        </w:rPr>
        <w:t>[</w:t>
      </w:r>
      <w:r w:rsidRPr="00F11920">
        <w:rPr>
          <w:color w:val="000000" w:themeColor="text1"/>
        </w:rPr>
        <w:fldChar w:fldCharType="begin" w:fldLock="1"/>
      </w:r>
      <w:r w:rsidR="00330C6B">
        <w:rPr>
          <w:color w:val="000000" w:themeColor="text1"/>
        </w:rPr>
        <w:instrText>ADDIN CSL_CITATION {"citationItems":[{"id":"ITEM-1","itemData":{"DOI":"10.1007/s10195-012-0191-1","ISSN":"15909921","abstract":"Background Use of antibiotic-loaded acrylic bone cement to treat orthopaedic infections continues to remain popular, but resistance to routinely used antibiotics has led to the search for alternative, more effective antibiotics. We studied, in vitro, the elution kinetics and bio-activity of different concentrations of meropenem-loaded acrylic bone cement. Methods Meropenem-loaded bone cement cylinders of different concentrations were serially immersed in normal saline. Elution kinetics was studied by measuring the drug concentration in the eluate, collected at pre-determined intervals, by high-performance liquid chromatography. Bio-activity of the eluate of two different antibiotic concentrations was tested for a period of 3 weeks against each of the following organisms: Staphylococcus aureus ATCC 2593 (MSSA), Enterococcus faecalis ATCC 29212, Pseudomonas aeruginosa ATCC 27853, Escherichia coli ATCC 25922, S. aureus ATCC 43300 (MRSA) and Klebsiella pneumoniae ATCC 700603 (ESBL). Results Meropenem elutes from acrylic bone cement for a period of 3-27 days depending on the concentration of antibiotic. Higher doses of antibiotic concentration resulted in greater elution of the antibiotic. The eluate was found to be biologically active against S. aureus ATCC 2593 (MSSA), P. aeruginosa ATCC 27853, E. coli ATCC 25922 and K. pneumoniae ATCC 700603 (ESBL) for a period of 3 weeks. Conclusions The elution of meropenem is in keeping with typical antibiotic-loaded acrylic bone cement elution characteristics. The use of high-dose meropenem-loaded acrylic bone cement seems to be an attractive option for treatment of resistant Gram-negative orthopaedic infections but needs to be tested in vivo. © The Author(s) 2011.","author":[{"dropping-particle":"","family":"Samuel","given":"Sumant","non-dropping-particle":"","parse-names":false,"suffix":""},{"dropping-particle":"","family":"Mathew","given":"Binu S.","non-dropping-particle":"","parse-names":false,"suffix":""},{"dropping-particle":"","family":"Veeraraghavan","given":"Balaji","non-dropping-particle":"","parse-names":false,"suffix":""},{"dropping-particle":"","family":"Fleming","given":"Denise H.","non-dropping-particle":"","parse-names":false,"suffix":""},{"dropping-particle":"","family":"Chittaranjan","given":"Samuel B.","non-dropping-particle":"","parse-names":false,"suffix":""},{"dropping-particle":"","family":"Prakash","given":"John A.J.","non-dropping-particle":"","parse-names":false,"suffix":""}],"container-title":"Journal of Orthopaedics and Traumatology","id":"ITEM-1","issue":"3","issued":{"date-parts":[["2012"]]},"page":"131-136","title":"In vitro study of elution kinetics and bio-activity of meropenem-loaded acrylic bone cement","type":"article-journal","volume":"13"},"uris":["http://www.mendeley.com/documents/?uuid=20f4d3f8-ae90-43ce-bae7-363164988aa6"]},{"id":"ITEM-2","itemData":{"author":[{"dropping-particle":"","family":"Porteous","given":"A","non-dropping-particle":"","parse-names":false,"suffix":""},{"dropping-particle":"","family":"Bartlett","given":"R","non-dropping-particle":"","parse-names":false,"suffix":""}],"container-title":"The KNEE","id":"ITEM-2","issue":"4","issued":{"date-parts":[["2003"]]},"page":"371-374","title":"Post-operative drainage after cemented, hybrid and uncemented total knee replacement","type":"article-journal","volume":"10"},"uris":["http://www.mendeley.com/documents/?uuid=48026b44-88c4-4afe-8000-f66920d69e8a"]},{"id":"ITEM-3","itemData":{"author":[{"dropping-particle":"","family":"Fan","given":"C H","non-dropping-particle":"","parse-names":false,"suffix":""},{"dropping-particle":"","family":"Hung","given":"H H","non-dropping-particle":"","parse-names":false,"suffix":""},{"dropping-particle":"","family":"Chiu","given":"K H","non-dropping-particle":"","parse-names":false,"suffix":""}],"container-title":"Hong Kong Journal Orthopaedic Surgery","id":"ITEM-3","issue":"May","issued":{"date-parts":[["2006"]]},"page":"10-13","title":"Rate of drainage following total knee replacement","type":"article-journal","volume":"10"},"uris":["http://www.mendeley.com/documents/?uuid=a433774c-6262-4cbf-a8cc-f7e339b8eab9"]},{"id":"ITEM-4","itemData":{"DOI":"10.1017/s1446181100003035","ISSN":"1446-1811","abstract":"A simple lumped hydraulic model of knee drainage following arthroplasty is developed incorporating a pressure-volume equation of state for the knee capsule and a wound healing rate dynamically retarded by the blood flow-induced shear stress. The resulting second-order nonlinear ordinary differential system is examined numerically and qualitatively to map the parameter space. In the model, moderate suction or a slight back-pressure promotes gradual drainage and healing whereas excessive suction can lead to a bifurcation in which healing is retarded or even prevented. Guided, then, by the model, the literature, and experience, continuous drainage with a small constant back-pressure appeared beneficial so we prospectively evaluated a series of ten patients. The results are consistent with the model and promising.","author":[{"dropping-particle":"","family":"Sterling","given":"G.","non-dropping-particle":"","parse-names":false,"suffix":""},{"dropping-particle":"","family":"McBain","given":"G. D.","non-dropping-particle":"","parse-names":false,"suffix":""},{"dropping-particle":"","family":"Harris","given":"J. A.","non-dropping-particle":"","parse-names":false,"suffix":""},{"dropping-particle":"","family":"Boland","given":"M.","non-dropping-particle":"","parse-names":false,"suffix":""}],"container-title":"The ANZIAM Journal","id":"ITEM-4","issue":"2","issued":{"date-parts":[["2006"]]},"page":"199-210","title":"Drainage after total knee replacement","type":"article-journal","volume":"48"},"uris":["http://www.mendeley.com/documents/?uuid=8fad19d3-a7bb-4569-945d-5b6c4ba29a43"]}],"mendeley":{"formattedCitation":"&lt;sup&gt;20–23&lt;/sup&gt;","plainTextFormattedCitation":"20–23","previouslyFormattedCitation":"&lt;sup&gt;20–23&lt;/sup&gt;"},"properties":{"noteIndex":0},"schema":"https://github.com/citation-style-language/schema/raw/master/csl-citation.json"}</w:instrText>
      </w:r>
      <w:r w:rsidRPr="00F11920">
        <w:rPr>
          <w:color w:val="000000" w:themeColor="text1"/>
        </w:rPr>
        <w:fldChar w:fldCharType="separate"/>
      </w:r>
      <w:r w:rsidR="00F11920" w:rsidRPr="00F11920">
        <w:rPr>
          <w:noProof/>
          <w:color w:val="000000" w:themeColor="text1"/>
        </w:rPr>
        <w:t>20–23</w:t>
      </w:r>
      <w:r w:rsidRPr="00F11920">
        <w:rPr>
          <w:color w:val="000000" w:themeColor="text1"/>
        </w:rPr>
        <w:fldChar w:fldCharType="end"/>
      </w:r>
      <w:r w:rsidR="00D97EF0" w:rsidRPr="00446DFA">
        <w:rPr>
          <w:color w:val="000000" w:themeColor="text1"/>
        </w:rPr>
        <w:t>]</w:t>
      </w:r>
      <w:r w:rsidRPr="00446DFA">
        <w:rPr>
          <w:color w:val="000000" w:themeColor="text1"/>
        </w:rPr>
        <w:t xml:space="preserve">. Further, such </w:t>
      </w:r>
      <w:r w:rsidRPr="00446DFA">
        <w:t xml:space="preserve">methods cannot be used to assess the comparative pharmacodynamics of a powder antibiotic bolus over time since </w:t>
      </w:r>
      <w:proofErr w:type="gramStart"/>
      <w:r w:rsidRPr="00446DFA">
        <w:t>all of</w:t>
      </w:r>
      <w:proofErr w:type="gramEnd"/>
      <w:r w:rsidRPr="00446DFA">
        <w:t xml:space="preserve"> the antibiotic is released instantaneously, making the cumulative release instantly equal to the final concentration. </w:t>
      </w:r>
    </w:p>
    <w:p w14:paraId="601B7AEA" w14:textId="0E19DB07" w:rsidR="002E4A63" w:rsidRPr="00316470" w:rsidRDefault="002E4A63" w:rsidP="00A12322">
      <w:pPr>
        <w:pStyle w:val="MDPI31text"/>
      </w:pPr>
      <w:r w:rsidRPr="00446DFA">
        <w:t xml:space="preserve">The aim of the present study was to develop a method to allow direct comparison of the antibiotic concentration profile </w:t>
      </w:r>
      <w:r w:rsidR="00A12322">
        <w:t xml:space="preserve">when released </w:t>
      </w:r>
      <w:r w:rsidRPr="00446DFA">
        <w:t>from non-absorbable</w:t>
      </w:r>
      <w:r w:rsidR="00ED1BC2">
        <w:t xml:space="preserve"> and </w:t>
      </w:r>
      <w:r w:rsidRPr="00446DFA">
        <w:t xml:space="preserve">absorbable </w:t>
      </w:r>
      <w:r w:rsidR="00A12322">
        <w:t xml:space="preserve">depots compared to direct addition of antibiotic as a </w:t>
      </w:r>
      <w:r w:rsidRPr="00446DFA">
        <w:t>powder in an artificial draining knee model.</w:t>
      </w:r>
      <w:r w:rsidR="00A12322">
        <w:t xml:space="preserve"> </w:t>
      </w:r>
      <w:r w:rsidRPr="00446DFA">
        <w:t xml:space="preserve">We designed a continuous flow reactor system </w:t>
      </w:r>
      <w:r w:rsidR="00394576" w:rsidRPr="00446DFA">
        <w:t xml:space="preserve">to </w:t>
      </w:r>
      <w:r w:rsidR="0038425C" w:rsidRPr="00446DFA">
        <w:t>mimic</w:t>
      </w:r>
      <w:r w:rsidR="00394576" w:rsidRPr="00446DFA">
        <w:t xml:space="preserve"> drainage rates </w:t>
      </w:r>
      <w:r w:rsidRPr="00446DFA">
        <w:t>following revision</w:t>
      </w:r>
      <w:r w:rsidR="00394576" w:rsidRPr="00446DFA">
        <w:t xml:space="preserve"> </w:t>
      </w:r>
      <w:r w:rsidR="006B26C8">
        <w:t>which</w:t>
      </w:r>
      <w:r w:rsidR="00394576" w:rsidRPr="00446DFA">
        <w:t xml:space="preserve"> was in </w:t>
      </w:r>
      <w:r w:rsidR="006B26C8">
        <w:t xml:space="preserve">the </w:t>
      </w:r>
      <w:r w:rsidR="00394576" w:rsidRPr="00446DFA">
        <w:t xml:space="preserve">size </w:t>
      </w:r>
      <w:r w:rsidR="006B26C8">
        <w:t>range of</w:t>
      </w:r>
      <w:r w:rsidR="006B26C8" w:rsidRPr="00446DFA">
        <w:t xml:space="preserve"> </w:t>
      </w:r>
      <w:r w:rsidR="00394576" w:rsidRPr="00446DFA">
        <w:t xml:space="preserve">a </w:t>
      </w:r>
      <w:r w:rsidR="006B26C8">
        <w:t xml:space="preserve">human </w:t>
      </w:r>
      <w:r w:rsidR="00394576" w:rsidRPr="00446DFA">
        <w:t>knee</w:t>
      </w:r>
      <w:r w:rsidR="006B26C8">
        <w:t xml:space="preserve">, to </w:t>
      </w:r>
      <w:r w:rsidRPr="00446DFA">
        <w:t xml:space="preserve">support a </w:t>
      </w:r>
      <w:r w:rsidR="00A12322">
        <w:t>full</w:t>
      </w:r>
      <w:r w:rsidR="00A12322" w:rsidRPr="00446DFA">
        <w:t xml:space="preserve"> </w:t>
      </w:r>
      <w:r w:rsidRPr="00446DFA">
        <w:t>sized PMMA bone cement spacer</w:t>
      </w:r>
      <w:r w:rsidR="00A12322">
        <w:t xml:space="preserve"> </w:t>
      </w:r>
      <w:r w:rsidR="00AE54B6">
        <w:t xml:space="preserve">as well as </w:t>
      </w:r>
      <w:r w:rsidR="00A12322">
        <w:t>a clinically relevant number of</w:t>
      </w:r>
      <w:r w:rsidR="00F11920">
        <w:t xml:space="preserve"> </w:t>
      </w:r>
      <w:r w:rsidRPr="00446DFA">
        <w:t xml:space="preserve">absorbable calcium sulfate beads. Using this system, we measured the antibiotic profile kinetics of the three local antibiotic administration methods using Liquid Chromatography Mass Spectrometry </w:t>
      </w:r>
      <w:r w:rsidR="00D356E3" w:rsidRPr="00446DFA">
        <w:t xml:space="preserve">(LCMS) </w:t>
      </w:r>
      <w:r w:rsidRPr="00446DFA">
        <w:t xml:space="preserve">and </w:t>
      </w:r>
      <w:r w:rsidR="006B26C8">
        <w:t xml:space="preserve">the </w:t>
      </w:r>
      <w:r w:rsidRPr="00446DFA">
        <w:t xml:space="preserve">potency </w:t>
      </w:r>
      <w:r w:rsidR="0040691F">
        <w:t>o</w:t>
      </w:r>
      <w:r w:rsidR="006B26C8">
        <w:t xml:space="preserve">f the antibiotic was confirmed </w:t>
      </w:r>
      <w:r w:rsidRPr="00446DFA">
        <w:t xml:space="preserve">against reference strains of </w:t>
      </w:r>
      <w:r w:rsidRPr="00446DFA">
        <w:rPr>
          <w:i/>
          <w:iCs/>
        </w:rPr>
        <w:t xml:space="preserve">Staphylococcus aureus </w:t>
      </w:r>
      <w:r w:rsidRPr="00446DFA">
        <w:t xml:space="preserve">and </w:t>
      </w:r>
      <w:r w:rsidRPr="00446DFA">
        <w:rPr>
          <w:i/>
          <w:iCs/>
        </w:rPr>
        <w:t>Pseudomonas aeruginosa</w:t>
      </w:r>
      <w:r w:rsidR="006B26C8" w:rsidRPr="00316470">
        <w:t xml:space="preserve"> using a </w:t>
      </w:r>
      <w:r w:rsidR="006B26C8">
        <w:t>diffusion filter disc assay</w:t>
      </w:r>
      <w:r w:rsidR="00EB7496" w:rsidRPr="007B0D34">
        <w:t>.</w:t>
      </w:r>
      <w:r w:rsidRPr="007B0D34">
        <w:rPr>
          <w:i/>
          <w:iCs/>
        </w:rPr>
        <w:t xml:space="preserve"> </w:t>
      </w:r>
      <w:r w:rsidR="00476B8E" w:rsidRPr="007B0D34">
        <w:t>We hypothesize</w:t>
      </w:r>
      <w:r w:rsidR="00EB7496" w:rsidRPr="007B0D34">
        <w:t>d</w:t>
      </w:r>
      <w:r w:rsidR="00476B8E" w:rsidRPr="007B0D34">
        <w:t xml:space="preserve"> that the addition of antibiotic loaded beads to an antibiotic loaded </w:t>
      </w:r>
      <w:r w:rsidR="0040691F" w:rsidRPr="007B0D34">
        <w:t xml:space="preserve">PMMA </w:t>
      </w:r>
      <w:r w:rsidR="00476B8E" w:rsidRPr="007B0D34">
        <w:t>spacer would produce a gr</w:t>
      </w:r>
      <w:r w:rsidR="00717DE7" w:rsidRPr="007B0D34">
        <w:t>eate</w:t>
      </w:r>
      <w:r w:rsidR="00476B8E" w:rsidRPr="007B0D34">
        <w:t xml:space="preserve">r </w:t>
      </w:r>
      <w:r w:rsidR="007B0D34" w:rsidRPr="001D407D">
        <w:t xml:space="preserve">area under the curve </w:t>
      </w:r>
      <w:r w:rsidR="00476B8E" w:rsidRPr="001D407D">
        <w:t xml:space="preserve">of antibiotics </w:t>
      </w:r>
      <w:r w:rsidR="007B0D34" w:rsidRPr="001D407D">
        <w:t xml:space="preserve">over 48 </w:t>
      </w:r>
      <w:proofErr w:type="spellStart"/>
      <w:r w:rsidR="007B0D34" w:rsidRPr="001D407D">
        <w:t>hr</w:t>
      </w:r>
      <w:proofErr w:type="spellEnd"/>
      <w:r w:rsidR="007B0D34" w:rsidRPr="007B0D34">
        <w:t xml:space="preserve"> </w:t>
      </w:r>
      <w:r w:rsidR="006B26C8" w:rsidRPr="007B0D34">
        <w:t xml:space="preserve">than the </w:t>
      </w:r>
      <w:r w:rsidR="0040691F" w:rsidRPr="007B0D34">
        <w:t xml:space="preserve">PMMA </w:t>
      </w:r>
      <w:r w:rsidR="006B26C8" w:rsidRPr="007B0D34">
        <w:t>spacer alone</w:t>
      </w:r>
      <w:r w:rsidR="00476B8E" w:rsidRPr="007B0D34">
        <w:t xml:space="preserve"> and the vancomycin powder would be rapidly washed out. </w:t>
      </w:r>
      <w:r w:rsidR="006B26C8" w:rsidRPr="007B0D34">
        <w:t xml:space="preserve">Our </w:t>
      </w:r>
      <w:r w:rsidR="00476B8E" w:rsidRPr="007B0D34">
        <w:t xml:space="preserve">primary outcome measure </w:t>
      </w:r>
      <w:r w:rsidR="00717DE7" w:rsidRPr="007B0D34">
        <w:t>was the area under the curve</w:t>
      </w:r>
      <w:r w:rsidR="00476B8E" w:rsidRPr="007B0D34">
        <w:t xml:space="preserve"> </w:t>
      </w:r>
      <w:r w:rsidR="006B26C8" w:rsidRPr="007B0D34">
        <w:t xml:space="preserve">(AUC) </w:t>
      </w:r>
      <w:r w:rsidR="00476B8E" w:rsidRPr="007B0D34">
        <w:t xml:space="preserve">of antibiotic concentration at various timepoint over a </w:t>
      </w:r>
      <w:r w:rsidR="0040691F" w:rsidRPr="007B0D34">
        <w:t xml:space="preserve">period of </w:t>
      </w:r>
      <w:r w:rsidR="00476B8E" w:rsidRPr="007B0D34">
        <w:t xml:space="preserve">48 </w:t>
      </w:r>
      <w:r w:rsidR="002F2D1E" w:rsidRPr="007B0D34">
        <w:t>hr</w:t>
      </w:r>
      <w:r w:rsidR="0040691F" w:rsidRPr="007B0D34">
        <w:t>s.</w:t>
      </w:r>
      <w:r w:rsidR="00476B8E" w:rsidRPr="007B0D34">
        <w:t xml:space="preserve"> </w:t>
      </w:r>
    </w:p>
    <w:p w14:paraId="19474B76" w14:textId="75B10FDD" w:rsidR="002E4A63" w:rsidRPr="00446DFA" w:rsidRDefault="00BA3143" w:rsidP="00BA3143">
      <w:pPr>
        <w:pStyle w:val="MDPI21heading1"/>
      </w:pPr>
      <w:r w:rsidRPr="00446DFA">
        <w:t xml:space="preserve">2. </w:t>
      </w:r>
      <w:r w:rsidR="007713AF" w:rsidRPr="00446DFA">
        <w:t>Results</w:t>
      </w:r>
    </w:p>
    <w:p w14:paraId="5F26A949" w14:textId="254DAADA" w:rsidR="008D6572" w:rsidRPr="00446DFA" w:rsidRDefault="00BA3143" w:rsidP="00BA3143">
      <w:pPr>
        <w:pStyle w:val="MDPI22heading2"/>
      </w:pPr>
      <w:r w:rsidRPr="00446DFA">
        <w:t xml:space="preserve">2.1. </w:t>
      </w:r>
      <w:r w:rsidR="008D6572" w:rsidRPr="00446DFA">
        <w:t>Drainage Flow</w:t>
      </w:r>
    </w:p>
    <w:p w14:paraId="6E6FD716" w14:textId="00991F8E" w:rsidR="00F07A68" w:rsidRPr="00446DFA" w:rsidRDefault="008D6572" w:rsidP="00BA3143">
      <w:pPr>
        <w:pStyle w:val="MDPI31text"/>
      </w:pPr>
      <w:r w:rsidRPr="00446DFA">
        <w:t xml:space="preserve">Previous studies by Fan, Boland and Porteous observed drainage rates after knee arthroplasty revision surgeries </w:t>
      </w:r>
      <w:r w:rsidRPr="00A55C3D">
        <w:t>[</w:t>
      </w:r>
      <w:r w:rsidRPr="00D67B6B">
        <w:fldChar w:fldCharType="begin" w:fldLock="1"/>
      </w:r>
      <w:r w:rsidR="00330C6B">
        <w:instrText>ADDIN CSL_CITATION {"citationItems":[{"id":"ITEM-1","itemData":{"author":[{"dropping-particle":"","family":"Fan","given":"C H","non-dropping-particle":"","parse-names":false,"suffix":""},{"dropping-particle":"","family":"Hung","given":"H H","non-dropping-particle":"","parse-names":false,"suffix":""},{"dropping-particle":"","family":"Chiu","given":"K H","non-dropping-particle":"","parse-names":false,"suffix":""}],"container-title":"Hong Kong Journal Orthopaedic Surgery","id":"ITEM-1","issue":"May","issued":{"date-parts":[["2006"]]},"page":"10-13","title":"Rate of drainage following total knee replacement","type":"article-journal","volume":"10"},"uris":["http://www.mendeley.com/documents/?uuid=a433774c-6262-4cbf-a8cc-f7e339b8eab9"]},{"id":"ITEM-2","itemData":{"author":[{"dropping-particle":"","family":"Porteous","given":"A","non-dropping-particle":"","parse-names":false,"suffix":""},{"dropping-particle":"","family":"Bartlett","given":"R","non-dropping-particle":"","parse-names":false,"suffix":""}],"container-title":"The KNEE","id":"ITEM-2","issue":"4","issued":{"date-parts":[["2003"]]},"page":"371-374","title":"Post-operative drainage after cemented, hybrid and uncemented total knee replacement","type":"article-journal","volume":"10"},"uris":["http://www.mendeley.com/documents/?uuid=48026b44-88c4-4afe-8000-f66920d69e8a"]},{"id":"ITEM-3","itemData":{"DOI":"10.1017/s1446181100003035","ISSN":"1446-1811","abstract":"A simple lumped hydraulic model of knee drainage following arthroplasty is developed incorporating a pressure-volume equation of state for the knee capsule and a wound healing rate dynamically retarded by the blood flow-induced shear stress. The resulting second-order nonlinear ordinary differential system is examined numerically and qualitatively to map the parameter space. In the model, moderate suction or a slight back-pressure promotes gradual drainage and healing whereas excessive suction can lead to a bifurcation in which healing is retarded or even prevented. Guided, then, by the model, the literature, and experience, continuous drainage with a small constant back-pressure appeared beneficial so we prospectively evaluated a series of ten patients. The results are consistent with the model and promising.","author":[{"dropping-particle":"","family":"Sterling","given":"G.","non-dropping-particle":"","parse-names":false,"suffix":""},{"dropping-particle":"","family":"McBain","given":"G. D.","non-dropping-particle":"","parse-names":false,"suffix":""},{"dropping-particle":"","family":"Harris","given":"J. A.","non-dropping-particle":"","parse-names":false,"suffix":""},{"dropping-particle":"","family":"Boland","given":"M.","non-dropping-particle":"","parse-names":false,"suffix":""}],"container-title":"The ANZIAM Journal","id":"ITEM-3","issue":"2","issued":{"date-parts":[["2006"]]},"page":"199-210","title":"Drainage after total knee replacement","type":"article-journal","volume":"48"},"uris":["http://www.mendeley.com/documents/?uuid=8fad19d3-a7bb-4569-945d-5b6c4ba29a43"]}],"mendeley":{"formattedCitation":"&lt;sup&gt;21–23&lt;/sup&gt;","plainTextFormattedCitation":"21–23","previouslyFormattedCitation":"&lt;sup&gt;21–23&lt;/sup&gt;"},"properties":{"noteIndex":0},"schema":"https://github.com/citation-style-language/schema/raw/master/csl-citation.json"}</w:instrText>
      </w:r>
      <w:r w:rsidRPr="00D67B6B">
        <w:fldChar w:fldCharType="separate"/>
      </w:r>
      <w:r w:rsidR="00F11920" w:rsidRPr="00F11920">
        <w:rPr>
          <w:noProof/>
          <w:vertAlign w:val="superscript"/>
        </w:rPr>
        <w:t>21–23</w:t>
      </w:r>
      <w:r w:rsidRPr="00D67B6B">
        <w:fldChar w:fldCharType="end"/>
      </w:r>
      <w:r w:rsidRPr="00446DFA">
        <w:t xml:space="preserve">]. Using data reported from their studies, a trendline of </w:t>
      </w:r>
      <w:r w:rsidRPr="00446DFA">
        <w:lastRenderedPageBreak/>
        <w:t>y=3.1269x</w:t>
      </w:r>
      <w:r w:rsidR="00BA3143" w:rsidRPr="00446DFA">
        <w:rPr>
          <w:vertAlign w:val="superscript"/>
        </w:rPr>
        <w:t>−1</w:t>
      </w:r>
      <w:r w:rsidRPr="00446DFA">
        <w:rPr>
          <w:vertAlign w:val="superscript"/>
        </w:rPr>
        <w:t>.019</w:t>
      </w:r>
      <w:r w:rsidRPr="00446DFA">
        <w:t xml:space="preserve">, where y=flow rate and x=time, was calculated and used to determine the flow rates used in this study (Figure </w:t>
      </w:r>
      <w:r w:rsidR="0079756F" w:rsidRPr="00446DFA">
        <w:t>1</w:t>
      </w:r>
      <w:r w:rsidRPr="00446DFA">
        <w:t xml:space="preserve">). Since we could not operate the pump using a continuous function, we imposed a stepwise decrease to match the curve. The initial flow of 3.5 mL/min was visually back extrapolated from the clinical data. </w:t>
      </w:r>
    </w:p>
    <w:p w14:paraId="52170B61" w14:textId="77777777" w:rsidR="008D6572" w:rsidRPr="00446DFA" w:rsidRDefault="008D6572" w:rsidP="00BA3143">
      <w:pPr>
        <w:pStyle w:val="MDPI52figure"/>
      </w:pPr>
      <w:r w:rsidRPr="00446DFA">
        <w:rPr>
          <w:noProof/>
        </w:rPr>
        <w:drawing>
          <wp:inline distT="0" distB="0" distL="0" distR="0" wp14:anchorId="6D193C1D" wp14:editId="7C240617">
            <wp:extent cx="5943600" cy="3096895"/>
            <wp:effectExtent l="0" t="0" r="0" b="190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96895"/>
                    </a:xfrm>
                    <a:prstGeom prst="rect">
                      <a:avLst/>
                    </a:prstGeom>
                  </pic:spPr>
                </pic:pic>
              </a:graphicData>
            </a:graphic>
          </wp:inline>
        </w:drawing>
      </w:r>
    </w:p>
    <w:p w14:paraId="2F619CA8" w14:textId="245C1C37" w:rsidR="008D6572" w:rsidRPr="00446DFA" w:rsidRDefault="00BA3143" w:rsidP="00BA3143">
      <w:pPr>
        <w:pStyle w:val="MDPI51figurecaption"/>
        <w:ind w:left="425" w:right="425"/>
        <w:jc w:val="both"/>
      </w:pPr>
      <w:r w:rsidRPr="00446DFA">
        <w:rPr>
          <w:b/>
          <w:bCs/>
        </w:rPr>
        <w:t xml:space="preserve">Figure 1. </w:t>
      </w:r>
      <w:r w:rsidR="008D6572" w:rsidRPr="00446DFA">
        <w:t>Drainage flow observed after knee arthroplasty revision surgery from Fan, Boland and Porteous studies. The curve fit data was used to generate the stepwise flow rate decrease in the reactor system</w:t>
      </w:r>
      <w:proofErr w:type="gramStart"/>
      <w:r w:rsidR="008D6572" w:rsidRPr="00446DFA">
        <w:t xml:space="preserve">. </w:t>
      </w:r>
      <w:r w:rsidRPr="00446DFA">
        <w:t>.</w:t>
      </w:r>
      <w:proofErr w:type="gramEnd"/>
    </w:p>
    <w:p w14:paraId="4EC3A78E" w14:textId="7CF7895D" w:rsidR="002E4A63" w:rsidRPr="00446DFA" w:rsidRDefault="00BA3143" w:rsidP="00BA3143">
      <w:pPr>
        <w:pStyle w:val="MDPI22heading2"/>
        <w:spacing w:before="240"/>
      </w:pPr>
      <w:r w:rsidRPr="00446DFA">
        <w:t xml:space="preserve">2.2. </w:t>
      </w:r>
      <w:r w:rsidR="002E4A63" w:rsidRPr="00446DFA">
        <w:t>Calcium Sulfate Beads Stability</w:t>
      </w:r>
    </w:p>
    <w:p w14:paraId="42FFDA36" w14:textId="77777777" w:rsidR="002E4A63" w:rsidRPr="00446DFA" w:rsidRDefault="002E4A63" w:rsidP="00BA3143">
      <w:pPr>
        <w:pStyle w:val="MDPI31text"/>
      </w:pPr>
      <w:r w:rsidRPr="00446DFA">
        <w:t xml:space="preserve">After 48 </w:t>
      </w:r>
      <w:proofErr w:type="spellStart"/>
      <w:r w:rsidRPr="00446DFA">
        <w:t>hrs</w:t>
      </w:r>
      <w:proofErr w:type="spellEnd"/>
      <w:r w:rsidRPr="00446DFA">
        <w:t xml:space="preserve">, calcium sulfate beads were visible within the system. Once removed, the beads had appeared to have softened compared to when they were introduced to the </w:t>
      </w:r>
      <w:proofErr w:type="gramStart"/>
      <w:r w:rsidRPr="00446DFA">
        <w:t>system, but</w:t>
      </w:r>
      <w:proofErr w:type="gramEnd"/>
      <w:r w:rsidRPr="00446DFA">
        <w:t xml:space="preserve"> were still structurally sound (Figure </w:t>
      </w:r>
      <w:r w:rsidR="0079756F" w:rsidRPr="00446DFA">
        <w:t>2</w:t>
      </w:r>
      <w:r w:rsidRPr="00446DFA">
        <w:t xml:space="preserve">). </w:t>
      </w:r>
    </w:p>
    <w:p w14:paraId="6C632B79" w14:textId="77777777" w:rsidR="002E4A63" w:rsidRPr="00446DFA" w:rsidRDefault="002E4A63" w:rsidP="00BA3143">
      <w:pPr>
        <w:pStyle w:val="MDPI52figure"/>
        <w:ind w:left="2608"/>
        <w:jc w:val="left"/>
        <w:rPr>
          <w:b/>
        </w:rPr>
      </w:pPr>
      <w:r w:rsidRPr="00446DFA">
        <w:rPr>
          <w:noProof/>
        </w:rPr>
        <w:drawing>
          <wp:inline distT="0" distB="0" distL="0" distR="0" wp14:anchorId="0D0A8D61" wp14:editId="68DE80CD">
            <wp:extent cx="2031168" cy="2308852"/>
            <wp:effectExtent l="0" t="0" r="1270" b="3175"/>
            <wp:docPr id="24" name="Picture 24" descr="A glass of milk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lass of milk on a coun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3200" cy="2322529"/>
                    </a:xfrm>
                    <a:prstGeom prst="rect">
                      <a:avLst/>
                    </a:prstGeom>
                  </pic:spPr>
                </pic:pic>
              </a:graphicData>
            </a:graphic>
          </wp:inline>
        </w:drawing>
      </w:r>
      <w:r w:rsidRPr="00446DFA">
        <w:rPr>
          <w:noProof/>
        </w:rPr>
        <w:drawing>
          <wp:inline distT="0" distB="0" distL="0" distR="0" wp14:anchorId="3B002C03" wp14:editId="10A54C61">
            <wp:extent cx="2112264" cy="2319653"/>
            <wp:effectExtent l="0" t="0" r="0" b="5080"/>
            <wp:docPr id="25" name="Picture 25" descr="A picture containing indoor, cup,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cup, sitting,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6965" cy="2335797"/>
                    </a:xfrm>
                    <a:prstGeom prst="rect">
                      <a:avLst/>
                    </a:prstGeom>
                  </pic:spPr>
                </pic:pic>
              </a:graphicData>
            </a:graphic>
          </wp:inline>
        </w:drawing>
      </w:r>
    </w:p>
    <w:p w14:paraId="7592071C" w14:textId="7C051EB4" w:rsidR="002E4A63" w:rsidRPr="00446DFA" w:rsidRDefault="00BA3143" w:rsidP="00BA3143">
      <w:pPr>
        <w:pStyle w:val="MDPI51figurecaption"/>
      </w:pPr>
      <w:r w:rsidRPr="00446DFA">
        <w:rPr>
          <w:b/>
          <w:bCs/>
        </w:rPr>
        <w:t xml:space="preserve">Figure 2. </w:t>
      </w:r>
      <w:r w:rsidR="002E4A63" w:rsidRPr="00446DFA">
        <w:t xml:space="preserve">Representative images of calcium sulfate beads within the reactor system after 48 </w:t>
      </w:r>
      <w:r w:rsidR="002F2D1E">
        <w:t>hr</w:t>
      </w:r>
      <w:r w:rsidR="002E4A63" w:rsidRPr="00446DFA">
        <w:t>s.</w:t>
      </w:r>
    </w:p>
    <w:p w14:paraId="7E27BA73" w14:textId="1FF04CC4" w:rsidR="002E4A63" w:rsidRPr="00446DFA" w:rsidRDefault="00BA3143" w:rsidP="00BA3143">
      <w:pPr>
        <w:pStyle w:val="MDPI22heading2"/>
        <w:spacing w:before="240"/>
      </w:pPr>
      <w:r w:rsidRPr="00446DFA">
        <w:t xml:space="preserve">2.3. </w:t>
      </w:r>
      <w:r w:rsidR="002E4A63" w:rsidRPr="00446DFA">
        <w:t>Liquid Chromatography Mass Spectrometry (LCMS</w:t>
      </w:r>
      <w:r w:rsidR="00483FB2" w:rsidRPr="00446DFA">
        <w:t>)</w:t>
      </w:r>
    </w:p>
    <w:p w14:paraId="17BDFB97" w14:textId="01401E8C" w:rsidR="002E4A63" w:rsidRDefault="002E4A63" w:rsidP="00BA3143">
      <w:pPr>
        <w:pStyle w:val="MDPI31text"/>
      </w:pPr>
      <w:r w:rsidRPr="00446DFA">
        <w:t xml:space="preserve">Data was reported on a Log2 scale to show potency and concentrations at time points where samples were taken </w:t>
      </w:r>
      <w:proofErr w:type="gramStart"/>
      <w:r w:rsidRPr="00446DFA">
        <w:t>frequently</w:t>
      </w:r>
      <w:proofErr w:type="gramEnd"/>
      <w:r w:rsidRPr="00446DFA">
        <w:t xml:space="preserve"> and drainage rates were rapidly changing. Antibiotic concentration quantified using LCMS is presented as the geometric mean of the Log10 </w:t>
      </w:r>
      <w:r w:rsidRPr="00446DFA">
        <w:lastRenderedPageBreak/>
        <w:t xml:space="preserve">transformed concentration with SE bars </w:t>
      </w:r>
      <w:r w:rsidR="008C19F7">
        <w:t xml:space="preserve">for </w:t>
      </w:r>
      <w:r w:rsidRPr="00446DFA">
        <w:t>vancomycin</w:t>
      </w:r>
      <w:r w:rsidR="00822F6F">
        <w:t xml:space="preserve"> (VAN)</w:t>
      </w:r>
      <w:r w:rsidR="00724E48" w:rsidRPr="00724E48">
        <w:t xml:space="preserve"> </w:t>
      </w:r>
      <w:r w:rsidR="00724E48">
        <w:t>(</w:t>
      </w:r>
      <w:r w:rsidR="00724E48" w:rsidRPr="00446DFA">
        <w:t>Figure 3a</w:t>
      </w:r>
      <w:r w:rsidR="00724E48">
        <w:t>)</w:t>
      </w:r>
      <w:r w:rsidRPr="00446DFA">
        <w:t xml:space="preserve"> and tobramycin</w:t>
      </w:r>
      <w:r w:rsidR="00822F6F">
        <w:t xml:space="preserve"> (TOB)</w:t>
      </w:r>
      <w:r w:rsidR="00724E48" w:rsidRPr="00724E48">
        <w:t xml:space="preserve"> </w:t>
      </w:r>
      <w:r w:rsidR="00724E48">
        <w:t>(</w:t>
      </w:r>
      <w:r w:rsidR="00724E48" w:rsidRPr="00446DFA">
        <w:t>Figure 4a</w:t>
      </w:r>
      <w:r w:rsidR="00724E48">
        <w:t>)</w:t>
      </w:r>
      <w:r w:rsidRPr="00446DFA">
        <w:t>.</w:t>
      </w:r>
    </w:p>
    <w:p w14:paraId="6A1D789D" w14:textId="27B2EB94" w:rsidR="008A17BD" w:rsidRPr="00446DFA" w:rsidRDefault="00CE78EC" w:rsidP="003D62AE">
      <w:pPr>
        <w:pStyle w:val="MDPI31text"/>
      </w:pPr>
      <w:r>
        <w:t xml:space="preserve">While </w:t>
      </w:r>
      <w:r w:rsidR="008A17BD" w:rsidRPr="00446DFA">
        <w:t xml:space="preserve">VP had the greatest release of </w:t>
      </w:r>
      <w:r w:rsidR="00822F6F">
        <w:t>VAN</w:t>
      </w:r>
      <w:r w:rsidR="008A17BD" w:rsidRPr="00446DFA">
        <w:t xml:space="preserve"> for the first 30 mins of operation (Figure 3a)</w:t>
      </w:r>
      <w:r>
        <w:t>, a</w:t>
      </w:r>
      <w:r w:rsidR="008A17BD" w:rsidRPr="00446DFA">
        <w:t xml:space="preserve">fter 2 </w:t>
      </w:r>
      <w:proofErr w:type="spellStart"/>
      <w:r w:rsidR="008A17BD" w:rsidRPr="00446DFA">
        <w:t>hrs</w:t>
      </w:r>
      <w:proofErr w:type="spellEnd"/>
      <w:r w:rsidR="008A17BD" w:rsidRPr="00446DFA">
        <w:t xml:space="preserve">, </w:t>
      </w:r>
      <w:r w:rsidR="00960805">
        <w:t>these</w:t>
      </w:r>
      <w:r w:rsidR="008A17BD" w:rsidRPr="00446DFA">
        <w:t xml:space="preserve"> concentrations were below the minimum detection limit of 0.98µg/mL (-0.01ug/mL expressed as a base </w:t>
      </w:r>
      <w:r w:rsidR="00960805">
        <w:t>L</w:t>
      </w:r>
      <w:r w:rsidR="008A17BD" w:rsidRPr="00446DFA">
        <w:t>og</w:t>
      </w:r>
      <w:r w:rsidR="00EA4320" w:rsidRPr="00E52840">
        <w:rPr>
          <w:vertAlign w:val="subscript"/>
        </w:rPr>
        <w:t>10</w:t>
      </w:r>
      <w:r w:rsidR="008A17BD" w:rsidRPr="00446DFA">
        <w:t xml:space="preserve">). </w:t>
      </w:r>
      <w:r w:rsidR="00EA4320">
        <w:t xml:space="preserve">The </w:t>
      </w:r>
      <w:proofErr w:type="spellStart"/>
      <w:r w:rsidR="008A17BD" w:rsidRPr="00446DFA">
        <w:t>CSB</w:t>
      </w:r>
      <w:r w:rsidR="008A17BD" w:rsidRPr="00446DFA">
        <w:rPr>
          <w:vertAlign w:val="subscript"/>
        </w:rPr>
        <w:t>v+t</w:t>
      </w:r>
      <w:r w:rsidR="008A17BD" w:rsidRPr="00446DFA">
        <w:t>plusSpacer</w:t>
      </w:r>
      <w:r w:rsidR="008A17BD" w:rsidRPr="00446DFA">
        <w:rPr>
          <w:vertAlign w:val="subscript"/>
        </w:rPr>
        <w:t>v+t</w:t>
      </w:r>
      <w:proofErr w:type="spellEnd"/>
      <w:r w:rsidR="008A17BD" w:rsidRPr="00446DFA">
        <w:t xml:space="preserve"> </w:t>
      </w:r>
      <w:r w:rsidR="008A17BD">
        <w:t>released</w:t>
      </w:r>
      <w:r w:rsidR="008A17BD" w:rsidRPr="00446DFA">
        <w:t xml:space="preserve"> greater </w:t>
      </w:r>
      <w:r w:rsidR="00822F6F">
        <w:t>VAN</w:t>
      </w:r>
      <w:r w:rsidR="008A17BD" w:rsidRPr="00446DFA">
        <w:t xml:space="preserve"> concentrations than </w:t>
      </w:r>
      <w:r w:rsidR="00EA4320">
        <w:t>th</w:t>
      </w:r>
      <w:r w:rsidR="00316470">
        <w:t>e</w:t>
      </w:r>
      <w:r w:rsidR="00EA4320">
        <w:t xml:space="preserve"> </w:t>
      </w:r>
      <w:proofErr w:type="spellStart"/>
      <w:r w:rsidR="008A17BD" w:rsidRPr="00446DFA">
        <w:t>Spacer</w:t>
      </w:r>
      <w:r w:rsidR="008A17BD" w:rsidRPr="00446DFA">
        <w:rPr>
          <w:vertAlign w:val="subscript"/>
        </w:rPr>
        <w:t>v+t</w:t>
      </w:r>
      <w:proofErr w:type="spellEnd"/>
      <w:r w:rsidR="008A17BD" w:rsidRPr="00446DFA">
        <w:t xml:space="preserve"> throughout the duration of the </w:t>
      </w:r>
      <w:r w:rsidR="00724E48">
        <w:t>study</w:t>
      </w:r>
      <w:r w:rsidR="008A17BD" w:rsidRPr="00446DFA">
        <w:t>, including up to a 2.</w:t>
      </w:r>
      <w:r w:rsidR="00EA4320">
        <w:t>3</w:t>
      </w:r>
      <w:r w:rsidR="008A17BD" w:rsidRPr="00446DFA">
        <w:t xml:space="preserve"> log difference at 48 </w:t>
      </w:r>
      <w:proofErr w:type="spellStart"/>
      <w:r w:rsidR="008A17BD" w:rsidRPr="00446DFA">
        <w:t>hrs</w:t>
      </w:r>
      <w:proofErr w:type="spellEnd"/>
      <w:r w:rsidR="008A17BD" w:rsidRPr="00446DFA">
        <w:t xml:space="preserve"> (Figure 3b) (P</w:t>
      </w:r>
      <w:r w:rsidR="009D1A47">
        <w:t>=</w:t>
      </w:r>
      <w:r w:rsidR="008A17BD" w:rsidRPr="00446DFA">
        <w:t>0.0</w:t>
      </w:r>
      <w:r w:rsidR="009D1A47">
        <w:t>024</w:t>
      </w:r>
      <w:r w:rsidR="001938DC">
        <w:t>)</w:t>
      </w:r>
      <w:r w:rsidR="00724E48">
        <w:t xml:space="preserve"> and</w:t>
      </w:r>
      <w:r w:rsidR="008A17BD" w:rsidRPr="00446DFA">
        <w:t xml:space="preserve"> </w:t>
      </w:r>
      <w:r w:rsidR="008A17BD">
        <w:t xml:space="preserve">were significantly different </w:t>
      </w:r>
      <w:r w:rsidR="008A17BD" w:rsidRPr="00446DFA">
        <w:t xml:space="preserve">at 5 mins, 3 </w:t>
      </w:r>
      <w:proofErr w:type="spellStart"/>
      <w:r w:rsidR="008A17BD" w:rsidRPr="00446DFA">
        <w:t>hrs</w:t>
      </w:r>
      <w:proofErr w:type="spellEnd"/>
      <w:r w:rsidR="008A17BD" w:rsidRPr="00446DFA">
        <w:t xml:space="preserve"> and every subsequent timepoint until the study was completed at 48 </w:t>
      </w:r>
      <w:proofErr w:type="spellStart"/>
      <w:r w:rsidR="008A17BD" w:rsidRPr="00446DFA">
        <w:t>hrs</w:t>
      </w:r>
      <w:proofErr w:type="spellEnd"/>
      <w:r w:rsidR="008A17BD" w:rsidRPr="00446DFA">
        <w:t xml:space="preserve"> </w:t>
      </w:r>
      <w:r w:rsidR="008A17BD" w:rsidRPr="00E462E6">
        <w:t>(P&lt;0.05</w:t>
      </w:r>
      <w:r w:rsidR="00717DE7" w:rsidRPr="00E462E6">
        <w:t xml:space="preserve"> at all timepoints</w:t>
      </w:r>
      <w:r w:rsidR="0095124C">
        <w:t xml:space="preserve"> in this period</w:t>
      </w:r>
      <w:r w:rsidR="008A17BD" w:rsidRPr="00E462E6">
        <w:t>).</w:t>
      </w:r>
    </w:p>
    <w:p w14:paraId="6E69966F" w14:textId="77777777" w:rsidR="002E4A63" w:rsidRPr="00446DFA" w:rsidRDefault="002E4A63" w:rsidP="00BA3143">
      <w:pPr>
        <w:pStyle w:val="MDPI52figure"/>
      </w:pPr>
      <w:r w:rsidRPr="00446DFA">
        <w:rPr>
          <w:noProof/>
        </w:rPr>
        <w:drawing>
          <wp:inline distT="0" distB="0" distL="0" distR="0" wp14:anchorId="306FDE2F" wp14:editId="2FC24EA6">
            <wp:extent cx="5539563" cy="5539563"/>
            <wp:effectExtent l="0" t="0" r="0" b="0"/>
            <wp:docPr id="17" name="Picture 1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 hist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9563" cy="5539563"/>
                    </a:xfrm>
                    <a:prstGeom prst="rect">
                      <a:avLst/>
                    </a:prstGeom>
                  </pic:spPr>
                </pic:pic>
              </a:graphicData>
            </a:graphic>
          </wp:inline>
        </w:drawing>
      </w:r>
    </w:p>
    <w:p w14:paraId="6A30E5CE" w14:textId="7307CC2D" w:rsidR="002E4A63" w:rsidRDefault="00BA3143" w:rsidP="00BA3143">
      <w:pPr>
        <w:pStyle w:val="MDPI51figurecaption"/>
        <w:ind w:left="425" w:right="425"/>
        <w:jc w:val="both"/>
      </w:pPr>
      <w:r w:rsidRPr="00446DFA">
        <w:rPr>
          <w:b/>
        </w:rPr>
        <w:t xml:space="preserve">Figure 3. </w:t>
      </w:r>
      <w:r w:rsidR="002E4A63" w:rsidRPr="00446DFA">
        <w:rPr>
          <w:b/>
        </w:rPr>
        <w:t xml:space="preserve">A. </w:t>
      </w:r>
      <w:r w:rsidR="002E4A63" w:rsidRPr="00446DFA">
        <w:t>LCMS analysis of vancomycin in effluent samples from antibiotic loaded calcium sulfate beads with an antibiotic loaded PMMA spacer (</w:t>
      </w:r>
      <w:proofErr w:type="spellStart"/>
      <w:r w:rsidR="002E4A63" w:rsidRPr="00446DFA">
        <w:t>CSB</w:t>
      </w:r>
      <w:r w:rsidR="002E4A63" w:rsidRPr="00446DFA">
        <w:rPr>
          <w:vertAlign w:val="subscript"/>
        </w:rPr>
        <w:t>v+t</w:t>
      </w:r>
      <w:r w:rsidR="002E4A63" w:rsidRPr="00446DFA">
        <w:t>plusSpacer</w:t>
      </w:r>
      <w:r w:rsidR="002E4A63" w:rsidRPr="00446DFA">
        <w:rPr>
          <w:vertAlign w:val="subscript"/>
        </w:rPr>
        <w:t>v+t</w:t>
      </w:r>
      <w:proofErr w:type="spellEnd"/>
      <w:r w:rsidR="002E4A63" w:rsidRPr="00446DFA">
        <w:t>), antibiotic loaded PMMA spacer (</w:t>
      </w:r>
      <w:proofErr w:type="spellStart"/>
      <w:r w:rsidR="002E4A63" w:rsidRPr="00446DFA">
        <w:t>Spacer</w:t>
      </w:r>
      <w:r w:rsidR="002E4A63" w:rsidRPr="00446DFA">
        <w:rPr>
          <w:vertAlign w:val="subscript"/>
        </w:rPr>
        <w:t>v+t</w:t>
      </w:r>
      <w:proofErr w:type="spellEnd"/>
      <w:r w:rsidR="002E4A63" w:rsidRPr="00446DFA">
        <w:t xml:space="preserve">), and vancomycin powder bolus (VP). N= 9; geometric mean ±SE. The yellow curve is the influent saline flow rate. Time is shown on a log2 scale to </w:t>
      </w:r>
      <w:proofErr w:type="gramStart"/>
      <w:r w:rsidR="002E4A63" w:rsidRPr="00446DFA">
        <w:t>more clearly show the changes</w:t>
      </w:r>
      <w:proofErr w:type="gramEnd"/>
      <w:r w:rsidR="002E4A63" w:rsidRPr="00446DFA">
        <w:t xml:space="preserve"> in concentration at the early time points. </w:t>
      </w:r>
      <w:r w:rsidR="002E4A63" w:rsidRPr="00446DFA">
        <w:rPr>
          <w:b/>
          <w:bCs/>
        </w:rPr>
        <w:t>B</w:t>
      </w:r>
      <w:r w:rsidR="002E4A63" w:rsidRPr="00446DFA">
        <w:t xml:space="preserve">. Log difference of </w:t>
      </w:r>
      <w:r w:rsidR="0079756F" w:rsidRPr="00446DFA">
        <w:t>vancomycin</w:t>
      </w:r>
      <w:r w:rsidR="002E4A63" w:rsidRPr="00446DFA">
        <w:t xml:space="preserve"> effluent concentrations of the </w:t>
      </w:r>
      <w:proofErr w:type="spellStart"/>
      <w:r w:rsidR="002E4A63" w:rsidRPr="00446DFA">
        <w:t>CSB</w:t>
      </w:r>
      <w:r w:rsidR="002E4A63" w:rsidRPr="00446DFA">
        <w:rPr>
          <w:vertAlign w:val="subscript"/>
        </w:rPr>
        <w:t>v+t</w:t>
      </w:r>
      <w:r w:rsidR="002E4A63" w:rsidRPr="00446DFA">
        <w:t>plusSpacer</w:t>
      </w:r>
      <w:r w:rsidR="002E4A63" w:rsidRPr="00446DFA">
        <w:rPr>
          <w:vertAlign w:val="subscript"/>
        </w:rPr>
        <w:t>v+t</w:t>
      </w:r>
      <w:proofErr w:type="spellEnd"/>
      <w:r w:rsidR="002E4A63" w:rsidRPr="00446DFA">
        <w:rPr>
          <w:vertAlign w:val="subscript"/>
        </w:rPr>
        <w:t xml:space="preserve"> </w:t>
      </w:r>
      <w:r w:rsidR="002E4A63" w:rsidRPr="00446DFA">
        <w:t xml:space="preserve">compared to the </w:t>
      </w:r>
      <w:proofErr w:type="spellStart"/>
      <w:r w:rsidR="002E4A63" w:rsidRPr="00446DFA">
        <w:t>Spacer</w:t>
      </w:r>
      <w:r w:rsidR="002E4A63" w:rsidRPr="00446DFA">
        <w:rPr>
          <w:vertAlign w:val="subscript"/>
        </w:rPr>
        <w:t>v+t</w:t>
      </w:r>
      <w:proofErr w:type="spellEnd"/>
      <w:r w:rsidR="002E4A63" w:rsidRPr="00446DFA">
        <w:t xml:space="preserve"> alone. (* P&lt;0.05, ** P&lt;0.01).</w:t>
      </w:r>
    </w:p>
    <w:p w14:paraId="77FF07DE" w14:textId="09D16F9D" w:rsidR="008A17BD" w:rsidRPr="00446DFA" w:rsidRDefault="00EA4320" w:rsidP="00724E48">
      <w:pPr>
        <w:pStyle w:val="MDPI31text"/>
      </w:pPr>
      <w:r>
        <w:t xml:space="preserve">The </w:t>
      </w:r>
      <w:proofErr w:type="spellStart"/>
      <w:r w:rsidR="008A17BD" w:rsidRPr="00446DFA">
        <w:t>CSB</w:t>
      </w:r>
      <w:r w:rsidR="008A17BD" w:rsidRPr="00446DFA">
        <w:rPr>
          <w:vertAlign w:val="subscript"/>
        </w:rPr>
        <w:t>v+t</w:t>
      </w:r>
      <w:r w:rsidR="008A17BD" w:rsidRPr="00446DFA">
        <w:t>plusSpacer</w:t>
      </w:r>
      <w:r w:rsidR="008A17BD" w:rsidRPr="00446DFA">
        <w:rPr>
          <w:vertAlign w:val="subscript"/>
        </w:rPr>
        <w:t>v+t</w:t>
      </w:r>
      <w:proofErr w:type="spellEnd"/>
      <w:r w:rsidR="008A17BD" w:rsidRPr="00446DFA">
        <w:t xml:space="preserve"> and </w:t>
      </w:r>
      <w:proofErr w:type="spellStart"/>
      <w:r w:rsidR="008A17BD" w:rsidRPr="00446DFA">
        <w:t>Spacer</w:t>
      </w:r>
      <w:r w:rsidR="008A17BD" w:rsidRPr="00446DFA">
        <w:rPr>
          <w:vertAlign w:val="subscript"/>
        </w:rPr>
        <w:t>v+t</w:t>
      </w:r>
      <w:proofErr w:type="spellEnd"/>
      <w:r w:rsidR="008A17BD" w:rsidRPr="00446DFA">
        <w:rPr>
          <w:vertAlign w:val="subscript"/>
        </w:rPr>
        <w:t xml:space="preserve"> </w:t>
      </w:r>
      <w:r w:rsidR="008A17BD" w:rsidRPr="00446DFA">
        <w:t xml:space="preserve">showed a similar trend in terms of detectable concentrations of </w:t>
      </w:r>
      <w:r w:rsidR="00822F6F">
        <w:t>TOB</w:t>
      </w:r>
      <w:r w:rsidR="008A17BD" w:rsidRPr="00446DFA">
        <w:t xml:space="preserve"> (Figure 4a). </w:t>
      </w:r>
      <w:r>
        <w:t xml:space="preserve">The </w:t>
      </w:r>
      <w:proofErr w:type="spellStart"/>
      <w:r w:rsidR="008A17BD" w:rsidRPr="00446DFA">
        <w:t>CSB</w:t>
      </w:r>
      <w:r w:rsidR="008A17BD" w:rsidRPr="00446DFA">
        <w:rPr>
          <w:vertAlign w:val="subscript"/>
        </w:rPr>
        <w:t>v+t</w:t>
      </w:r>
      <w:r w:rsidR="008A17BD" w:rsidRPr="00446DFA">
        <w:t>plusSpacer</w:t>
      </w:r>
      <w:r w:rsidR="008A17BD" w:rsidRPr="00446DFA">
        <w:rPr>
          <w:vertAlign w:val="subscript"/>
        </w:rPr>
        <w:t>v+t</w:t>
      </w:r>
      <w:proofErr w:type="spellEnd"/>
      <w:r w:rsidR="008A17BD" w:rsidRPr="00446DFA">
        <w:t xml:space="preserve"> </w:t>
      </w:r>
      <w:r>
        <w:t>showed a trend</w:t>
      </w:r>
      <w:r w:rsidR="008A17BD" w:rsidRPr="00446DFA">
        <w:t xml:space="preserve"> </w:t>
      </w:r>
      <w:r>
        <w:t>of</w:t>
      </w:r>
      <w:r w:rsidR="008A17BD" w:rsidRPr="00446DFA">
        <w:t xml:space="preserve"> greater </w:t>
      </w:r>
      <w:r w:rsidR="00822F6F">
        <w:t>TOB</w:t>
      </w:r>
      <w:r w:rsidR="008A17BD" w:rsidRPr="00446DFA">
        <w:t xml:space="preserve"> concentrations than </w:t>
      </w:r>
      <w:r>
        <w:t xml:space="preserve">the </w:t>
      </w:r>
      <w:proofErr w:type="spellStart"/>
      <w:r w:rsidR="008A17BD" w:rsidRPr="00446DFA">
        <w:t>Spacer</w:t>
      </w:r>
      <w:r w:rsidR="008A17BD" w:rsidRPr="00446DFA">
        <w:rPr>
          <w:vertAlign w:val="subscript"/>
        </w:rPr>
        <w:t>v+t</w:t>
      </w:r>
      <w:proofErr w:type="spellEnd"/>
      <w:r w:rsidR="008A17BD" w:rsidRPr="00316470">
        <w:rPr>
          <w:vertAlign w:val="subscript"/>
        </w:rPr>
        <w:t xml:space="preserve"> </w:t>
      </w:r>
      <w:r w:rsidRPr="00316470">
        <w:t xml:space="preserve">alone </w:t>
      </w:r>
      <w:r w:rsidR="008A17BD" w:rsidRPr="00446DFA">
        <w:t xml:space="preserve">throughout the duration of the study, </w:t>
      </w:r>
      <w:r>
        <w:t xml:space="preserve">by as much </w:t>
      </w:r>
      <w:r>
        <w:lastRenderedPageBreak/>
        <w:t>as an</w:t>
      </w:r>
      <w:r w:rsidR="008A17BD" w:rsidRPr="00446DFA">
        <w:t xml:space="preserve"> 0.77 log difference at </w:t>
      </w:r>
      <w:proofErr w:type="spellStart"/>
      <w:r w:rsidR="002F2D1E">
        <w:t>hr</w:t>
      </w:r>
      <w:r w:rsidR="008A17BD" w:rsidRPr="00446DFA">
        <w:t>s</w:t>
      </w:r>
      <w:proofErr w:type="spellEnd"/>
      <w:r w:rsidR="008A17BD" w:rsidRPr="00446DFA">
        <w:t xml:space="preserve"> 5 and 6 (Figure 4b)</w:t>
      </w:r>
      <w:r>
        <w:t xml:space="preserve">. This difference was statistically significant between 2 and 5 </w:t>
      </w:r>
      <w:proofErr w:type="spellStart"/>
      <w:r w:rsidR="002F2D1E">
        <w:t>hr</w:t>
      </w:r>
      <w:r>
        <w:t>s</w:t>
      </w:r>
      <w:proofErr w:type="spellEnd"/>
      <w:r w:rsidR="009D1A47" w:rsidRPr="009D1A47">
        <w:t xml:space="preserve"> </w:t>
      </w:r>
      <w:r w:rsidR="009D1A47" w:rsidRPr="00446DFA">
        <w:t>(P&lt;0.05</w:t>
      </w:r>
      <w:r w:rsidR="00EB7496">
        <w:t xml:space="preserve"> at all timepoints</w:t>
      </w:r>
      <w:r>
        <w:t>)</w:t>
      </w:r>
      <w:r w:rsidR="008A17BD" w:rsidRPr="00446DFA">
        <w:t>.</w:t>
      </w:r>
    </w:p>
    <w:p w14:paraId="0B6BEC1F" w14:textId="77777777" w:rsidR="002E4A63" w:rsidRPr="00446DFA" w:rsidRDefault="002E4A63" w:rsidP="00BA3143">
      <w:pPr>
        <w:pStyle w:val="MDPI52figure"/>
      </w:pPr>
      <w:r w:rsidRPr="00446DFA">
        <w:rPr>
          <w:noProof/>
        </w:rPr>
        <w:drawing>
          <wp:inline distT="0" distB="0" distL="0" distR="0" wp14:anchorId="26420194" wp14:editId="4D434DFA">
            <wp:extent cx="5326912" cy="5326912"/>
            <wp:effectExtent l="0" t="0" r="0" b="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6258" cy="5346258"/>
                    </a:xfrm>
                    <a:prstGeom prst="rect">
                      <a:avLst/>
                    </a:prstGeom>
                  </pic:spPr>
                </pic:pic>
              </a:graphicData>
            </a:graphic>
          </wp:inline>
        </w:drawing>
      </w:r>
    </w:p>
    <w:p w14:paraId="3AE91A91" w14:textId="42B39BF9" w:rsidR="002E4A63" w:rsidRPr="00446DFA" w:rsidRDefault="00BA3143" w:rsidP="00BA3143">
      <w:pPr>
        <w:pStyle w:val="MDPI51figurecaption"/>
        <w:ind w:left="425" w:right="425"/>
        <w:jc w:val="both"/>
      </w:pPr>
      <w:r w:rsidRPr="00446DFA">
        <w:rPr>
          <w:b/>
        </w:rPr>
        <w:t xml:space="preserve">Figure 4. </w:t>
      </w:r>
      <w:r w:rsidR="002E4A63" w:rsidRPr="00446DFA">
        <w:rPr>
          <w:b/>
        </w:rPr>
        <w:t xml:space="preserve">A.  </w:t>
      </w:r>
      <w:r w:rsidR="002E4A63" w:rsidRPr="00446DFA">
        <w:t>LCMS analysis of tobramycin in effluent samples from antibiotic loaded calcium sulfate beads with an antibiotic loaded PMMA spacer (</w:t>
      </w:r>
      <w:proofErr w:type="spellStart"/>
      <w:r w:rsidR="002E4A63" w:rsidRPr="00446DFA">
        <w:t>CSB</w:t>
      </w:r>
      <w:r w:rsidR="002E4A63" w:rsidRPr="00446DFA">
        <w:rPr>
          <w:vertAlign w:val="subscript"/>
        </w:rPr>
        <w:t>v+t</w:t>
      </w:r>
      <w:r w:rsidR="002E4A63" w:rsidRPr="00446DFA">
        <w:t>plusSpacer</w:t>
      </w:r>
      <w:r w:rsidR="002E4A63" w:rsidRPr="00446DFA">
        <w:rPr>
          <w:vertAlign w:val="subscript"/>
        </w:rPr>
        <w:t>v+t</w:t>
      </w:r>
      <w:proofErr w:type="spellEnd"/>
      <w:r w:rsidR="002E4A63" w:rsidRPr="00446DFA">
        <w:t>), and antibiotic loaded PMMA spacer (</w:t>
      </w:r>
      <w:proofErr w:type="spellStart"/>
      <w:r w:rsidR="002E4A63" w:rsidRPr="00446DFA">
        <w:t>Spacer</w:t>
      </w:r>
      <w:r w:rsidR="002E4A63" w:rsidRPr="00446DFA">
        <w:rPr>
          <w:vertAlign w:val="subscript"/>
        </w:rPr>
        <w:t>v+t</w:t>
      </w:r>
      <w:proofErr w:type="spellEnd"/>
      <w:r w:rsidR="002E4A63" w:rsidRPr="00446DFA">
        <w:t xml:space="preserve">). N= 6; geometric mean ± SE. The yellow curve is the influent saline flow rate. Time is shown on a log2 scale to </w:t>
      </w:r>
      <w:r w:rsidR="00EA4320" w:rsidRPr="00446DFA">
        <w:t>show the changes more clearly</w:t>
      </w:r>
      <w:r w:rsidR="002E4A63" w:rsidRPr="00446DFA">
        <w:t xml:space="preserve"> in concentration at the early time points. </w:t>
      </w:r>
      <w:r w:rsidR="002E4A63" w:rsidRPr="00446DFA">
        <w:rPr>
          <w:b/>
          <w:bCs/>
        </w:rPr>
        <w:t>B</w:t>
      </w:r>
      <w:r w:rsidR="002E4A63" w:rsidRPr="00446DFA">
        <w:t xml:space="preserve">. Log difference of tobramycin concentrations of the </w:t>
      </w:r>
      <w:proofErr w:type="spellStart"/>
      <w:r w:rsidR="002E4A63" w:rsidRPr="00446DFA">
        <w:t>CSB</w:t>
      </w:r>
      <w:r w:rsidR="002E4A63" w:rsidRPr="00446DFA">
        <w:rPr>
          <w:vertAlign w:val="subscript"/>
        </w:rPr>
        <w:t>v+t</w:t>
      </w:r>
      <w:r w:rsidR="002E4A63" w:rsidRPr="00446DFA">
        <w:t>plusSpacer</w:t>
      </w:r>
      <w:r w:rsidR="002E4A63" w:rsidRPr="00446DFA">
        <w:rPr>
          <w:vertAlign w:val="subscript"/>
        </w:rPr>
        <w:t>v+t</w:t>
      </w:r>
      <w:proofErr w:type="spellEnd"/>
      <w:r w:rsidR="002E4A63" w:rsidRPr="00446DFA">
        <w:t xml:space="preserve"> method compared to the </w:t>
      </w:r>
      <w:proofErr w:type="spellStart"/>
      <w:r w:rsidR="002E4A63" w:rsidRPr="00446DFA">
        <w:t>Spacer</w:t>
      </w:r>
      <w:r w:rsidR="002E4A63" w:rsidRPr="00446DFA">
        <w:rPr>
          <w:vertAlign w:val="subscript"/>
        </w:rPr>
        <w:t>v+t</w:t>
      </w:r>
      <w:proofErr w:type="spellEnd"/>
      <w:r w:rsidR="002E4A63" w:rsidRPr="00446DFA">
        <w:rPr>
          <w:vertAlign w:val="subscript"/>
        </w:rPr>
        <w:t xml:space="preserve"> </w:t>
      </w:r>
      <w:r w:rsidR="002E4A63" w:rsidRPr="00446DFA">
        <w:t>method. (* P&lt;0.05)</w:t>
      </w:r>
      <w:r w:rsidRPr="00446DFA">
        <w:t>.</w:t>
      </w:r>
    </w:p>
    <w:p w14:paraId="112FF981" w14:textId="2DBECE72" w:rsidR="0038425C" w:rsidRPr="0038425C" w:rsidRDefault="0038425C" w:rsidP="0038425C">
      <w:pPr>
        <w:pStyle w:val="MDPI31text"/>
        <w:ind w:left="2040" w:firstLine="510"/>
        <w:rPr>
          <w:i/>
          <w:iCs/>
        </w:rPr>
      </w:pPr>
      <w:r w:rsidRPr="0038425C">
        <w:rPr>
          <w:i/>
          <w:iCs/>
        </w:rPr>
        <w:t xml:space="preserve">2.4 </w:t>
      </w:r>
      <w:r w:rsidR="007B6A97">
        <w:rPr>
          <w:i/>
          <w:iCs/>
        </w:rPr>
        <w:t xml:space="preserve">Antibiotic </w:t>
      </w:r>
      <w:r w:rsidR="00760DDA">
        <w:rPr>
          <w:i/>
          <w:iCs/>
        </w:rPr>
        <w:t>Profile</w:t>
      </w:r>
      <w:r w:rsidR="007B6A97">
        <w:rPr>
          <w:i/>
          <w:iCs/>
        </w:rPr>
        <w:t xml:space="preserve"> </w:t>
      </w:r>
      <w:r w:rsidR="00760DDA">
        <w:rPr>
          <w:i/>
          <w:iCs/>
        </w:rPr>
        <w:t>M</w:t>
      </w:r>
      <w:r w:rsidR="00EA4320">
        <w:rPr>
          <w:i/>
          <w:iCs/>
        </w:rPr>
        <w:t>easured as</w:t>
      </w:r>
      <w:r w:rsidR="007B6A97">
        <w:rPr>
          <w:i/>
          <w:iCs/>
        </w:rPr>
        <w:t xml:space="preserve"> Area Under the Curve</w:t>
      </w:r>
      <w:r w:rsidR="00EA4320">
        <w:rPr>
          <w:i/>
          <w:iCs/>
        </w:rPr>
        <w:t xml:space="preserve"> (AUC)</w:t>
      </w:r>
    </w:p>
    <w:p w14:paraId="1EE5DA6E" w14:textId="732EE94C" w:rsidR="004B1AD3" w:rsidRPr="00446DFA" w:rsidRDefault="004B1AD3" w:rsidP="004B1AD3">
      <w:pPr>
        <w:pStyle w:val="MDPI31text"/>
      </w:pPr>
      <w:r>
        <w:t xml:space="preserve">The </w:t>
      </w:r>
      <w:proofErr w:type="spellStart"/>
      <w:r w:rsidRPr="00446DFA">
        <w:t>CSB</w:t>
      </w:r>
      <w:r w:rsidRPr="00446DFA">
        <w:rPr>
          <w:vertAlign w:val="subscript"/>
        </w:rPr>
        <w:t>v+t</w:t>
      </w:r>
      <w:r w:rsidRPr="00446DFA">
        <w:t>plusSpacer</w:t>
      </w:r>
      <w:r w:rsidRPr="00446DFA">
        <w:rPr>
          <w:vertAlign w:val="subscript"/>
        </w:rPr>
        <w:t>v+t</w:t>
      </w:r>
      <w:proofErr w:type="spellEnd"/>
      <w:r w:rsidRPr="00446DFA">
        <w:t xml:space="preserve"> achieved</w:t>
      </w:r>
      <w:r>
        <w:t xml:space="preserve"> </w:t>
      </w:r>
      <w:r w:rsidRPr="00446DFA">
        <w:t xml:space="preserve">greater antibiotic </w:t>
      </w:r>
      <w:r>
        <w:t>AUC</w:t>
      </w:r>
      <w:r w:rsidRPr="00446DFA">
        <w:t xml:space="preserve"> of TOB at </w:t>
      </w:r>
      <w:r>
        <w:t xml:space="preserve">all time points and was significantly greater at 12 and 24 </w:t>
      </w:r>
      <w:proofErr w:type="spellStart"/>
      <w:r>
        <w:t>hr</w:t>
      </w:r>
      <w:proofErr w:type="spellEnd"/>
      <w:r w:rsidRPr="00446DFA">
        <w:t xml:space="preserve"> compared to </w:t>
      </w:r>
      <w:r>
        <w:t xml:space="preserve">the </w:t>
      </w:r>
      <w:proofErr w:type="spellStart"/>
      <w:r w:rsidRPr="00446DFA">
        <w:t>Spacer</w:t>
      </w:r>
      <w:r w:rsidRPr="00446DFA">
        <w:rPr>
          <w:vertAlign w:val="subscript"/>
        </w:rPr>
        <w:t>v+t</w:t>
      </w:r>
      <w:proofErr w:type="spellEnd"/>
      <w:r w:rsidRPr="00446DFA">
        <w:t xml:space="preserve"> </w:t>
      </w:r>
      <w:r>
        <w:t xml:space="preserve">alone </w:t>
      </w:r>
      <w:r w:rsidRPr="00446DFA">
        <w:t>(P</w:t>
      </w:r>
      <w:r w:rsidR="00EA30CB">
        <w:t>=0.00073 and 0.0071 respectively</w:t>
      </w:r>
      <w:r w:rsidRPr="00446DFA">
        <w:t xml:space="preserve">) (Figure 5). </w:t>
      </w:r>
      <w:r>
        <w:t>For VAN</w:t>
      </w:r>
      <w:r w:rsidR="00EA30CB">
        <w:t>,</w:t>
      </w:r>
      <w:r>
        <w:t xml:space="preserve"> </w:t>
      </w:r>
      <w:r w:rsidRPr="00446DFA">
        <w:t xml:space="preserve">the greatest </w:t>
      </w:r>
      <w:r>
        <w:t>AUC</w:t>
      </w:r>
      <w:r w:rsidRPr="00446DFA">
        <w:t xml:space="preserve"> </w:t>
      </w:r>
      <w:r>
        <w:t xml:space="preserve">at 2hr </w:t>
      </w:r>
      <w:r w:rsidR="00EA30CB">
        <w:t xml:space="preserve">was </w:t>
      </w:r>
      <w:r>
        <w:t xml:space="preserve">by VP but the difference was not statistically significant (P&lt;0.05). </w:t>
      </w:r>
      <w:proofErr w:type="gramStart"/>
      <w:r>
        <w:t>However</w:t>
      </w:r>
      <w:proofErr w:type="gramEnd"/>
      <w:r>
        <w:t xml:space="preserve"> there was a steady increase in AUC achieved by the </w:t>
      </w:r>
      <w:proofErr w:type="spellStart"/>
      <w:r w:rsidRPr="00446DFA">
        <w:t>Spacer</w:t>
      </w:r>
      <w:r w:rsidRPr="00446DFA">
        <w:rPr>
          <w:vertAlign w:val="subscript"/>
        </w:rPr>
        <w:t>v+t</w:t>
      </w:r>
      <w:proofErr w:type="spellEnd"/>
      <w:r w:rsidRPr="00446DFA">
        <w:t xml:space="preserve"> and </w:t>
      </w:r>
      <w:r>
        <w:t xml:space="preserve">the </w:t>
      </w:r>
      <w:proofErr w:type="spellStart"/>
      <w:r w:rsidRPr="00446DFA">
        <w:t>CSB</w:t>
      </w:r>
      <w:r w:rsidRPr="00446DFA">
        <w:rPr>
          <w:vertAlign w:val="subscript"/>
        </w:rPr>
        <w:t>v+t</w:t>
      </w:r>
      <w:r w:rsidRPr="00446DFA">
        <w:t>plusSpacer</w:t>
      </w:r>
      <w:r w:rsidRPr="00446DFA">
        <w:rPr>
          <w:vertAlign w:val="subscript"/>
        </w:rPr>
        <w:t>v+t</w:t>
      </w:r>
      <w:proofErr w:type="spellEnd"/>
      <w:r w:rsidRPr="00446DFA">
        <w:rPr>
          <w:vertAlign w:val="subscript"/>
        </w:rPr>
        <w:t xml:space="preserve"> </w:t>
      </w:r>
      <w:r>
        <w:t xml:space="preserve">which became greater (but not statistically P&gt;0.05) than that of the VP at 12 hr. The rate of increase in AUC achieved by the </w:t>
      </w:r>
      <w:proofErr w:type="spellStart"/>
      <w:r w:rsidRPr="00446DFA">
        <w:t>CSB</w:t>
      </w:r>
      <w:r w:rsidRPr="00446DFA">
        <w:rPr>
          <w:vertAlign w:val="subscript"/>
        </w:rPr>
        <w:t>v+t</w:t>
      </w:r>
      <w:r w:rsidRPr="00446DFA">
        <w:t>plusSpacer</w:t>
      </w:r>
      <w:r w:rsidRPr="00446DFA">
        <w:rPr>
          <w:vertAlign w:val="subscript"/>
        </w:rPr>
        <w:t>v+t</w:t>
      </w:r>
      <w:proofErr w:type="spellEnd"/>
      <w:r w:rsidRPr="00446DFA">
        <w:t xml:space="preserve"> </w:t>
      </w:r>
      <w:r>
        <w:t xml:space="preserve">was </w:t>
      </w:r>
      <w:r w:rsidRPr="00446DFA">
        <w:t xml:space="preserve">greater </w:t>
      </w:r>
      <w:r>
        <w:t xml:space="preserve">than the </w:t>
      </w:r>
      <w:proofErr w:type="spellStart"/>
      <w:r w:rsidRPr="00446DFA">
        <w:t>Spacer</w:t>
      </w:r>
      <w:r w:rsidRPr="00446DFA">
        <w:rPr>
          <w:vertAlign w:val="subscript"/>
        </w:rPr>
        <w:t>v+t</w:t>
      </w:r>
      <w:proofErr w:type="spellEnd"/>
      <w:r w:rsidRPr="00316470">
        <w:t xml:space="preserve"> alone</w:t>
      </w:r>
      <w:r>
        <w:t xml:space="preserve"> which was significantly greater (P&lt;0.05) at all time points</w:t>
      </w:r>
      <w:r w:rsidRPr="00446DFA">
        <w:t xml:space="preserve">. </w:t>
      </w:r>
    </w:p>
    <w:p w14:paraId="22762D83" w14:textId="16715ECB" w:rsidR="002E4A63" w:rsidRPr="00446DFA" w:rsidRDefault="002E4A63" w:rsidP="00BA3143">
      <w:pPr>
        <w:pStyle w:val="MDPI31text"/>
      </w:pPr>
      <w:r w:rsidRPr="00446DFA">
        <w:t xml:space="preserve"> </w:t>
      </w:r>
    </w:p>
    <w:p w14:paraId="4F2D43B7" w14:textId="164E5D47" w:rsidR="00F07A68" w:rsidRPr="00446DFA" w:rsidRDefault="00F07A68" w:rsidP="00BA3143">
      <w:pPr>
        <w:pStyle w:val="MDPI52figure"/>
      </w:pPr>
      <w:r w:rsidRPr="00446DFA">
        <w:lastRenderedPageBreak/>
        <w:t xml:space="preserve"> </w:t>
      </w:r>
      <w:r w:rsidR="004F1B42">
        <w:rPr>
          <w:noProof/>
          <w:snapToGrid/>
        </w:rPr>
        <w:drawing>
          <wp:inline distT="0" distB="0" distL="0" distR="0" wp14:anchorId="296E3327" wp14:editId="58A7F967">
            <wp:extent cx="6015590" cy="3674533"/>
            <wp:effectExtent l="0" t="0" r="4445"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1425" cy="3678097"/>
                    </a:xfrm>
                    <a:prstGeom prst="rect">
                      <a:avLst/>
                    </a:prstGeom>
                  </pic:spPr>
                </pic:pic>
              </a:graphicData>
            </a:graphic>
          </wp:inline>
        </w:drawing>
      </w:r>
    </w:p>
    <w:p w14:paraId="2ABCB646" w14:textId="43D7F12C" w:rsidR="002E4A63" w:rsidRPr="00446DFA" w:rsidRDefault="00BA3143" w:rsidP="00BA3143">
      <w:pPr>
        <w:pStyle w:val="MDPI51figurecaption"/>
        <w:ind w:left="425" w:right="425"/>
        <w:jc w:val="both"/>
      </w:pPr>
      <w:r w:rsidRPr="00446DFA">
        <w:rPr>
          <w:b/>
          <w:bCs/>
        </w:rPr>
        <w:t xml:space="preserve">Figure 5. </w:t>
      </w:r>
      <w:r w:rsidR="00F07A68" w:rsidRPr="00446DFA">
        <w:t xml:space="preserve">Tobramycin and vancomycin exposure via antibiotic administration methods to the system at 2, 12, 24 and 48 </w:t>
      </w:r>
      <w:proofErr w:type="gramStart"/>
      <w:r w:rsidR="002F2D1E">
        <w:t>hr</w:t>
      </w:r>
      <w:r w:rsidR="002F2D1E" w:rsidRPr="00446DFA">
        <w:t>s.</w:t>
      </w:r>
      <w:r w:rsidR="00F07A68" w:rsidRPr="00446DFA">
        <w:t xml:space="preserve"> </w:t>
      </w:r>
      <w:r w:rsidR="004B1AD3" w:rsidRPr="00446DFA">
        <w:t>.</w:t>
      </w:r>
      <w:proofErr w:type="gramEnd"/>
      <w:r w:rsidR="004B1AD3" w:rsidRPr="00446DFA">
        <w:t xml:space="preserve"> </w:t>
      </w:r>
      <w:r w:rsidR="004B1AD3" w:rsidRPr="00031B85">
        <w:t xml:space="preserve">N= 4 replicates for </w:t>
      </w:r>
      <w:proofErr w:type="spellStart"/>
      <w:r w:rsidR="004B1AD3" w:rsidRPr="00031B85">
        <w:t>Spacerv+t</w:t>
      </w:r>
      <w:proofErr w:type="spellEnd"/>
      <w:r w:rsidR="004B1AD3" w:rsidRPr="00031B85">
        <w:t xml:space="preserve"> and </w:t>
      </w:r>
      <w:proofErr w:type="spellStart"/>
      <w:r w:rsidR="004B1AD3" w:rsidRPr="00031B85">
        <w:t>CSBv+tplusSpacerv+t</w:t>
      </w:r>
      <w:proofErr w:type="spellEnd"/>
      <w:r w:rsidR="004B1AD3" w:rsidRPr="00031B85">
        <w:t xml:space="preserve"> and 3 for VP; </w:t>
      </w:r>
      <w:r w:rsidR="004B1AD3">
        <w:t xml:space="preserve">geometric </w:t>
      </w:r>
      <w:r w:rsidR="004B1AD3" w:rsidRPr="00031B85">
        <w:t xml:space="preserve">mean ± </w:t>
      </w:r>
      <w:r w:rsidR="004B1AD3">
        <w:t>1</w:t>
      </w:r>
      <w:r w:rsidR="004B1AD3" w:rsidRPr="00031B85">
        <w:t>S</w:t>
      </w:r>
      <w:r w:rsidR="004B1AD3">
        <w:t>E</w:t>
      </w:r>
      <w:r w:rsidR="004B1AD3" w:rsidRPr="00446DFA">
        <w:t>. (* P&lt;0.05, ** P&lt;0.01, *** P&lt;0.001).</w:t>
      </w:r>
    </w:p>
    <w:p w14:paraId="24A96CB1" w14:textId="4E4BF6E1" w:rsidR="002E4A63" w:rsidRPr="00446DFA" w:rsidRDefault="00BA3143" w:rsidP="00BA3143">
      <w:pPr>
        <w:pStyle w:val="MDPI22heading2"/>
        <w:spacing w:before="240"/>
      </w:pPr>
      <w:r w:rsidRPr="00446DFA">
        <w:t>2.</w:t>
      </w:r>
      <w:r w:rsidR="0038425C">
        <w:t>5</w:t>
      </w:r>
      <w:r w:rsidRPr="00446DFA">
        <w:t xml:space="preserve"> </w:t>
      </w:r>
      <w:r w:rsidR="002E4A63" w:rsidRPr="00446DFA">
        <w:t>Zone of Inhibition (ZOI)</w:t>
      </w:r>
    </w:p>
    <w:p w14:paraId="4DF1DF31" w14:textId="4B0DD83A" w:rsidR="00E91178" w:rsidRDefault="002E4A63" w:rsidP="00E91178">
      <w:pPr>
        <w:pStyle w:val="MDPI31text"/>
      </w:pPr>
      <w:r w:rsidRPr="00446DFA">
        <w:t xml:space="preserve">Generally, the ZOI data was complementary to the LCMS data. Data was reported on a Log2 scale to clearly show potency at time points where samples were taken </w:t>
      </w:r>
      <w:proofErr w:type="gramStart"/>
      <w:r w:rsidRPr="00446DFA">
        <w:t>fr</w:t>
      </w:r>
      <w:r w:rsidR="00654B43">
        <w:t>e</w:t>
      </w:r>
      <w:r w:rsidRPr="00446DFA">
        <w:t>quently</w:t>
      </w:r>
      <w:proofErr w:type="gramEnd"/>
      <w:r w:rsidRPr="00446DFA">
        <w:t xml:space="preserve"> and drainage rates were rapidly changing. V</w:t>
      </w:r>
      <w:r w:rsidR="00822F6F">
        <w:t>AN</w:t>
      </w:r>
      <w:r w:rsidRPr="00446DFA">
        <w:t xml:space="preserve"> and </w:t>
      </w:r>
      <w:r w:rsidR="00822F6F">
        <w:t>TOB</w:t>
      </w:r>
      <w:r w:rsidRPr="00446DFA">
        <w:t xml:space="preserve"> potency against </w:t>
      </w:r>
      <w:r w:rsidRPr="00446DFA">
        <w:rPr>
          <w:i/>
          <w:iCs/>
        </w:rPr>
        <w:t>S. aureus</w:t>
      </w:r>
      <w:r w:rsidRPr="00446DFA">
        <w:t xml:space="preserve"> UAMS-1 (Figure </w:t>
      </w:r>
      <w:r w:rsidR="0079756F" w:rsidRPr="00446DFA">
        <w:t>6</w:t>
      </w:r>
      <w:r w:rsidR="00AF1F79" w:rsidRPr="00446DFA">
        <w:t>a</w:t>
      </w:r>
      <w:r w:rsidRPr="00446DFA">
        <w:t xml:space="preserve">) and </w:t>
      </w:r>
      <w:r w:rsidRPr="00446DFA">
        <w:rPr>
          <w:i/>
          <w:iCs/>
        </w:rPr>
        <w:t>P. aeruginosa</w:t>
      </w:r>
      <w:r w:rsidRPr="00446DFA">
        <w:t xml:space="preserve"> PAO1 (Figure </w:t>
      </w:r>
      <w:r w:rsidR="0079756F" w:rsidRPr="00446DFA">
        <w:t>6</w:t>
      </w:r>
      <w:r w:rsidR="00AF1F79" w:rsidRPr="00446DFA">
        <w:t>b</w:t>
      </w:r>
      <w:r w:rsidRPr="00446DFA">
        <w:t xml:space="preserve">) respectively was quantified as ZOI and reported as mean with SE bars. </w:t>
      </w:r>
    </w:p>
    <w:p w14:paraId="5CECD640" w14:textId="31C76F76" w:rsidR="00E91178" w:rsidRPr="00446DFA" w:rsidRDefault="00E91178" w:rsidP="00E91178">
      <w:pPr>
        <w:pStyle w:val="MDPI31text"/>
      </w:pPr>
      <w:r w:rsidRPr="00446DFA">
        <w:t xml:space="preserve">Against </w:t>
      </w:r>
      <w:r w:rsidRPr="00446DFA">
        <w:rPr>
          <w:i/>
        </w:rPr>
        <w:t>S. aureus</w:t>
      </w:r>
      <w:r w:rsidRPr="00446DFA">
        <w:t xml:space="preserve"> UAMS-1, VP </w:t>
      </w:r>
      <w:r w:rsidR="002F2D1E">
        <w:t xml:space="preserve">effluent </w:t>
      </w:r>
      <w:r w:rsidRPr="00446DFA">
        <w:t xml:space="preserve">had the greatest potency </w:t>
      </w:r>
      <w:r w:rsidR="00822F6F" w:rsidRPr="00446DFA">
        <w:t xml:space="preserve">compared to </w:t>
      </w:r>
      <w:r w:rsidR="002F2D1E">
        <w:t xml:space="preserve">the </w:t>
      </w:r>
      <w:proofErr w:type="spellStart"/>
      <w:r w:rsidR="00822F6F" w:rsidRPr="00446DFA">
        <w:t>Spacer</w:t>
      </w:r>
      <w:r w:rsidR="00822F6F" w:rsidRPr="00446DFA">
        <w:rPr>
          <w:vertAlign w:val="subscript"/>
        </w:rPr>
        <w:t>v+t</w:t>
      </w:r>
      <w:proofErr w:type="spellEnd"/>
      <w:r w:rsidR="00822F6F" w:rsidRPr="00446DFA">
        <w:t xml:space="preserve"> </w:t>
      </w:r>
      <w:r w:rsidR="00822F6F">
        <w:t>(P&lt;0.05</w:t>
      </w:r>
      <w:r w:rsidR="00717DE7">
        <w:t xml:space="preserve"> at all timepoints</w:t>
      </w:r>
      <w:r w:rsidR="00822F6F">
        <w:t>) and</w:t>
      </w:r>
      <w:r w:rsidR="002F2D1E">
        <w:t xml:space="preserve"> the</w:t>
      </w:r>
      <w:r w:rsidR="00822F6F">
        <w:t xml:space="preserve"> </w:t>
      </w:r>
      <w:proofErr w:type="spellStart"/>
      <w:r w:rsidR="00822F6F" w:rsidRPr="00446DFA">
        <w:t>CSB</w:t>
      </w:r>
      <w:r w:rsidR="00822F6F" w:rsidRPr="00446DFA">
        <w:rPr>
          <w:vertAlign w:val="subscript"/>
        </w:rPr>
        <w:t>v+t</w:t>
      </w:r>
      <w:r w:rsidR="00822F6F" w:rsidRPr="00446DFA">
        <w:t>plusSpacer</w:t>
      </w:r>
      <w:r w:rsidR="00822F6F" w:rsidRPr="00446DFA">
        <w:rPr>
          <w:vertAlign w:val="subscript"/>
        </w:rPr>
        <w:t>v+t</w:t>
      </w:r>
      <w:proofErr w:type="spellEnd"/>
      <w:r w:rsidR="00822F6F" w:rsidRPr="00446DFA">
        <w:rPr>
          <w:vertAlign w:val="subscript"/>
        </w:rPr>
        <w:t xml:space="preserve"> </w:t>
      </w:r>
      <w:r w:rsidRPr="00446DFA">
        <w:t xml:space="preserve">for the first 20 min of operation. </w:t>
      </w:r>
      <w:r w:rsidR="00822F6F">
        <w:t xml:space="preserve">However, </w:t>
      </w:r>
      <w:r w:rsidRPr="00446DFA">
        <w:t xml:space="preserve">after 2 </w:t>
      </w:r>
      <w:proofErr w:type="spellStart"/>
      <w:r w:rsidRPr="00446DFA">
        <w:t>hrs</w:t>
      </w:r>
      <w:proofErr w:type="spellEnd"/>
      <w:r w:rsidRPr="00446DFA">
        <w:t xml:space="preserve"> of initiating flow rates, </w:t>
      </w:r>
      <w:r w:rsidR="00822F6F" w:rsidRPr="00446DFA">
        <w:t xml:space="preserve">VP lost all potency </w:t>
      </w:r>
      <w:r w:rsidRPr="00446DFA">
        <w:t xml:space="preserve">(Figure 6a). </w:t>
      </w:r>
      <w:r>
        <w:t xml:space="preserve">Similarly, </w:t>
      </w:r>
      <w:r w:rsidR="002F2D1E">
        <w:t xml:space="preserve">the </w:t>
      </w:r>
      <w:proofErr w:type="spellStart"/>
      <w:r w:rsidRPr="00446DFA">
        <w:t>Spacer</w:t>
      </w:r>
      <w:r w:rsidRPr="00446DFA">
        <w:rPr>
          <w:vertAlign w:val="subscript"/>
        </w:rPr>
        <w:t>v+t</w:t>
      </w:r>
      <w:proofErr w:type="spellEnd"/>
      <w:r w:rsidRPr="00446DFA">
        <w:t xml:space="preserve"> </w:t>
      </w:r>
      <w:r w:rsidR="002F2D1E">
        <w:t>effluent showed</w:t>
      </w:r>
      <w:r w:rsidRPr="00446DFA">
        <w:t xml:space="preserve"> poten</w:t>
      </w:r>
      <w:r w:rsidR="002F2D1E">
        <w:t>cy</w:t>
      </w:r>
      <w:r w:rsidRPr="00446DFA">
        <w:t xml:space="preserve"> for the first 30 min, </w:t>
      </w:r>
      <w:r w:rsidR="00CE78EC">
        <w:t xml:space="preserve">then </w:t>
      </w:r>
      <w:r w:rsidRPr="00446DFA">
        <w:t xml:space="preserve">lost all potency after 2 </w:t>
      </w:r>
      <w:proofErr w:type="spellStart"/>
      <w:r w:rsidRPr="00446DFA">
        <w:t>hrs</w:t>
      </w:r>
      <w:proofErr w:type="spellEnd"/>
      <w:r w:rsidR="00822F6F">
        <w:t>,</w:t>
      </w:r>
      <w:r>
        <w:t xml:space="preserve"> however,</w:t>
      </w:r>
      <w:r w:rsidRPr="00446DFA">
        <w:t xml:space="preserve"> potency</w:t>
      </w:r>
      <w:r w:rsidR="002F2D1E">
        <w:t xml:space="preserve"> was regained </w:t>
      </w:r>
      <w:r w:rsidR="00822F6F">
        <w:t>a</w:t>
      </w:r>
      <w:r w:rsidR="00822F6F" w:rsidRPr="00446DFA">
        <w:t xml:space="preserve">t 12 </w:t>
      </w:r>
      <w:proofErr w:type="spellStart"/>
      <w:r w:rsidR="00822F6F" w:rsidRPr="00446DFA">
        <w:t>hrs</w:t>
      </w:r>
      <w:proofErr w:type="spellEnd"/>
      <w:r w:rsidR="002F2D1E">
        <w:t xml:space="preserve"> as evidenced by a ZOI</w:t>
      </w:r>
      <w:r w:rsidRPr="00446DFA">
        <w:t xml:space="preserve">. </w:t>
      </w:r>
      <w:r w:rsidR="002F2D1E">
        <w:t xml:space="preserve">The </w:t>
      </w:r>
      <w:proofErr w:type="spellStart"/>
      <w:r w:rsidRPr="00446DFA">
        <w:t>CSB</w:t>
      </w:r>
      <w:r w:rsidRPr="00446DFA">
        <w:rPr>
          <w:vertAlign w:val="subscript"/>
        </w:rPr>
        <w:t>v+t</w:t>
      </w:r>
      <w:r w:rsidRPr="00446DFA">
        <w:t>plusSpacer</w:t>
      </w:r>
      <w:r w:rsidRPr="00446DFA">
        <w:rPr>
          <w:vertAlign w:val="subscript"/>
        </w:rPr>
        <w:t>v+t</w:t>
      </w:r>
      <w:proofErr w:type="spellEnd"/>
      <w:r w:rsidRPr="00446DFA">
        <w:t xml:space="preserve"> maintained a relatively uniform potency </w:t>
      </w:r>
      <w:r w:rsidR="002F2D1E">
        <w:t xml:space="preserve">creating </w:t>
      </w:r>
      <w:r w:rsidRPr="00446DFA">
        <w:t xml:space="preserve">a consistently </w:t>
      </w:r>
      <w:r w:rsidR="002F2D1E">
        <w:t>greater ZOI</w:t>
      </w:r>
      <w:r w:rsidRPr="00446DFA">
        <w:t xml:space="preserve"> than </w:t>
      </w:r>
      <w:r w:rsidR="002F2D1E">
        <w:t xml:space="preserve">effluent from the </w:t>
      </w:r>
      <w:proofErr w:type="spellStart"/>
      <w:r w:rsidRPr="00446DFA">
        <w:t>Spacer</w:t>
      </w:r>
      <w:r w:rsidRPr="00446DFA">
        <w:rPr>
          <w:vertAlign w:val="subscript"/>
        </w:rPr>
        <w:t>v+t</w:t>
      </w:r>
      <w:proofErr w:type="spellEnd"/>
      <w:r w:rsidR="002F2D1E">
        <w:t xml:space="preserve"> </w:t>
      </w:r>
      <w:proofErr w:type="gramStart"/>
      <w:r w:rsidR="002F2D1E">
        <w:t>alone</w:t>
      </w:r>
      <w:r w:rsidR="00CE78EC">
        <w:t>,</w:t>
      </w:r>
      <w:r>
        <w:t xml:space="preserve"> </w:t>
      </w:r>
      <w:r w:rsidR="002F2D1E">
        <w:t>and</w:t>
      </w:r>
      <w:proofErr w:type="gramEnd"/>
      <w:r w:rsidR="002F2D1E">
        <w:t xml:space="preserve"> was</w:t>
      </w:r>
      <w:r>
        <w:t xml:space="preserve"> </w:t>
      </w:r>
      <w:r w:rsidR="002F2D1E">
        <w:t xml:space="preserve">statistically </w:t>
      </w:r>
      <w:r w:rsidRPr="00446DFA">
        <w:t xml:space="preserve">greater from the 40 min timepoint until the 24 </w:t>
      </w:r>
      <w:proofErr w:type="spellStart"/>
      <w:r w:rsidRPr="00446DFA">
        <w:t>hr</w:t>
      </w:r>
      <w:proofErr w:type="spellEnd"/>
      <w:r w:rsidRPr="00446DFA">
        <w:t xml:space="preserve"> </w:t>
      </w:r>
      <w:r w:rsidRPr="00717DE7">
        <w:t>timepoint (</w:t>
      </w:r>
      <w:r w:rsidRPr="00316470">
        <w:t>P&lt;0.05</w:t>
      </w:r>
      <w:r w:rsidR="006C2775" w:rsidRPr="00316470">
        <w:t xml:space="preserve"> at all timepoints</w:t>
      </w:r>
      <w:r w:rsidR="002F2D1E">
        <w:t xml:space="preserve"> in this period</w:t>
      </w:r>
      <w:r w:rsidRPr="00316470">
        <w:t>).</w:t>
      </w:r>
    </w:p>
    <w:p w14:paraId="12BB888D" w14:textId="72FED6A9" w:rsidR="002E4A63" w:rsidRPr="00446DFA" w:rsidRDefault="00E91178" w:rsidP="001938DC">
      <w:pPr>
        <w:pStyle w:val="MDPI31text"/>
      </w:pPr>
      <w:r w:rsidRPr="00446DFA">
        <w:t xml:space="preserve">Against </w:t>
      </w:r>
      <w:r w:rsidRPr="00446DFA">
        <w:rPr>
          <w:i/>
        </w:rPr>
        <w:t>P. aeruginosa</w:t>
      </w:r>
      <w:r w:rsidRPr="00446DFA">
        <w:t xml:space="preserve"> PAO1, potency patterns demonstrated a similar trend to </w:t>
      </w:r>
      <w:r w:rsidRPr="00446DFA">
        <w:rPr>
          <w:i/>
        </w:rPr>
        <w:t>S. aureus</w:t>
      </w:r>
      <w:r w:rsidRPr="00446DFA">
        <w:t xml:space="preserve"> (Figure 6b). </w:t>
      </w:r>
      <w:r w:rsidR="002F2D1E">
        <w:t xml:space="preserve">The </w:t>
      </w:r>
      <w:proofErr w:type="spellStart"/>
      <w:r w:rsidRPr="00446DFA">
        <w:t>Spacer</w:t>
      </w:r>
      <w:r w:rsidRPr="00446DFA">
        <w:rPr>
          <w:vertAlign w:val="subscript"/>
        </w:rPr>
        <w:t>v+t</w:t>
      </w:r>
      <w:proofErr w:type="spellEnd"/>
      <w:r w:rsidRPr="00446DFA">
        <w:t xml:space="preserve"> </w:t>
      </w:r>
      <w:r w:rsidR="002F2D1E">
        <w:t>demonstrated</w:t>
      </w:r>
      <w:r w:rsidRPr="00446DFA">
        <w:t xml:space="preserve"> poten</w:t>
      </w:r>
      <w:r w:rsidR="0095124C">
        <w:t>cy</w:t>
      </w:r>
      <w:r w:rsidRPr="00446DFA">
        <w:t xml:space="preserve"> for the first 45 min before losing all potency, and subsequently </w:t>
      </w:r>
      <w:r w:rsidR="002F2D1E">
        <w:t>regained</w:t>
      </w:r>
      <w:r w:rsidRPr="00446DFA">
        <w:t xml:space="preserve"> potency at 24 hrs. Initially, </w:t>
      </w:r>
      <w:r w:rsidR="002F2D1E">
        <w:t xml:space="preserve">the </w:t>
      </w:r>
      <w:proofErr w:type="spellStart"/>
      <w:r w:rsidRPr="00446DFA">
        <w:t>CSB</w:t>
      </w:r>
      <w:r w:rsidRPr="00446DFA">
        <w:rPr>
          <w:vertAlign w:val="subscript"/>
        </w:rPr>
        <w:t>v+t</w:t>
      </w:r>
      <w:r w:rsidRPr="00446DFA">
        <w:t>plusSpacer</w:t>
      </w:r>
      <w:r w:rsidRPr="00446DFA">
        <w:rPr>
          <w:vertAlign w:val="subscript"/>
        </w:rPr>
        <w:t>v+t</w:t>
      </w:r>
      <w:proofErr w:type="spellEnd"/>
      <w:r w:rsidRPr="00446DFA">
        <w:t xml:space="preserve"> demonstrated high potency levels which slowly decreased over the course of 2 hrs. After 2 </w:t>
      </w:r>
      <w:proofErr w:type="spellStart"/>
      <w:r w:rsidRPr="00446DFA">
        <w:t>hrs</w:t>
      </w:r>
      <w:proofErr w:type="spellEnd"/>
      <w:r w:rsidRPr="00446DFA">
        <w:t xml:space="preserve">, that degree of potency was relatively </w:t>
      </w:r>
      <w:r w:rsidR="002F2D1E">
        <w:t>constant</w:t>
      </w:r>
      <w:r w:rsidRPr="00446DFA">
        <w:t xml:space="preserve"> for the remainder of the study. </w:t>
      </w:r>
      <w:r w:rsidR="002F2D1E">
        <w:t xml:space="preserve">The </w:t>
      </w:r>
      <w:proofErr w:type="spellStart"/>
      <w:r w:rsidRPr="00446DFA">
        <w:t>CSB</w:t>
      </w:r>
      <w:r w:rsidRPr="00446DFA">
        <w:rPr>
          <w:vertAlign w:val="subscript"/>
        </w:rPr>
        <w:t>v+t</w:t>
      </w:r>
      <w:r w:rsidRPr="00446DFA">
        <w:t>plusSpacer</w:t>
      </w:r>
      <w:r w:rsidRPr="00446DFA">
        <w:rPr>
          <w:vertAlign w:val="subscript"/>
        </w:rPr>
        <w:t>v+t</w:t>
      </w:r>
      <w:proofErr w:type="spellEnd"/>
      <w:r w:rsidRPr="00446DFA">
        <w:rPr>
          <w:vertAlign w:val="subscript"/>
        </w:rPr>
        <w:t xml:space="preserve"> </w:t>
      </w:r>
      <w:r w:rsidR="002F2D1E" w:rsidRPr="00316470">
        <w:t xml:space="preserve">effluent </w:t>
      </w:r>
      <w:r w:rsidR="002F2D1E">
        <w:t>generated a statistically</w:t>
      </w:r>
      <w:r w:rsidRPr="00446DFA">
        <w:t xml:space="preserve"> greater </w:t>
      </w:r>
      <w:r w:rsidR="002F2D1E">
        <w:t>ZOI</w:t>
      </w:r>
      <w:r w:rsidRPr="00446DFA">
        <w:t xml:space="preserve"> than </w:t>
      </w:r>
      <w:r w:rsidR="002F2D1E">
        <w:t xml:space="preserve">the </w:t>
      </w:r>
      <w:proofErr w:type="spellStart"/>
      <w:r w:rsidRPr="00446DFA">
        <w:t>Spacer</w:t>
      </w:r>
      <w:r w:rsidRPr="00446DFA">
        <w:rPr>
          <w:vertAlign w:val="subscript"/>
        </w:rPr>
        <w:t>v+t</w:t>
      </w:r>
      <w:proofErr w:type="spellEnd"/>
      <w:r w:rsidRPr="00446DFA">
        <w:t xml:space="preserve"> </w:t>
      </w:r>
      <w:r w:rsidR="002F2D1E">
        <w:t xml:space="preserve">alone </w:t>
      </w:r>
      <w:r w:rsidRPr="00446DFA">
        <w:t>for all timepoints except at 20 min (P&lt;0.05</w:t>
      </w:r>
      <w:r w:rsidR="00E462E6">
        <w:t xml:space="preserve"> at all </w:t>
      </w:r>
      <w:r w:rsidR="002F2D1E">
        <w:t xml:space="preserve">other </w:t>
      </w:r>
      <w:r w:rsidR="00E462E6">
        <w:t>timepoints</w:t>
      </w:r>
      <w:r w:rsidRPr="00446DFA">
        <w:t xml:space="preserve">). </w:t>
      </w:r>
    </w:p>
    <w:p w14:paraId="3F723492" w14:textId="77777777" w:rsidR="002E4A63" w:rsidRPr="00446DFA" w:rsidRDefault="002E4A63" w:rsidP="00BA3143">
      <w:pPr>
        <w:pStyle w:val="MDPI52figure"/>
      </w:pPr>
      <w:r w:rsidRPr="00446DFA">
        <w:rPr>
          <w:noProof/>
        </w:rPr>
        <w:lastRenderedPageBreak/>
        <w:drawing>
          <wp:inline distT="0" distB="0" distL="0" distR="0" wp14:anchorId="4AD1AD64" wp14:editId="68F5BCCD">
            <wp:extent cx="5560828" cy="5560828"/>
            <wp:effectExtent l="0" t="0" r="1905" b="1905"/>
            <wp:docPr id="20" name="Picture 20"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 histo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72582" cy="5572582"/>
                    </a:xfrm>
                    <a:prstGeom prst="rect">
                      <a:avLst/>
                    </a:prstGeom>
                  </pic:spPr>
                </pic:pic>
              </a:graphicData>
            </a:graphic>
          </wp:inline>
        </w:drawing>
      </w:r>
    </w:p>
    <w:p w14:paraId="090B7B3F" w14:textId="6563F339" w:rsidR="002E4A63" w:rsidRPr="00446DFA" w:rsidRDefault="00BA3143" w:rsidP="00BA3143">
      <w:pPr>
        <w:pStyle w:val="MDPI51figurecaption"/>
        <w:ind w:left="425" w:right="425"/>
        <w:jc w:val="both"/>
      </w:pPr>
      <w:r w:rsidRPr="00446DFA">
        <w:rPr>
          <w:b/>
        </w:rPr>
        <w:t xml:space="preserve">Figure 6. </w:t>
      </w:r>
      <w:r w:rsidR="002E4A63" w:rsidRPr="00446DFA">
        <w:rPr>
          <w:b/>
        </w:rPr>
        <w:t xml:space="preserve">A. </w:t>
      </w:r>
      <w:r w:rsidR="002F2D1E" w:rsidRPr="00D5530B">
        <w:rPr>
          <w:bCs/>
        </w:rPr>
        <w:t xml:space="preserve">Potency of </w:t>
      </w:r>
      <w:r w:rsidR="002F2D1E">
        <w:rPr>
          <w:bCs/>
        </w:rPr>
        <w:t>drain</w:t>
      </w:r>
      <w:r w:rsidR="00F356F2">
        <w:rPr>
          <w:bCs/>
        </w:rPr>
        <w:t xml:space="preserve">age </w:t>
      </w:r>
      <w:r w:rsidR="002F2D1E" w:rsidRPr="00D5530B">
        <w:rPr>
          <w:bCs/>
        </w:rPr>
        <w:t xml:space="preserve">effluent </w:t>
      </w:r>
      <w:r w:rsidR="00F356F2">
        <w:rPr>
          <w:bCs/>
        </w:rPr>
        <w:t xml:space="preserve">from the reactor measured as the </w:t>
      </w:r>
      <w:r w:rsidR="002E4A63" w:rsidRPr="00446DFA">
        <w:t xml:space="preserve">ZOI of effluent against </w:t>
      </w:r>
      <w:r w:rsidR="002E4A63" w:rsidRPr="00446DFA">
        <w:rPr>
          <w:i/>
        </w:rPr>
        <w:t>S. aureus</w:t>
      </w:r>
      <w:r w:rsidR="002E4A63" w:rsidRPr="00446DFA">
        <w:t xml:space="preserve"> UAMS-1 reported on a Log2 scale for 48 </w:t>
      </w:r>
      <w:proofErr w:type="spellStart"/>
      <w:r w:rsidR="002F2D1E">
        <w:t>hr</w:t>
      </w:r>
      <w:r w:rsidR="002E4A63" w:rsidRPr="00446DFA">
        <w:t>s</w:t>
      </w:r>
      <w:proofErr w:type="spellEnd"/>
      <w:r w:rsidR="002E4A63" w:rsidRPr="00446DFA">
        <w:t xml:space="preserve"> after flow rates were initiated. The dashed line indicates the diameter of the disc. When the ZOI of the effluent </w:t>
      </w:r>
      <w:r w:rsidR="00F356F2">
        <w:t>was</w:t>
      </w:r>
      <w:r w:rsidR="002E4A63" w:rsidRPr="00446DFA">
        <w:t xml:space="preserve"> equivalent to the </w:t>
      </w:r>
      <w:r w:rsidR="00F356F2">
        <w:t xml:space="preserve">diameter </w:t>
      </w:r>
      <w:r w:rsidR="002E4A63" w:rsidRPr="00446DFA">
        <w:t xml:space="preserve">of the disc, it indicates growth up to the edge of the </w:t>
      </w:r>
      <w:proofErr w:type="gramStart"/>
      <w:r w:rsidR="002E4A63" w:rsidRPr="00446DFA">
        <w:t>disc, and</w:t>
      </w:r>
      <w:proofErr w:type="gramEnd"/>
      <w:r w:rsidR="002E4A63" w:rsidRPr="00446DFA">
        <w:t xml:space="preserve"> is assumed there was no antimicrobial potency. (* P&lt;0.05 </w:t>
      </w:r>
      <w:r w:rsidR="00F356F2">
        <w:t xml:space="preserve">for the </w:t>
      </w:r>
      <w:proofErr w:type="spellStart"/>
      <w:r w:rsidR="002E4A63" w:rsidRPr="00446DFA">
        <w:t>CSB</w:t>
      </w:r>
      <w:r w:rsidR="002E4A63" w:rsidRPr="00446DFA">
        <w:rPr>
          <w:vertAlign w:val="subscript"/>
        </w:rPr>
        <w:t>v+t</w:t>
      </w:r>
      <w:r w:rsidR="002E4A63" w:rsidRPr="00446DFA">
        <w:t>plusSpacer</w:t>
      </w:r>
      <w:r w:rsidR="002E4A63" w:rsidRPr="00446DFA">
        <w:rPr>
          <w:vertAlign w:val="subscript"/>
        </w:rPr>
        <w:t>v+t</w:t>
      </w:r>
      <w:proofErr w:type="spellEnd"/>
      <w:r w:rsidR="002E4A63" w:rsidRPr="00446DFA">
        <w:rPr>
          <w:sz w:val="15"/>
          <w:szCs w:val="15"/>
        </w:rPr>
        <w:t xml:space="preserve"> </w:t>
      </w:r>
      <w:r w:rsidR="00F356F2">
        <w:t>compared to the</w:t>
      </w:r>
      <w:r w:rsidR="002E4A63" w:rsidRPr="00446DFA">
        <w:t xml:space="preserve"> Spacer</w:t>
      </w:r>
      <w:r w:rsidR="002E4A63" w:rsidRPr="00446DFA">
        <w:rPr>
          <w:vertAlign w:val="subscript"/>
        </w:rPr>
        <w:t xml:space="preserve"> </w:t>
      </w:r>
      <w:proofErr w:type="spellStart"/>
      <w:r w:rsidR="002E4A63" w:rsidRPr="00446DFA">
        <w:rPr>
          <w:vertAlign w:val="subscript"/>
        </w:rPr>
        <w:t>v+t</w:t>
      </w:r>
      <w:proofErr w:type="spellEnd"/>
      <w:r w:rsidR="00F356F2">
        <w:rPr>
          <w:vertAlign w:val="subscript"/>
        </w:rPr>
        <w:t xml:space="preserve"> </w:t>
      </w:r>
      <w:r w:rsidR="00F356F2" w:rsidRPr="00D5530B">
        <w:t>alon</w:t>
      </w:r>
      <w:r w:rsidR="00F356F2">
        <w:t>e</w:t>
      </w:r>
      <w:r w:rsidR="002E4A63" w:rsidRPr="00446DFA">
        <w:t xml:space="preserve">, </w:t>
      </w:r>
      <w:r w:rsidR="002E4A63" w:rsidRPr="00446DFA">
        <w:rPr>
          <w:color w:val="0070C0"/>
        </w:rPr>
        <w:t>*</w:t>
      </w:r>
      <w:r w:rsidR="002E4A63" w:rsidRPr="00446DFA">
        <w:rPr>
          <w:color w:val="000000" w:themeColor="text1"/>
        </w:rPr>
        <w:t xml:space="preserve"> P&lt;0.05 </w:t>
      </w:r>
      <w:r w:rsidR="00F356F2">
        <w:rPr>
          <w:color w:val="000000" w:themeColor="text1"/>
        </w:rPr>
        <w:t xml:space="preserve">for the </w:t>
      </w:r>
      <w:proofErr w:type="spellStart"/>
      <w:r w:rsidR="002E4A63" w:rsidRPr="00446DFA">
        <w:t>CSB</w:t>
      </w:r>
      <w:r w:rsidR="002E4A63" w:rsidRPr="00446DFA">
        <w:rPr>
          <w:vertAlign w:val="subscript"/>
        </w:rPr>
        <w:t>v+t</w:t>
      </w:r>
      <w:r w:rsidR="002E4A63" w:rsidRPr="00446DFA">
        <w:t>plusSpacer</w:t>
      </w:r>
      <w:r w:rsidR="002E4A63" w:rsidRPr="00446DFA">
        <w:rPr>
          <w:vertAlign w:val="subscript"/>
        </w:rPr>
        <w:t>v+t</w:t>
      </w:r>
      <w:proofErr w:type="spellEnd"/>
      <w:r w:rsidR="002E4A63" w:rsidRPr="00446DFA">
        <w:rPr>
          <w:sz w:val="15"/>
          <w:szCs w:val="15"/>
        </w:rPr>
        <w:t xml:space="preserve"> </w:t>
      </w:r>
      <w:r w:rsidR="00F356F2">
        <w:t>compared to the</w:t>
      </w:r>
      <w:r w:rsidR="002E4A63" w:rsidRPr="00446DFA">
        <w:t xml:space="preserve"> VP, </w:t>
      </w:r>
      <w:r w:rsidR="00F356F2">
        <w:t xml:space="preserve">and </w:t>
      </w:r>
      <w:r w:rsidR="00330C6B" w:rsidRPr="00330C6B">
        <w:rPr>
          <w:color w:val="AEAAAA" w:themeColor="background2" w:themeShade="BF"/>
        </w:rPr>
        <w:t>*</w:t>
      </w:r>
      <w:r w:rsidR="002E4A63" w:rsidRPr="00446DFA">
        <w:rPr>
          <w:color w:val="A5A5A5" w:themeColor="accent3"/>
        </w:rPr>
        <w:t xml:space="preserve"> </w:t>
      </w:r>
      <w:r w:rsidR="002E4A63" w:rsidRPr="00446DFA">
        <w:rPr>
          <w:color w:val="000000" w:themeColor="text1"/>
        </w:rPr>
        <w:t>P&lt;0.05</w:t>
      </w:r>
      <w:r w:rsidR="00F356F2">
        <w:rPr>
          <w:color w:val="000000" w:themeColor="text1"/>
        </w:rPr>
        <w:t xml:space="preserve"> for the</w:t>
      </w:r>
      <w:r w:rsidR="002E4A63" w:rsidRPr="00446DFA">
        <w:rPr>
          <w:color w:val="000000" w:themeColor="text1"/>
        </w:rPr>
        <w:t xml:space="preserve"> </w:t>
      </w:r>
      <w:proofErr w:type="spellStart"/>
      <w:r w:rsidR="002E4A63" w:rsidRPr="00446DFA">
        <w:t>Spacer</w:t>
      </w:r>
      <w:r w:rsidR="002E4A63" w:rsidRPr="00446DFA">
        <w:rPr>
          <w:vertAlign w:val="subscript"/>
        </w:rPr>
        <w:t>v+t</w:t>
      </w:r>
      <w:proofErr w:type="spellEnd"/>
      <w:r w:rsidR="002E4A63" w:rsidRPr="00446DFA">
        <w:rPr>
          <w:sz w:val="15"/>
          <w:szCs w:val="15"/>
        </w:rPr>
        <w:t xml:space="preserve"> </w:t>
      </w:r>
      <w:r w:rsidR="00F356F2">
        <w:t>alone compared to the</w:t>
      </w:r>
      <w:r w:rsidR="002E4A63" w:rsidRPr="00446DFA">
        <w:t xml:space="preserve"> VP) N=3, mean ± SE. </w:t>
      </w:r>
      <w:r w:rsidR="002E4A63" w:rsidRPr="00446DFA">
        <w:rPr>
          <w:b/>
          <w:bCs/>
        </w:rPr>
        <w:t>B.</w:t>
      </w:r>
      <w:r w:rsidR="002E4A63" w:rsidRPr="00446DFA">
        <w:t xml:space="preserve"> ZOI of effluent against </w:t>
      </w:r>
      <w:r w:rsidR="002E4A63" w:rsidRPr="00446DFA">
        <w:rPr>
          <w:i/>
        </w:rPr>
        <w:t>P. aeruginosa</w:t>
      </w:r>
      <w:r w:rsidR="002E4A63" w:rsidRPr="00446DFA">
        <w:t xml:space="preserve"> PAO1 reported on a Log2 scale for 48 </w:t>
      </w:r>
      <w:proofErr w:type="spellStart"/>
      <w:r w:rsidR="002F2D1E">
        <w:t>hr</w:t>
      </w:r>
      <w:r w:rsidR="002E4A63" w:rsidRPr="00446DFA">
        <w:t>s</w:t>
      </w:r>
      <w:proofErr w:type="spellEnd"/>
      <w:r w:rsidR="002E4A63" w:rsidRPr="00446DFA">
        <w:t xml:space="preserve"> after flow rates were initiated. The dashed line indicates the diameter of the disc. N=3, </w:t>
      </w:r>
      <w:proofErr w:type="spellStart"/>
      <w:r w:rsidR="002E4A63" w:rsidRPr="00446DFA">
        <w:t>mean±SE</w:t>
      </w:r>
      <w:proofErr w:type="spellEnd"/>
      <w:r w:rsidR="002E4A63" w:rsidRPr="00446DFA">
        <w:t xml:space="preserve">. (* P&lt;0.05 </w:t>
      </w:r>
      <w:r w:rsidR="00F356F2">
        <w:t xml:space="preserve">for the </w:t>
      </w:r>
      <w:proofErr w:type="spellStart"/>
      <w:r w:rsidR="002E4A63" w:rsidRPr="00446DFA">
        <w:t>CSB</w:t>
      </w:r>
      <w:r w:rsidR="002E4A63" w:rsidRPr="00446DFA">
        <w:rPr>
          <w:vertAlign w:val="subscript"/>
        </w:rPr>
        <w:t>v+t</w:t>
      </w:r>
      <w:r w:rsidR="002E4A63" w:rsidRPr="00446DFA">
        <w:t>plusSpacer</w:t>
      </w:r>
      <w:r w:rsidR="002E4A63" w:rsidRPr="00446DFA">
        <w:rPr>
          <w:vertAlign w:val="subscript"/>
        </w:rPr>
        <w:t>v+t</w:t>
      </w:r>
      <w:proofErr w:type="spellEnd"/>
      <w:r w:rsidR="002E4A63" w:rsidRPr="00446DFA">
        <w:rPr>
          <w:sz w:val="15"/>
          <w:szCs w:val="15"/>
        </w:rPr>
        <w:t xml:space="preserve"> </w:t>
      </w:r>
      <w:r w:rsidR="00F356F2">
        <w:t>compared to the</w:t>
      </w:r>
      <w:r w:rsidR="002E4A63" w:rsidRPr="00446DFA">
        <w:t xml:space="preserve"> Spacer</w:t>
      </w:r>
      <w:r w:rsidR="002E4A63" w:rsidRPr="00446DFA">
        <w:rPr>
          <w:vertAlign w:val="subscript"/>
        </w:rPr>
        <w:t xml:space="preserve"> </w:t>
      </w:r>
      <w:proofErr w:type="spellStart"/>
      <w:r w:rsidR="002E4A63" w:rsidRPr="00446DFA">
        <w:rPr>
          <w:vertAlign w:val="subscript"/>
        </w:rPr>
        <w:t>v+t</w:t>
      </w:r>
      <w:proofErr w:type="spellEnd"/>
      <w:r w:rsidR="00F356F2">
        <w:t xml:space="preserve"> alone)</w:t>
      </w:r>
      <w:r w:rsidRPr="00446DFA">
        <w:t>.</w:t>
      </w:r>
    </w:p>
    <w:p w14:paraId="1F32797B" w14:textId="20659DB9" w:rsidR="007713AF" w:rsidRPr="00446DFA" w:rsidRDefault="00BA3143" w:rsidP="00BA3143">
      <w:pPr>
        <w:pStyle w:val="MDPI21heading1"/>
      </w:pPr>
      <w:r w:rsidRPr="00446DFA">
        <w:t xml:space="preserve">3. </w:t>
      </w:r>
      <w:r w:rsidR="007713AF" w:rsidRPr="00446DFA">
        <w:t>Discussion</w:t>
      </w:r>
    </w:p>
    <w:p w14:paraId="6E6B33DB" w14:textId="52C77ADC" w:rsidR="002E4A63" w:rsidRPr="00446DFA" w:rsidRDefault="002E4A63" w:rsidP="00BA3143">
      <w:pPr>
        <w:pStyle w:val="MDPI31text"/>
      </w:pPr>
      <w:r w:rsidRPr="00446DFA">
        <w:t>In our study, we introduce a continuous flow-through reactor system</w:t>
      </w:r>
      <w:r w:rsidR="0095124C">
        <w:t xml:space="preserve"> </w:t>
      </w:r>
      <w:r w:rsidRPr="00446DFA">
        <w:t>designed based on drainage in the human knee following PJI revision surgery</w:t>
      </w:r>
      <w:r w:rsidR="0095124C">
        <w:t>, t</w:t>
      </w:r>
      <w:r w:rsidRPr="00446DFA">
        <w:t xml:space="preserve">o study the antibiotic concentration profile over time based on the elution from antibiotic loaded PMMA bone cement, absorbable CSB </w:t>
      </w:r>
      <w:r w:rsidRPr="007B0D34">
        <w:t>and as a single bolus added in powder form</w:t>
      </w:r>
      <w:r w:rsidRPr="00446DFA">
        <w:t>. The continual replenishment of eluant creates an “infinite sink” for the antibioti</w:t>
      </w:r>
      <w:r w:rsidRPr="00330C6B">
        <w:t xml:space="preserve">c </w:t>
      </w:r>
      <w:r w:rsidR="00CD3338" w:rsidRPr="00330C6B">
        <w:t>[</w:t>
      </w:r>
      <w:r w:rsidRPr="00330C6B">
        <w:fldChar w:fldCharType="begin" w:fldLock="1"/>
      </w:r>
      <w:r w:rsidR="00330C6B">
        <w:instrText>ADDIN CSL_CITATION {"citationItems":[{"id":"ITEM-1","itemData":{"DOI":"10.2134/jeq1999.00472425002800020019x","ISSN":"0047-2425","abstract":"The assessment of elemental release processes in soils are of large interest in soil research. A technique is presented where the advantages of a flow-through reactor are combined with a specific infinite sink. Between the two reactors an electrolyte solution (pH 6) acting as a transport carrier was circulated continuously in a closed-loop set-up. To demonstrate the capability of the new technique, phosphate desorption kinetics from different synthetic Fe and Mn hydroxides coated on silica sand were studied. The relative amount of P desorbed increased in the order ferrihydrite (10% of the initially sorbed P)&lt;goethite (20%)&lt;&lt;hematite (65%)&lt;Mn dioxide (80%). We suggest that this technique can also be adapted to other issues, for example, desorption of other anions and cations from solid phases (soils and sediments) because the composition of the infinite sink is variable.","author":[{"dropping-particle":"","family":"Freese","given":"Dirk","non-dropping-particle":"","parse-names":false,"suffix":""},{"dropping-particle":"","family":"Weidler","given":"Peter G.","non-dropping-particle":"","parse-names":false,"suffix":""},{"dropping-particle":"","family":"Grolimund","given":"Daniel","non-dropping-particle":"","parse-names":false,"suffix":""},{"dropping-particle":"","family":"Sticher","given":"Hans","non-dropping-particle":"","parse-names":false,"suffix":""}],"container-title":"Journal of Environmental Quality","id":"ITEM-1","issue":"2","issued":{"date-parts":[["1999"]]},"page":"537-543","title":"A Flow‐Through Reactor with an Infinite Sink for Monitoring Desorption Processes","type":"article-journal","volume":"28"},"uris":["http://www.mendeley.com/documents/?uuid=3dadcfd5-9919-46ea-be92-c419ac195bc0"]}],"mendeley":{"formattedCitation":"&lt;sup&gt;24&lt;/sup&gt;","plainTextFormattedCitation":"24","previouslyFormattedCitation":"&lt;sup&gt;24&lt;/sup&gt;"},"properties":{"noteIndex":0},"schema":"https://github.com/citation-style-language/schema/raw/master/csl-citation.json"}</w:instrText>
      </w:r>
      <w:r w:rsidRPr="00330C6B">
        <w:fldChar w:fldCharType="separate"/>
      </w:r>
      <w:r w:rsidR="00F11920" w:rsidRPr="00330C6B">
        <w:rPr>
          <w:noProof/>
        </w:rPr>
        <w:t>24</w:t>
      </w:r>
      <w:r w:rsidRPr="00330C6B">
        <w:fldChar w:fldCharType="end"/>
      </w:r>
      <w:r w:rsidR="00CD3338" w:rsidRPr="00446DFA">
        <w:t>]</w:t>
      </w:r>
      <w:r w:rsidRPr="00446DFA">
        <w:t>. Flow through reactor systems have been used to study the desorption of chemicals from soils as well as elution of antibiotics from bone ceme</w:t>
      </w:r>
      <w:r w:rsidRPr="00330C6B">
        <w:t xml:space="preserve">nts </w:t>
      </w:r>
      <w:r w:rsidR="00CD3338" w:rsidRPr="00330C6B">
        <w:t>[</w:t>
      </w:r>
      <w:r w:rsidRPr="00330C6B">
        <w:fldChar w:fldCharType="begin" w:fldLock="1"/>
      </w:r>
      <w:r w:rsidR="00330C6B">
        <w:instrText>ADDIN CSL_CITATION {"citationItems":[{"id":"ITEM-1","itemData":{"DOI":"10.1007/s11999-012-2351-2","ISSN":"15281132","PMID":"22552766","abstract":"Background: High-dose antimicrobial-loaded bone cement (ALBC) is used to treat orthopaedic infections. High-dose ALBC is not commercially available and requires surgeon directed formulation, and there are several different methods used to mix high-dose ALBC. Questions/purposes: We asked whether the mixing method affected antimicrobial elution and mechanical properties of high-dose ALBC. Methods: ALBC was formulated with Simplex ® P bone cement and 10 g of vancomycin per batch using one of three mixing methods: (1) hand-stirred using a standard bowl and spatula, (2) bowl-mixed using a mechanical mixing bowl, and (3) dough-phase mixing where the vancomycin was left in chunks (1-5 mm) and folded into the cement during the dough phase after adding the monomer. We eluted 45 standardized test cylinders (15 per mixing technique) for 30 days under infinite sink conditions. We tested 135 (45 per mixing method) similarly eluted cylinders in axial compression to failure. Results: Dough-phase mixing lead to greater antimicrobial delivery, but lower compressive strength than the hand-stirred or bowl-mixed methods. Dough-phase cement released 18,570 lg of vancomycin versus 11,731 for hand-stirred and 7700 μg for bowl mixed. Compressive strength for dough-phase mixing after 30 days of elution was 36 MPa, while both hand-stirred and bowl mixed cements were 56 MPa. Conclusions: Performance of high-dose ALBC was affected by mixing method. Dough-phase mixing led to greater antimicrobial delivery, but caused greater loss in compressive strength. © 2012 The Association of Bone and Joint Surgeons®.","author":[{"dropping-particle":"","family":"Miller","given":"Ryan","non-dropping-particle":"","parse-names":false,"suffix":""},{"dropping-particle":"","family":"McLaren","given":"Alex","non-dropping-particle":"","parse-names":false,"suffix":""},{"dropping-particle":"","family":"Leon","given":"Christine","non-dropping-particle":"","parse-names":false,"suffix":""},{"dropping-particle":"","family":"McLemore","given":"Ryan","non-dropping-particle":"","parse-names":false,"suffix":""}],"container-title":"Clinical Orthopaedics and Related Research","id":"ITEM-1","issue":"10","issued":{"date-parts":[["2012"]]},"page":"2677-2683","title":"Mixing method affects elution and strength of high-dose ALBC: A pilot study infection","type":"article-journal","volume":"470"},"uris":["http://www.mendeley.com/documents/?uuid=8880050e-8e78-445f-bdc3-ff227aaa44dc"]}],"mendeley":{"formattedCitation":"&lt;sup&gt;25&lt;/sup&gt;","plainTextFormattedCitation":"25","previouslyFormattedCitation":"&lt;sup&gt;25&lt;/sup&gt;"},"properties":{"noteIndex":0},"schema":"https://github.com/citation-style-language/schema/raw/master/csl-citation.json"}</w:instrText>
      </w:r>
      <w:r w:rsidRPr="00330C6B">
        <w:fldChar w:fldCharType="separate"/>
      </w:r>
      <w:r w:rsidR="00F11920" w:rsidRPr="00330C6B">
        <w:rPr>
          <w:noProof/>
        </w:rPr>
        <w:t>25</w:t>
      </w:r>
      <w:r w:rsidRPr="00330C6B">
        <w:fldChar w:fldCharType="end"/>
      </w:r>
      <w:r w:rsidR="00CD3338" w:rsidRPr="00446DFA">
        <w:t>]</w:t>
      </w:r>
      <w:r w:rsidRPr="00446DFA">
        <w:t xml:space="preserve">. Infinite sink conditions are important since the diffusion flux of the component from the solid phase surface (in our case the antibiotic depot) into the surrounding eluant is a function of the concentration gradient and thus by matching, as best we could, physiologically relevant volumes and drainage rates we attempted to recreate these conditions in an </w:t>
      </w:r>
      <w:r w:rsidRPr="00446DFA">
        <w:rPr>
          <w:i/>
          <w:iCs/>
        </w:rPr>
        <w:t>in vitro</w:t>
      </w:r>
      <w:r w:rsidRPr="00446DFA">
        <w:t xml:space="preserve"> model. An infinite sink flow through reactor </w:t>
      </w:r>
      <w:r w:rsidRPr="00446DFA">
        <w:lastRenderedPageBreak/>
        <w:t>system also has the advantage that the concentration profile of an antibiotic added as a powder directly to the reactor can be measured.</w:t>
      </w:r>
    </w:p>
    <w:p w14:paraId="21B14009" w14:textId="299FCD7A" w:rsidR="002E4A63" w:rsidRPr="00D5530B" w:rsidRDefault="002E4A63" w:rsidP="00D67B6B">
      <w:pPr>
        <w:pStyle w:val="MDPI31text"/>
        <w:rPr>
          <w:highlight w:val="yellow"/>
        </w:rPr>
      </w:pPr>
      <w:r w:rsidRPr="00446DFA">
        <w:t xml:space="preserve">The </w:t>
      </w:r>
      <w:r w:rsidR="001A1B85">
        <w:t>fluctuating</w:t>
      </w:r>
      <w:r w:rsidR="00F356F2">
        <w:t xml:space="preserve"> </w:t>
      </w:r>
      <w:r w:rsidRPr="00446DFA">
        <w:t xml:space="preserve">concentration profiles demonstrated the utility of the flow through system with variable flow. The vancomycin powder initially demonstrated high concentrations in the </w:t>
      </w:r>
      <w:r w:rsidR="00BC5B33">
        <w:t>effluent</w:t>
      </w:r>
      <w:r w:rsidR="00330C6B">
        <w:t>,</w:t>
      </w:r>
      <w:r w:rsidR="00BC5B33" w:rsidRPr="00446DFA">
        <w:t xml:space="preserve"> </w:t>
      </w:r>
      <w:r w:rsidR="00BC5B33" w:rsidRPr="001E77A1">
        <w:t>but</w:t>
      </w:r>
      <w:r w:rsidRPr="001E77A1">
        <w:t xml:space="preserve"> was steadily and rapidly washed out so that after two </w:t>
      </w:r>
      <w:proofErr w:type="spellStart"/>
      <w:r w:rsidR="002F2D1E" w:rsidRPr="001E77A1">
        <w:t>hr</w:t>
      </w:r>
      <w:r w:rsidRPr="001E77A1">
        <w:t>s</w:t>
      </w:r>
      <w:proofErr w:type="spellEnd"/>
      <w:r w:rsidRPr="001E77A1">
        <w:t xml:space="preserve"> it was below detection limits by LCMS (Fig. </w:t>
      </w:r>
      <w:r w:rsidR="0079756F" w:rsidRPr="001E77A1">
        <w:t>3</w:t>
      </w:r>
      <w:r w:rsidRPr="001E77A1">
        <w:t xml:space="preserve">a) and failed to produce a zone of inhibition (Fig. </w:t>
      </w:r>
      <w:r w:rsidR="0079756F" w:rsidRPr="001E77A1">
        <w:t>6</w:t>
      </w:r>
      <w:r w:rsidRPr="001E77A1">
        <w:t xml:space="preserve">a). </w:t>
      </w:r>
      <w:bookmarkStart w:id="3" w:name="_Hlk65572614"/>
      <w:bookmarkStart w:id="4" w:name="_Hlk65573498"/>
      <w:r w:rsidR="0067794F" w:rsidRPr="0025516B">
        <w:t>R</w:t>
      </w:r>
      <w:r w:rsidRPr="0025516B">
        <w:t xml:space="preserve">ecently, </w:t>
      </w:r>
      <w:r w:rsidR="001E77A1" w:rsidRPr="0025516B">
        <w:t>i</w:t>
      </w:r>
      <w:r w:rsidR="0067794F" w:rsidRPr="001E77A1">
        <w:t xml:space="preserve">ntraarticular placement of vancomycin powder </w:t>
      </w:r>
      <w:r w:rsidRPr="001E77A1">
        <w:t>has been used in primary knee and hip arthroplasty</w:t>
      </w:r>
      <w:r w:rsidRPr="00330C6B">
        <w:t xml:space="preserve"> </w:t>
      </w:r>
      <w:r w:rsidR="00B75406" w:rsidRPr="00330C6B">
        <w:t>[</w:t>
      </w:r>
      <w:r w:rsidR="00D67B6B" w:rsidRPr="00330C6B">
        <w:fldChar w:fldCharType="begin" w:fldLock="1"/>
      </w:r>
      <w:r w:rsidR="00330C6B" w:rsidRPr="00330C6B">
        <w:instrText>ADDIN CSL_CITATION {"citationItems":[{"id":"ITEM-1","itemData":{"DOI":"10.1038/s41598-020-69958-0","ISBN":"0123456789","ISSN":"20452322","PMID":"32747743","abstract":"Locally applied vancomycin is increasingly being used in primary hip and knee arthroplasty to reduce the risk of infection. Despite encouraging initial results, considerable debate remains on the basis of the data currently available. In particular, it has been unclear up to now whether local vancomycin is suitable to further reduce the risk of infection even if the rate of infection is already low (&lt; 1%). In this monocentric retrospective cohort study, all primary total hip and knee arthroplasties performed between 2013 and 2018 were included. After a change in procedure at the hospital, 1 g vancomycin powder was applied intraarticularly before wound closure. The remaining perioperative procedure was constant over the investigation period. The follow-up was one year. The presence of an infection according to the currently valid MSIS criteria was defined as the endpoint. In patients with TKA two infections (0.3%) were observed under vancomycin prophylaxis in contrast to 44 infections (1.3%) in the control group (p = 0.033). In patients with THA two infections (0.5%) were observed under vancomycin prophylaxis and 48 infections (1.1%) in the control group without local vancomycin but this difference was statistically not significant. No wound complications requiring revision were observed as a result of the vancomycin. On the basis of the results of this study, intraarticular application of vancomycin powder in total hip and knee arthroplasty may be considered. Prospective randomized studies have to confirm this promising results prior a common recommendation. Level of Evidence III Retrospective cohort study.","author":[{"dropping-particle":"","family":"Matziolis","given":"Georg","non-dropping-particle":"","parse-names":false,"suffix":""},{"dropping-particle":"","family":"Brodt","given":"Steffen","non-dropping-particle":"","parse-names":false,"suffix":""},{"dropping-particle":"","family":"Böhle","given":"Sabrina","non-dropping-particle":"","parse-names":false,"suffix":""},{"dropping-particle":"","family":"Kirschberg","given":"Julia","non-dropping-particle":"","parse-names":false,"suffix":""},{"dropping-particle":"","family":"Jacob","given":"Benjamin","non-dropping-particle":"","parse-names":false,"suffix":""},{"dropping-particle":"","family":"Röhner","given":"Eric","non-dropping-particle":"","parse-names":false,"suffix":""}],"container-title":"Scientific Reports","id":"ITEM-1","issue":"1","issued":{"date-parts":[["2020"]]},"page":"1-6","publisher":"Nature Publishing Group UK","title":"Intraarticular vancomycin powder is effective in preventing infections following total hip and knee arthroplasty","type":"article-journal","volume":"10"},"uris":["http://www.mendeley.com/documents/?uuid=5ebde1ff-a93a-4122-a33d-f460906b5744"]}],"mendeley":{"formattedCitation":"&lt;sup&gt;26&lt;/sup&gt;","plainTextFormattedCitation":"26","previouslyFormattedCitation":"&lt;sup&gt;26&lt;/sup&gt;"},"properties":{"noteIndex":0},"schema":"https://github.com/citation-style-language/schema/raw/master/csl-citation.json"}</w:instrText>
      </w:r>
      <w:r w:rsidR="00D67B6B" w:rsidRPr="00330C6B">
        <w:fldChar w:fldCharType="separate"/>
      </w:r>
      <w:r w:rsidR="00F11920" w:rsidRPr="00330C6B">
        <w:rPr>
          <w:noProof/>
        </w:rPr>
        <w:t>26</w:t>
      </w:r>
      <w:r w:rsidR="00D67B6B" w:rsidRPr="00330C6B">
        <w:fldChar w:fldCharType="end"/>
      </w:r>
      <w:r w:rsidR="00B75406" w:rsidRPr="001E77A1">
        <w:t>]</w:t>
      </w:r>
      <w:r w:rsidR="006C2775" w:rsidRPr="001E77A1">
        <w:t xml:space="preserve">. </w:t>
      </w:r>
      <w:bookmarkEnd w:id="3"/>
      <w:proofErr w:type="spellStart"/>
      <w:r w:rsidR="00D67B6B" w:rsidRPr="001E77A1">
        <w:t>Otte</w:t>
      </w:r>
      <w:proofErr w:type="spellEnd"/>
      <w:r w:rsidR="006C2775" w:rsidRPr="001E77A1">
        <w:t xml:space="preserve"> et al. </w:t>
      </w:r>
      <w:r w:rsidR="001A1B85" w:rsidRPr="001E77A1">
        <w:t>report</w:t>
      </w:r>
      <w:r w:rsidR="00DC5EEE" w:rsidRPr="001E77A1">
        <w:t>e</w:t>
      </w:r>
      <w:r w:rsidR="001A1B85" w:rsidRPr="001E77A1">
        <w:t>d</w:t>
      </w:r>
      <w:r w:rsidR="006C2775" w:rsidRPr="001E77A1">
        <w:t xml:space="preserve"> </w:t>
      </w:r>
      <w:r w:rsidR="00D67B6B" w:rsidRPr="001E77A1">
        <w:t xml:space="preserve">intrawound placement of vancomycin reduced infection </w:t>
      </w:r>
      <w:r w:rsidR="00D67B6B" w:rsidRPr="00330C6B">
        <w:t>[</w:t>
      </w:r>
      <w:r w:rsidR="00D67B6B" w:rsidRPr="00330C6B">
        <w:fldChar w:fldCharType="begin" w:fldLock="1"/>
      </w:r>
      <w:r w:rsidR="00330C6B" w:rsidRPr="00330C6B">
        <w:instrText>ADDIN CSL_CITATION {"citationItems":[{"id":"ITEM-1","itemData":{"ISSN":"1090-3941","abstract":"Intrawound vancomycin powder has shown efficacy and safety in decreasing postoperative spine infections, but its use in arthroplasty has not been well established. The purpose of this study was to compare the rate of early prosthetic joint infections (PJI) with and without the use of intrawound vancomycin powder during joint arthroplasty. A retrospective cohort of all patients who underwent primary or revision hip or knee arthroplasty by two surgeons over a two-year period at a single hospital system was evaluated. The control group received standard systemic prophylaxis only, whereas the treatment group received 1 g of vancomycin powder in the surgical wound in addition to systemic prophylaxis. A statistically significant decrease in the overall PJI rate was found in the treatment group (4/816=0.49%) compared to the control group (13/824=1.57%; p=0.0479). Subgroup analysis demonstrated a trend toward fewer PJIs in the vancomycin group, however, only the revision procedures showed a statistically significant reduction in early PJIs after the initiation of vancomycin (7/180=3.89% to 0/134=0%; p=0.0217). The use of intrawound vancomycin powder was associated with a significant reduction in the overall incidence of early PJIs following joint arthroplasty, however, only the revision procedures demonstrated a significant reduction in the rate of early PJIs.","author":[{"dropping-particle":"","family":"Otte","given":"Jeffrey E","non-dropping-particle":"","parse-names":false,"suffix":""},{"dropping-particle":"","family":"Politi","given":"Joel R","non-dropping-particle":"","parse-names":false,"suffix":""},{"dropping-particle":"","family":"Chambers","given":"Bryan","non-dropping-particle":"","parse-names":false,"suffix":""},{"dropping-particle":"","family":"Smith","given":"Craig A","non-dropping-particle":"","parse-names":false,"suffix":""}],"container-title":"Surgical technology international","id":"ITEM-1","issued":{"date-parts":[["2017","2"]]},"page":"284—289","title":"Intrawound Vancomycin Powder Reduces Early Prosthetic Joint Infections in Revision Hip and Knee Arthroplasty","type":"article-journal","volume":"30"},"uris":["http://www.mendeley.com/documents/?uuid=09e9d526-2e91-4e5f-a5d9-b368b18a797c"]}],"mendeley":{"formattedCitation":"&lt;sup&gt;14&lt;/sup&gt;","plainTextFormattedCitation":"14","previouslyFormattedCitation":"&lt;sup&gt;14&lt;/sup&gt;"},"properties":{"noteIndex":0},"schema":"https://github.com/citation-style-language/schema/raw/master/csl-citation.json"}</w:instrText>
      </w:r>
      <w:r w:rsidR="00D67B6B" w:rsidRPr="00330C6B">
        <w:fldChar w:fldCharType="separate"/>
      </w:r>
      <w:r w:rsidR="00F11920" w:rsidRPr="00330C6B">
        <w:rPr>
          <w:noProof/>
        </w:rPr>
        <w:t>14</w:t>
      </w:r>
      <w:r w:rsidR="00D67B6B" w:rsidRPr="00330C6B">
        <w:fldChar w:fldCharType="end"/>
      </w:r>
      <w:r w:rsidR="00D67B6B" w:rsidRPr="001E77A1">
        <w:t>]</w:t>
      </w:r>
      <w:r w:rsidR="001D407D" w:rsidRPr="001E77A1">
        <w:t xml:space="preserve"> h</w:t>
      </w:r>
      <w:r w:rsidR="006C2775" w:rsidRPr="001E77A1">
        <w:t xml:space="preserve">owever other studies </w:t>
      </w:r>
      <w:r w:rsidR="001A1B85" w:rsidRPr="001E77A1">
        <w:t xml:space="preserve">have </w:t>
      </w:r>
      <w:r w:rsidR="00D67B6B" w:rsidRPr="001E77A1">
        <w:t>show</w:t>
      </w:r>
      <w:r w:rsidR="00DC5EEE" w:rsidRPr="001E77A1">
        <w:t>n</w:t>
      </w:r>
      <w:r w:rsidR="00D67B6B" w:rsidRPr="001E77A1">
        <w:t xml:space="preserve"> </w:t>
      </w:r>
      <w:r w:rsidR="001A1B85" w:rsidRPr="001E77A1">
        <w:t xml:space="preserve">that </w:t>
      </w:r>
      <w:r w:rsidR="00D67B6B" w:rsidRPr="001E77A1">
        <w:t>vancomycin powder had no effect on preventing infecti</w:t>
      </w:r>
      <w:r w:rsidR="00D67B6B" w:rsidRPr="00330C6B">
        <w:t>on [</w:t>
      </w:r>
      <w:r w:rsidR="00D67B6B" w:rsidRPr="00330C6B">
        <w:fldChar w:fldCharType="begin" w:fldLock="1"/>
      </w:r>
      <w:r w:rsidR="00F11920" w:rsidRPr="00330C6B">
        <w:instrText>ADDIN CSL_CITATION {"citationItems":[{"id":"ITEM-1","itemData":{"DOI":"10.1007/s00167-019-05778-8","ISBN":"0123456789","ISSN":"14337347","PMID":"31728604","abstract":"Purpose: Vancomycin powder (VP) has been used to prevent periprosthetic joint infection (PJI). However, studies investigating the efficacy of VP to prevent infection in primary total knee arthroplasty (TKA) are very rare. The purpose of this study was to investigate the efficacy of VP application to prevent PJI in TKA. Methods: Between 2012 and 2016, 976 consecutive patients who underwent primary TKA were included in the present study. Patients were divided into two groups. There were 474 patients (48.6%) in the VP group and 502 patients in the control group (51.4%). Except for VP, all procedures were the same in both groups. In the VP group, 2 g of VP was poured into the joint just before the fascia was closed. Average follow-up was 53.2 months (24–84 months). Results: Infection was found in 4 (0.84%) of 474 patients in the VP group and 5 (0.99%) of 502 patients in the control group. There was no statistically significant difference between groups in terms of infection rates (p = 0.535). Staphylococcus aureus was found in 2 patients in the VP group. Two patients had S. aureus and 1 patient had Pseudomonas aeruginosa in the control group. There was no statistically significant difference between groups in terms of demographic parameters (p &gt; 0.05). Conclusion: Intrawound VP administration doesn’t change the infection rates in primary TKA. The VP administration for preventing PJI is not recommended in primary TKA. Level of evidence: III.","author":[{"dropping-particle":"","family":"Yavuz","given":"Ibrahim Alper","non-dropping-particle":"","parse-names":false,"suffix":""},{"dropping-particle":"","family":"Oken","given":"Ozdamar Fuad","non-dropping-particle":"","parse-names":false,"suffix":""},{"dropping-particle":"","family":"Yildirim","given":"Ahmet Ozgur","non-dropping-particle":"","parse-names":false,"suffix":""},{"dropping-particle":"","family":"Inci","given":"Fatih","non-dropping-particle":"","parse-names":false,"suffix":""},{"dropping-particle":"","family":"Ceyhan","given":"Erman","non-dropping-particle":"","parse-names":false,"suffix":""},{"dropping-particle":"","family":"Gurhan","given":"Utku","non-dropping-particle":"","parse-names":false,"suffix":""}],"container-title":"Knee Surgery, Sports Traumatology, Arthroscopy","id":"ITEM-1","issue":"9","issued":{"date-parts":[["2020"]]},"page":"3055-3060","publisher":"Springer Berlin Heidelberg","title":"No effect of vancomycin powder to prevent infection in primary total knee arthroplasty: a retrospective review of 976 cases","type":"article-journal","volume":"28"},"uris":["http://www.mendeley.com/documents/?uuid=67b5bd81-04be-473a-ac7a-a51db133a337"]},{"id":"ITEM-2","itemData":{"DOI":"10.1007/s00167-019-05498-z","ISSN":"14337347","PMID":"30968239","abstract":"Purpose: A frequent reason for revision surgery after total knee arthroplasty (TKA) and unicompartmental knee arthroplasty (UKA) is periprosthetic joint infection (PJI). The efficacy of intrawound VP in preventing PJI after primary TKA or UKA is rarely reported. The purpose of this study was to investigate the efficacy and side effects of local high-dose VP application to the joint to prevent PJI in TKA and UKA. Methods: From 2010 to 2017, 166 consecutive patients that underwent primary TKA or UKA were enrolled. Seventy-five patients (92 knees) did not receive VP (control group), while 90 patients (110 knees, VP group) received VP (intrawound, 1 g) before capsule closure during TKA and UKA. Aseptic wound complications, such as skin erosion, wound dehiscence, and prolonged wound healing, were evaluated within 3 months post-operatively. PJI was assessed within a year post-operatively. Results: Seven patients (7.6%) in the control group and five patients (4.5%) in the VP group had PJI. No significant differences existed in the PJI rates between the groups. Aseptic operative wound complications occurred in 4 patients (4.3%) and 13 patients (11.8%), whereas prolonged operative wound healing occurred in 3 patients (3.3%) and 14 patients (12.7%) of patients in the control and VP group, respectively. Operative wound complications were significantly frequent in the VP group. Conclusions: Intrawound VP administration does not decrease PJI occurrence in primary TKA and significantly causes aseptic wound complications. The use of intrawound VP for the prevention of PJI after primary TKA and UKA is not recommended. Level of evidence: Level II.","author":[{"dropping-particle":"","family":"Hanada","given":"Mitsuru","non-dropping-particle":"","parse-names":false,"suffix":""},{"dropping-particle":"","family":"Nishikino","given":"Shoichi","non-dropping-particle":"","parse-names":false,"suffix":""},{"dropping-particle":"","family":"Hotta","given":"Kensuke","non-dropping-particle":"","parse-names":false,"suffix":""},{"dropping-particle":"","family":"Furuhashi","given":"Hiroki","non-dropping-particle":"","parse-names":false,"suffix":""},{"dropping-particle":"","family":"Hoshino","given":"Hironobu","non-dropping-particle":"","parse-names":false,"suffix":""},{"dropping-particle":"","family":"Matsuyama","given":"Yukihiro","non-dropping-particle":"","parse-names":false,"suffix":""}],"container-title":"Knee Surgery, Sports Traumatology, Arthroscopy","id":"ITEM-2","issue":"7","issued":{"date-parts":[["2019"]]},"page":"2322-2327","publisher":"Springer Berlin Heidelberg","title":"Intrawound vancomycin powder increases post-operative wound complications and does not decrease periprosthetic joint infection in primary total and unicompartmental knee arthroplasties","type":"article-journal","volume":"27"},"uris":["http://www.mendeley.com/documents/?uuid=bdba83c7-9c0e-49aa-8853-dcfb25746419"]}],"mendeley":{"formattedCitation":"&lt;sup&gt;27,28&lt;/sup&gt;","plainTextFormattedCitation":"27,28","previouslyFormattedCitation":"&lt;sup&gt;27,28&lt;/sup&gt;"},"properties":{"noteIndex":0},"schema":"https://github.com/citation-style-language/schema/raw/master/csl-citation.json"}</w:instrText>
      </w:r>
      <w:r w:rsidR="00D67B6B" w:rsidRPr="00330C6B">
        <w:fldChar w:fldCharType="separate"/>
      </w:r>
      <w:r w:rsidR="00F11920" w:rsidRPr="00330C6B">
        <w:rPr>
          <w:noProof/>
        </w:rPr>
        <w:t>27,28</w:t>
      </w:r>
      <w:r w:rsidR="00D67B6B" w:rsidRPr="00330C6B">
        <w:fldChar w:fldCharType="end"/>
      </w:r>
      <w:r w:rsidR="00D67B6B" w:rsidRPr="001E77A1">
        <w:t>]</w:t>
      </w:r>
      <w:r w:rsidR="006C2775" w:rsidRPr="001E77A1">
        <w:t xml:space="preserve">. </w:t>
      </w:r>
      <w:bookmarkEnd w:id="4"/>
      <w:r w:rsidR="0087062F" w:rsidRPr="001E77A1">
        <w:t xml:space="preserve">It is </w:t>
      </w:r>
      <w:r w:rsidR="00476B8E" w:rsidRPr="001E77A1">
        <w:t xml:space="preserve">possible that this lack of efficacy </w:t>
      </w:r>
      <w:r w:rsidR="006C2775" w:rsidRPr="001E77A1">
        <w:t>may</w:t>
      </w:r>
      <w:r w:rsidR="00D67B6B" w:rsidRPr="001E77A1">
        <w:t xml:space="preserve"> </w:t>
      </w:r>
      <w:r w:rsidR="006C2775" w:rsidRPr="001E77A1">
        <w:t>be</w:t>
      </w:r>
      <w:r w:rsidR="00AA651D" w:rsidRPr="001E77A1">
        <w:t xml:space="preserve"> due to </w:t>
      </w:r>
      <w:r w:rsidR="006F7489" w:rsidRPr="001E77A1">
        <w:t>rapid washout of vancomycin</w:t>
      </w:r>
      <w:r w:rsidR="00F356F2" w:rsidRPr="001E77A1">
        <w:t>,</w:t>
      </w:r>
      <w:r w:rsidR="006F7489" w:rsidRPr="001E77A1">
        <w:t xml:space="preserve"> </w:t>
      </w:r>
      <w:r w:rsidR="006C2775" w:rsidRPr="001E77A1">
        <w:t>as would be predicted from our study</w:t>
      </w:r>
      <w:r w:rsidR="006F7489" w:rsidRPr="001E77A1">
        <w:t xml:space="preserve">. </w:t>
      </w:r>
      <w:r w:rsidR="001A1B85" w:rsidRPr="001E77A1">
        <w:t xml:space="preserve">Our model is intended to compare </w:t>
      </w:r>
      <w:r w:rsidR="00FA0331" w:rsidRPr="001E77A1">
        <w:t xml:space="preserve">antibiotic release </w:t>
      </w:r>
      <w:r w:rsidR="00987251" w:rsidRPr="001E77A1">
        <w:t xml:space="preserve">kinetics </w:t>
      </w:r>
      <w:r w:rsidR="00387429" w:rsidRPr="001E77A1">
        <w:t>when</w:t>
      </w:r>
      <w:r w:rsidR="001A1B85" w:rsidRPr="001E77A1">
        <w:t xml:space="preserve"> loaded into </w:t>
      </w:r>
      <w:r w:rsidR="00B75406" w:rsidRPr="001E77A1">
        <w:t xml:space="preserve">bone </w:t>
      </w:r>
      <w:r w:rsidR="001A1B85" w:rsidRPr="001E77A1">
        <w:t xml:space="preserve">cement and </w:t>
      </w:r>
      <w:r w:rsidR="00387429" w:rsidRPr="001E77A1">
        <w:t>a</w:t>
      </w:r>
      <w:r w:rsidR="001A1B85" w:rsidRPr="001E77A1">
        <w:t xml:space="preserve">bsorbable </w:t>
      </w:r>
      <w:r w:rsidR="00987251" w:rsidRPr="001E77A1">
        <w:t>depots or as applied in powder form</w:t>
      </w:r>
      <w:r w:rsidR="001A1B85" w:rsidRPr="001E77A1">
        <w:t xml:space="preserve"> in the context of </w:t>
      </w:r>
      <w:r w:rsidR="00BC5B33" w:rsidRPr="001E77A1">
        <w:t xml:space="preserve">infected arthroplasties where biofilm is suspected. </w:t>
      </w:r>
      <w:r w:rsidRPr="001E77A1">
        <w:t>Pharmacodynamic data</w:t>
      </w:r>
      <w:r w:rsidRPr="0067794F">
        <w:t xml:space="preserve"> on vancomycin administered as a powder in total joint arthroplasty is sparse, but Johnson et al. estimated a half-life of 7.2 </w:t>
      </w:r>
      <w:proofErr w:type="spellStart"/>
      <w:r w:rsidRPr="0067794F">
        <w:t>h</w:t>
      </w:r>
      <w:r w:rsidRPr="00330C6B">
        <w:t>rs</w:t>
      </w:r>
      <w:proofErr w:type="spellEnd"/>
      <w:r w:rsidRPr="00330C6B">
        <w:t xml:space="preserve"> </w:t>
      </w:r>
      <w:r w:rsidR="00CD3338" w:rsidRPr="00330C6B">
        <w:t>[</w:t>
      </w:r>
      <w:r w:rsidRPr="00330C6B">
        <w:fldChar w:fldCharType="begin" w:fldLock="1"/>
      </w:r>
      <w:r w:rsidR="00F11920" w:rsidRPr="00330C6B">
        <w:instrText>ADDIN CSL_CITATION {"citationItems":[{"id":"ITEM-1","itemData":{"DOI":"10.1016/j.arth.2015.10.015","ISSN":"15328406","PMID":"27633945","abstract":"Background Periprosthetic joint infection is the most common cause of readmissions after total joint arthroplasty (TJA). Intrawound vancomycin powder (VP) has reduced infection rates in spine surgery; however, there are no data regarding VP in primary TJA. Methods Thirty-four TJA patients received 2 g of VP intraoperatively to investigate VP's pharmacokinetics. Serum and wound concentrations were measured at multiple intervals over 24 hours after closure. Results All serum concentrations were subtherapeutic (&lt;15μg/mL) and peaked 12 hours after closure (4.7μg/mL; standard deviation [SD], 3.2). Wound concentrations were 922 μg/mL (SD, 523) 3 hours after closure and 207 μg/mL (SD, 317) at 24 hours. VP had a half-life of 7.2 hours (95% confidence interval, 7.0-9.3) in TJA wounds. Conclusions VP produced highly therapeutic intrawound concentrations while yielding low systemic levels in TJA. VP may serve as a safe adjunct in the prevention of periprosthetic joint infection.","author":[{"dropping-particle":"","family":"Johnson","given":"Jeremiah D.","non-dropping-particle":"","parse-names":false,"suffix":""},{"dropping-particle":"","family":"Nessler","given":"Joseph M.","non-dropping-particle":"","parse-names":false,"suffix":""},{"dropping-particle":"","family":"Horazdovsky","given":"Ryan D.","non-dropping-particle":"","parse-names":false,"suffix":""},{"dropping-particle":"","family":"Vang","given":"Sandy","non-dropping-particle":"","parse-names":false,"suffix":""},{"dropping-particle":"","family":"Thomas","given":"Avis J.","non-dropping-particle":"","parse-names":false,"suffix":""},{"dropping-particle":"","family":"Marston","given":"Scott B.","non-dropping-particle":"","parse-names":false,"suffix":""}],"container-title":"Journal of Arthroplasty","id":"ITEM-1","issue":"3","issued":{"date-parts":[["2017"]]},"page":"924-928","publisher":"Elsevier Ltd","title":"Serum and Wound Vancomycin Levels After Intrawound Administration in Primary Total Joint Arthroplasty","type":"article-journal","volume":"32"},"uris":["http://www.mendeley.com/documents/?uuid=a86a9cf9-fe92-4123-925f-363cbd06f71d"]}],"mendeley":{"formattedCitation":"&lt;sup&gt;29&lt;/sup&gt;","plainTextFormattedCitation":"29","previouslyFormattedCitation":"&lt;sup&gt;29&lt;/sup&gt;"},"properties":{"noteIndex":0},"schema":"https://github.com/citation-style-language/schema/raw/master/csl-citation.json"}</w:instrText>
      </w:r>
      <w:r w:rsidRPr="00330C6B">
        <w:fldChar w:fldCharType="separate"/>
      </w:r>
      <w:r w:rsidR="00F11920" w:rsidRPr="00330C6B">
        <w:rPr>
          <w:noProof/>
        </w:rPr>
        <w:t>29</w:t>
      </w:r>
      <w:r w:rsidRPr="00330C6B">
        <w:fldChar w:fldCharType="end"/>
      </w:r>
      <w:r w:rsidR="00CD3338" w:rsidRPr="0067794F">
        <w:t>]</w:t>
      </w:r>
      <w:r w:rsidRPr="0067794F">
        <w:t xml:space="preserve">. In our study we saw a linear decrease rather than an exponential decrease, which was likely due to incomplete mixing in the reactor and changing of the flow through flow rate, our “half-life” was much lower at approximately 15 minutes. </w:t>
      </w:r>
      <w:proofErr w:type="gramStart"/>
      <w:r w:rsidRPr="0067794F">
        <w:t>A number of</w:t>
      </w:r>
      <w:proofErr w:type="gramEnd"/>
      <w:r w:rsidRPr="0067794F">
        <w:t xml:space="preserve"> factors might account for such a large discrepancy. The Johnson</w:t>
      </w:r>
      <w:r w:rsidRPr="00446DFA">
        <w:t xml:space="preserve"> et al. study did not report flow rates and it is possible that their flow rates might have been less than those from the clinical values we used, which would be particularly important immediately post operatively when drainage rates we used were high. Second, in the human knee it is likely there are “dead zones” with no, or little liquid flow from which the vancomycin powder could slowly diffuse. Lastly, surrounding soft tissue and bone may absorb vancomycin, which is subsequently released by desorption or elution over time. However, concentration-time data from studies such as the Johnson et al. study will be useful for us to refine flow rates, volume, and degree of mixing in our model to </w:t>
      </w:r>
      <w:proofErr w:type="gramStart"/>
      <w:r w:rsidRPr="00446DFA">
        <w:t>more closely match clinical observations</w:t>
      </w:r>
      <w:proofErr w:type="gramEnd"/>
      <w:r w:rsidRPr="00446DFA">
        <w:t xml:space="preserve">. </w:t>
      </w:r>
    </w:p>
    <w:p w14:paraId="27F26D44" w14:textId="392A08EE" w:rsidR="002E4A63" w:rsidRPr="00446DFA" w:rsidRDefault="002E4A63" w:rsidP="00BA3143">
      <w:pPr>
        <w:pStyle w:val="MDPI31text"/>
      </w:pPr>
      <w:r w:rsidRPr="00446DFA">
        <w:t xml:space="preserve">The concentration kinetic profile of antibiotics released from PMMA and CSB was different from that of the powder bolus. There was an initial high concentration, which presumably occurred from burst release in the period between adding the eluant and the time taken to collect the first sample. There was then a steady decrease in concentration for the first </w:t>
      </w:r>
      <w:proofErr w:type="spellStart"/>
      <w:r w:rsidR="002F2D1E">
        <w:t>hr</w:t>
      </w:r>
      <w:proofErr w:type="spellEnd"/>
      <w:r w:rsidRPr="00446DFA">
        <w:t xml:space="preserve"> or two before the concentration increased again. The increase can be contributed to the reduction in flow through flow rate, so while elution likely remained relatively constant over this time, the washout rate was reduced since the concentration in the system is </w:t>
      </w:r>
      <w:r w:rsidRPr="0067794F">
        <w:t xml:space="preserve">equal to the rate of elution minus the rate of washout, assuming antibiotic is not being degraded. </w:t>
      </w:r>
      <w:r w:rsidR="00F356F2" w:rsidRPr="007B0D34">
        <w:t xml:space="preserve">Such fluctuations would not be seen </w:t>
      </w:r>
      <w:r w:rsidR="00545A3C" w:rsidRPr="007B0D34">
        <w:t xml:space="preserve">in release assays with periodic exchanges, however further clinical </w:t>
      </w:r>
      <w:proofErr w:type="gramStart"/>
      <w:r w:rsidR="00545A3C" w:rsidRPr="007B0D34">
        <w:t>data</w:t>
      </w:r>
      <w:proofErr w:type="gramEnd"/>
      <w:r w:rsidR="00811788" w:rsidRPr="007B0D34">
        <w:t xml:space="preserve"> or appropriate animal PJI models are</w:t>
      </w:r>
      <w:r w:rsidR="00545A3C" w:rsidRPr="007B0D34">
        <w:t xml:space="preserve"> required to demonstrate </w:t>
      </w:r>
      <w:r w:rsidR="00811788" w:rsidRPr="007B0D34">
        <w:t>how well our model compares to antibiotic kinetics delivered locally</w:t>
      </w:r>
      <w:r w:rsidR="00545A3C" w:rsidRPr="007B0D34">
        <w:t xml:space="preserve"> in a human joint.</w:t>
      </w:r>
      <w:r w:rsidR="00545A3C" w:rsidRPr="0067794F">
        <w:t xml:space="preserve"> </w:t>
      </w:r>
      <w:r w:rsidRPr="0067794F">
        <w:t>While these patterns were similar for antibiotic loaded PMMA with and without CSB, the</w:t>
      </w:r>
      <w:r w:rsidRPr="00446DFA">
        <w:t xml:space="preserve"> concentration of both vancomycin and tobramycin was higher when both were combined. A previous study used partial fluid exchange and found the addition of vancomycin loaded CSB to PMMA spacers increased concentrations of antibiotics administer</w:t>
      </w:r>
      <w:r w:rsidRPr="00330C6B">
        <w:t xml:space="preserve">ed </w:t>
      </w:r>
      <w:r w:rsidR="00CD3338" w:rsidRPr="00330C6B">
        <w:t>[</w:t>
      </w:r>
      <w:r w:rsidRPr="00330C6B">
        <w:fldChar w:fldCharType="begin" w:fldLock="1"/>
      </w:r>
      <w:r w:rsidR="00F11920" w:rsidRPr="00330C6B">
        <w:instrText>ADDIN CSL_CITATION {"citationItems":[{"id":"ITEM-1","itemData":{"author":[{"dropping-particle":"","family":"Tailaiti","given":"A","non-dropping-particle":"","parse-names":false,"suffix":""},{"dropping-particle":"","family":"Shang","given":"J","non-dropping-particle":"","parse-names":false,"suffix":""},{"dropping-particle":"","family":"Shan","given":"S","non-dropping-particle":"","parse-names":false,"suffix":""},{"dropping-particle":"","family":"Muheremu","given":"A.","non-dropping-particle":"","parse-names":false,"suffix":""}],"container-title":"Therapeutics and clinical risk management","id":"ITEM-1","issued":{"date-parts":[["2018"]]},"page":"2149-2159","title":"Effect of intrawound vancomycin application in spinal surgery on the incidence of surgical site infection: a meta-analysis","type":"article-journal","volume":"14"},"uris":["http://www.mendeley.com/documents/?uuid=3986a6a3-b978-41db-8795-f8e28d4f272e"]}],"mendeley":{"formattedCitation":"&lt;sup&gt;30&lt;/sup&gt;","plainTextFormattedCitation":"30","previouslyFormattedCitation":"&lt;sup&gt;30&lt;/sup&gt;"},"properties":{"noteIndex":0},"schema":"https://github.com/citation-style-language/schema/raw/master/csl-citation.json"}</w:instrText>
      </w:r>
      <w:r w:rsidRPr="00330C6B">
        <w:fldChar w:fldCharType="separate"/>
      </w:r>
      <w:r w:rsidR="00F11920" w:rsidRPr="00330C6B">
        <w:rPr>
          <w:noProof/>
        </w:rPr>
        <w:t>30</w:t>
      </w:r>
      <w:r w:rsidRPr="00330C6B">
        <w:fldChar w:fldCharType="end"/>
      </w:r>
      <w:r w:rsidR="00CD3338" w:rsidRPr="00446DFA">
        <w:t>]</w:t>
      </w:r>
      <w:r w:rsidRPr="00446DFA">
        <w:t xml:space="preserve">. We found similar results in our model as CSB increased the vancomycin concentration up to 2.28 log compared to the PMMA alone (Figure </w:t>
      </w:r>
      <w:r w:rsidR="0079756F" w:rsidRPr="00446DFA">
        <w:t>3</w:t>
      </w:r>
      <w:r w:rsidRPr="00446DFA">
        <w:t>b) (</w:t>
      </w:r>
      <w:r w:rsidR="00232F4E" w:rsidRPr="00446DFA">
        <w:t>P</w:t>
      </w:r>
      <w:r w:rsidR="00232F4E">
        <w:t>=</w:t>
      </w:r>
      <w:r w:rsidR="00232F4E" w:rsidRPr="00446DFA">
        <w:t>0.0</w:t>
      </w:r>
      <w:r w:rsidR="00232F4E">
        <w:t>024</w:t>
      </w:r>
      <w:r w:rsidRPr="00446DFA">
        <w:t xml:space="preserve">). For tobramycin, the addition of CSB increased concentrations by a log difference of 0.77 (Figure </w:t>
      </w:r>
      <w:r w:rsidR="0079756F" w:rsidRPr="00446DFA">
        <w:t>4</w:t>
      </w:r>
      <w:r w:rsidRPr="00446DFA">
        <w:t>b) (P</w:t>
      </w:r>
      <w:r w:rsidR="00232F4E">
        <w:t>=</w:t>
      </w:r>
      <w:r w:rsidRPr="00446DFA">
        <w:t>0.0</w:t>
      </w:r>
      <w:r w:rsidR="00232F4E">
        <w:t>14</w:t>
      </w:r>
      <w:r w:rsidRPr="00446DFA">
        <w:t xml:space="preserve">). The ZOI assays were generally consistent with the LCMS data showing that the antibiotics did retain potency after elution. </w:t>
      </w:r>
    </w:p>
    <w:p w14:paraId="1A5694EF" w14:textId="470667DD" w:rsidR="002E4A63" w:rsidRPr="00446DFA" w:rsidRDefault="002E4A63" w:rsidP="00BA3143">
      <w:pPr>
        <w:pStyle w:val="MDPI31text"/>
      </w:pPr>
      <w:r w:rsidRPr="00446DFA">
        <w:t xml:space="preserve">Our </w:t>
      </w:r>
      <w:r w:rsidR="00545A3C">
        <w:t>AUC data</w:t>
      </w:r>
      <w:r w:rsidRPr="00446DFA">
        <w:t xml:space="preserve"> showed how the antibiotic exposure </w:t>
      </w:r>
      <w:r w:rsidR="00545A3C">
        <w:t>vari</w:t>
      </w:r>
      <w:r w:rsidR="00545A3C" w:rsidRPr="00446DFA">
        <w:t xml:space="preserve">ed </w:t>
      </w:r>
      <w:r w:rsidRPr="00446DFA">
        <w:t xml:space="preserve">over time using these different administration methods. For vancomycin, the powder bolus had the greatest </w:t>
      </w:r>
      <w:r w:rsidR="00394576" w:rsidRPr="00446DFA">
        <w:t>area under the curve (</w:t>
      </w:r>
      <w:r w:rsidRPr="00446DFA">
        <w:t>AUC</w:t>
      </w:r>
      <w:r w:rsidR="00394576" w:rsidRPr="00446DFA">
        <w:t>)</w:t>
      </w:r>
      <w:r w:rsidRPr="00446DFA">
        <w:t xml:space="preserve"> at 2 </w:t>
      </w:r>
      <w:proofErr w:type="spellStart"/>
      <w:r w:rsidRPr="00446DFA">
        <w:t>hr</w:t>
      </w:r>
      <w:proofErr w:type="spellEnd"/>
      <w:r w:rsidRPr="00446DFA">
        <w:t xml:space="preserve">, however at later time points </w:t>
      </w:r>
      <w:r w:rsidR="00545A3C">
        <w:t xml:space="preserve">the </w:t>
      </w:r>
      <w:proofErr w:type="spellStart"/>
      <w:r w:rsidRPr="00446DFA">
        <w:t>CSB</w:t>
      </w:r>
      <w:r w:rsidRPr="00446DFA">
        <w:rPr>
          <w:vertAlign w:val="subscript"/>
        </w:rPr>
        <w:t>v+t</w:t>
      </w:r>
      <w:r w:rsidRPr="00446DFA">
        <w:t>plusSpacer</w:t>
      </w:r>
      <w:r w:rsidRPr="00446DFA">
        <w:rPr>
          <w:vertAlign w:val="subscript"/>
        </w:rPr>
        <w:t>v+t</w:t>
      </w:r>
      <w:proofErr w:type="spellEnd"/>
      <w:r w:rsidRPr="00446DFA">
        <w:t xml:space="preserve"> </w:t>
      </w:r>
      <w:r w:rsidR="00545A3C">
        <w:t>became</w:t>
      </w:r>
      <w:r w:rsidRPr="00446DFA">
        <w:t xml:space="preserve"> greatest as antibiotic continued to elute (Figure </w:t>
      </w:r>
      <w:r w:rsidR="0079756F" w:rsidRPr="00446DFA">
        <w:t>5</w:t>
      </w:r>
      <w:r w:rsidRPr="00446DFA">
        <w:t xml:space="preserve">). For </w:t>
      </w:r>
      <w:r w:rsidR="001F70B1">
        <w:t xml:space="preserve">both </w:t>
      </w:r>
      <w:r w:rsidRPr="00446DFA">
        <w:t>vancomycin</w:t>
      </w:r>
      <w:r w:rsidR="001F70B1">
        <w:t xml:space="preserve"> and </w:t>
      </w:r>
      <w:proofErr w:type="gramStart"/>
      <w:r w:rsidR="001F70B1">
        <w:t>tobramycin</w:t>
      </w:r>
      <w:proofErr w:type="gramEnd"/>
      <w:r w:rsidRPr="00446DFA">
        <w:t xml:space="preserve"> the AUC achieved by</w:t>
      </w:r>
      <w:r w:rsidR="00545A3C">
        <w:t xml:space="preserve"> the</w:t>
      </w:r>
      <w:r w:rsidRPr="00446DFA">
        <w:t xml:space="preserve"> </w:t>
      </w:r>
      <w:proofErr w:type="spellStart"/>
      <w:r w:rsidRPr="00446DFA">
        <w:t>CSB</w:t>
      </w:r>
      <w:r w:rsidRPr="00446DFA">
        <w:rPr>
          <w:vertAlign w:val="subscript"/>
        </w:rPr>
        <w:t>v+t</w:t>
      </w:r>
      <w:r w:rsidRPr="00446DFA">
        <w:t>plusSpacer</w:t>
      </w:r>
      <w:r w:rsidRPr="00446DFA">
        <w:rPr>
          <w:vertAlign w:val="subscript"/>
        </w:rPr>
        <w:t>v+t</w:t>
      </w:r>
      <w:proofErr w:type="spellEnd"/>
      <w:r w:rsidRPr="00446DFA">
        <w:t xml:space="preserve"> was greater tha</w:t>
      </w:r>
      <w:r w:rsidR="00D67B6B">
        <w:t>n</w:t>
      </w:r>
      <w:r w:rsidRPr="00446DFA">
        <w:t xml:space="preserve"> </w:t>
      </w:r>
      <w:r w:rsidR="00545A3C">
        <w:t xml:space="preserve">by </w:t>
      </w:r>
      <w:r w:rsidRPr="00446DFA">
        <w:t xml:space="preserve">the </w:t>
      </w:r>
      <w:proofErr w:type="spellStart"/>
      <w:r w:rsidRPr="00446DFA">
        <w:t>Spacer</w:t>
      </w:r>
      <w:r w:rsidRPr="00446DFA">
        <w:rPr>
          <w:vertAlign w:val="subscript"/>
        </w:rPr>
        <w:t>v+t</w:t>
      </w:r>
      <w:proofErr w:type="spellEnd"/>
      <w:r w:rsidRPr="00446DFA">
        <w:t xml:space="preserve"> alone at all time points</w:t>
      </w:r>
      <w:r w:rsidR="001F70B1">
        <w:t xml:space="preserve">. This was significantly greater at all timepoints for vancomycin </w:t>
      </w:r>
      <w:r w:rsidRPr="00446DFA">
        <w:t>(P&lt;0.05</w:t>
      </w:r>
      <w:r w:rsidR="00B75406">
        <w:t xml:space="preserve"> at all time points</w:t>
      </w:r>
      <w:r w:rsidR="001F70B1">
        <w:t xml:space="preserve">) </w:t>
      </w:r>
      <w:r w:rsidR="00B75406">
        <w:t xml:space="preserve">and </w:t>
      </w:r>
      <w:r w:rsidR="001F70B1">
        <w:t xml:space="preserve">significantly greater at </w:t>
      </w:r>
      <w:proofErr w:type="spellStart"/>
      <w:r w:rsidR="001F70B1">
        <w:t>hrs</w:t>
      </w:r>
      <w:proofErr w:type="spellEnd"/>
      <w:r w:rsidR="001F70B1">
        <w:t xml:space="preserve"> 12 and 24 for </w:t>
      </w:r>
      <w:r w:rsidR="00B75406">
        <w:t>tobramycin</w:t>
      </w:r>
      <w:r w:rsidR="00B75406" w:rsidRPr="00B75406">
        <w:t xml:space="preserve"> </w:t>
      </w:r>
      <w:r w:rsidR="00B75406">
        <w:t>(P</w:t>
      </w:r>
      <w:r w:rsidR="001F70B1">
        <w:t xml:space="preserve">=0.00073 and </w:t>
      </w:r>
      <w:r w:rsidR="001F70B1">
        <w:lastRenderedPageBreak/>
        <w:t>0.0071 respectively</w:t>
      </w:r>
      <w:proofErr w:type="gramStart"/>
      <w:r w:rsidR="00B75406">
        <w:t xml:space="preserve">) </w:t>
      </w:r>
      <w:r w:rsidRPr="00446DFA">
        <w:t>.</w:t>
      </w:r>
      <w:proofErr w:type="gramEnd"/>
      <w:r w:rsidRPr="00446DFA">
        <w:t xml:space="preserve"> </w:t>
      </w:r>
      <w:proofErr w:type="spellStart"/>
      <w:r w:rsidRPr="00446DFA">
        <w:t>Badha</w:t>
      </w:r>
      <w:proofErr w:type="spellEnd"/>
      <w:r w:rsidRPr="00446DFA">
        <w:t xml:space="preserve"> et. al. reported the minimal biofilm eradication concentration (MBEC) on bone and muscle to be 100-750 ug/mL of a 1:1 vancomycin and tobramycin combination maintained for a minimum 24 </w:t>
      </w:r>
      <w:proofErr w:type="spellStart"/>
      <w:r w:rsidR="002F2D1E">
        <w:t>hr</w:t>
      </w:r>
      <w:r w:rsidRPr="00446DFA">
        <w:t>s</w:t>
      </w:r>
      <w:proofErr w:type="spellEnd"/>
      <w:r w:rsidRPr="00006F88">
        <w:t xml:space="preserve"> </w:t>
      </w:r>
      <w:r w:rsidR="00CD3338" w:rsidRPr="00006F88">
        <w:t>[</w:t>
      </w:r>
      <w:r w:rsidRPr="00006F88">
        <w:fldChar w:fldCharType="begin" w:fldLock="1"/>
      </w:r>
      <w:r w:rsidR="00F11920" w:rsidRPr="00006F88">
        <w:instrText>ADDIN CSL_CITATION {"citationItems":[{"id":"ITEM-1","itemData":{"DOI":"10.7150/jbji.29711","ISSN":"2206-3552","abstract":"Background: Bacterial biofilms cause chronic orthopaedic infections. Surgical debridement to remove biofilm can be ineffective without adjuvant local antimicrobials because undetected biofilm fragments may remain in the wound and reestablish the infection if untreated. However, the concentrations and duration of antimicrobial exposure necessary to eradicate bacteria from clinical biofilms remain largely undefined. In this study, we determined the minimum biofilm eradication concentration (MBEC) of tobramycin and vancomycin for bacterial biofilms grown on bone and muscle in vitro. Methods: Biofilms of pathogens found in musculoskeletal infections (S. aureus, S. epidermidis, E. faecalis, P. aeruginosa, and E. coli) were established for 72 hr on rabbit muscle and bone specimens in vitro and characterized by SEM imaging and CFU counts. Biofilm-covered tissue specimens were exposed to serial log2 dilutions (4000-31.25 µg/mL) of tobramycin, vancomycin, or a 1:1 combination of both drugs for 6, 24, or 72 hr. Tissues were subcultured following antimicrobial exposure to determine bacterial survival. The breakpoint concentration with no surviving bacteria was defined as the MBEC for each pathogen-antimicrobial-exposure time combination. Results: All tested pathogens formed biofilm on tissue. Tobramycin/vancomycin (1:1) was the most effective antimicrobial regimen with MBEC on muscle (10/10 pathogens) or bone (7/10 pathogens) generally in the range of 100-750 µg/mL with 24 or 72 hr exposure. MBEC decreased with exposure time for 53.3% of biofilms between 6 and 24 hr, 53.3% of biofilms between 24 and 72 hr, and for 76.7% of biofilms between 6 and 72 hr. MBECs on bone were significantly higher than corresponding MBECs on muscle tissue (p &lt; 0.05). In most cases, tissue MBECs were lower compared to previously published MBECs for the same pathogens on polystyrene tissue-culture plates. Conclusions: The majority of MBECs for orthopaedic infections on bone and muscle are on the order of 100-750 µg/mL of vancomycin+tobramycin when sustained for at least 24 hr, which may be clinically achievable using high-dose antimicrobial-loaded bone cement (ALBC).","author":[{"dropping-particle":"","family":"Badha","given":"Vajra","non-dropping-particle":"","parse-names":false,"suffix":""},{"dropping-particle":"","family":"Moore","given":"Rex","non-dropping-particle":"","parse-names":false,"suffix":""},{"dropping-particle":"","family":"Heffernan","given":"John","non-dropping-particle":"","parse-names":false,"suffix":""},{"dropping-particle":"","family":"Castaneda","given":"Paulo","non-dropping-particle":"","parse-names":false,"suffix":""},{"dropping-particle":"","family":"McLaren","given":"Alex","non-dropping-particle":"","parse-names":false,"suffix":""},{"dropping-particle":"","family":"Overstreet","given":"Derek","non-dropping-particle":"","parse-names":false,"suffix":""}],"container-title":"Journal of Bone and Joint Infection","id":"ITEM-1","issue":"1","issued":{"date-parts":[["2019"]]},"page":"1-9","title":" Determination of Tobramycin and Vancomycin Exposure Required to Eradicate Biofilms on Muscle and Bone Tissue In Vitro ","type":"article-journal","volume":"4"},"uris":["http://www.mendeley.com/documents/?uuid=b0b974e2-a0bd-44ab-99e9-c93082b1e9db"]}],"mendeley":{"formattedCitation":"&lt;sup&gt;31&lt;/sup&gt;","plainTextFormattedCitation":"31","previouslyFormattedCitation":"&lt;sup&gt;31&lt;/sup&gt;"},"properties":{"noteIndex":0},"schema":"https://github.com/citation-style-language/schema/raw/master/csl-citation.json"}</w:instrText>
      </w:r>
      <w:r w:rsidRPr="00006F88">
        <w:fldChar w:fldCharType="separate"/>
      </w:r>
      <w:r w:rsidR="00F11920" w:rsidRPr="00006F88">
        <w:rPr>
          <w:noProof/>
        </w:rPr>
        <w:t>31</w:t>
      </w:r>
      <w:r w:rsidRPr="00006F88">
        <w:fldChar w:fldCharType="end"/>
      </w:r>
      <w:r w:rsidR="00CD3338" w:rsidRPr="00446DFA">
        <w:t>]</w:t>
      </w:r>
      <w:r w:rsidRPr="00446DFA">
        <w:t xml:space="preserve">. Our model indicates concentrations of this magnitude were achieved with VP and </w:t>
      </w:r>
      <w:r w:rsidR="00545A3C">
        <w:t xml:space="preserve">the </w:t>
      </w:r>
      <w:proofErr w:type="spellStart"/>
      <w:r w:rsidRPr="00446DFA">
        <w:t>CSB</w:t>
      </w:r>
      <w:r w:rsidRPr="00446DFA">
        <w:rPr>
          <w:vertAlign w:val="subscript"/>
        </w:rPr>
        <w:t>v+t</w:t>
      </w:r>
      <w:r w:rsidRPr="00446DFA">
        <w:t>plusSpacer</w:t>
      </w:r>
      <w:r w:rsidRPr="00446DFA">
        <w:rPr>
          <w:vertAlign w:val="subscript"/>
        </w:rPr>
        <w:t>v+t</w:t>
      </w:r>
      <w:proofErr w:type="spellEnd"/>
      <w:r w:rsidRPr="00446DFA">
        <w:t xml:space="preserve">, but only the </w:t>
      </w:r>
      <w:proofErr w:type="spellStart"/>
      <w:r w:rsidRPr="00446DFA">
        <w:t>CSB</w:t>
      </w:r>
      <w:r w:rsidRPr="00446DFA">
        <w:rPr>
          <w:vertAlign w:val="subscript"/>
        </w:rPr>
        <w:t>v+t</w:t>
      </w:r>
      <w:r w:rsidRPr="00446DFA">
        <w:t>plusSpacer</w:t>
      </w:r>
      <w:r w:rsidRPr="00446DFA">
        <w:rPr>
          <w:vertAlign w:val="subscript"/>
        </w:rPr>
        <w:t>v+</w:t>
      </w:r>
      <w:proofErr w:type="gramStart"/>
      <w:r w:rsidRPr="00446DFA">
        <w:rPr>
          <w:vertAlign w:val="subscript"/>
        </w:rPr>
        <w:t>t</w:t>
      </w:r>
      <w:proofErr w:type="spellEnd"/>
      <w:r w:rsidRPr="00446DFA">
        <w:t xml:space="preserve"> maintained</w:t>
      </w:r>
      <w:proofErr w:type="gramEnd"/>
      <w:r w:rsidRPr="00446DFA">
        <w:t xml:space="preserve"> levels above this concentration for the 24 </w:t>
      </w:r>
      <w:proofErr w:type="spellStart"/>
      <w:r w:rsidR="002F2D1E">
        <w:t>hr</w:t>
      </w:r>
      <w:proofErr w:type="spellEnd"/>
      <w:r w:rsidRPr="00446DFA">
        <w:t xml:space="preserve"> duration (Figure </w:t>
      </w:r>
      <w:r w:rsidR="0079756F" w:rsidRPr="00446DFA">
        <w:t>3</w:t>
      </w:r>
      <w:r w:rsidRPr="00446DFA">
        <w:t xml:space="preserve">a, Figure </w:t>
      </w:r>
      <w:r w:rsidR="0079756F" w:rsidRPr="00446DFA">
        <w:t>4</w:t>
      </w:r>
      <w:r w:rsidRPr="00446DFA">
        <w:t xml:space="preserve">a). </w:t>
      </w:r>
    </w:p>
    <w:p w14:paraId="11B2D83C" w14:textId="60632E47" w:rsidR="003A57EA" w:rsidRPr="0067794F" w:rsidRDefault="002E4A63" w:rsidP="00BA3143">
      <w:pPr>
        <w:pStyle w:val="MDPI31text"/>
      </w:pPr>
      <w:r w:rsidRPr="00446DFA">
        <w:t xml:space="preserve">We acknowledge several limitations of this study. </w:t>
      </w:r>
      <w:r w:rsidR="00394576" w:rsidRPr="00446DFA">
        <w:t xml:space="preserve">First, only one </w:t>
      </w:r>
      <w:r w:rsidR="001938DC" w:rsidRPr="00446DFA">
        <w:t>commercially</w:t>
      </w:r>
      <w:r w:rsidR="00394576" w:rsidRPr="00446DFA">
        <w:t xml:space="preserve"> </w:t>
      </w:r>
      <w:r w:rsidR="001938DC" w:rsidRPr="00446DFA">
        <w:t>available</w:t>
      </w:r>
      <w:r w:rsidR="00394576" w:rsidRPr="00446DFA">
        <w:t xml:space="preserve"> calcium sulfate material was used. Not all </w:t>
      </w:r>
      <w:r w:rsidR="001938DC" w:rsidRPr="00446DFA">
        <w:t>commercially</w:t>
      </w:r>
      <w:r w:rsidR="00394576" w:rsidRPr="00446DFA">
        <w:t xml:space="preserve"> avai</w:t>
      </w:r>
      <w:r w:rsidR="001938DC">
        <w:t>la</w:t>
      </w:r>
      <w:r w:rsidR="00394576" w:rsidRPr="00446DFA">
        <w:t xml:space="preserve">ble materials have the same ability to mix and may not have the same elution profile </w:t>
      </w:r>
      <w:r w:rsidR="00394576" w:rsidRPr="00006F88">
        <w:t>[</w:t>
      </w:r>
      <w:r w:rsidR="00394576" w:rsidRPr="00006F88">
        <w:fldChar w:fldCharType="begin" w:fldLock="1"/>
      </w:r>
      <w:r w:rsidR="00F11920" w:rsidRPr="00006F88">
        <w:instrText>ADDIN CSL_CITATION {"citationItems":[{"id":"ITEM-1","itemData":{"DOI":"10.1007/s11999-011-1911-1","ISSN":"15281132","abstract":"Background: Local drug delivery has substantial potential to prevent infections compared with systemic delivery. Although calcium sulfate (CaSO 4 ) has been studied for local drug delivery and two types are commercially available, it is unknown whether they differentially release antibiotics. Questions/purposes: We determined the differences between two sources of CaSO 4 and the K 2 SO 4 catalysts presence on the degradation, daptomycin elution, and activity against Staphylococcus aureus. Methods: We formed pellets from synthetic and naturally sourced (from gypsum) CaSO 4 and loaded with 5% daptomycin and 3% or 0% K 2 SO 4 . We used in vitro experiments to determine the daptomycin concentration and degradation profiles over 10 days. Turbidity assays were used to evaluate the activity of the daptomycin eluates against S. aureus. Results: All pellets exhibited a bolus release with the highest daptomycin concentration on Day 1 with the sourced CaSO 4 pellets. The synthetic CaSO 4 pellets with 3% K 2 SO 4 exhibited a slower drug release compared with the synthetic CaSO 4 pellets with 0% K 2 SO 4 , which degraded and eluted daptomycin too quickly to inhibit S. aureus. Turbidity assays demonstrated that all CaSO 4 pellets inhibit S. aureus for expected lengths of time. Conclusions: Our preliminary in vitro data suggest differences in the degradation, elution, and activity properties between sourced and synthetic CaSO 4 pellets. The addition of K 2 SO 4 appeared beneficial when using synthetic CaSO 4 . Synthetic CaSO 4 may be effective when slow degradation and longer elution times are needed. Clinical Relevance: Local delivery of eluted daptomycin can be tailored through material selection and K 2 SO 4 addition. © 2011 The Association of Bone and Joint Surgeons®.","author":[{"dropping-particle":"","family":"Parker","given":"Ashley C.","non-dropping-particle":"","parse-names":false,"suffix":""},{"dropping-particle":"","family":"Smith","given":"J. Keaton","non-dropping-particle":"","parse-names":false,"suffix":""},{"dropping-particle":"","family":"Courtney","given":"Harry S.","non-dropping-particle":"","parse-names":false,"suffix":""},{"dropping-particle":"","family":"Haggard","given":"Warren O.","non-dropping-particle":"","parse-names":false,"suffix":""}],"container-title":"Clinical Orthopaedics and Related Research","id":"ITEM-1","issue":"11","issued":{"date-parts":[["2011"]]},"page":"3008-3015","title":"Evaluation of two sources of calcium sulfate for a local drug delivery system: A pilot study","type":"article-journal","volume":"469"},"uris":["http://www.mendeley.com/documents/?uuid=1f56dee8-dfb3-4f78-aa91-95385371c8e8"]}],"mendeley":{"formattedCitation":"&lt;sup&gt;32&lt;/sup&gt;","plainTextFormattedCitation":"32","previouslyFormattedCitation":"&lt;sup&gt;32&lt;/sup&gt;"},"properties":{"noteIndex":0},"schema":"https://github.com/citation-style-language/schema/raw/master/csl-citation.json"}</w:instrText>
      </w:r>
      <w:r w:rsidR="00394576" w:rsidRPr="00006F88">
        <w:fldChar w:fldCharType="separate"/>
      </w:r>
      <w:r w:rsidR="00F11920" w:rsidRPr="00006F88">
        <w:rPr>
          <w:noProof/>
        </w:rPr>
        <w:t>32</w:t>
      </w:r>
      <w:r w:rsidR="00394576" w:rsidRPr="00006F88">
        <w:fldChar w:fldCharType="end"/>
      </w:r>
      <w:r w:rsidR="00394576" w:rsidRPr="00446DFA">
        <w:t xml:space="preserve">]. Second, </w:t>
      </w:r>
      <w:r w:rsidRPr="00446DFA">
        <w:t>our model has no soft tissue mimic to simulate absorption and later release.</w:t>
      </w:r>
      <w:r w:rsidR="00E97253">
        <w:t xml:space="preserve"> </w:t>
      </w:r>
      <w:r w:rsidR="00394576" w:rsidRPr="00446DFA">
        <w:t>Finally</w:t>
      </w:r>
      <w:r w:rsidRPr="00446DFA">
        <w:t xml:space="preserve">, although we saw consistent trends in our replicate </w:t>
      </w:r>
      <w:proofErr w:type="gramStart"/>
      <w:r w:rsidRPr="00446DFA">
        <w:t>runs</w:t>
      </w:r>
      <w:proofErr w:type="gramEnd"/>
      <w:r w:rsidRPr="00446DFA">
        <w:t xml:space="preserve"> we note variability in our data. The mixing kinetics in the reactor are not well characterized and the presence of the PMMA and beads will almost certainly ensure there is not complete mixing, this could result in channeling and “dead” zones which could change as the beads and spacer shift during rocking. The second likely source of variation is in difficulty in synchronizing timing in taking the samples and manually adjusting flow rates from run to run. This would be particularly problematic in the early time points when sampling and flow rate changes are most frequent. Automated pump operation and sampling may reduce this variability. Ne</w:t>
      </w:r>
      <w:r w:rsidR="001938DC">
        <w:t>v</w:t>
      </w:r>
      <w:r w:rsidRPr="00446DFA">
        <w:t xml:space="preserve">ertheless, we believe our model may have utility for directly comparing antibiotic concentration profiles in </w:t>
      </w:r>
      <w:r w:rsidRPr="0067794F">
        <w:t>situations where drainage or inflammation fluids may dilute and wash out locally administered antibiotics.</w:t>
      </w:r>
    </w:p>
    <w:p w14:paraId="6E56CEA0" w14:textId="729A905E" w:rsidR="003A57EA" w:rsidRPr="00446DFA" w:rsidRDefault="003A57EA" w:rsidP="00BA3143">
      <w:pPr>
        <w:pStyle w:val="MDPI31text"/>
      </w:pPr>
      <w:r w:rsidRPr="007B0D34">
        <w:t>In conclusion VP initially r</w:t>
      </w:r>
      <w:r w:rsidR="001B5177" w:rsidRPr="007B0D34">
        <w:t>e</w:t>
      </w:r>
      <w:r w:rsidRPr="007B0D34">
        <w:t xml:space="preserve">sulted in the largest vancomycin concentrations, however, within 2 </w:t>
      </w:r>
      <w:proofErr w:type="spellStart"/>
      <w:r w:rsidRPr="007B0D34">
        <w:t>hrs</w:t>
      </w:r>
      <w:proofErr w:type="spellEnd"/>
      <w:r w:rsidRPr="007B0D34">
        <w:t xml:space="preserve">, concentrations dropped below inhibitory levels. </w:t>
      </w:r>
      <w:proofErr w:type="spellStart"/>
      <w:r w:rsidR="001B5177" w:rsidRPr="0067794F">
        <w:t>CSB</w:t>
      </w:r>
      <w:r w:rsidR="001B5177" w:rsidRPr="0067794F">
        <w:rPr>
          <w:vertAlign w:val="subscript"/>
        </w:rPr>
        <w:t>v+t</w:t>
      </w:r>
      <w:r w:rsidR="001B5177" w:rsidRPr="0067794F">
        <w:t>plusSpacer</w:t>
      </w:r>
      <w:r w:rsidR="001B5177" w:rsidRPr="0067794F">
        <w:rPr>
          <w:vertAlign w:val="subscript"/>
        </w:rPr>
        <w:t>v+t</w:t>
      </w:r>
      <w:proofErr w:type="spellEnd"/>
      <w:r w:rsidR="001B5177" w:rsidRPr="0067794F">
        <w:rPr>
          <w:sz w:val="15"/>
          <w:szCs w:val="15"/>
        </w:rPr>
        <w:t xml:space="preserve"> </w:t>
      </w:r>
      <w:r w:rsidRPr="007B0D34">
        <w:t xml:space="preserve">provided higher concentrations of antibiotics and a larger AUC at 24 and 48 </w:t>
      </w:r>
      <w:proofErr w:type="spellStart"/>
      <w:r w:rsidRPr="007B0D34">
        <w:t>hrs</w:t>
      </w:r>
      <w:proofErr w:type="spellEnd"/>
      <w:r w:rsidRPr="007B0D34">
        <w:t xml:space="preserve"> than other methods</w:t>
      </w:r>
      <w:r w:rsidR="001B5177" w:rsidRPr="007B0D34">
        <w:t xml:space="preserve"> assessed</w:t>
      </w:r>
      <w:r w:rsidRPr="007B0D34">
        <w:t xml:space="preserve">. This suggests the combination of PMMA and CSB may present an optimal combination for killing biofilm bacteria, however cytotoxicity and appropriate antibiotic stewardship should be considered. We further conclude that the model may be useful in comparing the antibiotic concentration profiles from different local applications when varying fluid exchange is </w:t>
      </w:r>
      <w:proofErr w:type="gramStart"/>
      <w:r w:rsidRPr="007B0D34">
        <w:t>important</w:t>
      </w:r>
      <w:r w:rsidR="001F70B1" w:rsidRPr="007B0D34">
        <w:t>,</w:t>
      </w:r>
      <w:r w:rsidRPr="007B0D34">
        <w:t xml:space="preserve"> but</w:t>
      </w:r>
      <w:proofErr w:type="gramEnd"/>
      <w:r w:rsidRPr="007B0D34">
        <w:t xml:space="preserve"> recognized that the model is relatively complex to operate and that further </w:t>
      </w:r>
      <w:r w:rsidRPr="007B0D34">
        <w:rPr>
          <w:i/>
          <w:iCs/>
        </w:rPr>
        <w:t>in vitro</w:t>
      </w:r>
      <w:r w:rsidRPr="007B0D34">
        <w:t xml:space="preserve"> and animal studies are required to assess its utility for predicting clinical efficacy.</w:t>
      </w:r>
    </w:p>
    <w:p w14:paraId="36AAEB55" w14:textId="223AF443" w:rsidR="003C4625" w:rsidRPr="00446DFA" w:rsidRDefault="00BA3143" w:rsidP="00BA3143">
      <w:pPr>
        <w:pStyle w:val="MDPI21heading1"/>
      </w:pPr>
      <w:r w:rsidRPr="00446DFA">
        <w:rPr>
          <w:lang w:eastAsia="zh-CN"/>
        </w:rPr>
        <w:t xml:space="preserve">4. </w:t>
      </w:r>
      <w:r w:rsidR="003C4625" w:rsidRPr="00446DFA">
        <w:t>Materials and Methods</w:t>
      </w:r>
    </w:p>
    <w:p w14:paraId="5612EDC6" w14:textId="1A91E8CD" w:rsidR="002E4A63" w:rsidRPr="00446DFA" w:rsidRDefault="00BA3143" w:rsidP="00BA3143">
      <w:pPr>
        <w:pStyle w:val="MDPI22heading2"/>
      </w:pPr>
      <w:r w:rsidRPr="00446DFA">
        <w:t xml:space="preserve">4.1. </w:t>
      </w:r>
      <w:r w:rsidR="002E4A63" w:rsidRPr="00446DFA">
        <w:t>Reactor System</w:t>
      </w:r>
    </w:p>
    <w:p w14:paraId="2D4079EF" w14:textId="718EB305" w:rsidR="002E4A63" w:rsidRPr="00446DFA" w:rsidRDefault="002E4A63" w:rsidP="00BA3143">
      <w:pPr>
        <w:pStyle w:val="MDPI31text"/>
      </w:pPr>
      <w:r w:rsidRPr="00446DFA">
        <w:t xml:space="preserve">A continuous flow reactor system (Figure </w:t>
      </w:r>
      <w:r w:rsidR="0079756F" w:rsidRPr="00446DFA">
        <w:t>7</w:t>
      </w:r>
      <w:r w:rsidRPr="00446DFA">
        <w:t xml:space="preserve">) was designed using a 500mL beaker, the lid of a vacuum filter unit (“Nalgene” Rapid Flow Sterile Single Use, Thermo Scientific), LS-14 tubing (Platinum-Cured Silicone, Precision Pump Tubing, </w:t>
      </w:r>
      <w:proofErr w:type="spellStart"/>
      <w:r w:rsidRPr="00446DFA">
        <w:t>Masterflex</w:t>
      </w:r>
      <w:proofErr w:type="spellEnd"/>
      <w:r w:rsidRPr="00446DFA">
        <w:t xml:space="preserve">) and an IPC High Precision Multichannel Pump (ISMATEC Wertheim, Germany). The reactor vessel consisted of the beaker, 75mL of full-strength Ringers solution (Sigma-Aldrich) and an antibiotic administration method. Holes were created in the lid of the vacuum filter unit for the tubing to fit through and was secured to the top of the beaker. The pump was used to transfer full strength Ringers solution into and out of the reactor vessel simulating clinical values of post-surgical drainage after knee arthroplasty revision surgery (Figure </w:t>
      </w:r>
      <w:r w:rsidR="0079756F" w:rsidRPr="00446DFA">
        <w:t>1</w:t>
      </w:r>
      <w:r w:rsidRPr="00446DFA">
        <w:t xml:space="preserve">) </w:t>
      </w:r>
      <w:r w:rsidR="00CD3338" w:rsidRPr="00006F88">
        <w:t>[</w:t>
      </w:r>
      <w:r w:rsidRPr="00006F88">
        <w:fldChar w:fldCharType="begin" w:fldLock="1"/>
      </w:r>
      <w:r w:rsidR="00330C6B" w:rsidRPr="00006F88">
        <w:instrText>ADDIN CSL_CITATION {"citationItems":[{"id":"ITEM-1","itemData":{"author":[{"dropping-particle":"","family":"Fan","given":"C H","non-dropping-particle":"","parse-names":false,"suffix":""},{"dropping-particle":"","family":"Hung","given":"H H","non-dropping-particle":"","parse-names":false,"suffix":""},{"dropping-particle":"","family":"Chiu","given":"K H","non-dropping-particle":"","parse-names":false,"suffix":""}],"container-title":"Hong Kong Journal Orthopaedic Surgery","id":"ITEM-1","issue":"May","issued":{"date-parts":[["2006"]]},"page":"10-13","title":"Rate of drainage following total knee replacement","type":"article-journal","volume":"10"},"uris":["http://www.mendeley.com/documents/?uuid=a433774c-6262-4cbf-a8cc-f7e339b8eab9"]},{"id":"ITEM-2","itemData":{"author":[{"dropping-particle":"","family":"Porteous","given":"A","non-dropping-particle":"","parse-names":false,"suffix":""},{"dropping-particle":"","family":"Bartlett","given":"R","non-dropping-particle":"","parse-names":false,"suffix":""}],"container-title":"The KNEE","id":"ITEM-2","issue":"4","issued":{"date-parts":[["2003"]]},"page":"371-374","title":"Post-operative drainage after cemented, hybrid and uncemented total knee replacement","type":"article-journal","volume":"10"},"uris":["http://www.mendeley.com/documents/?uuid=48026b44-88c4-4afe-8000-f66920d69e8a"]},{"id":"ITEM-3","itemData":{"DOI":"10.1017/s1446181100003035","ISSN":"1446-1811","abstract":"A simple lumped hydraulic model of knee drainage following arthroplasty is developed incorporating a pressure-volume equation of state for the knee capsule and a wound healing rate dynamically retarded by the blood flow-induced shear stress. The resulting second-order nonlinear ordinary differential system is examined numerically and qualitatively to map the parameter space. In the model, moderate suction or a slight back-pressure promotes gradual drainage and healing whereas excessive suction can lead to a bifurcation in which healing is retarded or even prevented. Guided, then, by the model, the literature, and experience, continuous drainage with a small constant back-pressure appeared beneficial so we prospectively evaluated a series of ten patients. The results are consistent with the model and promising.","author":[{"dropping-particle":"","family":"Sterling","given":"G.","non-dropping-particle":"","parse-names":false,"suffix":""},{"dropping-particle":"","family":"McBain","given":"G. D.","non-dropping-particle":"","parse-names":false,"suffix":""},{"dropping-particle":"","family":"Harris","given":"J. A.","non-dropping-particle":"","parse-names":false,"suffix":""},{"dropping-particle":"","family":"Boland","given":"M.","non-dropping-particle":"","parse-names":false,"suffix":""}],"container-title":"The ANZIAM Journal","id":"ITEM-3","issue":"2","issued":{"date-parts":[["2006"]]},"page":"199-210","title":"Drainage after total knee replacement","type":"article-journal","volume":"48"},"uris":["http://www.mendeley.com/documents/?uuid=8fad19d3-a7bb-4569-945d-5b6c4ba29a43"]}],"mendeley":{"formattedCitation":"&lt;sup&gt;21–23&lt;/sup&gt;","plainTextFormattedCitation":"21–23","previouslyFormattedCitation":"&lt;sup&gt;21–23&lt;/sup&gt;"},"properties":{"noteIndex":0},"schema":"https://github.com/citation-style-language/schema/raw/master/csl-citation.json"}</w:instrText>
      </w:r>
      <w:r w:rsidRPr="00006F88">
        <w:fldChar w:fldCharType="separate"/>
      </w:r>
      <w:r w:rsidR="00F11920" w:rsidRPr="00006F88">
        <w:rPr>
          <w:noProof/>
        </w:rPr>
        <w:t>21–23</w:t>
      </w:r>
      <w:r w:rsidRPr="00006F88">
        <w:fldChar w:fldCharType="end"/>
      </w:r>
      <w:r w:rsidR="00CD3338" w:rsidRPr="00446DFA">
        <w:t>]</w:t>
      </w:r>
      <w:r w:rsidRPr="00446DFA">
        <w:t>. The reactor vessel was placed on a laboratory platform rocker (VSR-50 PRO Scientific, Oxford, CT, USA) at a frequency of 5 RPM to create fluid motion minimizing dead-end zones in the system</w:t>
      </w:r>
      <w:r w:rsidR="0084309A" w:rsidRPr="00446DFA">
        <w:t xml:space="preserve"> and to mimic the mechanics of fluid within the knee joint </w:t>
      </w:r>
      <w:r w:rsidR="0084309A" w:rsidRPr="001F70B1">
        <w:t>[</w:t>
      </w:r>
      <w:r w:rsidR="0084309A" w:rsidRPr="00006F88">
        <w:fldChar w:fldCharType="begin" w:fldLock="1"/>
      </w:r>
      <w:r w:rsidR="00F11920" w:rsidRPr="00006F88">
        <w:instrText>ADDIN CSL_CITATION {"citationItems":[{"id":"ITEM-1","itemData":{"DOI":"10.1016/j.jbiomech.2011.09.005.Fluid","ISBN":"6176321972","ISSN":"15378276","PMID":"1000000221","author":[{"dropping-particle":"","family":"Mccarty","given":"William J.","non-dropping-particle":"","parse-names":false,"suffix":""},{"dropping-particle":"","family":"Masuda","given":"Koichi","non-dropping-particle":"","parse-names":false,"suffix":""},{"dropping-particle":"","family":"Sah","given":"Robert L.","non-dropping-particle":"","parse-names":false,"suffix":""}],"container-title":"J Biomech.","id":"ITEM-1","issue":"16","issued":{"date-parts":[["2011"]]},"page":"2761-2767","title":"Fluid movement and joint capsule strains due to flexion in rabbit knees","type":"article-journal","volume":"44"},"uris":["http://www.mendeley.com/documents/?uuid=fa4afc91-2404-4807-9a78-3fec6769fe95"]}],"mendeley":{"formattedCitation":"&lt;sup&gt;33&lt;/sup&gt;","plainTextFormattedCitation":"33","previouslyFormattedCitation":"&lt;sup&gt;33&lt;/sup&gt;"},"properties":{"noteIndex":0},"schema":"https://github.com/citation-style-language/schema/raw/master/csl-citation.json"}</w:instrText>
      </w:r>
      <w:r w:rsidR="0084309A" w:rsidRPr="00006F88">
        <w:fldChar w:fldCharType="separate"/>
      </w:r>
      <w:r w:rsidR="00F11920" w:rsidRPr="00006F88">
        <w:rPr>
          <w:noProof/>
        </w:rPr>
        <w:t>33</w:t>
      </w:r>
      <w:r w:rsidR="0084309A" w:rsidRPr="00006F88">
        <w:fldChar w:fldCharType="end"/>
      </w:r>
      <w:r w:rsidR="0084309A" w:rsidRPr="00446DFA">
        <w:t>]</w:t>
      </w:r>
      <w:r w:rsidRPr="00446DFA">
        <w:t xml:space="preserve">. The 75mL of full-strength Ringers solution was first added to the reactor vessel before antibiotic administration methods were applied. The pump was then activated to pump Ringers solution in and out of the reactor vessel at equal rates to maintain a constant volume of 75 </w:t>
      </w:r>
      <w:proofErr w:type="spellStart"/>
      <w:r w:rsidRPr="00446DFA">
        <w:t>mL.</w:t>
      </w:r>
      <w:proofErr w:type="spellEnd"/>
      <w:r w:rsidRPr="00446DFA">
        <w:t xml:space="preserve"> </w:t>
      </w:r>
    </w:p>
    <w:p w14:paraId="1D9292B4" w14:textId="45958080" w:rsidR="002E4A63" w:rsidRPr="00446DFA" w:rsidRDefault="00BA3143" w:rsidP="00BA3143">
      <w:pPr>
        <w:adjustRightInd w:val="0"/>
        <w:snapToGrid w:val="0"/>
        <w:spacing w:line="480" w:lineRule="auto"/>
        <w:rPr>
          <w:noProof w:val="0"/>
        </w:rPr>
      </w:pPr>
      <w:r w:rsidRPr="00446DFA">
        <w:rPr>
          <w:noProof w:val="0"/>
        </w:rPr>
        <w:lastRenderedPageBreak/>
        <w:t xml:space="preserve">            </w:t>
      </w:r>
      <w:r w:rsidR="002E4A63" w:rsidRPr="00446DFA">
        <w:drawing>
          <wp:inline distT="0" distB="0" distL="0" distR="0" wp14:anchorId="3658FEC2" wp14:editId="0F321CBD">
            <wp:extent cx="2700471" cy="1928990"/>
            <wp:effectExtent l="0" t="0" r="5080" b="1905"/>
            <wp:docPr id="7" name="Picture 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19679" cy="1942711"/>
                    </a:xfrm>
                    <a:prstGeom prst="rect">
                      <a:avLst/>
                    </a:prstGeom>
                  </pic:spPr>
                </pic:pic>
              </a:graphicData>
            </a:graphic>
          </wp:inline>
        </w:drawing>
      </w:r>
      <w:r w:rsidR="002E4A63" w:rsidRPr="00446DFA">
        <w:drawing>
          <wp:inline distT="0" distB="0" distL="0" distR="0" wp14:anchorId="10854459" wp14:editId="639BBAF5">
            <wp:extent cx="2615184" cy="1936801"/>
            <wp:effectExtent l="0" t="0" r="1270" b="0"/>
            <wp:docPr id="8" name="Picture 8"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table, sitting,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1859" cy="1941744"/>
                    </a:xfrm>
                    <a:prstGeom prst="rect">
                      <a:avLst/>
                    </a:prstGeom>
                  </pic:spPr>
                </pic:pic>
              </a:graphicData>
            </a:graphic>
          </wp:inline>
        </w:drawing>
      </w:r>
    </w:p>
    <w:p w14:paraId="1B12C4CE" w14:textId="387AF978" w:rsidR="002E4A63" w:rsidRPr="00446DFA" w:rsidRDefault="00BA3143" w:rsidP="00BA3143">
      <w:pPr>
        <w:pStyle w:val="MDPI51figurecaption"/>
        <w:ind w:left="425" w:right="425"/>
        <w:jc w:val="both"/>
      </w:pPr>
      <w:r w:rsidRPr="00446DFA">
        <w:rPr>
          <w:b/>
        </w:rPr>
        <w:t xml:space="preserve">Figure 7. </w:t>
      </w:r>
      <w:r w:rsidR="002E4A63" w:rsidRPr="00446DFA">
        <w:t xml:space="preserve">Schematic and real image of the </w:t>
      </w:r>
      <w:r w:rsidR="002E4A63" w:rsidRPr="00446DFA">
        <w:rPr>
          <w:i/>
        </w:rPr>
        <w:t>in vitro</w:t>
      </w:r>
      <w:r w:rsidR="002E4A63" w:rsidRPr="00446DFA">
        <w:t xml:space="preserve"> draining knee reactor system. The system was placed onto a VSR-50 laboratory platform rocker at a frequency of 5 RPM. Ringers solution was pumped into and out of the reactor vessel at flow rates derived from post-operative surgical drainage rates.</w:t>
      </w:r>
    </w:p>
    <w:p w14:paraId="389788D4" w14:textId="756BB93D" w:rsidR="0025516B" w:rsidRDefault="002E4A63" w:rsidP="0025516B">
      <w:pPr>
        <w:pStyle w:val="MDPI31text"/>
      </w:pPr>
      <w:r w:rsidRPr="00446DFA">
        <w:t xml:space="preserve">Once </w:t>
      </w:r>
      <w:r w:rsidR="0079756F" w:rsidRPr="00446DFA">
        <w:t xml:space="preserve">drainage </w:t>
      </w:r>
      <w:r w:rsidRPr="00446DFA">
        <w:t xml:space="preserve">flow was initiated, 2.5 mL of effluent samples were manually collected at 5 min, 10 min, 15 min, 20 min, 25 min, 30 min, 35 min, 40 min, 45 min, 50 min, 55 min, 1 </w:t>
      </w:r>
      <w:proofErr w:type="spellStart"/>
      <w:r w:rsidRPr="00446DFA">
        <w:t>hr</w:t>
      </w:r>
      <w:proofErr w:type="spellEnd"/>
      <w:r w:rsidRPr="00446DFA">
        <w:t xml:space="preserve">, 2 </w:t>
      </w:r>
      <w:proofErr w:type="spellStart"/>
      <w:r w:rsidRPr="00446DFA">
        <w:t>hrs</w:t>
      </w:r>
      <w:proofErr w:type="spellEnd"/>
      <w:r w:rsidRPr="00446DFA">
        <w:t xml:space="preserve">, 3 </w:t>
      </w:r>
      <w:proofErr w:type="spellStart"/>
      <w:r w:rsidRPr="00446DFA">
        <w:t>hrs</w:t>
      </w:r>
      <w:proofErr w:type="spellEnd"/>
      <w:r w:rsidRPr="00446DFA">
        <w:t xml:space="preserve">, 4 </w:t>
      </w:r>
      <w:proofErr w:type="spellStart"/>
      <w:r w:rsidRPr="00446DFA">
        <w:t>hrs</w:t>
      </w:r>
      <w:proofErr w:type="spellEnd"/>
      <w:r w:rsidRPr="00446DFA">
        <w:t xml:space="preserve">, 5 </w:t>
      </w:r>
      <w:proofErr w:type="spellStart"/>
      <w:r w:rsidRPr="00446DFA">
        <w:t>hrs</w:t>
      </w:r>
      <w:proofErr w:type="spellEnd"/>
      <w:r w:rsidRPr="00446DFA">
        <w:t xml:space="preserve">, 6 </w:t>
      </w:r>
      <w:proofErr w:type="spellStart"/>
      <w:r w:rsidRPr="00446DFA">
        <w:t>hrs</w:t>
      </w:r>
      <w:proofErr w:type="spellEnd"/>
      <w:r w:rsidRPr="00446DFA">
        <w:t xml:space="preserve">, 7 </w:t>
      </w:r>
      <w:proofErr w:type="spellStart"/>
      <w:r w:rsidRPr="00446DFA">
        <w:t>hrs</w:t>
      </w:r>
      <w:proofErr w:type="spellEnd"/>
      <w:r w:rsidRPr="00446DFA">
        <w:t xml:space="preserve">, 8 </w:t>
      </w:r>
      <w:proofErr w:type="spellStart"/>
      <w:r w:rsidRPr="00446DFA">
        <w:t>hrs</w:t>
      </w:r>
      <w:proofErr w:type="spellEnd"/>
      <w:r w:rsidRPr="00446DFA">
        <w:t xml:space="preserve">, 12 </w:t>
      </w:r>
      <w:proofErr w:type="spellStart"/>
      <w:r w:rsidRPr="00446DFA">
        <w:t>hrs</w:t>
      </w:r>
      <w:proofErr w:type="spellEnd"/>
      <w:r w:rsidRPr="00446DFA">
        <w:t xml:space="preserve">, 18 </w:t>
      </w:r>
      <w:proofErr w:type="spellStart"/>
      <w:r w:rsidRPr="00446DFA">
        <w:t>hrs</w:t>
      </w:r>
      <w:proofErr w:type="spellEnd"/>
      <w:r w:rsidRPr="00446DFA">
        <w:t xml:space="preserve">, 24 </w:t>
      </w:r>
      <w:proofErr w:type="spellStart"/>
      <w:r w:rsidRPr="00446DFA">
        <w:t>hrs</w:t>
      </w:r>
      <w:proofErr w:type="spellEnd"/>
      <w:r w:rsidRPr="00446DFA">
        <w:t>, and 48 hrs. The samples were stored at -20°C until ready for analysis when the samples were defrosted on ice to room temperature.</w:t>
      </w:r>
    </w:p>
    <w:p w14:paraId="40AE5CF6" w14:textId="77777777" w:rsidR="0025516B" w:rsidRPr="00446DFA" w:rsidRDefault="0025516B" w:rsidP="0025516B">
      <w:pPr>
        <w:pStyle w:val="MDPI31text"/>
      </w:pPr>
    </w:p>
    <w:p w14:paraId="03EC325A" w14:textId="77777777" w:rsidR="0025516B" w:rsidRPr="0025516B" w:rsidRDefault="00BA3143" w:rsidP="0025516B">
      <w:pPr>
        <w:pStyle w:val="MDPI23heading3"/>
      </w:pPr>
      <w:r w:rsidRPr="00446DFA">
        <w:t xml:space="preserve">4.2. </w:t>
      </w:r>
      <w:r w:rsidR="002E4A63" w:rsidRPr="00006F88">
        <w:rPr>
          <w:iCs/>
        </w:rPr>
        <w:t xml:space="preserve">Preparation of </w:t>
      </w:r>
      <w:r w:rsidR="002E4A63" w:rsidRPr="0025516B">
        <w:t>Antibiotic Vehicles</w:t>
      </w:r>
    </w:p>
    <w:p w14:paraId="727D6C8A" w14:textId="22D5ECDA" w:rsidR="0025516B" w:rsidRPr="00446DFA" w:rsidRDefault="00A12322" w:rsidP="0025516B">
      <w:pPr>
        <w:pStyle w:val="MDPI23heading3"/>
      </w:pPr>
      <w:r w:rsidRPr="0025516B">
        <w:t xml:space="preserve">For our antibiotic choice we used </w:t>
      </w:r>
      <w:r w:rsidR="00FC6CE0" w:rsidRPr="0025516B">
        <w:t xml:space="preserve">vancomycin (VAN) and tobramycin (TOB) </w:t>
      </w:r>
      <w:r w:rsidR="00006F88" w:rsidRPr="0025516B">
        <w:t>as</w:t>
      </w:r>
      <w:r w:rsidR="00FC6CE0" w:rsidRPr="0025516B">
        <w:t xml:space="preserve"> these antibiotics are commonly mixed into bone cement and absorbable beads in revision surgery to provide locally</w:t>
      </w:r>
      <w:r w:rsidR="00FC6CE0" w:rsidRPr="00FC6CE0">
        <w:rPr>
          <w:iCs/>
        </w:rPr>
        <w:t xml:space="preserve"> high concentrations </w:t>
      </w:r>
      <w:r w:rsidR="00FC6CE0">
        <w:rPr>
          <w:iCs/>
        </w:rPr>
        <w:t>over suffecient time to control biofilm bacteri</w:t>
      </w:r>
      <w:r w:rsidR="00FC6CE0" w:rsidRPr="00006F88">
        <w:rPr>
          <w:iCs/>
        </w:rPr>
        <w:t>a [</w:t>
      </w:r>
      <w:r w:rsidR="00006F88" w:rsidRPr="00006F88">
        <w:rPr>
          <w:i/>
          <w:iCs/>
        </w:rPr>
        <w:fldChar w:fldCharType="begin" w:fldLock="1"/>
      </w:r>
      <w:r w:rsidR="00006F88" w:rsidRPr="00006F88">
        <w:rPr>
          <w:iCs/>
        </w:rPr>
        <w:instrText>ADDIN CSL_CITATION {"citationItems":[{"id":"ITEM-1","itemData":{"author":[{"dropping-particle":"","family":"K.","given":"Anagnostakos","non-dropping-particle":"","parse-names":false,"suffix":""}],"container-title":"Orthopedics","id":"ITEM-1","issued":{"date-parts":[["2014"]]},"page":"297-298","title":"What do we (not) know about antibiotic-loaded hip spacers?","type":"article-journal","volume":"37"},"uris":["http://www.mendeley.com/documents/?uuid=6f1b9801-31e5-4042-b03b-263a02d493e7"]},{"id":"ITEM-2","itemData":{"DOI":"10.1302/2046-3758.710.BJR-2017-0319.R1","ISSN":"20463758","abstract":"Aims :calcium sulphate has traditionally been used as a filler of dead space arising during surgery. Various complications have been described following the use of stimulan bio-absorbable calcium sulphate beads. This study is a prospective observational study to assess the safety profile of these beads when used in revision arthroplasty, comparing the complication rates with those reported in the literature. Methods: A total of 755 patients who underwent 456 revision total knee arthroplasties (TKA) and 299 revision total hip arthroplasties (THA), with a mean follow-up of 35 months (0 to 78) were included in the study. Results: A total of 32 patients (4.2%) had wound drainage, and this was higher with higher bead volumes and in Mcpherson grade c patients. There was also a significantly higher bead volume in the 41 patients who developed hypercalcaemia, two of which were symptomatic (p &lt; 0.0001). A total of 13 patients (1.7%) had heterotopic ossification (Ho). There was no statistically significant relationship between the development of Ho and bead volume (p &gt; 0.05). Conclusion: The strength of this study lies in the large number of patients and the detailed data collection, making it the most comprehensive report available in the literature on the use of calcium sulphate-based bone substitutes.","author":[{"dropping-particle":"","family":"Kallala","given":"R.","non-dropping-particle":"","parse-names":false,"suffix":""},{"dropping-particle":"","family":"Edwin Harris","given":"W.","non-dropping-particle":"","parse-names":false,"suffix":""},{"dropping-particle":"","family":"Ibrahim","given":"M.","non-dropping-particle":"","parse-names":false,"suffix":""},{"dropping-particle":"","family":"Dipane","given":"M.","non-dropping-particle":"","parse-names":false,"suffix":""},{"dropping-particle":"","family":"McPherson","given":"E.","non-dropping-particle":"","parse-names":false,"suffix":""}],"container-title":"Bone and Joint Research","id":"ITEM-2","issue":"10","issued":{"date-parts":[["2018"]]},"page":"570-579","title":"Use of stimulan absorbable calcium sulphate beads in revision lower limb arthroplasty","type":"article-journal","volume":"7"},"uris":["http://www.mendeley.com/documents/?uuid=df69ce84-b279-4c7c-9468-721925a0778f"]},{"id":"ITEM-3","itemData":{"DOI":"10.1155/2017/4657874","ISSN":"2314-6133","abstract":"Knowledge about the elution from antibiotic-loaded cement spacers is an indispensable premise for guarantee of clinical success. A systematic literature search was performed through PubMed. Search terms were &amp;#x201c;antibiotic elution&amp;#x201d; and &amp;#x201c;antibiotic release&amp;#x201d; in combination with &amp;#x201c;spacer,&amp;#x201d; &amp;#x201c;hip spacer,&amp;#x201d; and &amp;#x201c;knee spacer,&amp;#x201d; respectively. A total of 11 studies could be identified. Seven studies reported on the release of antibiotics after spacer implantation, three studies at spacer removal, and one study on both time points. Seven studies reported on hip spacers, one study on knee spacers, and three studies on both. In eight studies, custom-made spacers have been implanted and in three prefabricated ones. In the majority of the studies, the cement has been loaded with an antibiotic combination, mostly consisting of aminoglycoside (either gentamicin or tobramycin) and vancomycin. Measured concentrations exceeded the minimal inhibitory concentration of the particular pathogen organisms in each case. However, large discrepancies were observed with regard to the height of the antibiotic concentration depending on the antibiotic combination and the antibiotic ratio used. Current literature data indicate a sufficient elution of antibiotics after spacer implantation and at spacer removal, respectively. Future studies are required to optimize the local antibiotic therapy at the site of spacer implantation.","author":[{"dropping-particle":"","family":"Anagnostakos","given":"Konstantinos","non-dropping-particle":"","parse-names":false,"suffix":""},{"dropping-particle":"","family":"Meyer","given":"Christof","non-dropping-particle":"","parse-names":false,"suffix":""}],"container-title":"BioMed Research International","editor":[{"dropping-particle":"","family":"Omri","given":"Abdelwahab","non-dropping-particle":"","parse-names":false,"suffix":""}],"id":"ITEM-3","issued":{"date-parts":[["2017"]]},"page":"4657874","publisher":"Hindawi","title":"Antibiotic Elution from Hip and Knee Acrylic Bone Cement Spacers: A Systematic Review","type":"article-journal","volume":"2017"},"uris":["http://www.mendeley.com/documents/?uuid=c6c7d812-527e-423c-a24f-ebf01721d9f9"]}],"mendeley":{"formattedCitation":"&lt;sup&gt;6,34,35&lt;/sup&gt;","plainTextFormattedCitation":"6,34,35","previouslyFormattedCitation":"&lt;sup&gt;6,34&lt;/sup&gt;"},"properties":{"noteIndex":0},"schema":"https://github.com/citation-style-language/schema/raw/master/csl-citation.json"}</w:instrText>
      </w:r>
      <w:r w:rsidR="00006F88" w:rsidRPr="00006F88">
        <w:rPr>
          <w:i/>
          <w:iCs/>
        </w:rPr>
        <w:fldChar w:fldCharType="separate"/>
      </w:r>
      <w:r w:rsidR="00006F88" w:rsidRPr="00006F88">
        <w:rPr>
          <w:iCs/>
        </w:rPr>
        <w:t>6,34,35</w:t>
      </w:r>
      <w:r w:rsidR="00006F88" w:rsidRPr="00006F88">
        <w:rPr>
          <w:i/>
          <w:iCs/>
        </w:rPr>
        <w:fldChar w:fldCharType="end"/>
      </w:r>
      <w:r w:rsidR="00FC6CE0" w:rsidRPr="00FC6CE0">
        <w:rPr>
          <w:iCs/>
        </w:rPr>
        <w:t>].</w:t>
      </w:r>
      <w:r w:rsidR="0025516B">
        <w:rPr>
          <w:i/>
          <w:iCs/>
        </w:rPr>
        <w:br/>
      </w:r>
    </w:p>
    <w:p w14:paraId="2DCB6693" w14:textId="21C30270" w:rsidR="002E4A63" w:rsidRPr="00446DFA" w:rsidRDefault="00BA3143" w:rsidP="00BA3143">
      <w:pPr>
        <w:pStyle w:val="MDPI23heading3"/>
      </w:pPr>
      <w:r w:rsidRPr="00446DFA">
        <w:t xml:space="preserve">4.2.1. </w:t>
      </w:r>
      <w:r w:rsidR="002E4A63" w:rsidRPr="00446DFA">
        <w:t xml:space="preserve">Preparation of Antibiotic Loaded Calcium Sulfate Beads </w:t>
      </w:r>
    </w:p>
    <w:p w14:paraId="5BA4F7A8" w14:textId="57438B98" w:rsidR="002E4A63" w:rsidRPr="00446DFA" w:rsidRDefault="002E4A63" w:rsidP="00BA3143">
      <w:pPr>
        <w:pStyle w:val="MDPI31text"/>
      </w:pPr>
      <w:r w:rsidRPr="00446DFA">
        <w:rPr>
          <w:rFonts w:eastAsia="Cambria Math"/>
        </w:rPr>
        <w:t>Antibiotic loaded calcium sulfate beads (</w:t>
      </w:r>
      <w:proofErr w:type="spellStart"/>
      <w:r w:rsidRPr="00446DFA">
        <w:rPr>
          <w:rFonts w:eastAsia="Cambria Math"/>
        </w:rPr>
        <w:t>CSB</w:t>
      </w:r>
      <w:r w:rsidRPr="00446DFA">
        <w:rPr>
          <w:rFonts w:eastAsia="Cambria Math"/>
          <w:vertAlign w:val="subscript"/>
        </w:rPr>
        <w:t>v+t</w:t>
      </w:r>
      <w:proofErr w:type="spellEnd"/>
      <w:r w:rsidRPr="00446DFA">
        <w:rPr>
          <w:rFonts w:eastAsia="Cambria Math"/>
        </w:rPr>
        <w:t xml:space="preserve">) of size 4.8 mm were prepared using </w:t>
      </w:r>
      <w:r w:rsidRPr="00446DFA">
        <w:t>Stimulan</w:t>
      </w:r>
      <w:r w:rsidRPr="00446DFA">
        <w:rPr>
          <w:shd w:val="clear" w:color="auto" w:fill="F9F9F9"/>
          <w:vertAlign w:val="superscript"/>
        </w:rPr>
        <w:t>®</w:t>
      </w:r>
      <w:r w:rsidRPr="00446DFA">
        <w:rPr>
          <w:shd w:val="clear" w:color="auto" w:fill="F9F9F9"/>
        </w:rPr>
        <w:t xml:space="preserve"> Rapid Cure (SRC) </w:t>
      </w:r>
      <w:r w:rsidRPr="00446DFA">
        <w:t xml:space="preserve">(Biocomposites Ltd, Staffordshire, </w:t>
      </w:r>
      <w:r w:rsidR="00F75E34">
        <w:t>UK</w:t>
      </w:r>
      <w:r w:rsidRPr="00446DFA">
        <w:t>)</w:t>
      </w:r>
      <w:r w:rsidRPr="00446DFA">
        <w:rPr>
          <w:rFonts w:eastAsia="Cambria Math"/>
        </w:rPr>
        <w:t xml:space="preserve"> 10-cc mixing kits. 20g of CaSO</w:t>
      </w:r>
      <w:r w:rsidRPr="00446DFA">
        <w:rPr>
          <w:rFonts w:eastAsia="Cambria Math"/>
          <w:vertAlign w:val="subscript"/>
        </w:rPr>
        <w:t>4</w:t>
      </w:r>
      <w:r w:rsidRPr="00446DFA">
        <w:rPr>
          <w:rFonts w:eastAsia="Cambria Math"/>
        </w:rPr>
        <w:t xml:space="preserve"> SRC powder was combined with </w:t>
      </w:r>
      <w:r w:rsidRPr="00446DFA">
        <w:t>240mg Tobramycin Sulfate (TOB) (Gold Biotechnology Inc., MO, USA) and 1000mg Vancomycin Hydrochloride (VAN) (Gold Biotechnology Inc., MO, USA</w:t>
      </w:r>
      <w:r w:rsidRPr="00D67B6B">
        <w:t xml:space="preserve">) </w:t>
      </w:r>
      <w:r w:rsidR="00CD3338" w:rsidRPr="00006F88">
        <w:t>[</w:t>
      </w:r>
      <w:r w:rsidRPr="00006F88">
        <w:fldChar w:fldCharType="begin" w:fldLock="1"/>
      </w:r>
      <w:r w:rsidR="00006F88" w:rsidRPr="00006F88">
        <w:instrText>ADDIN CSL_CITATION {"citationItems":[{"id":"ITEM-1","itemData":{"id":"ITEM-1","issued":{"date-parts":[["2019"]]},"publisher":"Biocomposites Ltd.","publisher-place":"Keele; Staffordshire; England","title":"Stimulan® Rapid Cure: Instructions for Use.","type":"article"},"uris":["http://www.mendeley.com/documents/?uuid=0858ba1c-742c-4cb5-8167-2354f203c80d"]}],"mendeley":{"formattedCitation":"&lt;sup&gt;36&lt;/sup&gt;","plainTextFormattedCitation":"36","previouslyFormattedCitation":"&lt;sup&gt;35&lt;/sup&gt;"},"properties":{"noteIndex":0},"schema":"https://github.com/citation-style-language/schema/raw/master/csl-citation.json"}</w:instrText>
      </w:r>
      <w:r w:rsidRPr="00006F88">
        <w:fldChar w:fldCharType="separate"/>
      </w:r>
      <w:r w:rsidR="00006F88" w:rsidRPr="00006F88">
        <w:rPr>
          <w:noProof/>
        </w:rPr>
        <w:t>36</w:t>
      </w:r>
      <w:r w:rsidRPr="00006F88">
        <w:fldChar w:fldCharType="end"/>
      </w:r>
      <w:r w:rsidR="00CD3338" w:rsidRPr="00446DFA">
        <w:t>]</w:t>
      </w:r>
      <w:r w:rsidRPr="00446DFA">
        <w:t xml:space="preserve">. After combining the dry components, 6mL of the liquid mixing solution, included in the kit, was added. All components were stirred for 30s until the materials came together as a paste, which was transferred and pressed into a mold mat (Biocomposites Ltd, Staffordshire, </w:t>
      </w:r>
      <w:r w:rsidR="00F75E34">
        <w:t>UK</w:t>
      </w:r>
      <w:r w:rsidRPr="00446DFA">
        <w:t>). The paste was set for 10-15 minutes at 20</w:t>
      </w:r>
      <w:r w:rsidRPr="00446DFA">
        <w:sym w:font="Symbol" w:char="F0B0"/>
      </w:r>
      <w:r w:rsidRPr="00446DFA">
        <w:t xml:space="preserve">C before being removed as solid beads and added to the reactor system. </w:t>
      </w:r>
    </w:p>
    <w:p w14:paraId="62BDCBC2" w14:textId="6B837C7A" w:rsidR="002E4A63" w:rsidRPr="00446DFA" w:rsidRDefault="00BA3143" w:rsidP="00BA3143">
      <w:pPr>
        <w:pStyle w:val="MDPI23heading3"/>
        <w:spacing w:before="240"/>
      </w:pPr>
      <w:r w:rsidRPr="00446DFA">
        <w:t xml:space="preserve">4.2.2. </w:t>
      </w:r>
      <w:r w:rsidR="002E4A63" w:rsidRPr="00446DFA">
        <w:t>Preparation of Antibiotic Loaded and Unloaded</w:t>
      </w:r>
      <w:r w:rsidR="002E4A63" w:rsidRPr="00446DFA">
        <w:rPr>
          <w:shd w:val="clear" w:color="auto" w:fill="F9F9F9"/>
          <w:vertAlign w:val="superscript"/>
        </w:rPr>
        <w:t xml:space="preserve"> </w:t>
      </w:r>
      <w:r w:rsidR="002E4A63" w:rsidRPr="00446DFA">
        <w:rPr>
          <w:rFonts w:eastAsia="Cambria Math"/>
          <w:lang w:eastAsia="ja-JP"/>
        </w:rPr>
        <w:t>Polymethylmethacrylate (PMMA) Bone Cement Space Mimics</w:t>
      </w:r>
    </w:p>
    <w:p w14:paraId="51A30188" w14:textId="6AC88B55" w:rsidR="002E4A63" w:rsidRPr="00446DFA" w:rsidRDefault="002E4A63" w:rsidP="00BA3143">
      <w:pPr>
        <w:pStyle w:val="MDPI31text"/>
      </w:pPr>
      <w:r w:rsidRPr="00446DFA">
        <w:rPr>
          <w:rFonts w:eastAsia="Cambria Math"/>
        </w:rPr>
        <w:t xml:space="preserve">PMMA bone cement spacer mimics were prepared using </w:t>
      </w:r>
      <w:r w:rsidRPr="00446DFA">
        <w:t>Simplex</w:t>
      </w:r>
      <w:r w:rsidRPr="00446DFA">
        <w:rPr>
          <w:shd w:val="clear" w:color="auto" w:fill="F9F9F9"/>
          <w:vertAlign w:val="superscript"/>
        </w:rPr>
        <w:sym w:font="Symbol" w:char="F0D4"/>
      </w:r>
      <w:r w:rsidRPr="00446DFA">
        <w:t xml:space="preserve"> P </w:t>
      </w:r>
      <w:proofErr w:type="spellStart"/>
      <w:r w:rsidRPr="00446DFA">
        <w:t>SpeedSet</w:t>
      </w:r>
      <w:proofErr w:type="spellEnd"/>
      <w:r w:rsidRPr="00446DFA">
        <w:rPr>
          <w:shd w:val="clear" w:color="auto" w:fill="F9F9F9"/>
          <w:vertAlign w:val="superscript"/>
        </w:rPr>
        <w:sym w:font="Symbol" w:char="F0D4"/>
      </w:r>
      <w:r w:rsidRPr="00446DFA">
        <w:t xml:space="preserve"> Radiopaque Bone Cement construction kits (Stryker</w:t>
      </w:r>
      <w:r w:rsidRPr="00446DFA">
        <w:rPr>
          <w:shd w:val="clear" w:color="auto" w:fill="F9F9F9"/>
          <w:vertAlign w:val="superscript"/>
        </w:rPr>
        <w:t>®</w:t>
      </w:r>
      <w:r w:rsidRPr="00446DFA">
        <w:t xml:space="preserve"> </w:t>
      </w:r>
      <w:proofErr w:type="spellStart"/>
      <w:r w:rsidRPr="00446DFA">
        <w:t>Howmedica</w:t>
      </w:r>
      <w:proofErr w:type="spellEnd"/>
      <w:r w:rsidRPr="00446DFA">
        <w:t xml:space="preserve"> </w:t>
      </w:r>
      <w:proofErr w:type="spellStart"/>
      <w:r w:rsidRPr="00446DFA">
        <w:t>Osteonics</w:t>
      </w:r>
      <w:proofErr w:type="spellEnd"/>
      <w:r w:rsidRPr="00446DFA">
        <w:t xml:space="preserve">, NJ, USA). </w:t>
      </w:r>
      <w:r w:rsidRPr="00446DFA">
        <w:rPr>
          <w:rFonts w:eastAsia="Cambria Math"/>
        </w:rPr>
        <w:t>Each unloaded spacer (</w:t>
      </w:r>
      <w:proofErr w:type="spellStart"/>
      <w:r w:rsidRPr="00446DFA">
        <w:rPr>
          <w:rFonts w:eastAsia="Cambria Math"/>
        </w:rPr>
        <w:t>Spacer</w:t>
      </w:r>
      <w:r w:rsidRPr="00446DFA">
        <w:rPr>
          <w:rFonts w:eastAsia="Cambria Math"/>
          <w:vertAlign w:val="subscript"/>
        </w:rPr>
        <w:t>u</w:t>
      </w:r>
      <w:proofErr w:type="spellEnd"/>
      <w:r w:rsidRPr="00446DFA">
        <w:rPr>
          <w:rFonts w:eastAsia="Cambria Math"/>
        </w:rPr>
        <w:t xml:space="preserve">) was prepared combining 40g of </w:t>
      </w:r>
      <w:r w:rsidRPr="00446DFA">
        <w:t>Simplex</w:t>
      </w:r>
      <w:r w:rsidRPr="00446DFA">
        <w:rPr>
          <w:shd w:val="clear" w:color="auto" w:fill="F9F9F9"/>
          <w:vertAlign w:val="superscript"/>
        </w:rPr>
        <w:sym w:font="Symbol" w:char="F0D4"/>
      </w:r>
      <w:r w:rsidRPr="00446DFA">
        <w:rPr>
          <w:rFonts w:eastAsia="Cambria Math"/>
        </w:rPr>
        <w:t xml:space="preserve"> PMMA bone cement powder and 20mL of the methyl methacrylate liquid monomer included in the kit. The contents were mixed into a uniform paste that was added to a circular silicone mold mat of 3.45 cm in diameter </w:t>
      </w:r>
      <w:r w:rsidRPr="00446DFA">
        <w:t>(</w:t>
      </w:r>
      <w:proofErr w:type="spellStart"/>
      <w:r w:rsidRPr="00446DFA">
        <w:t>Silikomart</w:t>
      </w:r>
      <w:proofErr w:type="spellEnd"/>
      <w:r w:rsidRPr="00446DFA">
        <w:t xml:space="preserve"> Professional Silicone Baking Mold, Cylinder 6 Cavities, Amazon, WA)</w:t>
      </w:r>
      <w:r w:rsidRPr="00446DFA">
        <w:rPr>
          <w:rFonts w:eastAsia="Cambria Math"/>
        </w:rPr>
        <w:t xml:space="preserve">. The spacers were removed after approximately 30 min at </w:t>
      </w:r>
      <w:r w:rsidRPr="00446DFA">
        <w:t>20</w:t>
      </w:r>
      <w:r w:rsidRPr="00446DFA">
        <w:sym w:font="Symbol" w:char="F0B0"/>
      </w:r>
      <w:r w:rsidRPr="00446DFA">
        <w:t>C</w:t>
      </w:r>
      <w:r w:rsidRPr="00D67B6B">
        <w:t xml:space="preserve"> </w:t>
      </w:r>
      <w:r w:rsidR="00CD3338" w:rsidRPr="00006F88">
        <w:t>[</w:t>
      </w:r>
      <w:r w:rsidRPr="00006F88">
        <w:fldChar w:fldCharType="begin" w:fldLock="1"/>
      </w:r>
      <w:r w:rsidR="00006F88" w:rsidRPr="00006F88">
        <w:instrText>ADDIN CSL_CITATION {"citationItems":[{"id":"ITEM-1","itemData":{"id":"ITEM-1","issued":{"date-parts":[["2006"]]},"publisher":"26. Stryker® Howmedica Osteonics Corporation","publisher-place":"Mahwah, NJ, USA","title":"Simplex™ P SpeedSet™ Radiopaque Bone Cement: Instructions for Use","type":"article"},"uris":["http://www.mendeley.com/documents/?uuid=638a48e5-df44-4047-8824-47dc8ee24a2e"]}],"mendeley":{"formattedCitation":"&lt;sup&gt;37&lt;/sup&gt;","plainTextFormattedCitation":"37","previouslyFormattedCitation":"&lt;sup&gt;36&lt;/sup&gt;"},"properties":{"noteIndex":0},"schema":"https://github.com/citation-style-language/schema/raw/master/csl-citation.json"}</w:instrText>
      </w:r>
      <w:r w:rsidRPr="00006F88">
        <w:fldChar w:fldCharType="separate"/>
      </w:r>
      <w:r w:rsidR="00006F88" w:rsidRPr="00006F88">
        <w:rPr>
          <w:noProof/>
        </w:rPr>
        <w:t>37</w:t>
      </w:r>
      <w:r w:rsidRPr="00006F88">
        <w:fldChar w:fldCharType="end"/>
      </w:r>
      <w:r w:rsidR="00CD3338" w:rsidRPr="00446DFA">
        <w:t>]</w:t>
      </w:r>
      <w:r w:rsidRPr="00446DFA">
        <w:rPr>
          <w:rFonts w:eastAsia="Cambria Math"/>
        </w:rPr>
        <w:t xml:space="preserve">. The antibiotic </w:t>
      </w:r>
      <w:r w:rsidRPr="00446DFA">
        <w:t>loaded spacer (</w:t>
      </w:r>
      <w:proofErr w:type="spellStart"/>
      <w:r w:rsidRPr="00446DFA">
        <w:t>Spacer</w:t>
      </w:r>
      <w:r w:rsidRPr="00446DFA">
        <w:rPr>
          <w:vertAlign w:val="subscript"/>
        </w:rPr>
        <w:t>v+t</w:t>
      </w:r>
      <w:proofErr w:type="spellEnd"/>
      <w:r w:rsidRPr="00446DFA">
        <w:t xml:space="preserve">) was prepared using the same </w:t>
      </w:r>
      <w:proofErr w:type="gramStart"/>
      <w:r w:rsidRPr="00446DFA">
        <w:t>protocol, but</w:t>
      </w:r>
      <w:proofErr w:type="gramEnd"/>
      <w:r w:rsidRPr="00446DFA">
        <w:t xml:space="preserve"> included adding 2g VAN and 2g TOB to the dry mixture before adding the liquid monomer similar to the </w:t>
      </w:r>
      <w:proofErr w:type="spellStart"/>
      <w:r w:rsidRPr="00446DFA">
        <w:t>CSB</w:t>
      </w:r>
      <w:r w:rsidRPr="00446DFA">
        <w:rPr>
          <w:rFonts w:eastAsia="Cambria Math"/>
          <w:vertAlign w:val="subscript"/>
        </w:rPr>
        <w:t>v+t</w:t>
      </w:r>
      <w:proofErr w:type="spellEnd"/>
      <w:r w:rsidRPr="00446DFA">
        <w:t xml:space="preserve"> procedure above. </w:t>
      </w:r>
    </w:p>
    <w:p w14:paraId="757E97B8" w14:textId="5360411F" w:rsidR="002E4A63" w:rsidRPr="00446DFA" w:rsidRDefault="00BA3143" w:rsidP="00BA3143">
      <w:pPr>
        <w:pStyle w:val="MDPI23heading3"/>
        <w:spacing w:before="240"/>
      </w:pPr>
      <w:r w:rsidRPr="00446DFA">
        <w:lastRenderedPageBreak/>
        <w:t xml:space="preserve">4.2.3. </w:t>
      </w:r>
      <w:r w:rsidR="002E4A63" w:rsidRPr="00446DFA">
        <w:t xml:space="preserve">Preparation of Vancomycin Powder Bolus (VP) </w:t>
      </w:r>
    </w:p>
    <w:p w14:paraId="5AB4B42D" w14:textId="3D80F384" w:rsidR="002E4A63" w:rsidRPr="00446DFA" w:rsidRDefault="002E4A63" w:rsidP="00BA3143">
      <w:pPr>
        <w:pStyle w:val="MDPI31text"/>
      </w:pPr>
      <w:r w:rsidRPr="00446DFA">
        <w:t xml:space="preserve">A VAN bolus of 1000 mg VAN powder (VP) was weighed out and directly poured into the reactor system immediately before initiating flow. </w:t>
      </w:r>
    </w:p>
    <w:p w14:paraId="61711B48" w14:textId="35A219A7" w:rsidR="002E4A63" w:rsidRPr="00446DFA" w:rsidRDefault="00BA3143" w:rsidP="00BA3143">
      <w:pPr>
        <w:pStyle w:val="MDPI22heading2"/>
        <w:spacing w:before="240"/>
      </w:pPr>
      <w:r w:rsidRPr="00446DFA">
        <w:t xml:space="preserve">4.3. </w:t>
      </w:r>
      <w:r w:rsidR="002E4A63" w:rsidRPr="00446DFA">
        <w:t>Methods of Antibiotic Administration</w:t>
      </w:r>
    </w:p>
    <w:p w14:paraId="1DAFA730" w14:textId="335448CF" w:rsidR="002E4A63" w:rsidRPr="00446DFA" w:rsidRDefault="002E4A63" w:rsidP="00BA3143">
      <w:pPr>
        <w:pStyle w:val="MDPI31text"/>
      </w:pPr>
      <w:r w:rsidRPr="00446DFA">
        <w:t>Three different methods of antibiotic administration were studied: a) an antibiotic-loaded spacer alone, b) an antibiotic-loaded spacer and antibiotic-loaded CSB, and c) an unloaded spacer and vancomycin powder bolus (VP). For the latter, the unloaded spacer was used to ensure similarity in volume and liquid levels between the three experimental arms. Each arm was performed in three independent replicates.</w:t>
      </w:r>
    </w:p>
    <w:p w14:paraId="76ADACAF" w14:textId="48FF3F6C" w:rsidR="002E4A63" w:rsidRPr="00446DFA" w:rsidRDefault="00BA3143" w:rsidP="00BA3143">
      <w:pPr>
        <w:pStyle w:val="MDPI22heading2"/>
        <w:spacing w:before="240"/>
      </w:pPr>
      <w:r w:rsidRPr="00446DFA">
        <w:t xml:space="preserve">4.4. </w:t>
      </w:r>
      <w:r w:rsidR="002E4A63" w:rsidRPr="00446DFA">
        <w:t>Liquid Chromatography Mass Spectrometry (LCMS)</w:t>
      </w:r>
    </w:p>
    <w:p w14:paraId="028F23C5" w14:textId="3A6A8E6F" w:rsidR="002E4A63" w:rsidRPr="00446DFA" w:rsidRDefault="002E4A63" w:rsidP="00BA3143">
      <w:pPr>
        <w:pStyle w:val="MDPI31text"/>
      </w:pPr>
      <w:bookmarkStart w:id="5" w:name="_Hlk60991313"/>
      <w:r w:rsidRPr="00446DFA">
        <w:t xml:space="preserve">Quantification of antibiotics was developed using a single quadrupole mass spectrometer coupled to a 1260 infinity II series liquid chromatography stack (LCMS) (Agilent Technologies. Inc, USA). Liquid chromatography separation was conducted with a </w:t>
      </w:r>
      <w:proofErr w:type="spellStart"/>
      <w:r w:rsidRPr="00446DFA">
        <w:t>Poroshell</w:t>
      </w:r>
      <w:proofErr w:type="spellEnd"/>
      <w:r w:rsidRPr="00446DFA">
        <w:t xml:space="preserve"> 120-SB-C18 column (21. X 100mm, 2.17µm) (Agilent Technologies, Inc, USA).  Determination of vancomycin and tobramycin concentrations were assessed based on an adaptation of a previously published method</w:t>
      </w:r>
      <w:r w:rsidRPr="00A00F57">
        <w:t xml:space="preserve"> </w:t>
      </w:r>
      <w:r w:rsidR="00CD3338" w:rsidRPr="00006F88">
        <w:t>[</w:t>
      </w:r>
      <w:r w:rsidRPr="00006F88">
        <w:fldChar w:fldCharType="begin" w:fldLock="1"/>
      </w:r>
      <w:r w:rsidR="00006F88" w:rsidRPr="00006F88">
        <w:instrText>ADDIN CSL_CITATION {"citationItems":[{"id":"ITEM-1","itemData":{"DOI":"10.1177/0885328216663392","ISSN":"15308022","PMID":"27511982","abstract":"The aim of this study was to characterise the elution profiles of antibiotics in combination with pharmaceutical grade calcium sulphate beads in phosphate buffered saline and other physiological solutions which more closely mimic the in vivo environment. Synthetic recrystallised calcium sulphate was combined with vancomycin hydrochloride powder and tobramycin sulphate solution and the paste was formed into 3 mm diameter hemispherical beads. Then 2 g of beads were immersed in 2 ml of either phosphate buffered saline, Dulbecco's Modified Eagle Medium or Hartmann's solution and incubated at 37°C for up to 21 days. At a range of time points, eluent was removed for analysis by liquid chromatography-mass spectrometry (LC-MS). Tobramycin sulphate and vancomycin hydrochloride release was successfully quantified against standard curves from solutions eluted in all three physiological media (phosphate buffered saline, Dulbecco's Modified Eagle Medium and Hartmann's solution) during incubation with calcium sulphate beads. One hour eluate concentrations were high, up to 2602 μg/ml for tobramycin in phosphate buffered saline and 7417 μg/ml for vancomycin, whereas in DMEM, the levels of tobramycin were 2458 μg/ml and 4401 μg/ml for vancomycin. The levels in HRT were 2354 μg/ml for tobramycin and 5948 μg/ml for vancomycin. The results show highest levels of antibiotic elution over the first 24 h, which gradually diminish over the following 21 days.","author":[{"dropping-particle":"","family":"Cooper","given":"J. J.","non-dropping-particle":"","parse-names":false,"suffix":""},{"dropping-particle":"","family":"Florance","given":"H.","non-dropping-particle":"","parse-names":false,"suffix":""},{"dropping-particle":"","family":"McKinnon","given":"J. L.","non-dropping-particle":"","parse-names":false,"suffix":""},{"dropping-particle":"","family":"Laycock","given":"P. A.","non-dropping-particle":"","parse-names":false,"suffix":""},{"dropping-particle":"","family":"Aiken","given":"S. S.","non-dropping-particle":"","parse-names":false,"suffix":""}],"container-title":"Journal of Biomaterials Applications","id":"ITEM-1","issue":"3","issued":{"date-parts":[["2016"]]},"page":"357-365","title":"Elution profiles of tobramycin and vancomycin from high-purity calcium sulphate beads incubated in a range of simulated body fluids","type":"article-journal","volume":"31"},"uris":["http://www.mendeley.com/documents/?uuid=29dd15ba-33b2-43f0-b97d-586866ba2ef5"]}],"mendeley":{"formattedCitation":"&lt;sup&gt;38&lt;/sup&gt;","plainTextFormattedCitation":"38","previouslyFormattedCitation":"&lt;sup&gt;37&lt;/sup&gt;"},"properties":{"noteIndex":0},"schema":"https://github.com/citation-style-language/schema/raw/master/csl-citation.json"}</w:instrText>
      </w:r>
      <w:r w:rsidRPr="00006F88">
        <w:fldChar w:fldCharType="separate"/>
      </w:r>
      <w:r w:rsidR="00006F88" w:rsidRPr="00006F88">
        <w:rPr>
          <w:noProof/>
        </w:rPr>
        <w:t>38</w:t>
      </w:r>
      <w:r w:rsidRPr="00006F88">
        <w:fldChar w:fldCharType="end"/>
      </w:r>
      <w:r w:rsidR="00CD3338" w:rsidRPr="00446DFA">
        <w:t>]</w:t>
      </w:r>
      <w:r w:rsidRPr="00446DFA">
        <w:t>.</w:t>
      </w:r>
      <w:bookmarkEnd w:id="5"/>
    </w:p>
    <w:p w14:paraId="514DA712" w14:textId="5DE0F623" w:rsidR="00476B8E" w:rsidRDefault="00BA3143" w:rsidP="00BA3143">
      <w:pPr>
        <w:pStyle w:val="MDPI22heading2"/>
        <w:spacing w:before="240"/>
        <w:rPr>
          <w:bCs/>
        </w:rPr>
      </w:pPr>
      <w:r w:rsidRPr="00446DFA">
        <w:rPr>
          <w:bCs/>
        </w:rPr>
        <w:t xml:space="preserve">4.5. </w:t>
      </w:r>
      <w:r w:rsidR="00476B8E">
        <w:rPr>
          <w:bCs/>
        </w:rPr>
        <w:t>Area Under the Curve</w:t>
      </w:r>
      <w:r w:rsidR="00717DE7">
        <w:rPr>
          <w:bCs/>
        </w:rPr>
        <w:t xml:space="preserve"> (AUC)</w:t>
      </w:r>
    </w:p>
    <w:p w14:paraId="1A26B751" w14:textId="5532520A" w:rsidR="00476B8E" w:rsidRPr="00717DE7" w:rsidRDefault="00476B8E" w:rsidP="00316470">
      <w:pPr>
        <w:pStyle w:val="MDPI31text"/>
      </w:pPr>
      <w:r>
        <w:rPr>
          <w:bCs/>
        </w:rPr>
        <w:tab/>
      </w:r>
      <w:proofErr w:type="gramStart"/>
      <w:r w:rsidR="00717DE7" w:rsidRPr="0067794F">
        <w:t>In order to</w:t>
      </w:r>
      <w:proofErr w:type="gramEnd"/>
      <w:r w:rsidR="00717DE7" w:rsidRPr="0067794F">
        <w:t xml:space="preserve"> </w:t>
      </w:r>
      <w:r w:rsidR="00C64144" w:rsidRPr="0067794F">
        <w:t xml:space="preserve">test our primary outcome and </w:t>
      </w:r>
      <w:r w:rsidR="00717DE7" w:rsidRPr="0067794F">
        <w:t>compare the antibiotic exposure provided by each administration method</w:t>
      </w:r>
      <w:r w:rsidR="00717DE7">
        <w:t xml:space="preserve"> </w:t>
      </w:r>
      <w:r w:rsidR="00717DE7" w:rsidRPr="00446DFA">
        <w:t xml:space="preserve">Prism 8 (Graph Pad Version 8.4.3) was used to determine the area under the curve (AUC) of antibiotic concentrations from the linear data. Using this software, the AUC was determined for the 2 </w:t>
      </w:r>
      <w:proofErr w:type="spellStart"/>
      <w:r w:rsidR="00717DE7" w:rsidRPr="00446DFA">
        <w:t>hr</w:t>
      </w:r>
      <w:proofErr w:type="spellEnd"/>
      <w:r w:rsidR="00717DE7" w:rsidRPr="00446DFA">
        <w:t xml:space="preserve">, 12 </w:t>
      </w:r>
      <w:proofErr w:type="spellStart"/>
      <w:r w:rsidR="00717DE7" w:rsidRPr="00446DFA">
        <w:t>hr</w:t>
      </w:r>
      <w:proofErr w:type="spellEnd"/>
      <w:r w:rsidR="00717DE7" w:rsidRPr="00446DFA">
        <w:t xml:space="preserve">, 24 </w:t>
      </w:r>
      <w:proofErr w:type="spellStart"/>
      <w:r w:rsidR="00717DE7" w:rsidRPr="00446DFA">
        <w:t>hr</w:t>
      </w:r>
      <w:proofErr w:type="spellEnd"/>
      <w:r w:rsidR="00717DE7" w:rsidRPr="00446DFA">
        <w:t xml:space="preserve"> and 48 </w:t>
      </w:r>
      <w:proofErr w:type="spellStart"/>
      <w:r w:rsidR="00717DE7" w:rsidRPr="00446DFA">
        <w:t>hr</w:t>
      </w:r>
      <w:proofErr w:type="spellEnd"/>
      <w:r w:rsidR="00717DE7" w:rsidRPr="00446DFA">
        <w:t xml:space="preserve"> time points for each antibiotic administration method and for both VAN and TOB concentrations. </w:t>
      </w:r>
    </w:p>
    <w:p w14:paraId="485BE8D9" w14:textId="54CBB510" w:rsidR="002E4A63" w:rsidRPr="00446DFA" w:rsidRDefault="00476B8E" w:rsidP="00BA3143">
      <w:pPr>
        <w:pStyle w:val="MDPI22heading2"/>
        <w:spacing w:before="240"/>
        <w:rPr>
          <w:bCs/>
        </w:rPr>
      </w:pPr>
      <w:r>
        <w:rPr>
          <w:bCs/>
        </w:rPr>
        <w:t>4.6</w:t>
      </w:r>
      <w:r w:rsidR="00717DE7">
        <w:rPr>
          <w:bCs/>
        </w:rPr>
        <w:t>.</w:t>
      </w:r>
      <w:r>
        <w:rPr>
          <w:bCs/>
        </w:rPr>
        <w:t xml:space="preserve"> </w:t>
      </w:r>
      <w:r w:rsidR="002E4A63" w:rsidRPr="00446DFA">
        <w:t>Kirby-Bauer Assessment of Effluent Potency By Zones of Inhibition (ZOI)</w:t>
      </w:r>
    </w:p>
    <w:p w14:paraId="7B098602" w14:textId="24C46913" w:rsidR="002E4A63" w:rsidRPr="00446DFA" w:rsidRDefault="002E4A63" w:rsidP="00BA3143">
      <w:pPr>
        <w:pStyle w:val="MDPI31text"/>
        <w:rPr>
          <w:rFonts w:eastAsia="Cambria Math"/>
          <w:lang w:eastAsia="ja-JP"/>
        </w:rPr>
      </w:pPr>
      <w:r w:rsidRPr="00446DFA">
        <w:t>To assess the VAN and TOB potency of each effluent sample, the zone of inhibition (ZOI) was measured using the Kirby-Bauer method</w:t>
      </w:r>
      <w:r w:rsidRPr="003638C4">
        <w:t xml:space="preserve"> </w:t>
      </w:r>
      <w:r w:rsidR="00CD3338" w:rsidRPr="002948D4">
        <w:t>[</w:t>
      </w:r>
      <w:r w:rsidRPr="002948D4">
        <w:fldChar w:fldCharType="begin" w:fldLock="1"/>
      </w:r>
      <w:r w:rsidR="00006F88" w:rsidRPr="002948D4">
        <w:instrText>ADDIN CSL_CITATION {"citationItems":[{"id":"ITEM-1","itemData":{"ISSN":"00958905","PMID":"4575155","author":[{"dropping-particle":"","family":"Biemer","given":"J. J.","non-dropping-particle":"","parse-names":false,"suffix":""}],"container-title":"Annals of clinical laboratory science","id":"ITEM-1","issue":"2","issued":{"date-parts":[["1973"]]},"page":"135-140","title":"Antimicrobial susceptibility testing by the Kirby-Bauer disc diffusion method.","type":"article-journal","volume":"3"},"uris":["http://www.mendeley.com/documents/?uuid=93892c89-92ab-4abd-81a5-d8a937b5fcf8"]}],"mendeley":{"formattedCitation":"&lt;sup&gt;39&lt;/sup&gt;","plainTextFormattedCitation":"39","previouslyFormattedCitation":"&lt;sup&gt;38&lt;/sup&gt;"},"properties":{"noteIndex":0},"schema":"https://github.com/citation-style-language/schema/raw/master/csl-citation.json"}</w:instrText>
      </w:r>
      <w:r w:rsidRPr="002948D4">
        <w:fldChar w:fldCharType="separate"/>
      </w:r>
      <w:r w:rsidR="00006F88" w:rsidRPr="002948D4">
        <w:rPr>
          <w:noProof/>
        </w:rPr>
        <w:t>39</w:t>
      </w:r>
      <w:r w:rsidRPr="002948D4">
        <w:fldChar w:fldCharType="end"/>
      </w:r>
      <w:r w:rsidR="00CD3338" w:rsidRPr="0067794F">
        <w:t>]</w:t>
      </w:r>
      <w:r w:rsidRPr="0067794F">
        <w:t xml:space="preserve">. </w:t>
      </w:r>
      <w:r w:rsidR="008C5F17" w:rsidRPr="0067794F">
        <w:t xml:space="preserve">While this method is often used to test susceptibility, here we use the assay to semi-quantitatively measure the potency and concentration of antibiotic to corroborate the LCMS data. </w:t>
      </w:r>
      <w:r w:rsidRPr="0067794F">
        <w:t xml:space="preserve">Two reference strains, </w:t>
      </w:r>
      <w:r w:rsidRPr="0067794F">
        <w:rPr>
          <w:i/>
        </w:rPr>
        <w:t xml:space="preserve">Pseudomonas aeruginosa </w:t>
      </w:r>
      <w:r w:rsidRPr="0067794F">
        <w:t>PAO1 (MIC</w:t>
      </w:r>
      <w:r w:rsidR="00CC4A95" w:rsidRPr="0067794F">
        <w:rPr>
          <w:vertAlign w:val="subscript"/>
        </w:rPr>
        <w:t>TOB</w:t>
      </w:r>
      <w:r w:rsidRPr="0067794F">
        <w:t xml:space="preserve"> </w:t>
      </w:r>
      <w:r w:rsidR="00CC4A95" w:rsidRPr="0067794F">
        <w:t>1.5</w:t>
      </w:r>
      <w:r w:rsidRPr="0067794F">
        <w:t xml:space="preserve"> µg/mL</w:t>
      </w:r>
      <w:r w:rsidR="00CC4A95" w:rsidRPr="0067794F">
        <w:t>, MIC</w:t>
      </w:r>
      <w:r w:rsidR="00CC4A95" w:rsidRPr="0067794F">
        <w:rPr>
          <w:vertAlign w:val="subscript"/>
        </w:rPr>
        <w:t>VAN</w:t>
      </w:r>
      <w:r w:rsidR="00CC4A95" w:rsidRPr="0067794F">
        <w:t xml:space="preserve"> &gt;64 µg/mL</w:t>
      </w:r>
      <w:r w:rsidRPr="0067794F">
        <w:t>)</w:t>
      </w:r>
      <w:r w:rsidRPr="0067794F">
        <w:rPr>
          <w:i/>
          <w:iCs/>
        </w:rPr>
        <w:t xml:space="preserve"> </w:t>
      </w:r>
      <w:r w:rsidRPr="0067794F">
        <w:rPr>
          <w:iCs/>
        </w:rPr>
        <w:t xml:space="preserve">and </w:t>
      </w:r>
      <w:r w:rsidRPr="0067794F">
        <w:rPr>
          <w:i/>
          <w:iCs/>
        </w:rPr>
        <w:t>Staphylococcus aureus</w:t>
      </w:r>
      <w:r w:rsidRPr="0067794F">
        <w:t xml:space="preserve"> UAMS-1 (MIC</w:t>
      </w:r>
      <w:r w:rsidR="00CC4A95" w:rsidRPr="0067794F">
        <w:rPr>
          <w:vertAlign w:val="subscript"/>
        </w:rPr>
        <w:t>TOB</w:t>
      </w:r>
      <w:r w:rsidRPr="0067794F">
        <w:t xml:space="preserve"> 2 µg/mL</w:t>
      </w:r>
      <w:r w:rsidR="00CC4A95" w:rsidRPr="0067794F">
        <w:t>, MIC</w:t>
      </w:r>
      <w:r w:rsidR="00CC4A95" w:rsidRPr="0067794F">
        <w:rPr>
          <w:vertAlign w:val="subscript"/>
        </w:rPr>
        <w:t>VAN</w:t>
      </w:r>
      <w:r w:rsidR="00CC4A95" w:rsidRPr="0067794F">
        <w:t xml:space="preserve"> 2 µg/mL</w:t>
      </w:r>
      <w:r w:rsidRPr="0067794F">
        <w:t>) were</w:t>
      </w:r>
      <w:r w:rsidRPr="00446DFA">
        <w:t xml:space="preserve"> used in this study to determine the antimicrobial potency of each effluent sample taken at different time points. </w:t>
      </w:r>
      <w:r w:rsidRPr="00446DFA">
        <w:rPr>
          <w:i/>
        </w:rPr>
        <w:t xml:space="preserve">P. aeruginosa </w:t>
      </w:r>
      <w:r w:rsidRPr="00446DFA">
        <w:t xml:space="preserve">and </w:t>
      </w:r>
      <w:r w:rsidRPr="00446DFA">
        <w:rPr>
          <w:i/>
        </w:rPr>
        <w:t>S. aureus</w:t>
      </w:r>
      <w:r w:rsidRPr="00446DFA">
        <w:t xml:space="preserve"> were grown overnight in Tryptic Soy Broth (TSB; Becton, Dickinson &amp; Company, MD, USA) at 37</w:t>
      </w:r>
      <w:r w:rsidRPr="00446DFA">
        <w:rPr>
          <w:rFonts w:ascii="Cambria Math" w:eastAsia="Cambria Math" w:hAnsi="Cambria Math" w:cs="Cambria Math"/>
          <w:lang w:eastAsia="ja-JP"/>
        </w:rPr>
        <w:t>℃</w:t>
      </w:r>
      <w:r w:rsidRPr="00446DFA">
        <w:t xml:space="preserve"> under shaker conditions (200 RPM). Each overnight culture was diluted 1%. 100µL of the diluted culture was added to a sterile petri dish containing 24mL of 1.5% Tryptic Soy Agar (TSA; Sigma-Aldrich) and spread to cover the surface. Each plate was left to dry for approximately 10min before adding six sterile filter discs (7mm, Whatman GF/F Glass microfiber, Sigma Aldrich) in a circular formation with one disc in the center. 10µL of each effluent sample was pipetted onto its corresponding disc then incubated for 24 </w:t>
      </w:r>
      <w:proofErr w:type="spellStart"/>
      <w:r w:rsidRPr="00446DFA">
        <w:t>hrs</w:t>
      </w:r>
      <w:proofErr w:type="spellEnd"/>
      <w:r w:rsidRPr="00446DFA">
        <w:t xml:space="preserve"> at 37</w:t>
      </w:r>
      <w:r w:rsidRPr="00446DFA">
        <w:rPr>
          <w:rFonts w:ascii="Cambria Math" w:eastAsia="Cambria Math" w:hAnsi="Cambria Math" w:cs="Cambria Math"/>
          <w:lang w:eastAsia="ja-JP"/>
        </w:rPr>
        <w:t>℃</w:t>
      </w:r>
      <w:r w:rsidRPr="00446DFA">
        <w:rPr>
          <w:rFonts w:eastAsia="Cambria Math"/>
          <w:lang w:eastAsia="ja-JP"/>
        </w:rPr>
        <w:t>. After incubation, an image was taken of each petri plate to analyze the zone of inhibition (ZOI) using NIH Image</w:t>
      </w:r>
      <w:r w:rsidRPr="00A00F57">
        <w:rPr>
          <w:rFonts w:eastAsia="Cambria Math"/>
          <w:lang w:eastAsia="ja-JP"/>
        </w:rPr>
        <w:t>J</w:t>
      </w:r>
      <w:r w:rsidRPr="00330C6B">
        <w:rPr>
          <w:rFonts w:eastAsia="Cambria Math"/>
          <w:lang w:eastAsia="ja-JP"/>
        </w:rPr>
        <w:t xml:space="preserve"> </w:t>
      </w:r>
      <w:r w:rsidR="00CD3338" w:rsidRPr="00330C6B">
        <w:rPr>
          <w:rFonts w:eastAsia="Cambria Math"/>
          <w:lang w:eastAsia="ja-JP"/>
        </w:rPr>
        <w:t>[</w:t>
      </w:r>
      <w:r w:rsidR="00330C6B" w:rsidRPr="002948D4">
        <w:rPr>
          <w:rFonts w:eastAsia="Cambria Math"/>
          <w:lang w:eastAsia="ja-JP"/>
        </w:rPr>
        <w:fldChar w:fldCharType="begin" w:fldLock="1"/>
      </w:r>
      <w:r w:rsidR="00006F88" w:rsidRPr="002948D4">
        <w:rPr>
          <w:rFonts w:eastAsia="Cambria Math"/>
          <w:lang w:eastAsia="ja-JP"/>
        </w:rPr>
        <w:instrText>ADDIN CSL_CITATION {"citationItems":[{"id":"ITEM-1","itemData":{"author":[{"dropping-particle":"","family":"Rasband","given":"W.S.","non-dropping-particle":"","parse-names":false,"suffix":""}],"id":"ITEM-1","issued":{"date-parts":[["0"]]},"publisher":"U. S. National Institutes of Health","publisher-place":"Bethesda, Maryland, USA","title":"ImageJ","type":"article"},"uris":["http://www.mendeley.com/documents/?uuid=9cfa530d-11ba-4674-851f-89021c70a438"]}],"mendeley":{"formattedCitation":"&lt;sup&gt;40&lt;/sup&gt;","plainTextFormattedCitation":"40","previouslyFormattedCitation":"&lt;sup&gt;39&lt;/sup&gt;"},"properties":{"noteIndex":0},"schema":"https://github.com/citation-style-language/schema/raw/master/csl-citation.json"}</w:instrText>
      </w:r>
      <w:r w:rsidR="00330C6B" w:rsidRPr="002948D4">
        <w:rPr>
          <w:rFonts w:eastAsia="Cambria Math"/>
          <w:lang w:eastAsia="ja-JP"/>
        </w:rPr>
        <w:fldChar w:fldCharType="separate"/>
      </w:r>
      <w:r w:rsidR="00006F88" w:rsidRPr="002948D4">
        <w:rPr>
          <w:rFonts w:eastAsia="Cambria Math"/>
          <w:noProof/>
          <w:lang w:eastAsia="ja-JP"/>
        </w:rPr>
        <w:t>40</w:t>
      </w:r>
      <w:r w:rsidR="00330C6B" w:rsidRPr="002948D4">
        <w:rPr>
          <w:rFonts w:eastAsia="Cambria Math"/>
          <w:lang w:eastAsia="ja-JP"/>
        </w:rPr>
        <w:fldChar w:fldCharType="end"/>
      </w:r>
      <w:r w:rsidR="00CD3338" w:rsidRPr="00446DFA">
        <w:rPr>
          <w:rFonts w:eastAsia="Cambria Math"/>
          <w:lang w:eastAsia="ja-JP"/>
        </w:rPr>
        <w:t>]</w:t>
      </w:r>
      <w:r w:rsidRPr="00446DFA">
        <w:rPr>
          <w:rFonts w:eastAsia="Cambria Math"/>
          <w:lang w:eastAsia="ja-JP"/>
        </w:rPr>
        <w:t xml:space="preserve">. </w:t>
      </w:r>
      <w:r w:rsidRPr="00446DFA">
        <w:t>ImageJ image analysis software was used to measure the diameter of each effluent sample ZOI. Each image was calibrated to the 100mm petri dish to convert pixels to cm.</w:t>
      </w:r>
    </w:p>
    <w:p w14:paraId="3766E8A6" w14:textId="0E7A55E5" w:rsidR="002E4A63" w:rsidRPr="00446DFA" w:rsidRDefault="00BA3143" w:rsidP="00BA3143">
      <w:pPr>
        <w:pStyle w:val="MDPI22heading2"/>
        <w:spacing w:before="240"/>
      </w:pPr>
      <w:r w:rsidRPr="00446DFA">
        <w:t>4.</w:t>
      </w:r>
      <w:r w:rsidR="00717DE7">
        <w:t>7.</w:t>
      </w:r>
      <w:r w:rsidRPr="00446DFA">
        <w:t xml:space="preserve"> </w:t>
      </w:r>
      <w:r w:rsidR="002E4A63" w:rsidRPr="00446DFA">
        <w:t>Statistical Analysis</w:t>
      </w:r>
    </w:p>
    <w:p w14:paraId="01F7EDC4" w14:textId="7C7A4A87" w:rsidR="002E4A63" w:rsidRPr="00446DFA" w:rsidRDefault="002E4A63" w:rsidP="00BA3143">
      <w:pPr>
        <w:pStyle w:val="MDPI31text"/>
      </w:pPr>
      <w:r w:rsidRPr="00446DFA">
        <w:t>Each antibiotic administration arm was performed in independent triplicate runs and the average of each method was used for analysis. The</w:t>
      </w:r>
      <w:r w:rsidR="00D356E3" w:rsidRPr="00446DFA">
        <w:t xml:space="preserve"> LCMS</w:t>
      </w:r>
      <w:r w:rsidRPr="00446DFA">
        <w:t xml:space="preserve"> data </w:t>
      </w:r>
      <w:r w:rsidR="003638C4">
        <w:t xml:space="preserve">and AUC data </w:t>
      </w:r>
      <w:r w:rsidRPr="00446DFA">
        <w:t xml:space="preserve">was converted to the geometric mean by taking the Log of each value before calculating the average values used for analysis. Statistical comparisons between different antibiotic administration methods were completed through Excel (Microsoft Version 16.39) software </w:t>
      </w:r>
      <w:r w:rsidRPr="00446DFA">
        <w:lastRenderedPageBreak/>
        <w:t xml:space="preserve">using an unpaired two-tailed, Student’s t-test assuming equal variances. A P-value less than 0.05 was considered statistically significant. </w:t>
      </w:r>
    </w:p>
    <w:p w14:paraId="1F693A4B" w14:textId="26FCD4DB" w:rsidR="002E4A63" w:rsidRPr="00446DFA" w:rsidRDefault="002E4A63" w:rsidP="00BA3143">
      <w:pPr>
        <w:pStyle w:val="MDPI31text"/>
      </w:pPr>
      <w:r w:rsidRPr="00446DFA">
        <w:t xml:space="preserve">Log differences between antibiotic administration methods were completed for </w:t>
      </w:r>
      <w:r w:rsidR="00D356E3" w:rsidRPr="00446DFA">
        <w:t>LCMS</w:t>
      </w:r>
      <w:r w:rsidRPr="00446DFA">
        <w:t xml:space="preserve"> data</w:t>
      </w:r>
      <w:r w:rsidR="00717DE7">
        <w:t xml:space="preserve"> </w:t>
      </w:r>
      <w:r w:rsidRPr="00446DFA">
        <w:t xml:space="preserve">through Excel (Microsoft Version 16.39). The log of each value was calculated before subtracting </w:t>
      </w:r>
      <w:proofErr w:type="spellStart"/>
      <w:r w:rsidRPr="00446DFA">
        <w:t>Spacer</w:t>
      </w:r>
      <w:r w:rsidRPr="00446DFA">
        <w:rPr>
          <w:vertAlign w:val="subscript"/>
        </w:rPr>
        <w:t>v+t</w:t>
      </w:r>
      <w:proofErr w:type="spellEnd"/>
      <w:r w:rsidRPr="00446DFA">
        <w:t xml:space="preserve"> values from </w:t>
      </w:r>
      <w:proofErr w:type="spellStart"/>
      <w:r w:rsidRPr="00446DFA">
        <w:t>CSB</w:t>
      </w:r>
      <w:r w:rsidRPr="00446DFA">
        <w:rPr>
          <w:vertAlign w:val="subscript"/>
        </w:rPr>
        <w:t>v+t</w:t>
      </w:r>
      <w:r w:rsidRPr="00446DFA">
        <w:t>plusSpacer</w:t>
      </w:r>
      <w:r w:rsidRPr="00446DFA">
        <w:rPr>
          <w:vertAlign w:val="subscript"/>
        </w:rPr>
        <w:t>v+t</w:t>
      </w:r>
      <w:proofErr w:type="spellEnd"/>
      <w:r w:rsidRPr="00446DFA">
        <w:t xml:space="preserve"> and then plotted. </w:t>
      </w:r>
    </w:p>
    <w:p w14:paraId="211C0E2D" w14:textId="6EDFCC94" w:rsidR="007713AF" w:rsidRPr="00446DFA" w:rsidRDefault="00BA3143" w:rsidP="00BA3143">
      <w:pPr>
        <w:pStyle w:val="MDPI21heading1"/>
      </w:pPr>
      <w:r w:rsidRPr="00446DFA">
        <w:t xml:space="preserve">6. </w:t>
      </w:r>
      <w:r w:rsidR="007713AF" w:rsidRPr="00446DFA">
        <w:t>Patents</w:t>
      </w:r>
    </w:p>
    <w:p w14:paraId="4C5895D6" w14:textId="77777777" w:rsidR="007713AF" w:rsidRPr="00446DFA" w:rsidRDefault="007713AF" w:rsidP="00BA3143">
      <w:pPr>
        <w:pStyle w:val="MDPI31text"/>
      </w:pPr>
      <w:r w:rsidRPr="00446DFA">
        <w:t xml:space="preserve">This section is </w:t>
      </w:r>
      <w:r w:rsidR="009E1E6C" w:rsidRPr="00446DFA">
        <w:t xml:space="preserve">not mandatory but </w:t>
      </w:r>
      <w:r w:rsidRPr="00446DFA">
        <w:t>may be added if there are patents resulting from the work reported in this manuscript.</w:t>
      </w:r>
    </w:p>
    <w:p w14:paraId="25355AF4" w14:textId="753789D1" w:rsidR="004B1AD3" w:rsidRDefault="00BA3143" w:rsidP="00BA3143">
      <w:pPr>
        <w:pStyle w:val="MDPI62BackMatter"/>
        <w:spacing w:before="240"/>
      </w:pPr>
      <w:r w:rsidRPr="00446DFA">
        <w:rPr>
          <w:b/>
        </w:rPr>
        <w:t>Supplementary Material</w:t>
      </w:r>
      <w:r w:rsidR="007713AF" w:rsidRPr="00446DFA">
        <w:rPr>
          <w:b/>
        </w:rPr>
        <w:t xml:space="preserve">s: </w:t>
      </w:r>
      <w:r w:rsidR="007713AF" w:rsidRPr="00446DFA">
        <w:t>The following are available online at www.mdpi.com/xxx/s1, Figure S1: title, Table S1: title, Video S1: title.</w:t>
      </w:r>
    </w:p>
    <w:p w14:paraId="1274730E" w14:textId="424FB197" w:rsidR="004B1AD3" w:rsidRPr="00446DFA" w:rsidRDefault="004B1AD3" w:rsidP="00BA3143">
      <w:pPr>
        <w:pStyle w:val="MDPI62BackMatter"/>
        <w:spacing w:before="240"/>
      </w:pPr>
      <w:r>
        <w:rPr>
          <w:noProof/>
          <w:snapToGrid/>
        </w:rPr>
        <w:drawing>
          <wp:inline distT="0" distB="0" distL="0" distR="0" wp14:anchorId="065CBCC2" wp14:editId="2EC21C38">
            <wp:extent cx="4946829" cy="2916767"/>
            <wp:effectExtent l="0" t="0" r="6350" b="0"/>
            <wp:docPr id="10" name="Picture 1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waterfall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1456" cy="2919495"/>
                    </a:xfrm>
                    <a:prstGeom prst="rect">
                      <a:avLst/>
                    </a:prstGeom>
                  </pic:spPr>
                </pic:pic>
              </a:graphicData>
            </a:graphic>
          </wp:inline>
        </w:drawing>
      </w:r>
    </w:p>
    <w:p w14:paraId="267A5219" w14:textId="118E8AEF" w:rsidR="00B01EA7" w:rsidRPr="00446DFA" w:rsidRDefault="004B1AD3" w:rsidP="002948D4">
      <w:pPr>
        <w:pStyle w:val="MDPI62BackMatter"/>
        <w:spacing w:before="240"/>
      </w:pPr>
      <w:r w:rsidRPr="00446DFA">
        <w:rPr>
          <w:b/>
          <w:bCs/>
        </w:rPr>
        <w:t>Figure S1.</w:t>
      </w:r>
      <w:r w:rsidRPr="00446DFA">
        <w:rPr>
          <w:sz w:val="20"/>
        </w:rPr>
        <w:t xml:space="preserve"> </w:t>
      </w:r>
      <w:r w:rsidRPr="00446DFA">
        <w:rPr>
          <w:szCs w:val="18"/>
        </w:rPr>
        <w:t xml:space="preserve">Tobramycin and vancomycin exposure via antibiotic administration methods to the system at 2, 12, 24 and 48 </w:t>
      </w:r>
      <w:proofErr w:type="spellStart"/>
      <w:proofErr w:type="gramStart"/>
      <w:r>
        <w:rPr>
          <w:szCs w:val="18"/>
        </w:rPr>
        <w:t>hr</w:t>
      </w:r>
      <w:r w:rsidRPr="00446DFA">
        <w:rPr>
          <w:szCs w:val="18"/>
        </w:rPr>
        <w:t>s</w:t>
      </w:r>
      <w:proofErr w:type="spellEnd"/>
      <w:r w:rsidRPr="00446DFA">
        <w:rPr>
          <w:szCs w:val="18"/>
        </w:rPr>
        <w:t xml:space="preserve"> .</w:t>
      </w:r>
      <w:proofErr w:type="gramEnd"/>
      <w:r w:rsidRPr="00446DFA">
        <w:rPr>
          <w:szCs w:val="18"/>
        </w:rPr>
        <w:t xml:space="preserve"> N= </w:t>
      </w:r>
      <w:r>
        <w:rPr>
          <w:szCs w:val="18"/>
        </w:rPr>
        <w:t>4 replicates for</w:t>
      </w:r>
      <w:r w:rsidRPr="00031B85">
        <w:t xml:space="preserve"> </w:t>
      </w:r>
      <w:proofErr w:type="spellStart"/>
      <w:r w:rsidRPr="00031B85">
        <w:rPr>
          <w:szCs w:val="18"/>
        </w:rPr>
        <w:t>Spacerv+t</w:t>
      </w:r>
      <w:proofErr w:type="spellEnd"/>
      <w:r w:rsidRPr="00031B85">
        <w:rPr>
          <w:szCs w:val="18"/>
        </w:rPr>
        <w:t xml:space="preserve"> </w:t>
      </w:r>
      <w:r>
        <w:rPr>
          <w:szCs w:val="18"/>
        </w:rPr>
        <w:t>and</w:t>
      </w:r>
      <w:r w:rsidRPr="00031B85">
        <w:rPr>
          <w:szCs w:val="18"/>
        </w:rPr>
        <w:t xml:space="preserve"> </w:t>
      </w:r>
      <w:proofErr w:type="spellStart"/>
      <w:r w:rsidRPr="00031B85">
        <w:rPr>
          <w:szCs w:val="18"/>
        </w:rPr>
        <w:t>CSBv+tplusSpacerv+t</w:t>
      </w:r>
      <w:proofErr w:type="spellEnd"/>
      <w:r>
        <w:rPr>
          <w:szCs w:val="18"/>
        </w:rPr>
        <w:t xml:space="preserve"> and 3 for VP</w:t>
      </w:r>
      <w:r w:rsidRPr="00446DFA">
        <w:rPr>
          <w:szCs w:val="18"/>
        </w:rPr>
        <w:t>; mean ± S</w:t>
      </w:r>
      <w:r w:rsidR="009A268A">
        <w:rPr>
          <w:szCs w:val="18"/>
        </w:rPr>
        <w:t>E</w:t>
      </w:r>
      <w:r w:rsidRPr="00446DFA">
        <w:rPr>
          <w:szCs w:val="18"/>
        </w:rPr>
        <w:t>. (* P&lt;0.05, ** P&lt;0.01)</w:t>
      </w:r>
      <w:r>
        <w:rPr>
          <w:szCs w:val="18"/>
        </w:rPr>
        <w:t>.</w:t>
      </w:r>
    </w:p>
    <w:p w14:paraId="562D86D9" w14:textId="0AB79DD2" w:rsidR="007713AF" w:rsidRPr="00446DFA" w:rsidRDefault="00BA3143" w:rsidP="00BA3143">
      <w:pPr>
        <w:pStyle w:val="MDPI62BackMatter"/>
        <w:jc w:val="left"/>
      </w:pPr>
      <w:r w:rsidRPr="00446DFA">
        <w:rPr>
          <w:b/>
        </w:rPr>
        <w:t>Author Contribution</w:t>
      </w:r>
      <w:r w:rsidR="007713AF" w:rsidRPr="00446DFA">
        <w:rPr>
          <w:b/>
        </w:rPr>
        <w:t xml:space="preserve">s: </w:t>
      </w:r>
      <w:r w:rsidR="001A5982" w:rsidRPr="00446DFA">
        <w:t>PS</w:t>
      </w:r>
      <w:r w:rsidRPr="00446DFA">
        <w:t>:</w:t>
      </w:r>
      <w:r w:rsidR="001A5982" w:rsidRPr="00446DFA">
        <w:t xml:space="preserve"> DHD, JFG, ACS, JFG, EJP, SSA, PAL, CD</w:t>
      </w:r>
      <w:r w:rsidRPr="00446DFA">
        <w:t xml:space="preserve"> </w:t>
      </w:r>
      <w:r w:rsidR="001A5982" w:rsidRPr="00446DFA">
        <w:t>conceived</w:t>
      </w:r>
      <w:r w:rsidRPr="00446DFA">
        <w:t xml:space="preserve"> </w:t>
      </w:r>
      <w:r w:rsidR="001A5982" w:rsidRPr="00446DFA">
        <w:t>and designed the work.</w:t>
      </w:r>
      <w:r w:rsidR="00E9260E" w:rsidRPr="00446DFA">
        <w:t xml:space="preserve"> </w:t>
      </w:r>
      <w:r w:rsidR="001A5982" w:rsidRPr="00446DFA">
        <w:t>JFG, ACS, EJP oversaw preparation of the PMMA spacers. KM</w:t>
      </w:r>
      <w:r w:rsidR="00E9260E" w:rsidRPr="00446DFA">
        <w:t xml:space="preserve">, RWO, JRB </w:t>
      </w:r>
      <w:r w:rsidR="001A5982" w:rsidRPr="00446DFA">
        <w:t>performed the lab experiments and collected data.</w:t>
      </w:r>
      <w:r w:rsidRPr="00446DFA">
        <w:t xml:space="preserve"> </w:t>
      </w:r>
      <w:r w:rsidR="00E9260E" w:rsidRPr="00446DFA">
        <w:t>KM</w:t>
      </w:r>
      <w:r w:rsidR="001A5982" w:rsidRPr="00446DFA">
        <w:t>,</w:t>
      </w:r>
      <w:r w:rsidRPr="00446DFA">
        <w:t xml:space="preserve"> </w:t>
      </w:r>
      <w:r w:rsidR="001A5982" w:rsidRPr="00446DFA">
        <w:t>PS</w:t>
      </w:r>
      <w:r w:rsidRPr="00446DFA">
        <w:t xml:space="preserve"> </w:t>
      </w:r>
      <w:r w:rsidR="001A5982" w:rsidRPr="00446DFA">
        <w:t>performed data analysis and interpretation.</w:t>
      </w:r>
      <w:r w:rsidRPr="00446DFA">
        <w:t xml:space="preserve"> </w:t>
      </w:r>
      <w:r w:rsidR="00E9260E" w:rsidRPr="00446DFA">
        <w:t>KM</w:t>
      </w:r>
      <w:r w:rsidR="001A5982" w:rsidRPr="00446DFA">
        <w:t>,</w:t>
      </w:r>
      <w:r w:rsidR="00E9260E" w:rsidRPr="00446DFA">
        <w:t xml:space="preserve"> </w:t>
      </w:r>
      <w:r w:rsidR="001A5982" w:rsidRPr="00446DFA">
        <w:t>PS drafted the article.</w:t>
      </w:r>
      <w:r w:rsidRPr="00446DFA">
        <w:t xml:space="preserve"> </w:t>
      </w:r>
      <w:r w:rsidR="001A5982" w:rsidRPr="00446DFA">
        <w:t>JFG, ACS, EJP, MVP provided clinical perspective to data and draft narrative.</w:t>
      </w:r>
      <w:r w:rsidRPr="00446DFA">
        <w:t xml:space="preserve"> </w:t>
      </w:r>
      <w:r w:rsidR="001A5982" w:rsidRPr="00446DFA">
        <w:t>PS, JFG, ACS, EJP, MVP, SSA, PAL, CD,</w:t>
      </w:r>
      <w:r w:rsidRPr="00446DFA">
        <w:t xml:space="preserve"> </w:t>
      </w:r>
      <w:r w:rsidR="001A5982" w:rsidRPr="00446DFA">
        <w:t>JRB</w:t>
      </w:r>
      <w:r w:rsidR="00E9260E" w:rsidRPr="00446DFA">
        <w:t>, RWO, KM</w:t>
      </w:r>
      <w:r w:rsidRPr="00446DFA">
        <w:t xml:space="preserve"> </w:t>
      </w:r>
      <w:r w:rsidR="001A5982" w:rsidRPr="00446DFA">
        <w:t>performed critical revision of the article. All authors gave final approval of the version to be submitted.</w:t>
      </w:r>
    </w:p>
    <w:p w14:paraId="7810BF55" w14:textId="1D6BECBA" w:rsidR="007713AF" w:rsidRPr="00446DFA" w:rsidRDefault="007713AF" w:rsidP="00BA3143">
      <w:pPr>
        <w:pStyle w:val="MDPI62BackMatter"/>
        <w:jc w:val="left"/>
      </w:pPr>
      <w:r w:rsidRPr="00446DFA">
        <w:rPr>
          <w:b/>
        </w:rPr>
        <w:t xml:space="preserve">Funding: </w:t>
      </w:r>
      <w:r w:rsidR="0079756F" w:rsidRPr="00446DFA">
        <w:rPr>
          <w:shd w:val="clear" w:color="auto" w:fill="FFFFFF"/>
        </w:rPr>
        <w:t>This research was funded by Biocomposites Ltd. (</w:t>
      </w:r>
      <w:proofErr w:type="spellStart"/>
      <w:r w:rsidR="0079756F" w:rsidRPr="00446DFA">
        <w:rPr>
          <w:shd w:val="clear" w:color="auto" w:fill="FFFFFF"/>
        </w:rPr>
        <w:t>Keele</w:t>
      </w:r>
      <w:proofErr w:type="spellEnd"/>
      <w:r w:rsidR="0079756F" w:rsidRPr="00446DFA">
        <w:rPr>
          <w:shd w:val="clear" w:color="auto" w:fill="FFFFFF"/>
        </w:rPr>
        <w:t>, Staffordshire, UK).</w:t>
      </w:r>
    </w:p>
    <w:p w14:paraId="35891452" w14:textId="77777777" w:rsidR="00DE2E32" w:rsidRPr="00446DFA" w:rsidRDefault="007713AF" w:rsidP="00BA3143">
      <w:pPr>
        <w:pStyle w:val="MDPI62BackMatter"/>
      </w:pPr>
      <w:r w:rsidRPr="00446DFA">
        <w:rPr>
          <w:b/>
        </w:rPr>
        <w:t xml:space="preserve">Institutional Review Board Statement: </w:t>
      </w:r>
      <w:r w:rsidR="009E1E6C" w:rsidRPr="00446DFA">
        <w:t>Not applicable</w:t>
      </w:r>
    </w:p>
    <w:p w14:paraId="66DD4BC1" w14:textId="77777777" w:rsidR="007713AF" w:rsidRPr="00446DFA" w:rsidRDefault="007713AF" w:rsidP="00BA3143">
      <w:pPr>
        <w:pStyle w:val="MDPI62BackMatter"/>
        <w:rPr>
          <w:b/>
        </w:rPr>
      </w:pPr>
      <w:r w:rsidRPr="00446DFA">
        <w:rPr>
          <w:b/>
        </w:rPr>
        <w:t xml:space="preserve">Informed Consent Statement: </w:t>
      </w:r>
      <w:r w:rsidRPr="00446DFA">
        <w:t>Not applicable</w:t>
      </w:r>
    </w:p>
    <w:p w14:paraId="52B00D45" w14:textId="77777777" w:rsidR="007713AF" w:rsidRPr="00446DFA" w:rsidRDefault="007713AF" w:rsidP="00BA3143">
      <w:pPr>
        <w:pStyle w:val="MDPI62BackMatter"/>
      </w:pPr>
      <w:r w:rsidRPr="00446DFA">
        <w:rPr>
          <w:b/>
        </w:rPr>
        <w:t xml:space="preserve">Data Availability Statement: </w:t>
      </w:r>
      <w:r w:rsidRPr="00446DFA">
        <w:t>Please refer to suggested Data Availability Statements in section “MDPI Research Data Policies” at https://www.mdpi.com/ethics.</w:t>
      </w:r>
    </w:p>
    <w:p w14:paraId="46F9E7F5" w14:textId="75F6998A" w:rsidR="0079756F" w:rsidRPr="00446DFA" w:rsidRDefault="007713AF" w:rsidP="00BA3143">
      <w:pPr>
        <w:pStyle w:val="MDPI62BackMatter"/>
        <w:jc w:val="left"/>
        <w:rPr>
          <w:rStyle w:val="LineNumber"/>
        </w:rPr>
      </w:pPr>
      <w:r w:rsidRPr="00446DFA">
        <w:rPr>
          <w:b/>
        </w:rPr>
        <w:t xml:space="preserve">Acknowledgments: </w:t>
      </w:r>
      <w:r w:rsidR="0079756F" w:rsidRPr="00446DFA">
        <w:rPr>
          <w:rStyle w:val="LineNumber"/>
        </w:rPr>
        <w:t xml:space="preserve">We thank Biocomposites Ltd. for materials used in the study. We also acknowledge Casey W. Peters for his </w:t>
      </w:r>
      <w:r w:rsidR="003638C4" w:rsidRPr="00446DFA">
        <w:rPr>
          <w:rStyle w:val="LineNumber"/>
        </w:rPr>
        <w:t>contribution</w:t>
      </w:r>
      <w:r w:rsidR="0079756F" w:rsidRPr="00446DFA">
        <w:rPr>
          <w:rStyle w:val="LineNumber"/>
        </w:rPr>
        <w:t xml:space="preserve"> of developing the reactor system</w:t>
      </w:r>
      <w:r w:rsidR="00E91E7F" w:rsidRPr="00446DFA">
        <w:rPr>
          <w:rStyle w:val="LineNumber"/>
        </w:rPr>
        <w:t xml:space="preserve"> for preliminary data</w:t>
      </w:r>
      <w:r w:rsidR="0079756F" w:rsidRPr="00446DFA">
        <w:rPr>
          <w:rStyle w:val="LineNumber"/>
        </w:rPr>
        <w:t xml:space="preserve">. </w:t>
      </w:r>
    </w:p>
    <w:p w14:paraId="7C447E50" w14:textId="77777777" w:rsidR="007713AF" w:rsidRPr="00446DFA" w:rsidRDefault="007713AF" w:rsidP="00BA3143">
      <w:pPr>
        <w:pStyle w:val="MDPI62BackMatter"/>
      </w:pPr>
      <w:r w:rsidRPr="00446DFA">
        <w:rPr>
          <w:b/>
        </w:rPr>
        <w:t>Conflicts of Interest:</w:t>
      </w:r>
      <w:r w:rsidRPr="00446DFA">
        <w:t xml:space="preserve"> Declare conflicts of interest or state “The authors declare no conflict of interest.” Authors must identify and declare any personal circumstances or interest that may be perceived as inappropriately influencing the representation or interpretation of reported research results. Any role of the funders in the design of the study; in the collection, </w:t>
      </w:r>
      <w:proofErr w:type="gramStart"/>
      <w:r w:rsidRPr="00446DFA">
        <w:t>analyses</w:t>
      </w:r>
      <w:proofErr w:type="gramEnd"/>
      <w:r w:rsidRPr="00446DFA">
        <w:t xml:space="preserve"> or interpretation of data; in the writing of the manuscript, or in the decision to publish the results must be declared </w:t>
      </w:r>
      <w:r w:rsidRPr="00446DFA">
        <w:lastRenderedPageBreak/>
        <w:t>in this section. If there is no role, please state “The funders had no role in the design of the study; in the collection, analyses, or interpretation of data; in the writing of the manuscript, or in the decision to publish the results”.</w:t>
      </w:r>
    </w:p>
    <w:p w14:paraId="6AAEBADF" w14:textId="77777777" w:rsidR="007713AF" w:rsidRPr="00446DFA" w:rsidRDefault="007713AF" w:rsidP="00BA3143">
      <w:pPr>
        <w:adjustRightInd w:val="0"/>
        <w:snapToGrid w:val="0"/>
        <w:spacing w:after="60" w:line="228" w:lineRule="auto"/>
        <w:ind w:left="2608"/>
        <w:rPr>
          <w:b/>
          <w:bCs/>
          <w:noProof w:val="0"/>
          <w:szCs w:val="18"/>
          <w:lang w:bidi="en-US"/>
        </w:rPr>
      </w:pPr>
      <w:r w:rsidRPr="00446DFA">
        <w:rPr>
          <w:b/>
          <w:bCs/>
          <w:noProof w:val="0"/>
          <w:szCs w:val="18"/>
          <w:lang w:bidi="en-US"/>
        </w:rPr>
        <w:t>Appendix A</w:t>
      </w:r>
    </w:p>
    <w:p w14:paraId="4C43E7EF" w14:textId="77777777" w:rsidR="007713AF" w:rsidRPr="00446DFA" w:rsidRDefault="007713AF" w:rsidP="00BA3143">
      <w:pPr>
        <w:pStyle w:val="MDPI31text"/>
      </w:pPr>
      <w:r w:rsidRPr="00446DFA">
        <w:t>The appendix is an optional section that can contain details and data supplemental to the main text</w:t>
      </w:r>
      <w:r w:rsidR="0077600A" w:rsidRPr="00446DFA">
        <w:t xml:space="preserve">—for example, explanations of experimental </w:t>
      </w:r>
      <w:r w:rsidR="009E1E6C" w:rsidRPr="00446DFA">
        <w:t>details that would disrupt the flow of the main text</w:t>
      </w:r>
      <w:r w:rsidRPr="00446DFA">
        <w:t xml:space="preserve">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4259D61" w14:textId="77777777" w:rsidR="007713AF" w:rsidRPr="00446DFA" w:rsidRDefault="007713AF" w:rsidP="00BA3143">
      <w:pPr>
        <w:adjustRightInd w:val="0"/>
        <w:snapToGrid w:val="0"/>
        <w:spacing w:before="240" w:after="60" w:line="228" w:lineRule="auto"/>
        <w:ind w:left="2608"/>
        <w:rPr>
          <w:b/>
          <w:bCs/>
          <w:noProof w:val="0"/>
          <w:szCs w:val="18"/>
          <w:lang w:bidi="en-US"/>
        </w:rPr>
      </w:pPr>
      <w:r w:rsidRPr="00446DFA">
        <w:rPr>
          <w:b/>
          <w:bCs/>
          <w:noProof w:val="0"/>
          <w:szCs w:val="18"/>
          <w:lang w:bidi="en-US"/>
        </w:rPr>
        <w:t>Appendix B</w:t>
      </w:r>
    </w:p>
    <w:p w14:paraId="12137F1D" w14:textId="77777777" w:rsidR="007713AF" w:rsidRPr="00446DFA" w:rsidRDefault="007713AF" w:rsidP="00BA3143">
      <w:pPr>
        <w:pStyle w:val="MDPI31text"/>
      </w:pPr>
      <w:r w:rsidRPr="00446DFA">
        <w:t xml:space="preserve">All appendix sections must </w:t>
      </w:r>
      <w:r w:rsidR="009E1E6C" w:rsidRPr="00446DFA">
        <w:t>be cited in the main text. In the appendices, Figures, Tables, etc. should be labeled starting with “A”—e.g., Figure A1, Figure A2, etc.</w:t>
      </w:r>
    </w:p>
    <w:p w14:paraId="11002C18" w14:textId="77777777" w:rsidR="007713AF" w:rsidRPr="00446DFA" w:rsidRDefault="007713AF" w:rsidP="00BA3143">
      <w:pPr>
        <w:pStyle w:val="MDPI21heading1"/>
        <w:ind w:left="0"/>
      </w:pPr>
      <w:r w:rsidRPr="00446DFA">
        <w:t>References</w:t>
      </w:r>
    </w:p>
    <w:p w14:paraId="33009515" w14:textId="1DA3F0CF" w:rsidR="00006F88" w:rsidRPr="00006F88" w:rsidRDefault="004B3FCD" w:rsidP="00006F88">
      <w:pPr>
        <w:widowControl w:val="0"/>
        <w:autoSpaceDE w:val="0"/>
        <w:autoSpaceDN w:val="0"/>
        <w:adjustRightInd w:val="0"/>
        <w:spacing w:line="240" w:lineRule="auto"/>
        <w:ind w:left="640" w:hanging="640"/>
        <w:rPr>
          <w:sz w:val="18"/>
        </w:rPr>
      </w:pPr>
      <w:r w:rsidRPr="00446DFA">
        <w:rPr>
          <w:noProof w:val="0"/>
          <w:sz w:val="18"/>
          <w:szCs w:val="18"/>
        </w:rPr>
        <w:fldChar w:fldCharType="begin" w:fldLock="1"/>
      </w:r>
      <w:r w:rsidRPr="00446DFA">
        <w:rPr>
          <w:noProof w:val="0"/>
          <w:sz w:val="18"/>
          <w:szCs w:val="18"/>
        </w:rPr>
        <w:instrText xml:space="preserve">ADDIN Mendeley Bibliography CSL_BIBLIOGRAPHY </w:instrText>
      </w:r>
      <w:r w:rsidRPr="00446DFA">
        <w:rPr>
          <w:noProof w:val="0"/>
          <w:sz w:val="18"/>
          <w:szCs w:val="18"/>
        </w:rPr>
        <w:fldChar w:fldCharType="separate"/>
      </w:r>
      <w:r w:rsidR="00006F88" w:rsidRPr="00006F88">
        <w:rPr>
          <w:sz w:val="18"/>
        </w:rPr>
        <w:t xml:space="preserve">1. </w:t>
      </w:r>
      <w:r w:rsidR="00006F88" w:rsidRPr="00006F88">
        <w:rPr>
          <w:sz w:val="18"/>
        </w:rPr>
        <w:tab/>
        <w:t xml:space="preserve">Kurtz SM, Lau E, Watson H, Schmier JK, Parvizi J. Economic burden of periprosthetic joint infection in the united states. </w:t>
      </w:r>
      <w:r w:rsidR="00006F88" w:rsidRPr="00006F88">
        <w:rPr>
          <w:i/>
          <w:iCs/>
          <w:sz w:val="18"/>
        </w:rPr>
        <w:t>J Arthroplasty</w:t>
      </w:r>
      <w:r w:rsidR="00006F88" w:rsidRPr="00006F88">
        <w:rPr>
          <w:sz w:val="18"/>
        </w:rPr>
        <w:t>. 2012;27(8 SUPPL.):61-65.e1. doi:10.1016/j.arth.2012.02.022</w:t>
      </w:r>
    </w:p>
    <w:p w14:paraId="3864167E"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 </w:t>
      </w:r>
      <w:r w:rsidRPr="00006F88">
        <w:rPr>
          <w:sz w:val="18"/>
        </w:rPr>
        <w:tab/>
        <w:t xml:space="preserve">Owens CD, Stoessel K. Surgical site infections: epidemiology, microbiology and prevention. </w:t>
      </w:r>
      <w:r w:rsidRPr="00006F88">
        <w:rPr>
          <w:i/>
          <w:iCs/>
          <w:sz w:val="18"/>
        </w:rPr>
        <w:t>J Hosp Infect</w:t>
      </w:r>
      <w:r w:rsidRPr="00006F88">
        <w:rPr>
          <w:sz w:val="18"/>
        </w:rPr>
        <w:t>. 2008;70(SUPPL. 2):3-10. doi:10.1016/S0195-6701(08)60017-1</w:t>
      </w:r>
    </w:p>
    <w:p w14:paraId="72BFC27D"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 </w:t>
      </w:r>
      <w:r w:rsidRPr="00006F88">
        <w:rPr>
          <w:sz w:val="18"/>
        </w:rPr>
        <w:tab/>
        <w:t xml:space="preserve">McConoughey SJ, Howlin R, Granger JF, et al. Biofilms in periprosthetic orthopedic infections. </w:t>
      </w:r>
      <w:r w:rsidRPr="00006F88">
        <w:rPr>
          <w:i/>
          <w:iCs/>
          <w:sz w:val="18"/>
        </w:rPr>
        <w:t>Future Microbiol</w:t>
      </w:r>
      <w:r w:rsidRPr="00006F88">
        <w:rPr>
          <w:sz w:val="18"/>
        </w:rPr>
        <w:t>. 2014;9(8):987-1007. doi:10.2217/fmb.14.64</w:t>
      </w:r>
    </w:p>
    <w:p w14:paraId="41952E58"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4. </w:t>
      </w:r>
      <w:r w:rsidRPr="00006F88">
        <w:rPr>
          <w:sz w:val="18"/>
        </w:rPr>
        <w:tab/>
        <w:t xml:space="preserve">Howlin R, Winnard C, Frapwell C, et al. Biofilm prevention of gram-negative bacterial pathogens involved in periprosthetic infection by antibiotic-loaded calcium sulfate beads in vitro. </w:t>
      </w:r>
      <w:r w:rsidRPr="00006F88">
        <w:rPr>
          <w:i/>
          <w:iCs/>
          <w:sz w:val="18"/>
        </w:rPr>
        <w:t>Biomed Mater</w:t>
      </w:r>
      <w:r w:rsidRPr="00006F88">
        <w:rPr>
          <w:sz w:val="18"/>
        </w:rPr>
        <w:t>. 2016;12(1):015002.</w:t>
      </w:r>
    </w:p>
    <w:p w14:paraId="131FC668"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5. </w:t>
      </w:r>
      <w:r w:rsidRPr="00006F88">
        <w:rPr>
          <w:sz w:val="18"/>
        </w:rPr>
        <w:tab/>
        <w:t xml:space="preserve">Costerton J., Lewandowski Z, Caldwell D., Korber D., Lappin-Scott H. Microbial biofilms. </w:t>
      </w:r>
      <w:r w:rsidRPr="00006F88">
        <w:rPr>
          <w:i/>
          <w:iCs/>
          <w:sz w:val="18"/>
        </w:rPr>
        <w:t>Ann Rev Microbiol</w:t>
      </w:r>
      <w:r w:rsidRPr="00006F88">
        <w:rPr>
          <w:sz w:val="18"/>
        </w:rPr>
        <w:t>. 1995;49:711-745.</w:t>
      </w:r>
    </w:p>
    <w:p w14:paraId="450B2E7E" w14:textId="00BA4882"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6. </w:t>
      </w:r>
      <w:r w:rsidRPr="00006F88">
        <w:rPr>
          <w:sz w:val="18"/>
        </w:rPr>
        <w:tab/>
      </w:r>
      <w:r w:rsidR="002948D4" w:rsidRPr="0084309A">
        <w:rPr>
          <w:sz w:val="18"/>
          <w:szCs w:val="18"/>
        </w:rPr>
        <w:t>Anagnostakos K. 2014. What do we (not) know about antibiotic-loaded hip spacers? Orthopedics 37:297–298.</w:t>
      </w:r>
    </w:p>
    <w:p w14:paraId="59035FC7"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7. </w:t>
      </w:r>
      <w:r w:rsidRPr="00006F88">
        <w:rPr>
          <w:sz w:val="18"/>
        </w:rPr>
        <w:tab/>
        <w:t xml:space="preserve">Leekha S, Terrell CL, Edson RS. General principles of antimicrobial therapy. </w:t>
      </w:r>
      <w:r w:rsidRPr="00006F88">
        <w:rPr>
          <w:i/>
          <w:iCs/>
          <w:sz w:val="18"/>
        </w:rPr>
        <w:t>Mayo Clin Proc</w:t>
      </w:r>
      <w:r w:rsidRPr="00006F88">
        <w:rPr>
          <w:sz w:val="18"/>
        </w:rPr>
        <w:t>. 2011;86(2):156-167. doi:10.4065/mcp.2010.0639</w:t>
      </w:r>
    </w:p>
    <w:p w14:paraId="717E447C"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8. </w:t>
      </w:r>
      <w:r w:rsidRPr="00006F88">
        <w:rPr>
          <w:sz w:val="18"/>
        </w:rPr>
        <w:tab/>
        <w:t xml:space="preserve">Om C, Daily F, Vlieghe E, McLaughlin JC, McLaws ML. “If it’s a broad spectrum, it can shoot better”: Inappropriate antibiotic prescribing in Cambodia. </w:t>
      </w:r>
      <w:r w:rsidRPr="00006F88">
        <w:rPr>
          <w:i/>
          <w:iCs/>
          <w:sz w:val="18"/>
        </w:rPr>
        <w:t>Antimicrob Resist Infect Control</w:t>
      </w:r>
      <w:r w:rsidRPr="00006F88">
        <w:rPr>
          <w:sz w:val="18"/>
        </w:rPr>
        <w:t>. 2016;5(1):1-8. doi:10.1186/s13756-016-0159-7</w:t>
      </w:r>
    </w:p>
    <w:p w14:paraId="1416382B"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9. </w:t>
      </w:r>
      <w:r w:rsidRPr="00006F88">
        <w:rPr>
          <w:sz w:val="18"/>
        </w:rPr>
        <w:tab/>
        <w:t xml:space="preserve">Ostermann P, Seligson D, Henry S. Local antibiotic therapy for severe open fractures. A review of 1085 consecutive cases. </w:t>
      </w:r>
      <w:r w:rsidRPr="00006F88">
        <w:rPr>
          <w:i/>
          <w:iCs/>
          <w:sz w:val="18"/>
        </w:rPr>
        <w:t>J Bone Joint Surg Br</w:t>
      </w:r>
      <w:r w:rsidRPr="00006F88">
        <w:rPr>
          <w:sz w:val="18"/>
        </w:rPr>
        <w:t>. 1995;77-B(1):93-97.</w:t>
      </w:r>
    </w:p>
    <w:p w14:paraId="33758B7C"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10. </w:t>
      </w:r>
      <w:r w:rsidRPr="00006F88">
        <w:rPr>
          <w:sz w:val="18"/>
        </w:rPr>
        <w:tab/>
        <w:t xml:space="preserve">Laycock PA, Cooper JJ, Howlin RP, Delury C, Aiken S, Stoodley P. In vitro efficacy of antibiotics released from calcium sulfate bone void filler beads. </w:t>
      </w:r>
      <w:r w:rsidRPr="00006F88">
        <w:rPr>
          <w:i/>
          <w:iCs/>
          <w:sz w:val="18"/>
        </w:rPr>
        <w:t>Materials (Basel)</w:t>
      </w:r>
      <w:r w:rsidRPr="00006F88">
        <w:rPr>
          <w:sz w:val="18"/>
        </w:rPr>
        <w:t>. 2018;11(11). doi:10.3390/ma11112265</w:t>
      </w:r>
    </w:p>
    <w:p w14:paraId="3F74E0EC"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11. </w:t>
      </w:r>
      <w:r w:rsidRPr="00006F88">
        <w:rPr>
          <w:sz w:val="18"/>
        </w:rPr>
        <w:tab/>
        <w:t xml:space="preserve">Oliver RA, Lovric V, Christou C, Aiken SS, Cooper JJ, Walsh WR. Application of Calcium Sulfate for Dead Space Management in Soft Tissue: Characterisation of a Novel in Vivo Response. </w:t>
      </w:r>
      <w:r w:rsidRPr="00006F88">
        <w:rPr>
          <w:i/>
          <w:iCs/>
          <w:sz w:val="18"/>
        </w:rPr>
        <w:t>Biomed Res Int</w:t>
      </w:r>
      <w:r w:rsidRPr="00006F88">
        <w:rPr>
          <w:sz w:val="18"/>
        </w:rPr>
        <w:t>. 2018;2018. doi:10.1155/2018/8065141</w:t>
      </w:r>
    </w:p>
    <w:p w14:paraId="01E5A584"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12. </w:t>
      </w:r>
      <w:r w:rsidRPr="00006F88">
        <w:rPr>
          <w:sz w:val="18"/>
        </w:rPr>
        <w:tab/>
        <w:t xml:space="preserve">Kelly CM, Wilkins RM, Gitelis S, et al. The use of a surgical grade calcium sulfate as a bone graft substitute: Results of a multicenter trial. </w:t>
      </w:r>
      <w:r w:rsidRPr="00006F88">
        <w:rPr>
          <w:i/>
          <w:iCs/>
          <w:sz w:val="18"/>
        </w:rPr>
        <w:t>Clin Orthop Relat Res</w:t>
      </w:r>
      <w:r w:rsidRPr="00006F88">
        <w:rPr>
          <w:sz w:val="18"/>
        </w:rPr>
        <w:t>. 2001;(382):42-50. doi:10.1097/00003086-200101000-00008</w:t>
      </w:r>
    </w:p>
    <w:p w14:paraId="620B5C05"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13. </w:t>
      </w:r>
      <w:r w:rsidRPr="00006F88">
        <w:rPr>
          <w:sz w:val="18"/>
        </w:rPr>
        <w:tab/>
        <w:t xml:space="preserve">Howlin RP, Brayford MJ, Webb JS, Cooper JJ, Aiken SS, Stoodley P. Antibiotic-Loaded Synthetic Calcium Sulfate Beads for Prevention of Bacterial Colonization and Biofilm Formation in Periprosthetic Infections. </w:t>
      </w:r>
      <w:r w:rsidRPr="00006F88">
        <w:rPr>
          <w:i/>
          <w:iCs/>
          <w:sz w:val="18"/>
        </w:rPr>
        <w:t>Antimicrob Agents Chemother</w:t>
      </w:r>
      <w:r w:rsidRPr="00006F88">
        <w:rPr>
          <w:sz w:val="18"/>
        </w:rPr>
        <w:t>. 2014;59(1):111-120.</w:t>
      </w:r>
    </w:p>
    <w:p w14:paraId="68D605F5"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14. </w:t>
      </w:r>
      <w:r w:rsidRPr="00006F88">
        <w:rPr>
          <w:sz w:val="18"/>
        </w:rPr>
        <w:tab/>
        <w:t xml:space="preserve">Otte JE, Politi JR, Chambers B, Smith CA. Intrawound Vancomycin Powder Reduces Early Prosthetic Joint Infections in Revision Hip and Knee Arthroplasty. </w:t>
      </w:r>
      <w:r w:rsidRPr="00006F88">
        <w:rPr>
          <w:i/>
          <w:iCs/>
          <w:sz w:val="18"/>
        </w:rPr>
        <w:t>Surg Technol Int</w:t>
      </w:r>
      <w:r w:rsidRPr="00006F88">
        <w:rPr>
          <w:sz w:val="18"/>
        </w:rPr>
        <w:t>. 2017;30:284—289. http://europepmc.org/abstract/MED/28182821</w:t>
      </w:r>
    </w:p>
    <w:p w14:paraId="75AF6630"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15. </w:t>
      </w:r>
      <w:r w:rsidRPr="00006F88">
        <w:rPr>
          <w:sz w:val="18"/>
        </w:rPr>
        <w:tab/>
        <w:t xml:space="preserve">Boddapati V, Fu M, Mayman D, Su E, Sculco P, McLawhorn A. Revision Total Knee Arthroplasty for Periprosthetic Joint </w:t>
      </w:r>
      <w:r w:rsidRPr="00006F88">
        <w:rPr>
          <w:sz w:val="18"/>
        </w:rPr>
        <w:lastRenderedPageBreak/>
        <w:t xml:space="preserve">Infection Is Associated With Increased Postoperative Morbidity and Mortality Relative to Noninfectious Revisions. </w:t>
      </w:r>
      <w:r w:rsidRPr="00006F88">
        <w:rPr>
          <w:i/>
          <w:iCs/>
          <w:sz w:val="18"/>
        </w:rPr>
        <w:t>J Arthroplast</w:t>
      </w:r>
      <w:r w:rsidRPr="00006F88">
        <w:rPr>
          <w:sz w:val="18"/>
        </w:rPr>
        <w:t>. 2018;33(2):521-526.</w:t>
      </w:r>
    </w:p>
    <w:p w14:paraId="64F025A3"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16. </w:t>
      </w:r>
      <w:r w:rsidRPr="00006F88">
        <w:rPr>
          <w:sz w:val="18"/>
        </w:rPr>
        <w:tab/>
        <w:t xml:space="preserve">Slane J, Gietman B, Squire M. Antibiotic elution from acrylic bone cement loaded with high doses of tobramycin and vancomycin. </w:t>
      </w:r>
      <w:r w:rsidRPr="00006F88">
        <w:rPr>
          <w:i/>
          <w:iCs/>
          <w:sz w:val="18"/>
        </w:rPr>
        <w:t>J Orthop Res</w:t>
      </w:r>
      <w:r w:rsidRPr="00006F88">
        <w:rPr>
          <w:sz w:val="18"/>
        </w:rPr>
        <w:t>. 2018;36(4):1078-1085. doi:10.1002/jor.23722</w:t>
      </w:r>
    </w:p>
    <w:p w14:paraId="6BE0D520"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17. </w:t>
      </w:r>
      <w:r w:rsidRPr="00006F88">
        <w:rPr>
          <w:sz w:val="18"/>
        </w:rPr>
        <w:tab/>
        <w:t xml:space="preserve">Luo S, Jiang T, Long L, et al. A dual PMMA/calcium sulfate carrier of vancomycin is more effective than PMMA-vancomycin at inhibiting Staphylococcus aureus growth in vitro. </w:t>
      </w:r>
      <w:r w:rsidRPr="00006F88">
        <w:rPr>
          <w:i/>
          <w:iCs/>
          <w:sz w:val="18"/>
        </w:rPr>
        <w:t>FEBS Open Bio</w:t>
      </w:r>
      <w:r w:rsidRPr="00006F88">
        <w:rPr>
          <w:sz w:val="18"/>
        </w:rPr>
        <w:t>. 2020;10(4):552-560. doi:10.1002/2211-5463.12809</w:t>
      </w:r>
    </w:p>
    <w:p w14:paraId="2B5D1095"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18. </w:t>
      </w:r>
      <w:r w:rsidRPr="00006F88">
        <w:rPr>
          <w:sz w:val="18"/>
        </w:rPr>
        <w:tab/>
        <w:t xml:space="preserve">Galvez-Lopez R, Pena-Monje A, Antelo-Lorenzo R, et al. Elution kinetics, antimicrobial activity, and mexhanical properties of 11 different antibiotics loaded acrylic bone cement. </w:t>
      </w:r>
      <w:r w:rsidRPr="00006F88">
        <w:rPr>
          <w:i/>
          <w:iCs/>
          <w:sz w:val="18"/>
        </w:rPr>
        <w:t>Diagn Microbiol Infect Dis</w:t>
      </w:r>
      <w:r w:rsidRPr="00006F88">
        <w:rPr>
          <w:sz w:val="18"/>
        </w:rPr>
        <w:t>. 2014;78(1):70-74.</w:t>
      </w:r>
    </w:p>
    <w:p w14:paraId="2C51E398"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19. </w:t>
      </w:r>
      <w:r w:rsidRPr="00006F88">
        <w:rPr>
          <w:sz w:val="18"/>
        </w:rPr>
        <w:tab/>
        <w:t xml:space="preserve">Cacciola G, De Meo F, Cavaliere P. Mechanical and elution properties of G3 Low Viscosity bone cement loaded up to three antibiotics. </w:t>
      </w:r>
      <w:r w:rsidRPr="00006F88">
        <w:rPr>
          <w:i/>
          <w:iCs/>
          <w:sz w:val="18"/>
        </w:rPr>
        <w:t>J Orthop</w:t>
      </w:r>
      <w:r w:rsidRPr="00006F88">
        <w:rPr>
          <w:sz w:val="18"/>
        </w:rPr>
        <w:t>. 2018;15(4):1004-1007. doi:10.1016/j.jor.2018.08.035</w:t>
      </w:r>
    </w:p>
    <w:p w14:paraId="5C951249"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20. </w:t>
      </w:r>
      <w:r w:rsidRPr="00006F88">
        <w:rPr>
          <w:sz w:val="18"/>
        </w:rPr>
        <w:tab/>
        <w:t xml:space="preserve">Samuel S, Mathew BS, Veeraraghavan B, Fleming DH, Chittaranjan SB, Prakash JAJ. In vitro study of elution kinetics and bio-activity of meropenem-loaded acrylic bone cement. </w:t>
      </w:r>
      <w:r w:rsidRPr="00006F88">
        <w:rPr>
          <w:i/>
          <w:iCs/>
          <w:sz w:val="18"/>
        </w:rPr>
        <w:t>J Orthop Traumatol</w:t>
      </w:r>
      <w:r w:rsidRPr="00006F88">
        <w:rPr>
          <w:sz w:val="18"/>
        </w:rPr>
        <w:t>. 2012;13(3):131-136. doi:10.1007/s10195-012-0191-1</w:t>
      </w:r>
    </w:p>
    <w:p w14:paraId="5DEB7314"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21. </w:t>
      </w:r>
      <w:r w:rsidRPr="00006F88">
        <w:rPr>
          <w:sz w:val="18"/>
        </w:rPr>
        <w:tab/>
        <w:t xml:space="preserve">Porteous A, Bartlett R. Post-operative drainage after cemented, hybrid and uncemented total knee replacement. </w:t>
      </w:r>
      <w:r w:rsidRPr="00006F88">
        <w:rPr>
          <w:i/>
          <w:iCs/>
          <w:sz w:val="18"/>
        </w:rPr>
        <w:t>KNEE</w:t>
      </w:r>
      <w:r w:rsidRPr="00006F88">
        <w:rPr>
          <w:sz w:val="18"/>
        </w:rPr>
        <w:t>. 2003;10(4):371-374.</w:t>
      </w:r>
    </w:p>
    <w:p w14:paraId="2CAAAA12"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22. </w:t>
      </w:r>
      <w:r w:rsidRPr="00006F88">
        <w:rPr>
          <w:sz w:val="18"/>
        </w:rPr>
        <w:tab/>
        <w:t xml:space="preserve">Fan CH, Hung HH, Chiu KH. Rate of drainage following total knee replacement. </w:t>
      </w:r>
      <w:r w:rsidRPr="00006F88">
        <w:rPr>
          <w:i/>
          <w:iCs/>
          <w:sz w:val="18"/>
        </w:rPr>
        <w:t>Hong Kong J Orthop Surg</w:t>
      </w:r>
      <w:r w:rsidRPr="00006F88">
        <w:rPr>
          <w:sz w:val="18"/>
        </w:rPr>
        <w:t>. 2006;10(May):10-13.</w:t>
      </w:r>
    </w:p>
    <w:p w14:paraId="2A4B4C48"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23. </w:t>
      </w:r>
      <w:r w:rsidRPr="00006F88">
        <w:rPr>
          <w:sz w:val="18"/>
        </w:rPr>
        <w:tab/>
        <w:t xml:space="preserve">Sterling G, McBain GD, Harris JA, Boland M. Drainage after total knee replacement. </w:t>
      </w:r>
      <w:r w:rsidRPr="00006F88">
        <w:rPr>
          <w:i/>
          <w:iCs/>
          <w:sz w:val="18"/>
        </w:rPr>
        <w:t>ANZIAM J</w:t>
      </w:r>
      <w:r w:rsidRPr="00006F88">
        <w:rPr>
          <w:sz w:val="18"/>
        </w:rPr>
        <w:t>. 2006;48(2):199-210. doi:10.1017/s1446181100003035</w:t>
      </w:r>
    </w:p>
    <w:p w14:paraId="25BA3488"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24. </w:t>
      </w:r>
      <w:r w:rsidRPr="00006F88">
        <w:rPr>
          <w:sz w:val="18"/>
        </w:rPr>
        <w:tab/>
        <w:t xml:space="preserve">Freese D, Weidler PG, Grolimund D, Sticher H. A Flow‐Through Reactor with an Infinite Sink for Monitoring Desorption Processes. </w:t>
      </w:r>
      <w:r w:rsidRPr="00006F88">
        <w:rPr>
          <w:i/>
          <w:iCs/>
          <w:sz w:val="18"/>
        </w:rPr>
        <w:t>J Environ Qual</w:t>
      </w:r>
      <w:r w:rsidRPr="00006F88">
        <w:rPr>
          <w:sz w:val="18"/>
        </w:rPr>
        <w:t>. 1999;28(2):537-543. doi:10.2134/jeq1999.00472425002800020019x</w:t>
      </w:r>
    </w:p>
    <w:p w14:paraId="737E1F18"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25. </w:t>
      </w:r>
      <w:r w:rsidRPr="00006F88">
        <w:rPr>
          <w:sz w:val="18"/>
        </w:rPr>
        <w:tab/>
        <w:t xml:space="preserve">Miller R, McLaren A, Leon C, McLemore R. Mixing method affects elution and strength of high-dose ALBC: A pilot study infection. </w:t>
      </w:r>
      <w:r w:rsidRPr="00006F88">
        <w:rPr>
          <w:i/>
          <w:iCs/>
          <w:sz w:val="18"/>
        </w:rPr>
        <w:t>Clin Orthop Relat Res</w:t>
      </w:r>
      <w:r w:rsidRPr="00006F88">
        <w:rPr>
          <w:sz w:val="18"/>
        </w:rPr>
        <w:t>. 2012;470(10):2677-2683. doi:10.1007/s11999-012-2351-2</w:t>
      </w:r>
    </w:p>
    <w:p w14:paraId="487BC5D1"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26. </w:t>
      </w:r>
      <w:r w:rsidRPr="00006F88">
        <w:rPr>
          <w:sz w:val="18"/>
        </w:rPr>
        <w:tab/>
        <w:t xml:space="preserve">Matziolis G, Brodt S, Böhle S, Kirschberg J, Jacob B, Röhner E. Intraarticular vancomycin powder is effective in preventing infections following total hip and knee arthroplasty. </w:t>
      </w:r>
      <w:r w:rsidRPr="00006F88">
        <w:rPr>
          <w:i/>
          <w:iCs/>
          <w:sz w:val="18"/>
        </w:rPr>
        <w:t>Sci Rep</w:t>
      </w:r>
      <w:r w:rsidRPr="00006F88">
        <w:rPr>
          <w:sz w:val="18"/>
        </w:rPr>
        <w:t>. 2020;10(1):1-6. doi:10.1038/s41598-020-69958-0</w:t>
      </w:r>
    </w:p>
    <w:p w14:paraId="4F60C48F"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27. </w:t>
      </w:r>
      <w:r w:rsidRPr="00006F88">
        <w:rPr>
          <w:sz w:val="18"/>
        </w:rPr>
        <w:tab/>
        <w:t xml:space="preserve">Yavuz IA, Oken OF, Yildirim AO, Inci F, Ceyhan E, Gurhan U. No effect of vancomycin powder to prevent infection in primary total knee arthroplasty: a retrospective review of 976 cases. </w:t>
      </w:r>
      <w:r w:rsidRPr="00006F88">
        <w:rPr>
          <w:i/>
          <w:iCs/>
          <w:sz w:val="18"/>
        </w:rPr>
        <w:t>Knee Surgery, Sport Traumatol Arthrosc</w:t>
      </w:r>
      <w:r w:rsidRPr="00006F88">
        <w:rPr>
          <w:sz w:val="18"/>
        </w:rPr>
        <w:t>. 2020;28(9):3055-3060. doi:10.1007/s00167-019-05778-8</w:t>
      </w:r>
    </w:p>
    <w:p w14:paraId="4E616F6D"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28. </w:t>
      </w:r>
      <w:r w:rsidRPr="00006F88">
        <w:rPr>
          <w:sz w:val="18"/>
        </w:rPr>
        <w:tab/>
        <w:t xml:space="preserve">Hanada M, Nishikino S, Hotta K, Furuhashi H, Hoshino H, Matsuyama Y. Intrawound vancomycin powder increases post-operative wound complications and does not decrease periprosthetic joint infection in primary total and unicompartmental knee arthroplasties. </w:t>
      </w:r>
      <w:r w:rsidRPr="00006F88">
        <w:rPr>
          <w:i/>
          <w:iCs/>
          <w:sz w:val="18"/>
        </w:rPr>
        <w:t>Knee Surgery, Sport Traumatol Arthrosc</w:t>
      </w:r>
      <w:r w:rsidRPr="00006F88">
        <w:rPr>
          <w:sz w:val="18"/>
        </w:rPr>
        <w:t>. 2019;27(7):2322-2327. doi:10.1007/s00167-019-05498-z</w:t>
      </w:r>
    </w:p>
    <w:p w14:paraId="0AFC7B66"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29. </w:t>
      </w:r>
      <w:r w:rsidRPr="00006F88">
        <w:rPr>
          <w:sz w:val="18"/>
        </w:rPr>
        <w:tab/>
        <w:t xml:space="preserve">Johnson JD, Nessler JM, Horazdovsky RD, Vang S, Thomas AJ, Marston SB. Serum and Wound Vancomycin Levels After Intrawound Administration in Primary Total Joint Arthroplasty. </w:t>
      </w:r>
      <w:r w:rsidRPr="00006F88">
        <w:rPr>
          <w:i/>
          <w:iCs/>
          <w:sz w:val="18"/>
        </w:rPr>
        <w:t>J Arthroplasty</w:t>
      </w:r>
      <w:r w:rsidRPr="00006F88">
        <w:rPr>
          <w:sz w:val="18"/>
        </w:rPr>
        <w:t>. 2017;32(3):924-928. doi:10.1016/j.arth.2015.10.015</w:t>
      </w:r>
    </w:p>
    <w:p w14:paraId="1316A085"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30. </w:t>
      </w:r>
      <w:r w:rsidRPr="00006F88">
        <w:rPr>
          <w:sz w:val="18"/>
        </w:rPr>
        <w:tab/>
        <w:t xml:space="preserve">Tailaiti A, Shang J, Shan S, Muheremu A. Effect of intrawound vancomycin application in spinal surgery on the incidence of surgical site infection: a meta-analysis. </w:t>
      </w:r>
      <w:r w:rsidRPr="00006F88">
        <w:rPr>
          <w:i/>
          <w:iCs/>
          <w:sz w:val="18"/>
        </w:rPr>
        <w:t>Ther Clin Risk Manag</w:t>
      </w:r>
      <w:r w:rsidRPr="00006F88">
        <w:rPr>
          <w:sz w:val="18"/>
        </w:rPr>
        <w:t>. 2018;14:2149-2159.</w:t>
      </w:r>
    </w:p>
    <w:p w14:paraId="6618C516"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31. </w:t>
      </w:r>
      <w:r w:rsidRPr="00006F88">
        <w:rPr>
          <w:sz w:val="18"/>
        </w:rPr>
        <w:tab/>
        <w:t xml:space="preserve">Badha V, Moore R, Heffernan J, Castaneda P, McLaren A, Overstreet D.  Determination of Tobramycin and Vancomycin Exposure Required to Eradicate Biofilms on Muscle and Bone Tissue In Vitro . </w:t>
      </w:r>
      <w:r w:rsidRPr="00006F88">
        <w:rPr>
          <w:i/>
          <w:iCs/>
          <w:sz w:val="18"/>
        </w:rPr>
        <w:t>J Bone Jt Infect</w:t>
      </w:r>
      <w:r w:rsidRPr="00006F88">
        <w:rPr>
          <w:sz w:val="18"/>
        </w:rPr>
        <w:t>. 2019;4(1):1-9. doi:10.7150/jbji.29711</w:t>
      </w:r>
    </w:p>
    <w:p w14:paraId="5F4DD4BA"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32. </w:t>
      </w:r>
      <w:r w:rsidRPr="00006F88">
        <w:rPr>
          <w:sz w:val="18"/>
        </w:rPr>
        <w:tab/>
        <w:t xml:space="preserve">Parker AC, Smith JK, Courtney HS, Haggard WO. Evaluation of two sources of calcium sulfate for a local drug delivery system: A pilot study. </w:t>
      </w:r>
      <w:r w:rsidRPr="00006F88">
        <w:rPr>
          <w:i/>
          <w:iCs/>
          <w:sz w:val="18"/>
        </w:rPr>
        <w:t>Clin Orthop Relat Res</w:t>
      </w:r>
      <w:r w:rsidRPr="00006F88">
        <w:rPr>
          <w:sz w:val="18"/>
        </w:rPr>
        <w:t>. 2011;469(11):3008-3015. doi:10.1007/s11999-011-1911-1</w:t>
      </w:r>
    </w:p>
    <w:p w14:paraId="47E6C773"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33. </w:t>
      </w:r>
      <w:r w:rsidRPr="00006F88">
        <w:rPr>
          <w:sz w:val="18"/>
        </w:rPr>
        <w:tab/>
        <w:t xml:space="preserve">Mccarty WJ, Masuda K, Sah RL. Fluid movement and joint capsule strains due to flexion in rabbit knees. </w:t>
      </w:r>
      <w:r w:rsidRPr="00006F88">
        <w:rPr>
          <w:i/>
          <w:iCs/>
          <w:sz w:val="18"/>
        </w:rPr>
        <w:t>J Biomech</w:t>
      </w:r>
      <w:r w:rsidRPr="00006F88">
        <w:rPr>
          <w:sz w:val="18"/>
        </w:rPr>
        <w:t xml:space="preserve">. </w:t>
      </w:r>
      <w:r w:rsidRPr="00006F88">
        <w:rPr>
          <w:sz w:val="18"/>
        </w:rPr>
        <w:lastRenderedPageBreak/>
        <w:t>2011;44(16):2761-2767. doi:10.1016/j.jbiomech.2011.09.005.Fluid</w:t>
      </w:r>
    </w:p>
    <w:p w14:paraId="7B7E657C"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34. </w:t>
      </w:r>
      <w:r w:rsidRPr="00006F88">
        <w:rPr>
          <w:sz w:val="18"/>
        </w:rPr>
        <w:tab/>
        <w:t xml:space="preserve">Kallala R, Edwin Harris W, Ibrahim M, Dipane M, McPherson E. Use of stimulan absorbable calcium sulphate beads in revision lower limb arthroplasty. </w:t>
      </w:r>
      <w:r w:rsidRPr="00006F88">
        <w:rPr>
          <w:i/>
          <w:iCs/>
          <w:sz w:val="18"/>
        </w:rPr>
        <w:t>Bone Jt Res</w:t>
      </w:r>
      <w:r w:rsidRPr="00006F88">
        <w:rPr>
          <w:sz w:val="18"/>
        </w:rPr>
        <w:t>. 2018;7(10):570-579. doi:10.1302/2046-3758.710.BJR-2017-0319.R1</w:t>
      </w:r>
    </w:p>
    <w:p w14:paraId="3B0836AA"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35. </w:t>
      </w:r>
      <w:r w:rsidRPr="00006F88">
        <w:rPr>
          <w:sz w:val="18"/>
        </w:rPr>
        <w:tab/>
        <w:t xml:space="preserve">Anagnostakos K, Meyer C. Antibiotic Elution from Hip and Knee Acrylic Bone Cement Spacers: A Systematic Review. Omri A, ed. </w:t>
      </w:r>
      <w:r w:rsidRPr="00006F88">
        <w:rPr>
          <w:i/>
          <w:iCs/>
          <w:sz w:val="18"/>
        </w:rPr>
        <w:t>Biomed Res Int</w:t>
      </w:r>
      <w:r w:rsidRPr="00006F88">
        <w:rPr>
          <w:sz w:val="18"/>
        </w:rPr>
        <w:t>. 2017;2017:4657874. doi:10.1155/2017/4657874</w:t>
      </w:r>
    </w:p>
    <w:p w14:paraId="4525F1E6" w14:textId="7AA66773" w:rsidR="00006F88" w:rsidRPr="002948D4" w:rsidRDefault="00006F88" w:rsidP="002948D4">
      <w:pPr>
        <w:widowControl w:val="0"/>
        <w:autoSpaceDE w:val="0"/>
        <w:autoSpaceDN w:val="0"/>
        <w:adjustRightInd w:val="0"/>
        <w:spacing w:line="240" w:lineRule="auto"/>
        <w:ind w:left="640" w:hanging="640"/>
        <w:rPr>
          <w:color w:val="000000" w:themeColor="text1"/>
          <w:sz w:val="18"/>
          <w:szCs w:val="18"/>
        </w:rPr>
      </w:pPr>
      <w:r w:rsidRPr="00006F88">
        <w:rPr>
          <w:sz w:val="18"/>
        </w:rPr>
        <w:t xml:space="preserve">36. </w:t>
      </w:r>
      <w:r w:rsidRPr="00006F88">
        <w:rPr>
          <w:sz w:val="18"/>
        </w:rPr>
        <w:tab/>
      </w:r>
      <w:r w:rsidR="002948D4" w:rsidRPr="0084309A">
        <w:rPr>
          <w:color w:val="000000" w:themeColor="text1"/>
          <w:sz w:val="18"/>
          <w:szCs w:val="18"/>
        </w:rPr>
        <w:t>Biocomposites Ltd. (2019). Stimulan</w:t>
      </w:r>
      <w:r w:rsidR="002948D4" w:rsidRPr="0084309A">
        <w:rPr>
          <w:color w:val="000000" w:themeColor="text1"/>
          <w:sz w:val="18"/>
          <w:szCs w:val="18"/>
          <w:vertAlign w:val="superscript"/>
        </w:rPr>
        <w:t>®</w:t>
      </w:r>
      <w:r w:rsidR="002948D4" w:rsidRPr="0084309A">
        <w:rPr>
          <w:color w:val="000000" w:themeColor="text1"/>
          <w:sz w:val="18"/>
          <w:szCs w:val="18"/>
        </w:rPr>
        <w:t xml:space="preserve"> Rapid Cure: Instructions for Use. Keele, Staffordshire, England: Biocomposites Ltd.</w:t>
      </w:r>
    </w:p>
    <w:p w14:paraId="5BBDCBBC" w14:textId="51C07573"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37. </w:t>
      </w:r>
      <w:r w:rsidRPr="00006F88">
        <w:rPr>
          <w:sz w:val="18"/>
        </w:rPr>
        <w:tab/>
      </w:r>
      <w:r w:rsidR="002948D4" w:rsidRPr="0084309A">
        <w:rPr>
          <w:color w:val="000000" w:themeColor="text1"/>
          <w:sz w:val="18"/>
          <w:szCs w:val="18"/>
        </w:rPr>
        <w:t>Stryker</w:t>
      </w:r>
      <w:r w:rsidR="002948D4" w:rsidRPr="0084309A">
        <w:rPr>
          <w:color w:val="000000" w:themeColor="text1"/>
          <w:sz w:val="18"/>
          <w:szCs w:val="18"/>
          <w:vertAlign w:val="superscript"/>
        </w:rPr>
        <w:t xml:space="preserve">® </w:t>
      </w:r>
      <w:r w:rsidR="002948D4" w:rsidRPr="0084309A">
        <w:rPr>
          <w:color w:val="000000" w:themeColor="text1"/>
          <w:sz w:val="18"/>
          <w:szCs w:val="18"/>
        </w:rPr>
        <w:t>Howmedica Osteonics Corporation. (2006). Simplex</w:t>
      </w:r>
      <w:r w:rsidR="002948D4" w:rsidRPr="0084309A">
        <w:rPr>
          <w:color w:val="000000" w:themeColor="text1"/>
          <w:sz w:val="18"/>
          <w:szCs w:val="18"/>
          <w:vertAlign w:val="superscript"/>
        </w:rPr>
        <w:t xml:space="preserve">™ </w:t>
      </w:r>
      <w:r w:rsidR="002948D4" w:rsidRPr="0084309A">
        <w:rPr>
          <w:color w:val="000000" w:themeColor="text1"/>
          <w:sz w:val="18"/>
          <w:szCs w:val="18"/>
        </w:rPr>
        <w:t>P SpeedSet</w:t>
      </w:r>
      <w:r w:rsidR="002948D4" w:rsidRPr="0084309A">
        <w:rPr>
          <w:color w:val="000000" w:themeColor="text1"/>
          <w:sz w:val="18"/>
          <w:szCs w:val="18"/>
          <w:vertAlign w:val="superscript"/>
        </w:rPr>
        <w:t>™</w:t>
      </w:r>
      <w:r w:rsidR="002948D4" w:rsidRPr="0084309A">
        <w:rPr>
          <w:color w:val="000000" w:themeColor="text1"/>
          <w:sz w:val="18"/>
          <w:szCs w:val="18"/>
        </w:rPr>
        <w:t xml:space="preserve"> Radiopaque Bone Cement: Instructions for Use. Mahwah, NJ, USA: Stryker</w:t>
      </w:r>
      <w:r w:rsidR="002948D4" w:rsidRPr="0084309A">
        <w:rPr>
          <w:color w:val="000000" w:themeColor="text1"/>
          <w:sz w:val="18"/>
          <w:szCs w:val="18"/>
          <w:vertAlign w:val="superscript"/>
        </w:rPr>
        <w:t xml:space="preserve">® </w:t>
      </w:r>
      <w:r w:rsidR="002948D4" w:rsidRPr="0084309A">
        <w:rPr>
          <w:color w:val="000000" w:themeColor="text1"/>
          <w:sz w:val="18"/>
          <w:szCs w:val="18"/>
        </w:rPr>
        <w:t>Orthopedics.</w:t>
      </w:r>
    </w:p>
    <w:p w14:paraId="1B3DDA91"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38. </w:t>
      </w:r>
      <w:r w:rsidRPr="00006F88">
        <w:rPr>
          <w:sz w:val="18"/>
        </w:rPr>
        <w:tab/>
        <w:t xml:space="preserve">Cooper JJ, Florance H, McKinnon JL, Laycock PA, Aiken SS. Elution profiles of tobramycin and vancomycin from high-purity calcium sulphate beads incubated in a range of simulated body fluids. </w:t>
      </w:r>
      <w:r w:rsidRPr="00006F88">
        <w:rPr>
          <w:i/>
          <w:iCs/>
          <w:sz w:val="18"/>
        </w:rPr>
        <w:t>J Biomater Appl</w:t>
      </w:r>
      <w:r w:rsidRPr="00006F88">
        <w:rPr>
          <w:sz w:val="18"/>
        </w:rPr>
        <w:t>. 2016;31(3):357-365. doi:10.1177/0885328216663392</w:t>
      </w:r>
    </w:p>
    <w:p w14:paraId="2EF6BC67" w14:textId="77777777"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39. </w:t>
      </w:r>
      <w:r w:rsidRPr="00006F88">
        <w:rPr>
          <w:sz w:val="18"/>
        </w:rPr>
        <w:tab/>
        <w:t xml:space="preserve">Biemer JJ. Antimicrobial susceptibility testing by the Kirby-Bauer disc diffusion method. </w:t>
      </w:r>
      <w:r w:rsidRPr="00006F88">
        <w:rPr>
          <w:i/>
          <w:iCs/>
          <w:sz w:val="18"/>
        </w:rPr>
        <w:t>Ann Clin Lab Sci</w:t>
      </w:r>
      <w:r w:rsidRPr="00006F88">
        <w:rPr>
          <w:sz w:val="18"/>
        </w:rPr>
        <w:t>. 1973;3(2):135-140.</w:t>
      </w:r>
    </w:p>
    <w:p w14:paraId="4AA67915" w14:textId="4DC4FD2C" w:rsidR="00006F88" w:rsidRPr="00006F88" w:rsidRDefault="00006F88" w:rsidP="00006F88">
      <w:pPr>
        <w:widowControl w:val="0"/>
        <w:autoSpaceDE w:val="0"/>
        <w:autoSpaceDN w:val="0"/>
        <w:adjustRightInd w:val="0"/>
        <w:spacing w:line="240" w:lineRule="auto"/>
        <w:ind w:left="640" w:hanging="640"/>
        <w:rPr>
          <w:sz w:val="18"/>
        </w:rPr>
      </w:pPr>
      <w:r w:rsidRPr="00006F88">
        <w:rPr>
          <w:sz w:val="18"/>
        </w:rPr>
        <w:t xml:space="preserve">40. </w:t>
      </w:r>
      <w:r w:rsidRPr="00006F88">
        <w:rPr>
          <w:sz w:val="18"/>
        </w:rPr>
        <w:tab/>
      </w:r>
      <w:r w:rsidR="002948D4" w:rsidRPr="0084309A">
        <w:rPr>
          <w:color w:val="000000" w:themeColor="text1"/>
          <w:sz w:val="18"/>
          <w:szCs w:val="18"/>
        </w:rPr>
        <w:t>Rasband, W.S., ImageJ, U. S. National Institutes of Health, Bethesda, Maryland, USA, https://imagej.nih.gov/ij/, 1997-2018.</w:t>
      </w:r>
    </w:p>
    <w:p w14:paraId="66531641" w14:textId="6F800746" w:rsidR="007713AF" w:rsidRPr="00446DFA" w:rsidRDefault="004B3FCD" w:rsidP="00006F88">
      <w:pPr>
        <w:widowControl w:val="0"/>
        <w:autoSpaceDE w:val="0"/>
        <w:autoSpaceDN w:val="0"/>
        <w:adjustRightInd w:val="0"/>
        <w:spacing w:line="240" w:lineRule="auto"/>
        <w:ind w:left="640" w:hanging="640"/>
        <w:rPr>
          <w:noProof w:val="0"/>
          <w:color w:val="auto"/>
        </w:rPr>
      </w:pPr>
      <w:r w:rsidRPr="00446DFA">
        <w:rPr>
          <w:noProof w:val="0"/>
          <w:sz w:val="18"/>
          <w:szCs w:val="18"/>
        </w:rPr>
        <w:fldChar w:fldCharType="end"/>
      </w:r>
    </w:p>
    <w:sectPr w:rsidR="007713AF" w:rsidRPr="00446DFA" w:rsidSect="00BA3143">
      <w:headerReference w:type="even" r:id="rId19"/>
      <w:headerReference w:type="default" r:id="rId20"/>
      <w:headerReference w:type="first" r:id="rId21"/>
      <w:footerReference w:type="first" r:id="rId2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5000A" w14:textId="77777777" w:rsidR="00BF2D06" w:rsidRDefault="00BF2D06">
      <w:pPr>
        <w:spacing w:line="240" w:lineRule="auto"/>
      </w:pPr>
      <w:r>
        <w:separator/>
      </w:r>
    </w:p>
  </w:endnote>
  <w:endnote w:type="continuationSeparator" w:id="0">
    <w:p w14:paraId="0BFB0765" w14:textId="77777777" w:rsidR="00BF2D06" w:rsidRDefault="00BF2D06">
      <w:pPr>
        <w:spacing w:line="240" w:lineRule="auto"/>
      </w:pPr>
      <w:r>
        <w:continuationSeparator/>
      </w:r>
    </w:p>
  </w:endnote>
  <w:endnote w:type="continuationNotice" w:id="1">
    <w:p w14:paraId="0D680714" w14:textId="77777777" w:rsidR="00BF2D06" w:rsidRDefault="00BF2D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EFAEC" w14:textId="77777777" w:rsidR="002D5379" w:rsidRDefault="002D5379" w:rsidP="0090652B">
    <w:pPr>
      <w:pBdr>
        <w:top w:val="single" w:sz="4" w:space="0" w:color="000000"/>
      </w:pBdr>
      <w:tabs>
        <w:tab w:val="right" w:pos="8844"/>
      </w:tabs>
      <w:adjustRightInd w:val="0"/>
      <w:snapToGrid w:val="0"/>
      <w:spacing w:before="480" w:line="100" w:lineRule="exact"/>
      <w:jc w:val="left"/>
      <w:rPr>
        <w:i/>
        <w:sz w:val="16"/>
        <w:szCs w:val="16"/>
      </w:rPr>
    </w:pPr>
  </w:p>
  <w:p w14:paraId="03CCDD4B" w14:textId="37DF8BB4" w:rsidR="002D5379" w:rsidRPr="00372FCD" w:rsidRDefault="002D5379" w:rsidP="00F65BDA">
    <w:pPr>
      <w:tabs>
        <w:tab w:val="right" w:pos="10466"/>
      </w:tabs>
      <w:adjustRightInd w:val="0"/>
      <w:snapToGrid w:val="0"/>
      <w:spacing w:line="240" w:lineRule="auto"/>
      <w:rPr>
        <w:sz w:val="16"/>
        <w:szCs w:val="16"/>
        <w:lang w:val="fr-CH"/>
      </w:rPr>
    </w:pPr>
    <w:r w:rsidRPr="00C37D73">
      <w:rPr>
        <w:i/>
        <w:sz w:val="16"/>
        <w:szCs w:val="16"/>
      </w:rPr>
      <w:t>Antibiotics</w:t>
    </w:r>
    <w:r>
      <w:rPr>
        <w:i/>
        <w:sz w:val="16"/>
        <w:szCs w:val="16"/>
      </w:rPr>
      <w:t xml:space="preserve"> </w:t>
    </w:r>
    <w:r w:rsidRPr="008A3AB2">
      <w:rPr>
        <w:b/>
        <w:bCs/>
        <w:iCs/>
        <w:sz w:val="16"/>
        <w:szCs w:val="16"/>
      </w:rPr>
      <w:t>20</w:t>
    </w:r>
    <w:r>
      <w:rPr>
        <w:b/>
        <w:bCs/>
        <w:iCs/>
        <w:sz w:val="16"/>
        <w:szCs w:val="16"/>
      </w:rPr>
      <w:t>21</w:t>
    </w:r>
    <w:r w:rsidRPr="008A3AB2">
      <w:rPr>
        <w:bCs/>
        <w:iCs/>
        <w:sz w:val="16"/>
        <w:szCs w:val="16"/>
      </w:rPr>
      <w:t xml:space="preserve">, </w:t>
    </w:r>
    <w:r>
      <w:rPr>
        <w:bCs/>
        <w:i/>
        <w:iCs/>
        <w:sz w:val="16"/>
        <w:szCs w:val="16"/>
      </w:rPr>
      <w:t>10</w:t>
    </w:r>
    <w:r w:rsidRPr="008A3AB2">
      <w:rPr>
        <w:bCs/>
        <w:iCs/>
        <w:sz w:val="16"/>
        <w:szCs w:val="16"/>
      </w:rPr>
      <w:t xml:space="preserve">, </w:t>
    </w:r>
    <w:r>
      <w:rPr>
        <w:bCs/>
        <w:iCs/>
        <w:sz w:val="16"/>
        <w:szCs w:val="16"/>
      </w:rPr>
      <w:t>x. https://doi.org/10.3390/xxxxx</w:t>
    </w:r>
    <w:r>
      <w:rPr>
        <w:sz w:val="16"/>
        <w:szCs w:val="16"/>
        <w:lang w:val="fr-CH"/>
      </w:rPr>
      <w:ptab w:relativeTo="margin" w:alignment="right" w:leader="none"/>
    </w:r>
    <w:r w:rsidRPr="00372FCD">
      <w:rPr>
        <w:sz w:val="16"/>
        <w:szCs w:val="16"/>
        <w:lang w:val="fr-CH"/>
      </w:rPr>
      <w:t>www.mdpi.com/journal/</w:t>
    </w:r>
    <w:r w:rsidRPr="00C37D73">
      <w:rPr>
        <w:sz w:val="16"/>
        <w:szCs w:val="16"/>
      </w:rPr>
      <w:t>antibiotics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C1D4C" w14:textId="77777777" w:rsidR="00BF2D06" w:rsidRDefault="00BF2D06">
      <w:pPr>
        <w:spacing w:line="240" w:lineRule="auto"/>
      </w:pPr>
      <w:r>
        <w:separator/>
      </w:r>
    </w:p>
  </w:footnote>
  <w:footnote w:type="continuationSeparator" w:id="0">
    <w:p w14:paraId="4E7355BE" w14:textId="77777777" w:rsidR="00BF2D06" w:rsidRDefault="00BF2D06">
      <w:pPr>
        <w:spacing w:line="240" w:lineRule="auto"/>
      </w:pPr>
      <w:r>
        <w:continuationSeparator/>
      </w:r>
    </w:p>
  </w:footnote>
  <w:footnote w:type="continuationNotice" w:id="1">
    <w:p w14:paraId="452CD123" w14:textId="77777777" w:rsidR="00BF2D06" w:rsidRDefault="00BF2D0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A66F9" w14:textId="77777777" w:rsidR="002D5379" w:rsidRDefault="002D5379" w:rsidP="00464DC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EFA24" w14:textId="3E20BC1B" w:rsidR="002D5379" w:rsidRDefault="002D5379" w:rsidP="00F65BDA">
    <w:pPr>
      <w:tabs>
        <w:tab w:val="right" w:pos="10466"/>
      </w:tabs>
      <w:adjustRightInd w:val="0"/>
      <w:snapToGrid w:val="0"/>
      <w:spacing w:line="240" w:lineRule="auto"/>
      <w:rPr>
        <w:sz w:val="16"/>
      </w:rPr>
    </w:pPr>
    <w:r>
      <w:rPr>
        <w:i/>
        <w:sz w:val="16"/>
      </w:rPr>
      <w:t xml:space="preserve">Antibiotics </w:t>
    </w:r>
    <w:r w:rsidRPr="008A3AB2">
      <w:rPr>
        <w:b/>
        <w:sz w:val="16"/>
      </w:rPr>
      <w:t>20</w:t>
    </w:r>
    <w:r>
      <w:rPr>
        <w:b/>
        <w:sz w:val="16"/>
      </w:rPr>
      <w:t>21</w:t>
    </w:r>
    <w:r w:rsidRPr="008A3AB2">
      <w:rPr>
        <w:sz w:val="16"/>
      </w:rPr>
      <w:t xml:space="preserve">, </w:t>
    </w:r>
    <w:r>
      <w:rPr>
        <w:i/>
        <w:sz w:val="16"/>
      </w:rPr>
      <w:t>10</w:t>
    </w:r>
    <w:r>
      <w:rPr>
        <w:sz w:val="16"/>
      </w:rPr>
      <w:t>, x FOR PEER REVIEW</w:t>
    </w:r>
    <w:r>
      <w:rPr>
        <w:sz w:val="16"/>
      </w:rPr>
      <w:ptab w:relativeTo="margin" w:alignment="right" w:leader="none"/>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4E3F145D" w14:textId="77777777" w:rsidR="002D5379" w:rsidRPr="009F24DC" w:rsidRDefault="002D5379" w:rsidP="0090652B">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2D5379" w:rsidRPr="00F65BDA" w14:paraId="4B453842" w14:textId="77777777" w:rsidTr="00F65BDA">
      <w:trPr>
        <w:trHeight w:val="686"/>
      </w:trPr>
      <w:tc>
        <w:tcPr>
          <w:tcW w:w="3679" w:type="dxa"/>
          <w:shd w:val="clear" w:color="auto" w:fill="auto"/>
          <w:vAlign w:val="center"/>
        </w:tcPr>
        <w:p w14:paraId="5BD25B5B" w14:textId="77777777" w:rsidR="002D5379" w:rsidRPr="001E6690" w:rsidRDefault="002D5379" w:rsidP="00F65BDA">
          <w:pPr>
            <w:pStyle w:val="Header"/>
            <w:pBdr>
              <w:bottom w:val="none" w:sz="0" w:space="0" w:color="auto"/>
            </w:pBdr>
            <w:jc w:val="left"/>
            <w:rPr>
              <w:rFonts w:eastAsia="DengXian"/>
              <w:b/>
              <w:bCs/>
            </w:rPr>
          </w:pPr>
          <w:r w:rsidRPr="001E6690">
            <w:rPr>
              <w:rFonts w:eastAsia="DengXian"/>
              <w:b/>
              <w:bCs/>
            </w:rPr>
            <w:drawing>
              <wp:inline distT="0" distB="0" distL="0" distR="0" wp14:anchorId="43A51BA3" wp14:editId="302211A2">
                <wp:extent cx="1656715" cy="425450"/>
                <wp:effectExtent l="0" t="0" r="0" b="0"/>
                <wp:docPr id="5" name="Picture 3" descr="C:\Users\home\AppData\Local\Temp\HZ$D.503.4364\antibiotics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503.4364\antibiotics_logo.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715" cy="425450"/>
                        </a:xfrm>
                        <a:prstGeom prst="rect">
                          <a:avLst/>
                        </a:prstGeom>
                        <a:noFill/>
                        <a:ln>
                          <a:noFill/>
                        </a:ln>
                      </pic:spPr>
                    </pic:pic>
                  </a:graphicData>
                </a:graphic>
              </wp:inline>
            </w:drawing>
          </w:r>
        </w:p>
      </w:tc>
      <w:tc>
        <w:tcPr>
          <w:tcW w:w="4535" w:type="dxa"/>
          <w:shd w:val="clear" w:color="auto" w:fill="auto"/>
          <w:vAlign w:val="center"/>
        </w:tcPr>
        <w:p w14:paraId="30079185" w14:textId="77777777" w:rsidR="002D5379" w:rsidRPr="001E6690" w:rsidRDefault="002D5379" w:rsidP="00F65BDA">
          <w:pPr>
            <w:pStyle w:val="Header"/>
            <w:pBdr>
              <w:bottom w:val="none" w:sz="0" w:space="0" w:color="auto"/>
            </w:pBdr>
            <w:rPr>
              <w:rFonts w:eastAsia="DengXian"/>
              <w:b/>
              <w:bCs/>
            </w:rPr>
          </w:pPr>
        </w:p>
      </w:tc>
      <w:tc>
        <w:tcPr>
          <w:tcW w:w="2273" w:type="dxa"/>
          <w:shd w:val="clear" w:color="auto" w:fill="auto"/>
          <w:vAlign w:val="center"/>
        </w:tcPr>
        <w:p w14:paraId="2D665E87" w14:textId="77777777" w:rsidR="002D5379" w:rsidRPr="001E6690" w:rsidRDefault="002D5379" w:rsidP="00F65BDA">
          <w:pPr>
            <w:pStyle w:val="Header"/>
            <w:pBdr>
              <w:bottom w:val="none" w:sz="0" w:space="0" w:color="auto"/>
            </w:pBdr>
            <w:jc w:val="right"/>
            <w:rPr>
              <w:rFonts w:eastAsia="DengXian"/>
              <w:b/>
              <w:bCs/>
            </w:rPr>
          </w:pPr>
          <w:r w:rsidRPr="001E6690">
            <w:rPr>
              <w:rFonts w:eastAsia="DengXian"/>
              <w:b/>
              <w:bCs/>
            </w:rPr>
            <w:drawing>
              <wp:inline distT="0" distB="0" distL="0" distR="0" wp14:anchorId="260B5064" wp14:editId="1B17CC52">
                <wp:extent cx="542925" cy="3530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53060"/>
                        </a:xfrm>
                        <a:prstGeom prst="rect">
                          <a:avLst/>
                        </a:prstGeom>
                        <a:noFill/>
                        <a:ln>
                          <a:noFill/>
                        </a:ln>
                      </pic:spPr>
                    </pic:pic>
                  </a:graphicData>
                </a:graphic>
              </wp:inline>
            </w:drawing>
          </w:r>
        </w:p>
      </w:tc>
    </w:tr>
  </w:tbl>
  <w:p w14:paraId="398C264D" w14:textId="77777777" w:rsidR="002D5379" w:rsidRPr="00356DBC" w:rsidRDefault="002D5379" w:rsidP="0090652B">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0F39"/>
    <w:multiLevelType w:val="multilevel"/>
    <w:tmpl w:val="414A29C0"/>
    <w:lvl w:ilvl="0">
      <w:start w:val="2"/>
      <w:numFmt w:val="decimal"/>
      <w:lvlText w:val="%1"/>
      <w:lvlJc w:val="left"/>
      <w:pPr>
        <w:ind w:left="360" w:hanging="360"/>
      </w:pPr>
      <w:rPr>
        <w:rFonts w:hint="default"/>
        <w:color w:val="000000" w:themeColor="text1"/>
      </w:rPr>
    </w:lvl>
    <w:lvl w:ilvl="1">
      <w:start w:val="2"/>
      <w:numFmt w:val="decimal"/>
      <w:lvlText w:val="%1.%2"/>
      <w:lvlJc w:val="left"/>
      <w:pPr>
        <w:ind w:left="1440" w:hanging="360"/>
      </w:pPr>
      <w:rPr>
        <w:rFonts w:hint="default"/>
        <w:color w:val="000000" w:themeColor="text1"/>
      </w:rPr>
    </w:lvl>
    <w:lvl w:ilvl="2">
      <w:start w:val="1"/>
      <w:numFmt w:val="decimal"/>
      <w:lvlText w:val="%1.%2.%3"/>
      <w:lvlJc w:val="left"/>
      <w:pPr>
        <w:ind w:left="2880" w:hanging="720"/>
      </w:pPr>
      <w:rPr>
        <w:rFonts w:hint="default"/>
        <w:color w:val="000000" w:themeColor="text1"/>
      </w:rPr>
    </w:lvl>
    <w:lvl w:ilvl="3">
      <w:start w:val="1"/>
      <w:numFmt w:val="decimal"/>
      <w:lvlText w:val="%1.%2.%3.%4"/>
      <w:lvlJc w:val="left"/>
      <w:pPr>
        <w:ind w:left="3960" w:hanging="720"/>
      </w:pPr>
      <w:rPr>
        <w:rFonts w:hint="default"/>
        <w:color w:val="000000" w:themeColor="text1"/>
      </w:rPr>
    </w:lvl>
    <w:lvl w:ilvl="4">
      <w:start w:val="1"/>
      <w:numFmt w:val="decimal"/>
      <w:lvlText w:val="%1.%2.%3.%4.%5"/>
      <w:lvlJc w:val="left"/>
      <w:pPr>
        <w:ind w:left="5400" w:hanging="1080"/>
      </w:pPr>
      <w:rPr>
        <w:rFonts w:hint="default"/>
        <w:color w:val="000000" w:themeColor="text1"/>
      </w:rPr>
    </w:lvl>
    <w:lvl w:ilvl="5">
      <w:start w:val="1"/>
      <w:numFmt w:val="decimal"/>
      <w:lvlText w:val="%1.%2.%3.%4.%5.%6"/>
      <w:lvlJc w:val="left"/>
      <w:pPr>
        <w:ind w:left="6480" w:hanging="1080"/>
      </w:pPr>
      <w:rPr>
        <w:rFonts w:hint="default"/>
        <w:color w:val="000000" w:themeColor="text1"/>
      </w:rPr>
    </w:lvl>
    <w:lvl w:ilvl="6">
      <w:start w:val="1"/>
      <w:numFmt w:val="decimal"/>
      <w:lvlText w:val="%1.%2.%3.%4.%5.%6.%7"/>
      <w:lvlJc w:val="left"/>
      <w:pPr>
        <w:ind w:left="7920" w:hanging="1440"/>
      </w:pPr>
      <w:rPr>
        <w:rFonts w:hint="default"/>
        <w:color w:val="000000" w:themeColor="text1"/>
      </w:rPr>
    </w:lvl>
    <w:lvl w:ilvl="7">
      <w:start w:val="1"/>
      <w:numFmt w:val="decimal"/>
      <w:lvlText w:val="%1.%2.%3.%4.%5.%6.%7.%8"/>
      <w:lvlJc w:val="left"/>
      <w:pPr>
        <w:ind w:left="9000" w:hanging="1440"/>
      </w:pPr>
      <w:rPr>
        <w:rFonts w:hint="default"/>
        <w:color w:val="000000" w:themeColor="text1"/>
      </w:rPr>
    </w:lvl>
    <w:lvl w:ilvl="8">
      <w:start w:val="1"/>
      <w:numFmt w:val="decimal"/>
      <w:lvlText w:val="%1.%2.%3.%4.%5.%6.%7.%8.%9"/>
      <w:lvlJc w:val="left"/>
      <w:pPr>
        <w:ind w:left="10440" w:hanging="1800"/>
      </w:pPr>
      <w:rPr>
        <w:rFonts w:hint="default"/>
        <w:color w:val="000000" w:themeColor="text1"/>
      </w:rPr>
    </w:lvl>
  </w:abstractNum>
  <w:abstractNum w:abstractNumId="1" w15:restartNumberingAfterBreak="0">
    <w:nsid w:val="07A441A8"/>
    <w:multiLevelType w:val="multilevel"/>
    <w:tmpl w:val="03DA1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CB74F8"/>
    <w:multiLevelType w:val="multilevel"/>
    <w:tmpl w:val="5662748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0DF49D0"/>
    <w:multiLevelType w:val="multilevel"/>
    <w:tmpl w:val="FD229834"/>
    <w:lvl w:ilvl="0">
      <w:start w:val="2"/>
      <w:numFmt w:val="decimal"/>
      <w:lvlText w:val="%1"/>
      <w:lvlJc w:val="left"/>
      <w:pPr>
        <w:ind w:left="360" w:hanging="360"/>
      </w:pPr>
      <w:rPr>
        <w:rFonts w:hint="default"/>
        <w:color w:val="000000" w:themeColor="text1"/>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720" w:hanging="72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080" w:hanging="108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F7953"/>
    <w:multiLevelType w:val="multilevel"/>
    <w:tmpl w:val="7360B75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94F5024"/>
    <w:multiLevelType w:val="multilevel"/>
    <w:tmpl w:val="692892E2"/>
    <w:lvl w:ilvl="0">
      <w:start w:val="2"/>
      <w:numFmt w:val="decimal"/>
      <w:lvlText w:val="%1"/>
      <w:lvlJc w:val="left"/>
      <w:pPr>
        <w:ind w:left="360" w:hanging="360"/>
      </w:pPr>
      <w:rPr>
        <w:rFonts w:hint="default"/>
        <w:color w:val="000000" w:themeColor="text1"/>
      </w:rPr>
    </w:lvl>
    <w:lvl w:ilvl="1">
      <w:start w:val="3"/>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11" w15:restartNumberingAfterBreak="0">
    <w:nsid w:val="3EB615B1"/>
    <w:multiLevelType w:val="hybridMultilevel"/>
    <w:tmpl w:val="9E70D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E687A93"/>
    <w:multiLevelType w:val="multilevel"/>
    <w:tmpl w:val="6CDEFCB8"/>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4" w15:restartNumberingAfterBreak="0">
    <w:nsid w:val="609A3B2B"/>
    <w:multiLevelType w:val="multilevel"/>
    <w:tmpl w:val="315E3FCC"/>
    <w:lvl w:ilvl="0">
      <w:start w:val="2"/>
      <w:numFmt w:val="decimal"/>
      <w:lvlText w:val="%1"/>
      <w:lvlJc w:val="left"/>
      <w:pPr>
        <w:ind w:left="360" w:hanging="360"/>
      </w:pPr>
      <w:rPr>
        <w:rFonts w:hint="default"/>
        <w:color w:val="000000" w:themeColor="text1"/>
      </w:rPr>
    </w:lvl>
    <w:lvl w:ilvl="1">
      <w:start w:val="4"/>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720" w:hanging="72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080" w:hanging="108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15"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6" w15:restartNumberingAfterBreak="0">
    <w:nsid w:val="7F7D4442"/>
    <w:multiLevelType w:val="multilevel"/>
    <w:tmpl w:val="687860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9"/>
  </w:num>
  <w:num w:numId="3">
    <w:abstractNumId w:val="5"/>
  </w:num>
  <w:num w:numId="4">
    <w:abstractNumId w:val="7"/>
  </w:num>
  <w:num w:numId="5">
    <w:abstractNumId w:val="12"/>
  </w:num>
  <w:num w:numId="6">
    <w:abstractNumId w:val="3"/>
  </w:num>
  <w:num w:numId="7">
    <w:abstractNumId w:val="12"/>
  </w:num>
  <w:num w:numId="8">
    <w:abstractNumId w:val="3"/>
  </w:num>
  <w:num w:numId="9">
    <w:abstractNumId w:val="12"/>
  </w:num>
  <w:num w:numId="10">
    <w:abstractNumId w:val="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2"/>
  </w:num>
  <w:num w:numId="14">
    <w:abstractNumId w:val="3"/>
  </w:num>
  <w:num w:numId="15">
    <w:abstractNumId w:val="8"/>
  </w:num>
  <w:num w:numId="16">
    <w:abstractNumId w:val="2"/>
  </w:num>
  <w:num w:numId="17">
    <w:abstractNumId w:val="16"/>
  </w:num>
  <w:num w:numId="18">
    <w:abstractNumId w:val="13"/>
  </w:num>
  <w:num w:numId="19">
    <w:abstractNumId w:val="1"/>
  </w:num>
  <w:num w:numId="20">
    <w:abstractNumId w:val="0"/>
  </w:num>
  <w:num w:numId="21">
    <w:abstractNumId w:val="4"/>
  </w:num>
  <w:num w:numId="22">
    <w:abstractNumId w:val="11"/>
  </w:num>
  <w:num w:numId="23">
    <w:abstractNumId w:val="14"/>
  </w:num>
  <w:num w:numId="24">
    <w:abstractNumId w:val="10"/>
  </w:num>
  <w:num w:numId="25">
    <w:abstractNumId w:val="1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3DF"/>
    <w:rsid w:val="00006F88"/>
    <w:rsid w:val="00015B14"/>
    <w:rsid w:val="0002794E"/>
    <w:rsid w:val="00030737"/>
    <w:rsid w:val="00042FB9"/>
    <w:rsid w:val="00045B43"/>
    <w:rsid w:val="000510DC"/>
    <w:rsid w:val="000544AA"/>
    <w:rsid w:val="00054863"/>
    <w:rsid w:val="00092EE8"/>
    <w:rsid w:val="000E6CC8"/>
    <w:rsid w:val="00110903"/>
    <w:rsid w:val="00126845"/>
    <w:rsid w:val="00150B58"/>
    <w:rsid w:val="001551DB"/>
    <w:rsid w:val="00170F31"/>
    <w:rsid w:val="001938DC"/>
    <w:rsid w:val="001A144A"/>
    <w:rsid w:val="001A1B85"/>
    <w:rsid w:val="001A5982"/>
    <w:rsid w:val="001B5177"/>
    <w:rsid w:val="001C5C1A"/>
    <w:rsid w:val="001D1302"/>
    <w:rsid w:val="001D3BF9"/>
    <w:rsid w:val="001D407D"/>
    <w:rsid w:val="001D72F7"/>
    <w:rsid w:val="001E2AEB"/>
    <w:rsid w:val="001E2AEE"/>
    <w:rsid w:val="001E6690"/>
    <w:rsid w:val="001E6ADF"/>
    <w:rsid w:val="001E77A1"/>
    <w:rsid w:val="001F2D4E"/>
    <w:rsid w:val="001F70B1"/>
    <w:rsid w:val="00232F4E"/>
    <w:rsid w:val="0025516B"/>
    <w:rsid w:val="002656FE"/>
    <w:rsid w:val="002674EB"/>
    <w:rsid w:val="00267ADA"/>
    <w:rsid w:val="00275A8C"/>
    <w:rsid w:val="002948D4"/>
    <w:rsid w:val="002A6A92"/>
    <w:rsid w:val="002B0524"/>
    <w:rsid w:val="002C3620"/>
    <w:rsid w:val="002D3091"/>
    <w:rsid w:val="002D5379"/>
    <w:rsid w:val="002E0583"/>
    <w:rsid w:val="002E4A63"/>
    <w:rsid w:val="002E79EF"/>
    <w:rsid w:val="002F2D1E"/>
    <w:rsid w:val="00303FE8"/>
    <w:rsid w:val="0030676A"/>
    <w:rsid w:val="0031005E"/>
    <w:rsid w:val="00316470"/>
    <w:rsid w:val="003256B0"/>
    <w:rsid w:val="00326141"/>
    <w:rsid w:val="00330C6B"/>
    <w:rsid w:val="00333EA0"/>
    <w:rsid w:val="00337B87"/>
    <w:rsid w:val="00356DBC"/>
    <w:rsid w:val="00361837"/>
    <w:rsid w:val="003638C4"/>
    <w:rsid w:val="00366B67"/>
    <w:rsid w:val="003700EA"/>
    <w:rsid w:val="0038425C"/>
    <w:rsid w:val="00387429"/>
    <w:rsid w:val="00394576"/>
    <w:rsid w:val="00394E8A"/>
    <w:rsid w:val="003A0E06"/>
    <w:rsid w:val="003A1760"/>
    <w:rsid w:val="003A57EA"/>
    <w:rsid w:val="003A70B6"/>
    <w:rsid w:val="003C4625"/>
    <w:rsid w:val="003D3920"/>
    <w:rsid w:val="003D62AE"/>
    <w:rsid w:val="00401D30"/>
    <w:rsid w:val="0040691F"/>
    <w:rsid w:val="00407437"/>
    <w:rsid w:val="004207C6"/>
    <w:rsid w:val="00432456"/>
    <w:rsid w:val="0043449B"/>
    <w:rsid w:val="004359AE"/>
    <w:rsid w:val="00446DFA"/>
    <w:rsid w:val="00464DCD"/>
    <w:rsid w:val="004656F1"/>
    <w:rsid w:val="00473A1A"/>
    <w:rsid w:val="00474FE8"/>
    <w:rsid w:val="00476B8E"/>
    <w:rsid w:val="00483FB2"/>
    <w:rsid w:val="004857E8"/>
    <w:rsid w:val="004A5E58"/>
    <w:rsid w:val="004B1AD3"/>
    <w:rsid w:val="004B2059"/>
    <w:rsid w:val="004B3FCD"/>
    <w:rsid w:val="004D5D00"/>
    <w:rsid w:val="004E2764"/>
    <w:rsid w:val="004F0451"/>
    <w:rsid w:val="004F0B3F"/>
    <w:rsid w:val="004F1683"/>
    <w:rsid w:val="004F1B42"/>
    <w:rsid w:val="00520B78"/>
    <w:rsid w:val="00524C8A"/>
    <w:rsid w:val="0053407F"/>
    <w:rsid w:val="00545A3C"/>
    <w:rsid w:val="00564777"/>
    <w:rsid w:val="005748E5"/>
    <w:rsid w:val="00575012"/>
    <w:rsid w:val="005821DD"/>
    <w:rsid w:val="0058598C"/>
    <w:rsid w:val="005943E2"/>
    <w:rsid w:val="005B3E36"/>
    <w:rsid w:val="005B502F"/>
    <w:rsid w:val="005B6527"/>
    <w:rsid w:val="005D0B65"/>
    <w:rsid w:val="005E7C00"/>
    <w:rsid w:val="005F26FF"/>
    <w:rsid w:val="005F276C"/>
    <w:rsid w:val="0060034B"/>
    <w:rsid w:val="0060693A"/>
    <w:rsid w:val="00611449"/>
    <w:rsid w:val="00622BE5"/>
    <w:rsid w:val="00631618"/>
    <w:rsid w:val="00654B43"/>
    <w:rsid w:val="006607B2"/>
    <w:rsid w:val="00660BDD"/>
    <w:rsid w:val="00661595"/>
    <w:rsid w:val="00661ADD"/>
    <w:rsid w:val="0067794F"/>
    <w:rsid w:val="0069039E"/>
    <w:rsid w:val="00692393"/>
    <w:rsid w:val="006A0979"/>
    <w:rsid w:val="006A7825"/>
    <w:rsid w:val="006B26C8"/>
    <w:rsid w:val="006C052F"/>
    <w:rsid w:val="006C2775"/>
    <w:rsid w:val="006E0A0D"/>
    <w:rsid w:val="006F7489"/>
    <w:rsid w:val="00702B6A"/>
    <w:rsid w:val="00705A42"/>
    <w:rsid w:val="00717DE7"/>
    <w:rsid w:val="0072119B"/>
    <w:rsid w:val="00724E48"/>
    <w:rsid w:val="00731274"/>
    <w:rsid w:val="00740199"/>
    <w:rsid w:val="00741E4A"/>
    <w:rsid w:val="00745384"/>
    <w:rsid w:val="00745A5E"/>
    <w:rsid w:val="00760DDA"/>
    <w:rsid w:val="00764BEB"/>
    <w:rsid w:val="007713AF"/>
    <w:rsid w:val="0077600A"/>
    <w:rsid w:val="00777819"/>
    <w:rsid w:val="00786753"/>
    <w:rsid w:val="0079756F"/>
    <w:rsid w:val="007B0D34"/>
    <w:rsid w:val="007B2EED"/>
    <w:rsid w:val="007B6A97"/>
    <w:rsid w:val="007B7D8E"/>
    <w:rsid w:val="007C769B"/>
    <w:rsid w:val="007D47BD"/>
    <w:rsid w:val="007E52D6"/>
    <w:rsid w:val="007F1448"/>
    <w:rsid w:val="007F69C3"/>
    <w:rsid w:val="00811788"/>
    <w:rsid w:val="00811D14"/>
    <w:rsid w:val="0082039E"/>
    <w:rsid w:val="00822F6F"/>
    <w:rsid w:val="0084309A"/>
    <w:rsid w:val="00846CB8"/>
    <w:rsid w:val="00847ECD"/>
    <w:rsid w:val="0085667E"/>
    <w:rsid w:val="008601B0"/>
    <w:rsid w:val="008626BC"/>
    <w:rsid w:val="00867B28"/>
    <w:rsid w:val="0087062F"/>
    <w:rsid w:val="008A17BD"/>
    <w:rsid w:val="008A3AB2"/>
    <w:rsid w:val="008C19F7"/>
    <w:rsid w:val="008C5F17"/>
    <w:rsid w:val="008D6572"/>
    <w:rsid w:val="008F1263"/>
    <w:rsid w:val="008F5EB6"/>
    <w:rsid w:val="008F6690"/>
    <w:rsid w:val="0090652B"/>
    <w:rsid w:val="009079D5"/>
    <w:rsid w:val="009336A0"/>
    <w:rsid w:val="00945FE8"/>
    <w:rsid w:val="00946ECB"/>
    <w:rsid w:val="0095124C"/>
    <w:rsid w:val="00951A63"/>
    <w:rsid w:val="00960805"/>
    <w:rsid w:val="00963C3E"/>
    <w:rsid w:val="009648DF"/>
    <w:rsid w:val="00984CFF"/>
    <w:rsid w:val="00987251"/>
    <w:rsid w:val="00990FFD"/>
    <w:rsid w:val="009912C4"/>
    <w:rsid w:val="00991C7D"/>
    <w:rsid w:val="0099369B"/>
    <w:rsid w:val="009A268A"/>
    <w:rsid w:val="009A686A"/>
    <w:rsid w:val="009D1A47"/>
    <w:rsid w:val="009E1E6C"/>
    <w:rsid w:val="009F70E6"/>
    <w:rsid w:val="00A00F57"/>
    <w:rsid w:val="00A03103"/>
    <w:rsid w:val="00A12322"/>
    <w:rsid w:val="00A27F6B"/>
    <w:rsid w:val="00A43A9C"/>
    <w:rsid w:val="00A55A81"/>
    <w:rsid w:val="00A55C3D"/>
    <w:rsid w:val="00A65B3F"/>
    <w:rsid w:val="00A77E31"/>
    <w:rsid w:val="00A828FF"/>
    <w:rsid w:val="00A9776A"/>
    <w:rsid w:val="00AA3234"/>
    <w:rsid w:val="00AA651D"/>
    <w:rsid w:val="00AA6582"/>
    <w:rsid w:val="00AB5ECB"/>
    <w:rsid w:val="00AC315D"/>
    <w:rsid w:val="00AD2380"/>
    <w:rsid w:val="00AE54B6"/>
    <w:rsid w:val="00AF1F79"/>
    <w:rsid w:val="00AF2E55"/>
    <w:rsid w:val="00B01EA7"/>
    <w:rsid w:val="00B1459E"/>
    <w:rsid w:val="00B214DB"/>
    <w:rsid w:val="00B421F5"/>
    <w:rsid w:val="00B45832"/>
    <w:rsid w:val="00B556E9"/>
    <w:rsid w:val="00B7124D"/>
    <w:rsid w:val="00B7528A"/>
    <w:rsid w:val="00B75406"/>
    <w:rsid w:val="00B86197"/>
    <w:rsid w:val="00BA3143"/>
    <w:rsid w:val="00BB348B"/>
    <w:rsid w:val="00BC00D5"/>
    <w:rsid w:val="00BC5B33"/>
    <w:rsid w:val="00BD0A17"/>
    <w:rsid w:val="00BE2625"/>
    <w:rsid w:val="00BF2D06"/>
    <w:rsid w:val="00BF5635"/>
    <w:rsid w:val="00C06941"/>
    <w:rsid w:val="00C168C7"/>
    <w:rsid w:val="00C27097"/>
    <w:rsid w:val="00C44E0B"/>
    <w:rsid w:val="00C52BE2"/>
    <w:rsid w:val="00C53871"/>
    <w:rsid w:val="00C633C9"/>
    <w:rsid w:val="00C64144"/>
    <w:rsid w:val="00C64B5F"/>
    <w:rsid w:val="00C73893"/>
    <w:rsid w:val="00C853E8"/>
    <w:rsid w:val="00C863EF"/>
    <w:rsid w:val="00C90DA1"/>
    <w:rsid w:val="00CC42A7"/>
    <w:rsid w:val="00CC4A95"/>
    <w:rsid w:val="00CC7FDF"/>
    <w:rsid w:val="00CD3338"/>
    <w:rsid w:val="00CE78EC"/>
    <w:rsid w:val="00CF483D"/>
    <w:rsid w:val="00D00CEB"/>
    <w:rsid w:val="00D217E9"/>
    <w:rsid w:val="00D356E3"/>
    <w:rsid w:val="00D422CE"/>
    <w:rsid w:val="00D46384"/>
    <w:rsid w:val="00D5530B"/>
    <w:rsid w:val="00D67B6B"/>
    <w:rsid w:val="00D756C3"/>
    <w:rsid w:val="00D93229"/>
    <w:rsid w:val="00D97EF0"/>
    <w:rsid w:val="00DA2FE8"/>
    <w:rsid w:val="00DA504F"/>
    <w:rsid w:val="00DC34D9"/>
    <w:rsid w:val="00DC5EEE"/>
    <w:rsid w:val="00DD0932"/>
    <w:rsid w:val="00DE202D"/>
    <w:rsid w:val="00DE2E32"/>
    <w:rsid w:val="00DE5FE1"/>
    <w:rsid w:val="00DE7D7D"/>
    <w:rsid w:val="00DF28A0"/>
    <w:rsid w:val="00E00E7C"/>
    <w:rsid w:val="00E220D2"/>
    <w:rsid w:val="00E2561E"/>
    <w:rsid w:val="00E41818"/>
    <w:rsid w:val="00E462E6"/>
    <w:rsid w:val="00E52840"/>
    <w:rsid w:val="00E61CA7"/>
    <w:rsid w:val="00E66F90"/>
    <w:rsid w:val="00E738FF"/>
    <w:rsid w:val="00E82051"/>
    <w:rsid w:val="00E8442E"/>
    <w:rsid w:val="00E91178"/>
    <w:rsid w:val="00E91E7F"/>
    <w:rsid w:val="00E9260E"/>
    <w:rsid w:val="00E95DF5"/>
    <w:rsid w:val="00E97253"/>
    <w:rsid w:val="00EA30CB"/>
    <w:rsid w:val="00EA3C9A"/>
    <w:rsid w:val="00EA4320"/>
    <w:rsid w:val="00EA5C5A"/>
    <w:rsid w:val="00EB1BC6"/>
    <w:rsid w:val="00EB3C70"/>
    <w:rsid w:val="00EB5BC1"/>
    <w:rsid w:val="00EB7496"/>
    <w:rsid w:val="00EB756D"/>
    <w:rsid w:val="00EC23A3"/>
    <w:rsid w:val="00EC3306"/>
    <w:rsid w:val="00EC33CB"/>
    <w:rsid w:val="00ED1BC2"/>
    <w:rsid w:val="00ED438C"/>
    <w:rsid w:val="00EF41CF"/>
    <w:rsid w:val="00F02EA1"/>
    <w:rsid w:val="00F07A68"/>
    <w:rsid w:val="00F11920"/>
    <w:rsid w:val="00F134EB"/>
    <w:rsid w:val="00F13EE5"/>
    <w:rsid w:val="00F21F6C"/>
    <w:rsid w:val="00F224F9"/>
    <w:rsid w:val="00F23B21"/>
    <w:rsid w:val="00F356F2"/>
    <w:rsid w:val="00F65BDA"/>
    <w:rsid w:val="00F703DF"/>
    <w:rsid w:val="00F75E34"/>
    <w:rsid w:val="00F80885"/>
    <w:rsid w:val="00F856C8"/>
    <w:rsid w:val="00F95B7C"/>
    <w:rsid w:val="00FA0331"/>
    <w:rsid w:val="00FA0FD0"/>
    <w:rsid w:val="00FA507E"/>
    <w:rsid w:val="00FC3B14"/>
    <w:rsid w:val="00FC6CE0"/>
    <w:rsid w:val="00FE27C5"/>
    <w:rsid w:val="00FF25EE"/>
    <w:rsid w:val="00FF3F8C"/>
    <w:rsid w:val="00FF49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64F5C"/>
  <w15:chartTrackingRefBased/>
  <w15:docId w15:val="{FCA62B93-B5FE-4B48-81B6-9322246B6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qFormat="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3AF"/>
    <w:pPr>
      <w:spacing w:line="260" w:lineRule="atLeast"/>
      <w:jc w:val="both"/>
    </w:pPr>
    <w:rPr>
      <w:rFonts w:ascii="Palatino Linotype" w:hAnsi="Palatino Linotype"/>
      <w:noProof/>
      <w:color w:val="00000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A3143"/>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BA3143"/>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BA3143"/>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BA3143"/>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A3143"/>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BA3143"/>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BA3143"/>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BA3143"/>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23B2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7713A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713A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7713AF"/>
    <w:rPr>
      <w:rFonts w:ascii="Palatino Linotype" w:hAnsi="Palatino Linotype"/>
      <w:noProof/>
      <w:color w:val="000000"/>
      <w:szCs w:val="18"/>
    </w:rPr>
  </w:style>
  <w:style w:type="paragraph" w:customStyle="1" w:styleId="MDPIheaderjournallogo">
    <w:name w:val="MDPI_header_journal_logo"/>
    <w:qFormat/>
    <w:rsid w:val="00BA3143"/>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A3143"/>
    <w:pPr>
      <w:ind w:firstLine="0"/>
    </w:pPr>
  </w:style>
  <w:style w:type="paragraph" w:customStyle="1" w:styleId="MDPI31text">
    <w:name w:val="MDPI_3.1_text"/>
    <w:qFormat/>
    <w:rsid w:val="00BA3143"/>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A3143"/>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BA3143"/>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A3143"/>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A3143"/>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A3143"/>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A3143"/>
    <w:pPr>
      <w:numPr>
        <w:numId w:val="2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A3143"/>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A3143"/>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A3143"/>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BA3143"/>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A3143"/>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A3143"/>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BA3143"/>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BA3143"/>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A3143"/>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BA3143"/>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A3143"/>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A3143"/>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A3143"/>
    <w:pPr>
      <w:adjustRightInd w:val="0"/>
      <w:snapToGrid w:val="0"/>
      <w:spacing w:line="228" w:lineRule="auto"/>
      <w:ind w:left="425" w:hanging="425"/>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7713AF"/>
    <w:rPr>
      <w:rFonts w:cs="Tahoma"/>
      <w:szCs w:val="18"/>
    </w:rPr>
  </w:style>
  <w:style w:type="character" w:customStyle="1" w:styleId="BalloonTextChar">
    <w:name w:val="Balloon Text Char"/>
    <w:link w:val="BalloonText"/>
    <w:uiPriority w:val="99"/>
    <w:rsid w:val="007713AF"/>
    <w:rPr>
      <w:rFonts w:ascii="Palatino Linotype" w:hAnsi="Palatino Linotype" w:cs="Tahoma"/>
      <w:noProof/>
      <w:color w:val="000000"/>
      <w:szCs w:val="18"/>
    </w:rPr>
  </w:style>
  <w:style w:type="character" w:styleId="LineNumber">
    <w:name w:val="line number"/>
    <w:uiPriority w:val="99"/>
    <w:qFormat/>
    <w:rsid w:val="007F69C3"/>
    <w:rPr>
      <w:rFonts w:ascii="Palatino Linotype" w:hAnsi="Palatino Linotype"/>
      <w:sz w:val="16"/>
    </w:rPr>
  </w:style>
  <w:style w:type="table" w:customStyle="1" w:styleId="MDPI41threelinetable">
    <w:name w:val="MDPI_4.1_three_line_table"/>
    <w:basedOn w:val="TableNormal"/>
    <w:uiPriority w:val="99"/>
    <w:rsid w:val="00BA3143"/>
    <w:pPr>
      <w:adjustRightInd w:val="0"/>
      <w:snapToGrid w:val="0"/>
      <w:jc w:val="center"/>
    </w:pPr>
    <w:rPr>
      <w:rFonts w:ascii="Palatino Linotype" w:eastAsiaTheme="minorEastAsia" w:hAnsi="Palatino Linotype"/>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713AF"/>
    <w:rPr>
      <w:color w:val="0000FF"/>
      <w:u w:val="single"/>
    </w:rPr>
  </w:style>
  <w:style w:type="character" w:styleId="UnresolvedMention">
    <w:name w:val="Unresolved Mention"/>
    <w:uiPriority w:val="99"/>
    <w:semiHidden/>
    <w:unhideWhenUsed/>
    <w:rsid w:val="002C3620"/>
    <w:rPr>
      <w:color w:val="605E5C"/>
      <w:shd w:val="clear" w:color="auto" w:fill="E1DFDD"/>
    </w:rPr>
  </w:style>
  <w:style w:type="paragraph" w:styleId="Footer">
    <w:name w:val="footer"/>
    <w:basedOn w:val="Normal"/>
    <w:link w:val="FooterChar"/>
    <w:uiPriority w:val="99"/>
    <w:rsid w:val="007713A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7713AF"/>
    <w:rPr>
      <w:rFonts w:ascii="Palatino Linotype" w:hAnsi="Palatino Linotype"/>
      <w:noProof/>
      <w:color w:val="000000"/>
      <w:szCs w:val="18"/>
    </w:rPr>
  </w:style>
  <w:style w:type="table" w:styleId="PlainTable4">
    <w:name w:val="Plain Table 4"/>
    <w:basedOn w:val="TableNormal"/>
    <w:uiPriority w:val="44"/>
    <w:rsid w:val="008A3A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BA3143"/>
    <w:pPr>
      <w:adjustRightInd w:val="0"/>
      <w:snapToGrid w:val="0"/>
      <w:spacing w:line="240" w:lineRule="atLeast"/>
      <w:ind w:right="113"/>
    </w:pPr>
    <w:rPr>
      <w:rFonts w:ascii="Palatino Linotype" w:eastAsiaTheme="minorEastAsia" w:hAnsi="Palatino Linotype" w:cstheme="minorBidi"/>
      <w:sz w:val="14"/>
      <w:szCs w:val="22"/>
      <w:lang w:eastAsia="zh-CN"/>
    </w:rPr>
  </w:style>
  <w:style w:type="paragraph" w:customStyle="1" w:styleId="MDPI62BackMatter">
    <w:name w:val="MDPI_6.2_BackMatter"/>
    <w:qFormat/>
    <w:rsid w:val="00BA3143"/>
    <w:pPr>
      <w:adjustRightInd w:val="0"/>
      <w:snapToGrid w:val="0"/>
      <w:spacing w:after="120" w:line="228" w:lineRule="auto"/>
      <w:ind w:left="2608"/>
      <w:jc w:val="both"/>
    </w:pPr>
    <w:rPr>
      <w:rFonts w:ascii="Palatino Linotype" w:eastAsia="Times New Roman" w:hAnsi="Palatino Linotype"/>
      <w:snapToGrid w:val="0"/>
      <w:color w:val="000000"/>
      <w:sz w:val="18"/>
      <w:lang w:bidi="en-US"/>
    </w:rPr>
  </w:style>
  <w:style w:type="paragraph" w:customStyle="1" w:styleId="MDPI63Notes">
    <w:name w:val="MDPI_6.3_Notes"/>
    <w:qFormat/>
    <w:rsid w:val="00BA3143"/>
    <w:pPr>
      <w:adjustRightInd w:val="0"/>
      <w:snapToGrid w:val="0"/>
      <w:spacing w:after="120" w:line="240" w:lineRule="atLeast"/>
      <w:ind w:right="113"/>
    </w:pPr>
    <w:rPr>
      <w:rFonts w:ascii="Palatino Linotype" w:hAnsi="Palatino Linotype"/>
      <w:snapToGrid w:val="0"/>
      <w:color w:val="000000" w:themeColor="text1"/>
      <w:sz w:val="14"/>
      <w:lang w:bidi="en-US"/>
    </w:rPr>
  </w:style>
  <w:style w:type="paragraph" w:customStyle="1" w:styleId="MDPI15academiceditor">
    <w:name w:val="MDPI_1.5_academic_editor"/>
    <w:qFormat/>
    <w:rsid w:val="00BA3143"/>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A3143"/>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A3143"/>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eastAsia="zh-CN" w:bidi="en-US"/>
    </w:rPr>
  </w:style>
  <w:style w:type="paragraph" w:customStyle="1" w:styleId="MDPI511onefigurecaption">
    <w:name w:val="MDPI_5.1.1_one_figure_caption"/>
    <w:qFormat/>
    <w:rsid w:val="00BA3143"/>
    <w:pPr>
      <w:adjustRightInd w:val="0"/>
      <w:snapToGrid w:val="0"/>
      <w:spacing w:before="240" w:after="120" w:line="260" w:lineRule="atLeast"/>
      <w:jc w:val="center"/>
    </w:pPr>
    <w:rPr>
      <w:rFonts w:ascii="Palatino Linotype" w:eastAsiaTheme="minorEastAsia" w:hAnsi="Palatino Linotype"/>
      <w:noProof/>
      <w:color w:val="000000"/>
      <w:sz w:val="18"/>
      <w:lang w:eastAsia="zh-CN" w:bidi="en-US"/>
    </w:rPr>
  </w:style>
  <w:style w:type="paragraph" w:customStyle="1" w:styleId="MDPI72Copyright">
    <w:name w:val="MDPI_7.2_Copyright"/>
    <w:qFormat/>
    <w:rsid w:val="00BA3143"/>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A3143"/>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A3143"/>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A3143"/>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BA3143"/>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BA3143"/>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A3143"/>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A3143"/>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BA3143"/>
    <w:rPr>
      <w:rFonts w:ascii="Palatino Linotype" w:hAnsi="Palatino Linotype"/>
      <w:color w:val="000000" w:themeColor="text1"/>
      <w:lang w:val="en-CA"/>
    </w:rPr>
    <w:tblPr>
      <w:tblCellMar>
        <w:left w:w="0" w:type="dxa"/>
        <w:right w:w="0" w:type="dxa"/>
      </w:tblCellMar>
    </w:tblPr>
  </w:style>
  <w:style w:type="paragraph" w:customStyle="1" w:styleId="MDPItext">
    <w:name w:val="MDPI_text"/>
    <w:qFormat/>
    <w:rsid w:val="00BA3143"/>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A3143"/>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7713AF"/>
  </w:style>
  <w:style w:type="paragraph" w:styleId="Bibliography">
    <w:name w:val="Bibliography"/>
    <w:basedOn w:val="Normal"/>
    <w:next w:val="Normal"/>
    <w:uiPriority w:val="37"/>
    <w:semiHidden/>
    <w:unhideWhenUsed/>
    <w:rsid w:val="007713AF"/>
  </w:style>
  <w:style w:type="paragraph" w:styleId="BodyText">
    <w:name w:val="Body Text"/>
    <w:link w:val="BodyTextChar"/>
    <w:rsid w:val="007713A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7713AF"/>
    <w:rPr>
      <w:rFonts w:ascii="Palatino Linotype" w:hAnsi="Palatino Linotype"/>
      <w:color w:val="000000"/>
      <w:sz w:val="24"/>
      <w:lang w:eastAsia="de-DE"/>
    </w:rPr>
  </w:style>
  <w:style w:type="character" w:styleId="CommentReference">
    <w:name w:val="annotation reference"/>
    <w:rsid w:val="007713AF"/>
    <w:rPr>
      <w:sz w:val="21"/>
      <w:szCs w:val="21"/>
    </w:rPr>
  </w:style>
  <w:style w:type="paragraph" w:styleId="CommentText">
    <w:name w:val="annotation text"/>
    <w:basedOn w:val="Normal"/>
    <w:link w:val="CommentTextChar"/>
    <w:rsid w:val="007713AF"/>
  </w:style>
  <w:style w:type="character" w:customStyle="1" w:styleId="CommentTextChar">
    <w:name w:val="Comment Text Char"/>
    <w:link w:val="CommentText"/>
    <w:rsid w:val="007713AF"/>
    <w:rPr>
      <w:rFonts w:ascii="Palatino Linotype" w:hAnsi="Palatino Linotype"/>
      <w:noProof/>
      <w:color w:val="000000"/>
    </w:rPr>
  </w:style>
  <w:style w:type="paragraph" w:styleId="CommentSubject">
    <w:name w:val="annotation subject"/>
    <w:basedOn w:val="CommentText"/>
    <w:next w:val="CommentText"/>
    <w:link w:val="CommentSubjectChar"/>
    <w:rsid w:val="007713AF"/>
    <w:rPr>
      <w:b/>
      <w:bCs/>
    </w:rPr>
  </w:style>
  <w:style w:type="character" w:customStyle="1" w:styleId="CommentSubjectChar">
    <w:name w:val="Comment Subject Char"/>
    <w:link w:val="CommentSubject"/>
    <w:rsid w:val="007713AF"/>
    <w:rPr>
      <w:rFonts w:ascii="Palatino Linotype" w:hAnsi="Palatino Linotype"/>
      <w:b/>
      <w:bCs/>
      <w:noProof/>
      <w:color w:val="000000"/>
    </w:rPr>
  </w:style>
  <w:style w:type="character" w:styleId="EndnoteReference">
    <w:name w:val="endnote reference"/>
    <w:rsid w:val="007713AF"/>
    <w:rPr>
      <w:vertAlign w:val="superscript"/>
    </w:rPr>
  </w:style>
  <w:style w:type="paragraph" w:styleId="EndnoteText">
    <w:name w:val="endnote text"/>
    <w:basedOn w:val="Normal"/>
    <w:link w:val="EndnoteTextChar"/>
    <w:semiHidden/>
    <w:unhideWhenUsed/>
    <w:rsid w:val="007713AF"/>
    <w:pPr>
      <w:spacing w:line="240" w:lineRule="auto"/>
    </w:pPr>
  </w:style>
  <w:style w:type="character" w:customStyle="1" w:styleId="EndnoteTextChar">
    <w:name w:val="Endnote Text Char"/>
    <w:link w:val="EndnoteText"/>
    <w:semiHidden/>
    <w:rsid w:val="007713AF"/>
    <w:rPr>
      <w:rFonts w:ascii="Palatino Linotype" w:hAnsi="Palatino Linotype"/>
      <w:noProof/>
      <w:color w:val="000000"/>
    </w:rPr>
  </w:style>
  <w:style w:type="character" w:styleId="FollowedHyperlink">
    <w:name w:val="FollowedHyperlink"/>
    <w:rsid w:val="007713AF"/>
    <w:rPr>
      <w:color w:val="954F72"/>
      <w:u w:val="single"/>
    </w:rPr>
  </w:style>
  <w:style w:type="paragraph" w:styleId="FootnoteText">
    <w:name w:val="footnote text"/>
    <w:basedOn w:val="Normal"/>
    <w:link w:val="FootnoteTextChar"/>
    <w:semiHidden/>
    <w:unhideWhenUsed/>
    <w:rsid w:val="007713AF"/>
    <w:pPr>
      <w:spacing w:line="240" w:lineRule="auto"/>
    </w:pPr>
  </w:style>
  <w:style w:type="character" w:customStyle="1" w:styleId="FootnoteTextChar">
    <w:name w:val="Footnote Text Char"/>
    <w:link w:val="FootnoteText"/>
    <w:semiHidden/>
    <w:rsid w:val="007713AF"/>
    <w:rPr>
      <w:rFonts w:ascii="Palatino Linotype" w:hAnsi="Palatino Linotype"/>
      <w:noProof/>
      <w:color w:val="000000"/>
    </w:rPr>
  </w:style>
  <w:style w:type="paragraph" w:styleId="NormalWeb">
    <w:name w:val="Normal (Web)"/>
    <w:basedOn w:val="Normal"/>
    <w:uiPriority w:val="99"/>
    <w:rsid w:val="007713AF"/>
    <w:rPr>
      <w:szCs w:val="24"/>
    </w:rPr>
  </w:style>
  <w:style w:type="paragraph" w:customStyle="1" w:styleId="MsoFootnoteText0">
    <w:name w:val="MsoFootnoteText"/>
    <w:basedOn w:val="NormalWeb"/>
    <w:qFormat/>
    <w:rsid w:val="007713AF"/>
    <w:rPr>
      <w:rFonts w:ascii="Times New Roman" w:hAnsi="Times New Roman"/>
    </w:rPr>
  </w:style>
  <w:style w:type="character" w:styleId="PageNumber">
    <w:name w:val="page number"/>
    <w:rsid w:val="007713AF"/>
  </w:style>
  <w:style w:type="character" w:styleId="PlaceholderText">
    <w:name w:val="Placeholder Text"/>
    <w:uiPriority w:val="99"/>
    <w:semiHidden/>
    <w:rsid w:val="007713AF"/>
    <w:rPr>
      <w:color w:val="808080"/>
    </w:rPr>
  </w:style>
  <w:style w:type="paragraph" w:styleId="ListParagraph">
    <w:name w:val="List Paragraph"/>
    <w:basedOn w:val="Normal"/>
    <w:uiPriority w:val="34"/>
    <w:qFormat/>
    <w:rsid w:val="002E4A63"/>
    <w:pPr>
      <w:spacing w:line="240" w:lineRule="auto"/>
      <w:ind w:left="720"/>
      <w:contextualSpacing/>
      <w:jc w:val="left"/>
    </w:pPr>
    <w:rPr>
      <w:rFonts w:ascii="Times New Roman" w:eastAsia="Times New Roman" w:hAnsi="Times New Roman"/>
      <w:noProof w:val="0"/>
      <w:color w:val="auto"/>
      <w:sz w:val="24"/>
      <w:szCs w:val="24"/>
      <w:lang w:eastAsia="en-US"/>
    </w:rPr>
  </w:style>
  <w:style w:type="paragraph" w:customStyle="1" w:styleId="html-x">
    <w:name w:val="html-x"/>
    <w:basedOn w:val="Normal"/>
    <w:rsid w:val="002E4A63"/>
    <w:pPr>
      <w:spacing w:before="100" w:beforeAutospacing="1" w:after="100" w:afterAutospacing="1" w:line="240" w:lineRule="auto"/>
      <w:jc w:val="left"/>
    </w:pPr>
    <w:rPr>
      <w:rFonts w:ascii="Times New Roman" w:eastAsia="Times New Roman" w:hAnsi="Times New Roman"/>
      <w:noProof w:val="0"/>
      <w:color w:val="auto"/>
      <w:sz w:val="24"/>
      <w:szCs w:val="24"/>
      <w:lang w:eastAsia="en-US"/>
    </w:rPr>
  </w:style>
  <w:style w:type="character" w:customStyle="1" w:styleId="cit-fpage">
    <w:name w:val="cit-fpage"/>
    <w:basedOn w:val="DefaultParagraphFont"/>
    <w:rsid w:val="002E4A63"/>
  </w:style>
  <w:style w:type="paragraph" w:customStyle="1" w:styleId="MDPI61Supplementary">
    <w:name w:val="MDPI_6.1_Supplementary"/>
    <w:basedOn w:val="Normal"/>
    <w:qFormat/>
    <w:rsid w:val="00BA3143"/>
    <w:pPr>
      <w:adjustRightInd w:val="0"/>
      <w:snapToGrid w:val="0"/>
      <w:spacing w:before="240" w:line="200" w:lineRule="atLeast"/>
    </w:pPr>
    <w:rPr>
      <w:rFonts w:eastAsia="Times New Roman"/>
      <w:noProof w:val="0"/>
      <w:snapToGrid w:val="0"/>
      <w:sz w:val="18"/>
      <w:lang w:eastAsia="en-US" w:bidi="en-US"/>
    </w:rPr>
  </w:style>
  <w:style w:type="paragraph" w:customStyle="1" w:styleId="MDPI62Acknowledgments">
    <w:name w:val="MDPI_6.2_Acknowledgments"/>
    <w:qFormat/>
    <w:rsid w:val="00BA3143"/>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63AuthorContributions">
    <w:name w:val="MDPI_6.3_AuthorContributions"/>
    <w:basedOn w:val="MDPI62Acknowledgments"/>
    <w:qFormat/>
    <w:rsid w:val="00BA3143"/>
    <w:rPr>
      <w:rFonts w:eastAsia="SimSun"/>
      <w:color w:val="auto"/>
      <w:lang w:eastAsia="en-US"/>
    </w:rPr>
  </w:style>
  <w:style w:type="paragraph" w:customStyle="1" w:styleId="MDPI64CoI">
    <w:name w:val="MDPI_6.4_CoI"/>
    <w:basedOn w:val="MDPI62Acknowledgments"/>
    <w:qFormat/>
    <w:rsid w:val="00BA3143"/>
  </w:style>
  <w:style w:type="paragraph" w:customStyle="1" w:styleId="MDPI74PublishersNote">
    <w:name w:val="MDPI_7.4_Publisher'sNote"/>
    <w:qFormat/>
    <w:rsid w:val="00BA3143"/>
    <w:pPr>
      <w:adjustRightInd w:val="0"/>
      <w:snapToGrid w:val="0"/>
      <w:spacing w:before="240" w:after="240" w:line="200" w:lineRule="atLeast"/>
    </w:pPr>
    <w:rPr>
      <w:rFonts w:ascii="Palatino Linotype" w:hAnsi="Palatino Linotype"/>
      <w:sz w:val="18"/>
      <w:szCs w:val="22"/>
      <w:lang w:eastAsia="zh-CN"/>
    </w:rPr>
  </w:style>
  <w:style w:type="paragraph" w:styleId="Revision">
    <w:name w:val="Revision"/>
    <w:hidden/>
    <w:uiPriority w:val="99"/>
    <w:semiHidden/>
    <w:rsid w:val="00A00F57"/>
    <w:rPr>
      <w:rFonts w:ascii="Palatino Linotype" w:hAnsi="Palatino Linotype"/>
      <w:noProof/>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98206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44D34680-8B9E-4B2B-8782-DC2D89B04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20373</Words>
  <Characters>116130</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Article_x000d_Elution Kinetics from Antibiotic-Loaded Calcium Sulfate Beads</vt:lpstr>
    </vt:vector>
  </TitlesOfParts>
  <Company/>
  <LinksUpToDate>false</LinksUpToDate>
  <CharactersWithSpaces>136231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Article_x000d_Elution Kinetics from Antibiotic-Loaded Calcium Sulfate Beads</dc:title>
  <dc:subject/>
  <dc:creator>MDPI</dc:creator>
  <cp:keywords/>
  <dc:description/>
  <cp:lastModifiedBy>Paul Stoodley</cp:lastModifiedBy>
  <cp:revision>2</cp:revision>
  <cp:lastPrinted>2021-02-07T02:37:00Z</cp:lastPrinted>
  <dcterms:created xsi:type="dcterms:W3CDTF">2021-03-02T17:28:00Z</dcterms:created>
  <dcterms:modified xsi:type="dcterms:W3CDTF">2021-03-02T17:28:00Z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f53ee49b-1bdb-3819-9fad-0e58ff4ecb3b</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