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2722A" w14:textId="44DF4ADA" w:rsidR="009952F8" w:rsidRPr="009952F8" w:rsidRDefault="009952F8" w:rsidP="009952F8">
      <w:pPr>
        <w:spacing w:after="0" w:line="276" w:lineRule="auto"/>
        <w:rPr>
          <w:rFonts w:ascii="Arial" w:eastAsia="Times New Roman" w:hAnsi="Arial" w:cs="Arial"/>
          <w:b/>
          <w:lang w:val="en-AU" w:eastAsia="en-AU"/>
        </w:rPr>
      </w:pPr>
      <w:bookmarkStart w:id="0" w:name="_GoBack"/>
      <w:bookmarkEnd w:id="0"/>
      <w:r w:rsidRPr="009952F8">
        <w:rPr>
          <w:rFonts w:ascii="Arial" w:eastAsia="Times New Roman" w:hAnsi="Arial" w:cs="Arial"/>
          <w:b/>
          <w:lang w:val="en-AU" w:eastAsia="en-AU"/>
        </w:rPr>
        <w:t>ABSTRACT</w:t>
      </w:r>
    </w:p>
    <w:p w14:paraId="7152A20D" w14:textId="77777777" w:rsidR="009952F8" w:rsidRPr="009952F8" w:rsidRDefault="009952F8" w:rsidP="009952F8">
      <w:pPr>
        <w:spacing w:after="0" w:line="276" w:lineRule="auto"/>
        <w:rPr>
          <w:rFonts w:ascii="Arial" w:eastAsia="Times New Roman" w:hAnsi="Arial" w:cs="Arial"/>
          <w:lang w:val="en-AU" w:eastAsia="en-AU"/>
        </w:rPr>
      </w:pPr>
    </w:p>
    <w:p w14:paraId="0A1FC30A" w14:textId="28D6F9EE" w:rsidR="009952F8" w:rsidRPr="009952F8" w:rsidRDefault="009952F8" w:rsidP="009952F8">
      <w:pPr>
        <w:spacing w:after="0" w:line="276" w:lineRule="auto"/>
        <w:rPr>
          <w:rFonts w:ascii="Arial" w:eastAsia="Times New Roman" w:hAnsi="Arial" w:cs="Arial"/>
          <w:lang w:val="en-AU" w:eastAsia="en-AU"/>
        </w:rPr>
      </w:pPr>
      <w:r>
        <w:rPr>
          <w:rFonts w:ascii="Arial" w:eastAsia="Times New Roman" w:hAnsi="Arial" w:cs="Arial"/>
          <w:lang w:val="en-AU" w:eastAsia="en-AU"/>
        </w:rPr>
        <w:t>This workshop continued the long tradition of reviewing developments in the contracting-out of public transport services in this Conference series</w:t>
      </w:r>
      <w:r w:rsidRPr="009952F8">
        <w:rPr>
          <w:rFonts w:ascii="Arial" w:eastAsia="Times New Roman" w:hAnsi="Arial" w:cs="Arial"/>
          <w:lang w:val="en-AU" w:eastAsia="en-AU"/>
        </w:rPr>
        <w:t xml:space="preserve">. </w:t>
      </w:r>
      <w:r>
        <w:rPr>
          <w:rFonts w:ascii="Arial" w:eastAsia="Times New Roman" w:hAnsi="Arial" w:cs="Arial"/>
          <w:lang w:val="en-AU" w:eastAsia="en-AU"/>
        </w:rPr>
        <w:t xml:space="preserve">Drawing on 12 research papers and presentations and </w:t>
      </w:r>
      <w:r w:rsidR="00EE5A23">
        <w:rPr>
          <w:rFonts w:ascii="Arial" w:eastAsia="Times New Roman" w:hAnsi="Arial" w:cs="Arial"/>
          <w:lang w:val="en-AU" w:eastAsia="en-AU"/>
        </w:rPr>
        <w:t xml:space="preserve">the ensuing </w:t>
      </w:r>
      <w:r>
        <w:rPr>
          <w:rFonts w:ascii="Arial" w:eastAsia="Times New Roman" w:hAnsi="Arial" w:cs="Arial"/>
          <w:lang w:val="en-AU" w:eastAsia="en-AU"/>
        </w:rPr>
        <w:t>lively discussion</w:t>
      </w:r>
      <w:r w:rsidR="00EE5A23">
        <w:rPr>
          <w:rFonts w:ascii="Arial" w:eastAsia="Times New Roman" w:hAnsi="Arial" w:cs="Arial"/>
          <w:lang w:val="en-AU" w:eastAsia="en-AU"/>
        </w:rPr>
        <w:t xml:space="preserve">, three main contributions </w:t>
      </w:r>
      <w:r w:rsidR="009D055D">
        <w:rPr>
          <w:rFonts w:ascii="Arial" w:eastAsia="Times New Roman" w:hAnsi="Arial" w:cs="Arial"/>
          <w:lang w:val="en-AU" w:eastAsia="en-AU"/>
        </w:rPr>
        <w:t>were made.</w:t>
      </w:r>
      <w:r w:rsidR="00EE5A23">
        <w:rPr>
          <w:rFonts w:ascii="Arial" w:eastAsia="Times New Roman" w:hAnsi="Arial" w:cs="Arial"/>
          <w:lang w:val="en-AU" w:eastAsia="en-AU"/>
        </w:rPr>
        <w:t xml:space="preserve"> Firstly, key issues in the contracting cycle were identified and critical success factors identified for different public markets</w:t>
      </w:r>
      <w:r w:rsidR="009D055D">
        <w:rPr>
          <w:rFonts w:ascii="Arial" w:eastAsia="Times New Roman" w:hAnsi="Arial" w:cs="Arial"/>
          <w:lang w:val="en-AU" w:eastAsia="en-AU"/>
        </w:rPr>
        <w:t>, distinguished by different levels of maturity and multi-modality</w:t>
      </w:r>
      <w:r w:rsidR="00EE5A23">
        <w:rPr>
          <w:rFonts w:ascii="Arial" w:eastAsia="Times New Roman" w:hAnsi="Arial" w:cs="Arial"/>
          <w:lang w:val="en-AU" w:eastAsia="en-AU"/>
        </w:rPr>
        <w:t>. Secondly, a matrix that maps contract incentives/enablers aga</w:t>
      </w:r>
      <w:r w:rsidR="009D055D">
        <w:rPr>
          <w:rFonts w:ascii="Arial" w:eastAsia="Times New Roman" w:hAnsi="Arial" w:cs="Arial"/>
          <w:lang w:val="en-AU" w:eastAsia="en-AU"/>
        </w:rPr>
        <w:t>inst stakeholders was developed.</w:t>
      </w:r>
      <w:r w:rsidR="00EE5A23">
        <w:rPr>
          <w:rFonts w:ascii="Arial" w:eastAsia="Times New Roman" w:hAnsi="Arial" w:cs="Arial"/>
          <w:lang w:val="en-AU" w:eastAsia="en-AU"/>
        </w:rPr>
        <w:t xml:space="preserve"> Thirdly, the implications of new technology were considered and the role of regulatory sandboxes highlighted.</w:t>
      </w:r>
    </w:p>
    <w:p w14:paraId="38335A6C" w14:textId="77777777" w:rsidR="009952F8" w:rsidRPr="00391388" w:rsidRDefault="009952F8" w:rsidP="00391388">
      <w:pPr>
        <w:rPr>
          <w:rFonts w:ascii="Arial" w:hAnsi="Arial" w:cs="Arial"/>
          <w:bCs/>
          <w:sz w:val="18"/>
          <w:szCs w:val="18"/>
        </w:rPr>
      </w:pPr>
    </w:p>
    <w:p w14:paraId="76448AAB" w14:textId="1C552120" w:rsidR="008F134B" w:rsidRPr="00EE5A23" w:rsidRDefault="00FC1727">
      <w:pPr>
        <w:rPr>
          <w:rFonts w:ascii="Arial" w:hAnsi="Arial" w:cs="Arial"/>
          <w:b/>
          <w:bCs/>
        </w:rPr>
      </w:pPr>
      <w:r w:rsidRPr="00EE5A23">
        <w:rPr>
          <w:rFonts w:ascii="Arial" w:hAnsi="Arial" w:cs="Arial"/>
          <w:b/>
          <w:bCs/>
        </w:rPr>
        <w:t xml:space="preserve">1. </w:t>
      </w:r>
      <w:r w:rsidRPr="00EE5A23">
        <w:rPr>
          <w:rFonts w:ascii="Arial" w:hAnsi="Arial" w:cs="Arial"/>
          <w:b/>
          <w:bCs/>
        </w:rPr>
        <w:tab/>
      </w:r>
      <w:r w:rsidR="008F134B" w:rsidRPr="00EE5A23">
        <w:rPr>
          <w:rFonts w:ascii="Arial" w:hAnsi="Arial" w:cs="Arial"/>
          <w:b/>
          <w:bCs/>
        </w:rPr>
        <w:t>Introduction</w:t>
      </w:r>
    </w:p>
    <w:p w14:paraId="3E88ADCB" w14:textId="254B2632" w:rsidR="00596FC7" w:rsidRPr="00EE5A23" w:rsidRDefault="00596FC7">
      <w:pPr>
        <w:rPr>
          <w:rFonts w:ascii="Arial" w:hAnsi="Arial" w:cs="Arial"/>
          <w:bCs/>
        </w:rPr>
      </w:pPr>
      <w:r w:rsidRPr="00EE5A23">
        <w:rPr>
          <w:rFonts w:ascii="Arial" w:hAnsi="Arial" w:cs="Arial"/>
          <w:bCs/>
        </w:rPr>
        <w:t xml:space="preserve">This Workshop had the following </w:t>
      </w:r>
      <w:r w:rsidR="00E13E53" w:rsidRPr="00EE5A23">
        <w:rPr>
          <w:rFonts w:ascii="Arial" w:hAnsi="Arial" w:cs="Arial"/>
          <w:bCs/>
        </w:rPr>
        <w:t xml:space="preserve">three </w:t>
      </w:r>
      <w:r w:rsidRPr="00EE5A23">
        <w:rPr>
          <w:rFonts w:ascii="Arial" w:hAnsi="Arial" w:cs="Arial"/>
          <w:bCs/>
        </w:rPr>
        <w:t>aims:</w:t>
      </w:r>
    </w:p>
    <w:p w14:paraId="1C801F56" w14:textId="77777777" w:rsidR="0077251E" w:rsidRPr="00EE5A23" w:rsidRDefault="00DC38B1" w:rsidP="00596FC7">
      <w:pPr>
        <w:numPr>
          <w:ilvl w:val="0"/>
          <w:numId w:val="1"/>
        </w:numPr>
        <w:rPr>
          <w:rFonts w:ascii="Arial" w:hAnsi="Arial" w:cs="Arial"/>
          <w:bCs/>
        </w:rPr>
      </w:pPr>
      <w:r w:rsidRPr="00EE5A23">
        <w:rPr>
          <w:rFonts w:ascii="Arial" w:hAnsi="Arial" w:cs="Arial"/>
          <w:bCs/>
        </w:rPr>
        <w:t>Determine the critical success factors in contracting-out, with respect to contract design, risk allocation and incentives for both mature and less mature markets.</w:t>
      </w:r>
    </w:p>
    <w:p w14:paraId="7A3EF0DE" w14:textId="77777777" w:rsidR="0077251E" w:rsidRPr="00EE5A23" w:rsidRDefault="00DC38B1" w:rsidP="00596FC7">
      <w:pPr>
        <w:numPr>
          <w:ilvl w:val="0"/>
          <w:numId w:val="1"/>
        </w:numPr>
        <w:rPr>
          <w:rFonts w:ascii="Arial" w:hAnsi="Arial" w:cs="Arial"/>
          <w:bCs/>
        </w:rPr>
      </w:pPr>
      <w:r w:rsidRPr="00EE5A23">
        <w:rPr>
          <w:rFonts w:ascii="Arial" w:hAnsi="Arial" w:cs="Arial"/>
          <w:bCs/>
        </w:rPr>
        <w:t>Assess how the contracting model could be better designed to maximise technology transfer in the light of big data.</w:t>
      </w:r>
    </w:p>
    <w:p w14:paraId="5BAB718D" w14:textId="77777777" w:rsidR="0077251E" w:rsidRPr="00EE5A23" w:rsidRDefault="00DC38B1" w:rsidP="00596FC7">
      <w:pPr>
        <w:numPr>
          <w:ilvl w:val="0"/>
          <w:numId w:val="1"/>
        </w:numPr>
        <w:rPr>
          <w:rFonts w:ascii="Arial" w:hAnsi="Arial" w:cs="Arial"/>
          <w:bCs/>
        </w:rPr>
      </w:pPr>
      <w:r w:rsidRPr="00EE5A23">
        <w:rPr>
          <w:rFonts w:ascii="Arial" w:hAnsi="Arial" w:cs="Arial"/>
          <w:bCs/>
        </w:rPr>
        <w:t>Examine the potential for collaboration between operators, municipalities, passenger transport authorities, and other public</w:t>
      </w:r>
      <w:r w:rsidR="00596FC7" w:rsidRPr="00EE5A23">
        <w:rPr>
          <w:rFonts w:ascii="Arial" w:hAnsi="Arial" w:cs="Arial"/>
          <w:bCs/>
        </w:rPr>
        <w:t xml:space="preserve"> </w:t>
      </w:r>
      <w:r w:rsidRPr="00EE5A23">
        <w:rPr>
          <w:rFonts w:ascii="Arial" w:hAnsi="Arial" w:cs="Arial"/>
          <w:bCs/>
        </w:rPr>
        <w:t>sector bodies.</w:t>
      </w:r>
    </w:p>
    <w:p w14:paraId="6146EAB8" w14:textId="0BC448E0" w:rsidR="007964CF" w:rsidRDefault="00596FC7" w:rsidP="00596FC7">
      <w:pPr>
        <w:rPr>
          <w:rFonts w:ascii="Arial" w:hAnsi="Arial" w:cs="Arial"/>
          <w:bCs/>
        </w:rPr>
      </w:pPr>
      <w:r w:rsidRPr="00EE5A23">
        <w:rPr>
          <w:rFonts w:ascii="Arial" w:hAnsi="Arial" w:cs="Arial"/>
          <w:bCs/>
        </w:rPr>
        <w:t>Overall, the Workshop intended to review the latest international evidence and assess its robustness, building on previous Thredbo workshops, most recently that reported by Merkert et al. (2018).</w:t>
      </w:r>
      <w:r w:rsidR="00BC7FE4">
        <w:rPr>
          <w:rFonts w:ascii="Arial" w:hAnsi="Arial" w:cs="Arial"/>
          <w:bCs/>
        </w:rPr>
        <w:t xml:space="preserve"> </w:t>
      </w:r>
      <w:r w:rsidRPr="00EE5A23">
        <w:rPr>
          <w:rFonts w:ascii="Arial" w:hAnsi="Arial" w:cs="Arial"/>
          <w:bCs/>
        </w:rPr>
        <w:t xml:space="preserve">Our starting point was to consider some concepts which would frame our discussion. The first was the classification of models of competition and ownership established by </w:t>
      </w:r>
      <w:r w:rsidR="00BC7FE4">
        <w:rPr>
          <w:rFonts w:ascii="Arial" w:hAnsi="Arial" w:cs="Arial"/>
          <w:bCs/>
        </w:rPr>
        <w:t xml:space="preserve">Hensher and Brewer </w:t>
      </w:r>
      <w:r w:rsidR="009336FF">
        <w:rPr>
          <w:rFonts w:ascii="Arial" w:hAnsi="Arial" w:cs="Arial"/>
          <w:bCs/>
        </w:rPr>
        <w:t>(</w:t>
      </w:r>
      <w:r w:rsidR="00BC7FE4">
        <w:rPr>
          <w:rFonts w:ascii="Arial" w:hAnsi="Arial" w:cs="Arial"/>
          <w:bCs/>
        </w:rPr>
        <w:t>2001</w:t>
      </w:r>
      <w:proofErr w:type="gramStart"/>
      <w:r w:rsidR="00BC7FE4">
        <w:rPr>
          <w:rFonts w:ascii="Arial" w:hAnsi="Arial" w:cs="Arial"/>
          <w:bCs/>
        </w:rPr>
        <w:t xml:space="preserve">) </w:t>
      </w:r>
      <w:r w:rsidRPr="00EE5A23">
        <w:rPr>
          <w:rFonts w:ascii="Arial" w:hAnsi="Arial" w:cs="Arial"/>
          <w:bCs/>
        </w:rPr>
        <w:t xml:space="preserve"> and</w:t>
      </w:r>
      <w:proofErr w:type="gramEnd"/>
      <w:r w:rsidRPr="00EE5A23">
        <w:rPr>
          <w:rFonts w:ascii="Arial" w:hAnsi="Arial" w:cs="Arial"/>
          <w:bCs/>
        </w:rPr>
        <w:t xml:space="preserve"> illustrated by Figure 1</w:t>
      </w:r>
      <w:r w:rsidR="00136979">
        <w:rPr>
          <w:rFonts w:ascii="Arial" w:hAnsi="Arial" w:cs="Arial"/>
          <w:bCs/>
        </w:rPr>
        <w:t xml:space="preserve"> (see also Currie, 2016)</w:t>
      </w:r>
      <w:r w:rsidRPr="00EE5A23">
        <w:rPr>
          <w:rFonts w:ascii="Arial" w:hAnsi="Arial" w:cs="Arial"/>
          <w:bCs/>
        </w:rPr>
        <w:t xml:space="preserve">. </w:t>
      </w:r>
      <w:r w:rsidR="00EC41BA" w:rsidRPr="00EE5A23">
        <w:rPr>
          <w:rFonts w:ascii="Arial" w:hAnsi="Arial" w:cs="Arial"/>
          <w:bCs/>
        </w:rPr>
        <w:t>Our focus is on the contracts and franchises in the centre of the diagram, whilst recognising the path dependencies with the extremes of private deregulated and public regulated systems.</w:t>
      </w:r>
    </w:p>
    <w:p w14:paraId="0F788475" w14:textId="77777777" w:rsidR="007964CF" w:rsidRDefault="007964CF">
      <w:pPr>
        <w:rPr>
          <w:rFonts w:ascii="Arial" w:hAnsi="Arial" w:cs="Arial"/>
          <w:bCs/>
        </w:rPr>
      </w:pPr>
      <w:r>
        <w:rPr>
          <w:rFonts w:ascii="Arial" w:hAnsi="Arial" w:cs="Arial"/>
          <w:bCs/>
        </w:rPr>
        <w:br w:type="page"/>
      </w:r>
    </w:p>
    <w:p w14:paraId="380AE4CC" w14:textId="77777777" w:rsidR="00EC41BA" w:rsidRPr="00EE5A23" w:rsidRDefault="00EC41BA" w:rsidP="00596FC7">
      <w:pPr>
        <w:rPr>
          <w:rFonts w:ascii="Arial" w:hAnsi="Arial" w:cs="Arial"/>
          <w:bCs/>
        </w:rPr>
      </w:pPr>
    </w:p>
    <w:p w14:paraId="4280AF72" w14:textId="76904E4E" w:rsidR="00FC1727" w:rsidRPr="00EE5A23" w:rsidRDefault="00FC1727" w:rsidP="00FC1727">
      <w:pPr>
        <w:jc w:val="center"/>
        <w:rPr>
          <w:rFonts w:ascii="Arial" w:hAnsi="Arial" w:cs="Arial"/>
          <w:b/>
          <w:bCs/>
        </w:rPr>
      </w:pPr>
      <w:r w:rsidRPr="00EE5A23">
        <w:rPr>
          <w:rFonts w:ascii="Arial" w:hAnsi="Arial" w:cs="Arial"/>
          <w:b/>
          <w:bCs/>
        </w:rPr>
        <w:t>Figure 1: Models of Ownership and Competition in Public Transport</w:t>
      </w:r>
    </w:p>
    <w:p w14:paraId="1FE135CB" w14:textId="77777777" w:rsidR="00FC1727" w:rsidRPr="00EE5A23" w:rsidRDefault="00FC1727" w:rsidP="00596FC7">
      <w:pPr>
        <w:rPr>
          <w:rFonts w:ascii="Arial" w:hAnsi="Arial" w:cs="Arial"/>
          <w:bCs/>
        </w:rPr>
      </w:pPr>
      <w:r w:rsidRPr="00EE5A23">
        <w:rPr>
          <w:rFonts w:ascii="Arial" w:hAnsi="Arial" w:cs="Arial"/>
          <w:bCs/>
          <w:noProof/>
          <w:lang w:val="en-US"/>
        </w:rPr>
        <w:drawing>
          <wp:inline distT="0" distB="0" distL="0" distR="0" wp14:anchorId="61C6895E" wp14:editId="0C531D5F">
            <wp:extent cx="5731510" cy="3942504"/>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42504"/>
                    </a:xfrm>
                    <a:prstGeom prst="rect">
                      <a:avLst/>
                    </a:prstGeom>
                    <a:noFill/>
                    <a:ln>
                      <a:noFill/>
                    </a:ln>
                  </pic:spPr>
                </pic:pic>
              </a:graphicData>
            </a:graphic>
          </wp:inline>
        </w:drawing>
      </w:r>
    </w:p>
    <w:p w14:paraId="78A774D3" w14:textId="042C64C3" w:rsidR="00596FC7" w:rsidRPr="00EE5A23" w:rsidRDefault="00FC1727" w:rsidP="00596FC7">
      <w:pPr>
        <w:rPr>
          <w:rFonts w:ascii="Arial" w:hAnsi="Arial" w:cs="Arial"/>
          <w:bCs/>
        </w:rPr>
      </w:pPr>
      <w:r w:rsidRPr="00EE5A23">
        <w:rPr>
          <w:rFonts w:ascii="Arial" w:hAnsi="Arial" w:cs="Arial"/>
          <w:bCs/>
        </w:rPr>
        <w:t xml:space="preserve">Source: </w:t>
      </w:r>
      <w:r w:rsidR="00775409">
        <w:rPr>
          <w:rFonts w:ascii="Arial" w:hAnsi="Arial" w:cs="Arial"/>
          <w:bCs/>
        </w:rPr>
        <w:t>Hensher and Brewer 2001</w:t>
      </w:r>
      <w:r w:rsidRPr="00EE5A23">
        <w:rPr>
          <w:rFonts w:ascii="Arial" w:hAnsi="Arial" w:cs="Arial"/>
          <w:bCs/>
        </w:rPr>
        <w:t>.</w:t>
      </w:r>
      <w:r w:rsidR="00596FC7" w:rsidRPr="00EE5A23">
        <w:rPr>
          <w:rFonts w:ascii="Arial" w:hAnsi="Arial" w:cs="Arial"/>
          <w:bCs/>
        </w:rPr>
        <w:t xml:space="preserve"> </w:t>
      </w:r>
    </w:p>
    <w:p w14:paraId="4B39B6A4" w14:textId="5404D80E" w:rsidR="007964CF" w:rsidRDefault="00155021" w:rsidP="00596FC7">
      <w:pPr>
        <w:rPr>
          <w:rFonts w:ascii="Arial" w:hAnsi="Arial" w:cs="Arial"/>
          <w:bCs/>
        </w:rPr>
      </w:pPr>
      <w:r w:rsidRPr="00EE5A23">
        <w:rPr>
          <w:rFonts w:ascii="Arial" w:hAnsi="Arial" w:cs="Arial"/>
          <w:bCs/>
        </w:rPr>
        <w:t>The second was the contracting cycle that has</w:t>
      </w:r>
      <w:r w:rsidR="00122E21" w:rsidRPr="00EE5A23">
        <w:rPr>
          <w:rFonts w:ascii="Arial" w:hAnsi="Arial" w:cs="Arial"/>
          <w:bCs/>
        </w:rPr>
        <w:t xml:space="preserve"> been</w:t>
      </w:r>
      <w:r w:rsidRPr="00EE5A23">
        <w:rPr>
          <w:rFonts w:ascii="Arial" w:hAnsi="Arial" w:cs="Arial"/>
          <w:bCs/>
        </w:rPr>
        <w:t xml:space="preserve"> posited at Thredbo Conferences passim (Preston and Shaw, 2000)</w:t>
      </w:r>
      <w:r w:rsidR="00122E21" w:rsidRPr="00EE5A23">
        <w:rPr>
          <w:rFonts w:ascii="Arial" w:hAnsi="Arial" w:cs="Arial"/>
          <w:bCs/>
        </w:rPr>
        <w:t xml:space="preserve"> and is illustrated by Figure 2</w:t>
      </w:r>
      <w:r w:rsidRPr="00EE5A23">
        <w:rPr>
          <w:rFonts w:ascii="Arial" w:hAnsi="Arial" w:cs="Arial"/>
          <w:bCs/>
        </w:rPr>
        <w:t>.</w:t>
      </w:r>
      <w:r w:rsidR="00122E21" w:rsidRPr="00EE5A23">
        <w:rPr>
          <w:rFonts w:ascii="Arial" w:hAnsi="Arial" w:cs="Arial"/>
          <w:bCs/>
        </w:rPr>
        <w:t xml:space="preserve"> The number of times a regime has been around this cycle will reflect market maturity and might be linked with the concept of regulatory cycles (to be discussed later).</w:t>
      </w:r>
    </w:p>
    <w:p w14:paraId="58E17E8E" w14:textId="77777777" w:rsidR="007964CF" w:rsidRDefault="007964CF">
      <w:pPr>
        <w:rPr>
          <w:rFonts w:ascii="Arial" w:hAnsi="Arial" w:cs="Arial"/>
          <w:bCs/>
        </w:rPr>
      </w:pPr>
      <w:r>
        <w:rPr>
          <w:rFonts w:ascii="Arial" w:hAnsi="Arial" w:cs="Arial"/>
          <w:bCs/>
        </w:rPr>
        <w:br w:type="page"/>
      </w:r>
    </w:p>
    <w:p w14:paraId="00209251" w14:textId="77777777" w:rsidR="00122E21" w:rsidRPr="00EE5A23" w:rsidRDefault="00122E21" w:rsidP="00FC1727">
      <w:pPr>
        <w:jc w:val="center"/>
        <w:rPr>
          <w:rFonts w:ascii="Arial" w:hAnsi="Arial" w:cs="Arial"/>
          <w:bCs/>
        </w:rPr>
      </w:pPr>
      <w:r w:rsidRPr="00EE5A23">
        <w:rPr>
          <w:rFonts w:ascii="Arial" w:hAnsi="Arial" w:cs="Arial"/>
          <w:b/>
          <w:bCs/>
        </w:rPr>
        <w:lastRenderedPageBreak/>
        <w:t>Figure 2: Stages in the Contracting-out Cycle</w:t>
      </w:r>
      <w:r w:rsidRPr="00EE5A23">
        <w:rPr>
          <w:rFonts w:ascii="Arial" w:hAnsi="Arial" w:cs="Arial"/>
          <w:bCs/>
        </w:rPr>
        <w:t>.</w:t>
      </w:r>
    </w:p>
    <w:p w14:paraId="7C99CDA4" w14:textId="77777777" w:rsidR="00122E21" w:rsidRPr="00EE5A23" w:rsidRDefault="00122E21" w:rsidP="00596FC7">
      <w:pPr>
        <w:rPr>
          <w:rFonts w:ascii="Arial" w:hAnsi="Arial" w:cs="Arial"/>
          <w:bCs/>
        </w:rPr>
      </w:pPr>
    </w:p>
    <w:p w14:paraId="337310D4" w14:textId="4F7F249B" w:rsidR="00122E21" w:rsidRPr="00EE5A23" w:rsidRDefault="00122E21" w:rsidP="00596FC7">
      <w:pPr>
        <w:rPr>
          <w:rFonts w:ascii="Arial" w:hAnsi="Arial" w:cs="Arial"/>
          <w:bCs/>
        </w:rPr>
      </w:pPr>
      <w:r w:rsidRPr="00EE5A23">
        <w:rPr>
          <w:rFonts w:ascii="Arial" w:hAnsi="Arial" w:cs="Arial"/>
          <w:bCs/>
          <w:noProof/>
          <w:lang w:val="en-US"/>
        </w:rPr>
        <w:drawing>
          <wp:inline distT="0" distB="0" distL="0" distR="0" wp14:anchorId="08877805" wp14:editId="50141808">
            <wp:extent cx="5484812" cy="5229225"/>
            <wp:effectExtent l="0" t="0" r="1905" b="0"/>
            <wp:docPr id="20483" name="Picture 1">
              <a:extLst xmlns:a="http://schemas.openxmlformats.org/drawingml/2006/main">
                <a:ext uri="{FF2B5EF4-FFF2-40B4-BE49-F238E27FC236}">
                  <a16:creationId xmlns:a16="http://schemas.microsoft.com/office/drawing/2014/main" id="{29485545-8860-40F1-BEBC-1FA4F69E8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1">
                      <a:extLst>
                        <a:ext uri="{FF2B5EF4-FFF2-40B4-BE49-F238E27FC236}">
                          <a16:creationId xmlns:a16="http://schemas.microsoft.com/office/drawing/2014/main" id="{29485545-8860-40F1-BEBC-1FA4F69E8E5D}"/>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4812" cy="522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BAC1EEE" w14:textId="071C96E2" w:rsidR="00FC1727" w:rsidRPr="00EE5A23" w:rsidRDefault="00FC1727" w:rsidP="00596FC7">
      <w:pPr>
        <w:rPr>
          <w:rFonts w:ascii="Arial" w:hAnsi="Arial" w:cs="Arial"/>
          <w:bCs/>
        </w:rPr>
      </w:pPr>
      <w:r w:rsidRPr="00EE5A23">
        <w:rPr>
          <w:rFonts w:ascii="Arial" w:hAnsi="Arial" w:cs="Arial"/>
          <w:bCs/>
        </w:rPr>
        <w:t>Source: Preston and Shaw, 2000.</w:t>
      </w:r>
    </w:p>
    <w:p w14:paraId="60596DCE" w14:textId="452C2334" w:rsidR="00122E21" w:rsidRPr="00EE5A23" w:rsidRDefault="00122E21" w:rsidP="00596FC7">
      <w:pPr>
        <w:rPr>
          <w:rFonts w:ascii="Arial" w:hAnsi="Arial" w:cs="Arial"/>
          <w:bCs/>
        </w:rPr>
      </w:pPr>
      <w:r w:rsidRPr="00EE5A23">
        <w:rPr>
          <w:rFonts w:ascii="Arial" w:hAnsi="Arial" w:cs="Arial"/>
          <w:bCs/>
        </w:rPr>
        <w:t xml:space="preserve">The third, and final, introductory concept to frame our discussions </w:t>
      </w:r>
      <w:r w:rsidR="00F56B41" w:rsidRPr="00EE5A23">
        <w:rPr>
          <w:rFonts w:ascii="Arial" w:hAnsi="Arial" w:cs="Arial"/>
          <w:bCs/>
        </w:rPr>
        <w:t>was the use of assessment frameworks to examine contracting-out options. An example, based on a study of possible interventions in the public transport market in Great Britain outside London, developed by KPMG (2016), is shown by Figure 3. This included ten assessment criteria: fares, ticketing, network coverag</w:t>
      </w:r>
      <w:r w:rsidR="00426FCE" w:rsidRPr="00EE5A23">
        <w:rPr>
          <w:rFonts w:ascii="Arial" w:hAnsi="Arial" w:cs="Arial"/>
          <w:bCs/>
        </w:rPr>
        <w:t>e, integration, reliability, fleet quality, service quality, innovation, marketing and operating efficiency. Interventions assessed included net cost and gross cost tenders, franchising and partnerships.</w:t>
      </w:r>
      <w:r w:rsidR="009D055D">
        <w:rPr>
          <w:rFonts w:ascii="Arial" w:hAnsi="Arial" w:cs="Arial"/>
          <w:bCs/>
        </w:rPr>
        <w:t xml:space="preserve"> These are interventions that are covered by the presentations and papers of the workshop and the ensuing discussion.</w:t>
      </w:r>
    </w:p>
    <w:p w14:paraId="61D65B0A" w14:textId="77777777" w:rsidR="00A52F46" w:rsidRPr="00EE5A23" w:rsidRDefault="00A52F46">
      <w:pPr>
        <w:rPr>
          <w:rFonts w:ascii="Arial" w:hAnsi="Arial" w:cs="Arial"/>
          <w:bCs/>
        </w:rPr>
      </w:pPr>
      <w:r w:rsidRPr="00EE5A23">
        <w:rPr>
          <w:rFonts w:ascii="Arial" w:hAnsi="Arial" w:cs="Arial"/>
          <w:bCs/>
        </w:rPr>
        <w:br w:type="page"/>
      </w:r>
    </w:p>
    <w:p w14:paraId="776F7B5A" w14:textId="77777777" w:rsidR="00A52F46" w:rsidRPr="00EE5A23" w:rsidRDefault="00A52F46" w:rsidP="00FC1727">
      <w:pPr>
        <w:jc w:val="center"/>
        <w:rPr>
          <w:rFonts w:ascii="Arial" w:hAnsi="Arial" w:cs="Arial"/>
          <w:b/>
          <w:bCs/>
        </w:rPr>
      </w:pPr>
      <w:r w:rsidRPr="00EE5A23">
        <w:rPr>
          <w:rFonts w:ascii="Arial" w:hAnsi="Arial" w:cs="Arial"/>
          <w:b/>
          <w:bCs/>
        </w:rPr>
        <w:lastRenderedPageBreak/>
        <w:t>Figure 3: A Possible Assessment Framework</w:t>
      </w:r>
    </w:p>
    <w:p w14:paraId="0ADC1B0B" w14:textId="68DA0B8A" w:rsidR="00A52F46" w:rsidRPr="00EE5A23" w:rsidRDefault="00FC1727" w:rsidP="00596FC7">
      <w:pPr>
        <w:rPr>
          <w:rFonts w:ascii="Arial" w:hAnsi="Arial" w:cs="Arial"/>
          <w:bCs/>
        </w:rPr>
      </w:pPr>
      <w:r w:rsidRPr="00EE5A23">
        <w:rPr>
          <w:rFonts w:ascii="Arial" w:hAnsi="Arial" w:cs="Arial"/>
          <w:bCs/>
          <w:noProof/>
          <w:lang w:val="en-US"/>
        </w:rPr>
        <w:drawing>
          <wp:inline distT="0" distB="0" distL="0" distR="0" wp14:anchorId="474CB54B" wp14:editId="0E506BAF">
            <wp:extent cx="5731510" cy="409797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97973"/>
                    </a:xfrm>
                    <a:prstGeom prst="rect">
                      <a:avLst/>
                    </a:prstGeom>
                    <a:noFill/>
                    <a:ln>
                      <a:noFill/>
                    </a:ln>
                  </pic:spPr>
                </pic:pic>
              </a:graphicData>
            </a:graphic>
          </wp:inline>
        </w:drawing>
      </w:r>
    </w:p>
    <w:p w14:paraId="0FF994C3" w14:textId="0D9A9C70" w:rsidR="00FC1727" w:rsidRPr="00EE5A23" w:rsidRDefault="00FC1727" w:rsidP="00596FC7">
      <w:pPr>
        <w:rPr>
          <w:rFonts w:ascii="Arial" w:hAnsi="Arial" w:cs="Arial"/>
          <w:bCs/>
        </w:rPr>
      </w:pPr>
      <w:r w:rsidRPr="00EE5A23">
        <w:rPr>
          <w:rFonts w:ascii="Arial" w:hAnsi="Arial" w:cs="Arial"/>
          <w:bCs/>
        </w:rPr>
        <w:t>Source: KPMG, 2016.</w:t>
      </w:r>
    </w:p>
    <w:p w14:paraId="3906257A" w14:textId="77777777" w:rsidR="00A52F46" w:rsidRPr="00EE5A23" w:rsidRDefault="00A52F46" w:rsidP="00596FC7">
      <w:pPr>
        <w:rPr>
          <w:rFonts w:ascii="Arial" w:hAnsi="Arial" w:cs="Arial"/>
          <w:bCs/>
        </w:rPr>
      </w:pPr>
      <w:r w:rsidRPr="00EE5A23">
        <w:rPr>
          <w:rFonts w:ascii="Arial" w:hAnsi="Arial" w:cs="Arial"/>
          <w:bCs/>
        </w:rPr>
        <w:t>In the next section we will discuss the 12 resource papers that pr</w:t>
      </w:r>
      <w:r w:rsidR="00D16D6B" w:rsidRPr="00EE5A23">
        <w:rPr>
          <w:rFonts w:ascii="Arial" w:hAnsi="Arial" w:cs="Arial"/>
          <w:bCs/>
        </w:rPr>
        <w:t xml:space="preserve">ovided the raw material for our </w:t>
      </w:r>
      <w:r w:rsidRPr="00EE5A23">
        <w:rPr>
          <w:rFonts w:ascii="Arial" w:hAnsi="Arial" w:cs="Arial"/>
          <w:bCs/>
        </w:rPr>
        <w:t xml:space="preserve">discussions. We will then consider some key findings with respect to contract design, incentives and </w:t>
      </w:r>
      <w:r w:rsidR="00D16D6B" w:rsidRPr="00EE5A23">
        <w:rPr>
          <w:rFonts w:ascii="Arial" w:hAnsi="Arial" w:cs="Arial"/>
          <w:bCs/>
        </w:rPr>
        <w:t>market dynamics. Finally, we will make some policy recommendations and future research priorities, some of which we hope will be taken up before Thredbo 17 in Ja</w:t>
      </w:r>
      <w:r w:rsidR="0037286C" w:rsidRPr="00EE5A23">
        <w:rPr>
          <w:rFonts w:ascii="Arial" w:hAnsi="Arial" w:cs="Arial"/>
          <w:bCs/>
        </w:rPr>
        <w:t>pan in 2021.</w:t>
      </w:r>
    </w:p>
    <w:p w14:paraId="3BD880CD" w14:textId="3F6D2EA5" w:rsidR="0037286C" w:rsidRPr="00EE5A23" w:rsidRDefault="00FC1727" w:rsidP="00596FC7">
      <w:pPr>
        <w:rPr>
          <w:rFonts w:ascii="Arial" w:hAnsi="Arial" w:cs="Arial"/>
          <w:b/>
          <w:bCs/>
        </w:rPr>
      </w:pPr>
      <w:r w:rsidRPr="00EE5A23">
        <w:rPr>
          <w:rFonts w:ascii="Arial" w:hAnsi="Arial" w:cs="Arial"/>
          <w:b/>
          <w:bCs/>
        </w:rPr>
        <w:t>2.</w:t>
      </w:r>
      <w:r w:rsidRPr="00EE5A23">
        <w:rPr>
          <w:rFonts w:ascii="Arial" w:hAnsi="Arial" w:cs="Arial"/>
          <w:b/>
          <w:bCs/>
        </w:rPr>
        <w:tab/>
      </w:r>
      <w:r w:rsidR="0037286C" w:rsidRPr="00EE5A23">
        <w:rPr>
          <w:rFonts w:ascii="Arial" w:hAnsi="Arial" w:cs="Arial"/>
          <w:b/>
          <w:bCs/>
        </w:rPr>
        <w:t>Resource Papers</w:t>
      </w:r>
    </w:p>
    <w:p w14:paraId="424441AA" w14:textId="6F73B656" w:rsidR="00FC1727" w:rsidRPr="00EE5A23" w:rsidRDefault="00FC1727" w:rsidP="00596FC7">
      <w:pPr>
        <w:rPr>
          <w:rFonts w:ascii="Arial" w:hAnsi="Arial" w:cs="Arial"/>
          <w:bCs/>
        </w:rPr>
      </w:pPr>
      <w:r w:rsidRPr="00EE5A23">
        <w:rPr>
          <w:rFonts w:ascii="Arial" w:hAnsi="Arial" w:cs="Arial"/>
          <w:bCs/>
        </w:rPr>
        <w:t>We considered the evidence under four broad headings: overviews, bus contracts, public transport contracts and rail contracts. These will be reviewed in turn.</w:t>
      </w:r>
    </w:p>
    <w:p w14:paraId="4526F575" w14:textId="6BB48622" w:rsidR="00FC1727" w:rsidRPr="00EE5A23" w:rsidRDefault="00FC1727" w:rsidP="00596FC7">
      <w:pPr>
        <w:rPr>
          <w:rFonts w:ascii="Arial" w:hAnsi="Arial" w:cs="Arial"/>
          <w:bCs/>
        </w:rPr>
      </w:pPr>
      <w:r w:rsidRPr="00EE5A23">
        <w:rPr>
          <w:rFonts w:ascii="Arial" w:hAnsi="Arial" w:cs="Arial"/>
          <w:bCs/>
        </w:rPr>
        <w:t>2.1</w:t>
      </w:r>
      <w:r w:rsidRPr="00EE5A23">
        <w:rPr>
          <w:rFonts w:ascii="Arial" w:hAnsi="Arial" w:cs="Arial"/>
          <w:bCs/>
        </w:rPr>
        <w:tab/>
        <w:t>Overviews</w:t>
      </w:r>
    </w:p>
    <w:p w14:paraId="7BD21D3F" w14:textId="1565A229" w:rsidR="006D5A10" w:rsidRPr="00EE5A23" w:rsidRDefault="006D5A10" w:rsidP="00596FC7">
      <w:pPr>
        <w:rPr>
          <w:rFonts w:ascii="Arial" w:hAnsi="Arial" w:cs="Arial"/>
          <w:bCs/>
        </w:rPr>
      </w:pPr>
      <w:r w:rsidRPr="00EE5A23">
        <w:rPr>
          <w:rFonts w:ascii="Arial" w:hAnsi="Arial" w:cs="Arial"/>
          <w:bCs/>
        </w:rPr>
        <w:t xml:space="preserve">We began with three overview papers. Zheng Li </w:t>
      </w:r>
      <w:r w:rsidR="00775409">
        <w:rPr>
          <w:rFonts w:ascii="Arial" w:hAnsi="Arial" w:cs="Arial"/>
          <w:bCs/>
        </w:rPr>
        <w:t>and David Hensher</w:t>
      </w:r>
      <w:r w:rsidR="00EE4EC2">
        <w:rPr>
          <w:rFonts w:ascii="Arial" w:hAnsi="Arial" w:cs="Arial"/>
          <w:bCs/>
        </w:rPr>
        <w:t xml:space="preserve"> </w:t>
      </w:r>
      <w:r w:rsidRPr="00EE5A23">
        <w:rPr>
          <w:rFonts w:ascii="Arial" w:hAnsi="Arial" w:cs="Arial"/>
          <w:bCs/>
        </w:rPr>
        <w:t>provided an analysis of Bus Rapid Transit (BR</w:t>
      </w:r>
      <w:r w:rsidR="00392602" w:rsidRPr="00EE5A23">
        <w:rPr>
          <w:rFonts w:ascii="Arial" w:hAnsi="Arial" w:cs="Arial"/>
          <w:bCs/>
        </w:rPr>
        <w:t>T</w:t>
      </w:r>
      <w:r w:rsidRPr="00EE5A23">
        <w:rPr>
          <w:rFonts w:ascii="Arial" w:hAnsi="Arial" w:cs="Arial"/>
          <w:bCs/>
        </w:rPr>
        <w:t xml:space="preserve">) standards and an analysis of the gold, silver, bronze and </w:t>
      </w:r>
      <w:r w:rsidR="00392602" w:rsidRPr="00EE5A23">
        <w:rPr>
          <w:rFonts w:ascii="Arial" w:hAnsi="Arial" w:cs="Arial"/>
          <w:bCs/>
        </w:rPr>
        <w:t>basic designations developed by ITDP (Institute for Transport and</w:t>
      </w:r>
      <w:r w:rsidRPr="00EE5A23">
        <w:rPr>
          <w:rFonts w:ascii="Arial" w:hAnsi="Arial" w:cs="Arial"/>
          <w:bCs/>
        </w:rPr>
        <w:t xml:space="preserve"> </w:t>
      </w:r>
      <w:r w:rsidR="00392602" w:rsidRPr="00EE5A23">
        <w:rPr>
          <w:rFonts w:ascii="Arial" w:hAnsi="Arial" w:cs="Arial"/>
          <w:bCs/>
        </w:rPr>
        <w:t>Development</w:t>
      </w:r>
      <w:r w:rsidRPr="00EE5A23">
        <w:rPr>
          <w:rFonts w:ascii="Arial" w:hAnsi="Arial" w:cs="Arial"/>
          <w:bCs/>
        </w:rPr>
        <w:t xml:space="preserve"> </w:t>
      </w:r>
      <w:r w:rsidR="00392602" w:rsidRPr="00EE5A23">
        <w:rPr>
          <w:rFonts w:ascii="Arial" w:hAnsi="Arial" w:cs="Arial"/>
          <w:bCs/>
        </w:rPr>
        <w:t>Policy). Using ordered logit, key explanatory factors were found to be related to service specifications and fares and ticketing arrangements. The Workshop considered alternative approaches including customer surveys, financial appraisal and cost-benefit analysis and whether similar standards could be provided for contracting</w:t>
      </w:r>
      <w:r w:rsidR="009D055D">
        <w:rPr>
          <w:rFonts w:ascii="Arial" w:hAnsi="Arial" w:cs="Arial"/>
          <w:bCs/>
        </w:rPr>
        <w:t>-</w:t>
      </w:r>
      <w:r w:rsidR="00392602" w:rsidRPr="00EE5A23">
        <w:rPr>
          <w:rFonts w:ascii="Arial" w:hAnsi="Arial" w:cs="Arial"/>
          <w:bCs/>
        </w:rPr>
        <w:t>out.</w:t>
      </w:r>
    </w:p>
    <w:p w14:paraId="17D45AEE" w14:textId="5CAF3735" w:rsidR="009B594D" w:rsidRPr="00EE5A23" w:rsidRDefault="009B594D" w:rsidP="009B594D">
      <w:pPr>
        <w:rPr>
          <w:rFonts w:ascii="Arial" w:hAnsi="Arial" w:cs="Arial"/>
          <w:bCs/>
        </w:rPr>
      </w:pPr>
      <w:r w:rsidRPr="00EE5A23">
        <w:rPr>
          <w:rFonts w:ascii="Arial" w:hAnsi="Arial" w:cs="Arial"/>
          <w:bCs/>
        </w:rPr>
        <w:t xml:space="preserve">Qiang Meng </w:t>
      </w:r>
      <w:r w:rsidR="00DE4BC5">
        <w:rPr>
          <w:rFonts w:ascii="Arial" w:hAnsi="Arial" w:cs="Arial"/>
          <w:bCs/>
        </w:rPr>
        <w:t xml:space="preserve">(in a paper with Dian Sheng) </w:t>
      </w:r>
      <w:r w:rsidRPr="00EE5A23">
        <w:rPr>
          <w:rFonts w:ascii="Arial" w:hAnsi="Arial" w:cs="Arial"/>
          <w:bCs/>
        </w:rPr>
        <w:t>provided a bibliometric review</w:t>
      </w:r>
      <w:r w:rsidR="009D055D">
        <w:rPr>
          <w:rFonts w:ascii="Arial" w:hAnsi="Arial" w:cs="Arial"/>
          <w:bCs/>
        </w:rPr>
        <w:t xml:space="preserve"> of bus contracting</w:t>
      </w:r>
      <w:r w:rsidRPr="00EE5A23">
        <w:rPr>
          <w:rFonts w:ascii="Arial" w:hAnsi="Arial" w:cs="Arial"/>
          <w:bCs/>
        </w:rPr>
        <w:t xml:space="preserve">, based on </w:t>
      </w:r>
      <w:r w:rsidRPr="00EE5A23">
        <w:rPr>
          <w:rFonts w:ascii="Arial" w:hAnsi="Arial" w:cs="Arial"/>
          <w:bCs/>
          <w:lang w:val="en-US"/>
        </w:rPr>
        <w:t>125 relevant papers from 1990 to 2019, mostly in transportation and economics journals. T</w:t>
      </w:r>
      <w:r w:rsidRPr="00EE5A23">
        <w:rPr>
          <w:rFonts w:ascii="Arial" w:hAnsi="Arial" w:cs="Arial"/>
          <w:bCs/>
        </w:rPr>
        <w:t xml:space="preserve">hree main clusters emerged from the literature: the promotion of negotiated performance based contracts; measuring service quality; and assessing performance. </w:t>
      </w:r>
      <w:r w:rsidRPr="00EE5A23">
        <w:rPr>
          <w:rFonts w:ascii="Arial" w:hAnsi="Arial" w:cs="Arial"/>
          <w:bCs/>
        </w:rPr>
        <w:lastRenderedPageBreak/>
        <w:t>Discussion focussed around the Singapore Bus Contract Model (BCM) which was planned between 2008 and 2014 and implemented from 2014 onwards. The Singapore BCM was based on 14 area packages of which, to date, only four have been let by competitive tender. The remaining packages are negotiated contracts with the two incumbent bus operators. This mix of competitive and negotiated tenders in the first cycle was adopted to ensure a smooth and seamless transition from the existing net-cost licensing model to gross-cost BCM, premised on four main considerations – price discovery, workforce readiness, no service disruption to commuters, and bus assets procurement/transfers. Key features were the quality incentive scheme based around Excess Wait Time for high frequency buses or On-Time Adherence for low frequency buses, and public provisions of depots, interchanges, buses, and common systems such as fleet management and ticketing. There was also some discussions of the extent to which operation</w:t>
      </w:r>
      <w:r w:rsidR="009D055D">
        <w:rPr>
          <w:rFonts w:ascii="Arial" w:hAnsi="Arial" w:cs="Arial"/>
          <w:bCs/>
        </w:rPr>
        <w:t>s</w:t>
      </w:r>
      <w:r w:rsidRPr="00EE5A23">
        <w:rPr>
          <w:rFonts w:ascii="Arial" w:hAnsi="Arial" w:cs="Arial"/>
          <w:bCs/>
        </w:rPr>
        <w:t xml:space="preserve"> research methods could be used to determine the optimal number and size of contracting-out packages of services. </w:t>
      </w:r>
    </w:p>
    <w:p w14:paraId="6EEA1A56" w14:textId="77777777" w:rsidR="009B594D" w:rsidRPr="00EE5A23" w:rsidRDefault="009B594D" w:rsidP="00596FC7">
      <w:pPr>
        <w:rPr>
          <w:rFonts w:ascii="Arial" w:hAnsi="Arial" w:cs="Arial"/>
          <w:bCs/>
        </w:rPr>
      </w:pPr>
    </w:p>
    <w:p w14:paraId="432261B9" w14:textId="5972D646" w:rsidR="00A30FFA" w:rsidRPr="00EE5A23" w:rsidRDefault="0039144A" w:rsidP="00596FC7">
      <w:pPr>
        <w:rPr>
          <w:rFonts w:ascii="Arial" w:hAnsi="Arial" w:cs="Arial"/>
          <w:bCs/>
        </w:rPr>
      </w:pPr>
      <w:r w:rsidRPr="00EE5A23">
        <w:rPr>
          <w:rFonts w:ascii="Arial" w:hAnsi="Arial" w:cs="Arial"/>
          <w:bCs/>
        </w:rPr>
        <w:t xml:space="preserve">Ian Wallis reviewed recent evidence in </w:t>
      </w:r>
      <w:r w:rsidR="00A30FFA" w:rsidRPr="00EE5A23">
        <w:rPr>
          <w:rFonts w:ascii="Arial" w:hAnsi="Arial" w:cs="Arial"/>
          <w:bCs/>
        </w:rPr>
        <w:t>New Zealand. In Auckland and Wellington</w:t>
      </w:r>
      <w:r w:rsidR="009D055D">
        <w:rPr>
          <w:rFonts w:ascii="Arial" w:hAnsi="Arial" w:cs="Arial"/>
          <w:bCs/>
        </w:rPr>
        <w:t>,</w:t>
      </w:r>
      <w:r w:rsidR="00A30FFA" w:rsidRPr="00EE5A23">
        <w:rPr>
          <w:rFonts w:ascii="Arial" w:hAnsi="Arial" w:cs="Arial"/>
          <w:bCs/>
        </w:rPr>
        <w:t xml:space="preserve"> around a half and a third of services respectively were provided commercially. Under a new regime, these services would be provided through negotiated contracts</w:t>
      </w:r>
      <w:r w:rsidRPr="00EE5A23">
        <w:rPr>
          <w:rFonts w:ascii="Arial" w:hAnsi="Arial" w:cs="Arial"/>
          <w:bCs/>
        </w:rPr>
        <w:t xml:space="preserve"> on a like-for like basis</w:t>
      </w:r>
      <w:r w:rsidR="00A30FFA" w:rsidRPr="00EE5A23">
        <w:rPr>
          <w:rFonts w:ascii="Arial" w:hAnsi="Arial" w:cs="Arial"/>
          <w:bCs/>
        </w:rPr>
        <w:t>, following competitive tenders for the social services. However, this seemed to stimulate some strategic behaviour</w:t>
      </w:r>
      <w:r w:rsidR="00FC1727" w:rsidRPr="00EE5A23">
        <w:rPr>
          <w:rFonts w:ascii="Arial" w:hAnsi="Arial" w:cs="Arial"/>
          <w:bCs/>
        </w:rPr>
        <w:t xml:space="preserve">. There seemed to be an incentive to </w:t>
      </w:r>
      <w:r w:rsidR="00A30FFA" w:rsidRPr="00EE5A23">
        <w:rPr>
          <w:rFonts w:ascii="Arial" w:hAnsi="Arial" w:cs="Arial"/>
          <w:bCs/>
        </w:rPr>
        <w:t xml:space="preserve">bid high in competitive tenders </w:t>
      </w:r>
      <w:r w:rsidR="00FC1727" w:rsidRPr="00EE5A23">
        <w:rPr>
          <w:rFonts w:ascii="Arial" w:hAnsi="Arial" w:cs="Arial"/>
          <w:bCs/>
        </w:rPr>
        <w:t>in order to justi</w:t>
      </w:r>
      <w:r w:rsidR="00BD7269" w:rsidRPr="00EE5A23">
        <w:rPr>
          <w:rFonts w:ascii="Arial" w:hAnsi="Arial" w:cs="Arial"/>
          <w:bCs/>
        </w:rPr>
        <w:t>f</w:t>
      </w:r>
      <w:r w:rsidR="00FC1727" w:rsidRPr="00EE5A23">
        <w:rPr>
          <w:rFonts w:ascii="Arial" w:hAnsi="Arial" w:cs="Arial"/>
          <w:bCs/>
        </w:rPr>
        <w:t xml:space="preserve">y high costs (and hence </w:t>
      </w:r>
      <w:r w:rsidR="00A30FFA" w:rsidRPr="00EE5A23">
        <w:rPr>
          <w:rFonts w:ascii="Arial" w:hAnsi="Arial" w:cs="Arial"/>
          <w:bCs/>
        </w:rPr>
        <w:t>high returns from the negotiated contracts</w:t>
      </w:r>
      <w:r w:rsidR="005A24A8" w:rsidRPr="00EE5A23">
        <w:rPr>
          <w:rFonts w:ascii="Arial" w:hAnsi="Arial" w:cs="Arial"/>
          <w:bCs/>
        </w:rPr>
        <w:t>)</w:t>
      </w:r>
      <w:r w:rsidR="00A30FFA" w:rsidRPr="00EE5A23">
        <w:rPr>
          <w:rFonts w:ascii="Arial" w:hAnsi="Arial" w:cs="Arial"/>
          <w:bCs/>
        </w:rPr>
        <w:t xml:space="preserve">. The up-shot is that negotiated contract </w:t>
      </w:r>
      <w:r w:rsidRPr="00EE5A23">
        <w:rPr>
          <w:rFonts w:ascii="Arial" w:hAnsi="Arial" w:cs="Arial"/>
          <w:bCs/>
        </w:rPr>
        <w:t xml:space="preserve">unit </w:t>
      </w:r>
      <w:r w:rsidR="00A30FFA" w:rsidRPr="00EE5A23">
        <w:rPr>
          <w:rFonts w:ascii="Arial" w:hAnsi="Arial" w:cs="Arial"/>
          <w:bCs/>
        </w:rPr>
        <w:t xml:space="preserve">costs seem to be 37% higher than competitive tender </w:t>
      </w:r>
      <w:r w:rsidRPr="00EE5A23">
        <w:rPr>
          <w:rFonts w:ascii="Arial" w:hAnsi="Arial" w:cs="Arial"/>
          <w:bCs/>
        </w:rPr>
        <w:t xml:space="preserve">unit </w:t>
      </w:r>
      <w:r w:rsidR="00A30FFA" w:rsidRPr="00EE5A23">
        <w:rPr>
          <w:rFonts w:ascii="Arial" w:hAnsi="Arial" w:cs="Arial"/>
          <w:bCs/>
        </w:rPr>
        <w:t xml:space="preserve">costs in Wellington and 16% higher in Auckland. </w:t>
      </w:r>
      <w:r w:rsidRPr="00EE5A23">
        <w:rPr>
          <w:rFonts w:ascii="Arial" w:hAnsi="Arial" w:cs="Arial"/>
          <w:bCs/>
        </w:rPr>
        <w:t>Although some of these differences may be due to selection bias, given competitive tenders are more prevalent in outer area</w:t>
      </w:r>
      <w:r w:rsidR="009D055D">
        <w:rPr>
          <w:rFonts w:ascii="Arial" w:hAnsi="Arial" w:cs="Arial"/>
          <w:bCs/>
        </w:rPr>
        <w:t>s</w:t>
      </w:r>
      <w:r w:rsidRPr="00EE5A23">
        <w:rPr>
          <w:rFonts w:ascii="Arial" w:hAnsi="Arial" w:cs="Arial"/>
          <w:bCs/>
        </w:rPr>
        <w:t xml:space="preserve"> and negotiated contracts are more prevalent in inner areas</w:t>
      </w:r>
      <w:r w:rsidR="00CD1B42" w:rsidRPr="00EE5A23">
        <w:rPr>
          <w:rFonts w:ascii="Arial" w:hAnsi="Arial" w:cs="Arial"/>
          <w:bCs/>
        </w:rPr>
        <w:t>, this was only though</w:t>
      </w:r>
      <w:r w:rsidR="009D055D">
        <w:rPr>
          <w:rFonts w:ascii="Arial" w:hAnsi="Arial" w:cs="Arial"/>
          <w:bCs/>
        </w:rPr>
        <w:t>t</w:t>
      </w:r>
      <w:r w:rsidR="00CD1B42" w:rsidRPr="00EE5A23">
        <w:rPr>
          <w:rFonts w:ascii="Arial" w:hAnsi="Arial" w:cs="Arial"/>
          <w:bCs/>
        </w:rPr>
        <w:t xml:space="preserve"> to account for around </w:t>
      </w:r>
      <w:r w:rsidR="00BD7269" w:rsidRPr="00EE5A23">
        <w:rPr>
          <w:rFonts w:ascii="Arial" w:hAnsi="Arial" w:cs="Arial"/>
          <w:bCs/>
        </w:rPr>
        <w:t xml:space="preserve">five </w:t>
      </w:r>
      <w:r w:rsidR="00CD1B42" w:rsidRPr="00EE5A23">
        <w:rPr>
          <w:rFonts w:ascii="Arial" w:hAnsi="Arial" w:cs="Arial"/>
          <w:bCs/>
        </w:rPr>
        <w:t>percentage points</w:t>
      </w:r>
      <w:r w:rsidR="00BD7269" w:rsidRPr="00EE5A23">
        <w:rPr>
          <w:rFonts w:ascii="Arial" w:hAnsi="Arial" w:cs="Arial"/>
          <w:bCs/>
        </w:rPr>
        <w:t xml:space="preserve"> (on average)</w:t>
      </w:r>
      <w:r w:rsidR="00CD1B42" w:rsidRPr="00EE5A23">
        <w:rPr>
          <w:rFonts w:ascii="Arial" w:hAnsi="Arial" w:cs="Arial"/>
          <w:bCs/>
        </w:rPr>
        <w:t xml:space="preserve"> of the difference. The overall findings are broadly </w:t>
      </w:r>
      <w:r w:rsidR="003248C6" w:rsidRPr="00EE5A23">
        <w:rPr>
          <w:rFonts w:ascii="Arial" w:hAnsi="Arial" w:cs="Arial"/>
          <w:bCs/>
        </w:rPr>
        <w:t>consistent with earlier evidence from Australia where negotiated contracts kept costs constant, whilst competitive tenders led to cost savings (</w:t>
      </w:r>
      <w:r w:rsidR="00CD1B42" w:rsidRPr="00EE5A23">
        <w:rPr>
          <w:rFonts w:ascii="Arial" w:hAnsi="Arial" w:cs="Arial"/>
          <w:bCs/>
        </w:rPr>
        <w:t>Wallis and Bray, 2014</w:t>
      </w:r>
      <w:r w:rsidR="003248C6" w:rsidRPr="00EE5A23">
        <w:rPr>
          <w:rFonts w:ascii="Arial" w:hAnsi="Arial" w:cs="Arial"/>
          <w:bCs/>
        </w:rPr>
        <w:t>).</w:t>
      </w:r>
      <w:r w:rsidR="00CD1B42" w:rsidRPr="00EE5A23">
        <w:rPr>
          <w:rFonts w:ascii="Arial" w:hAnsi="Arial" w:cs="Arial"/>
          <w:bCs/>
        </w:rPr>
        <w:t xml:space="preserve"> However, the peculiarities of the like-for-like constraint in New Zealand may have exacerbated the differences.</w:t>
      </w:r>
    </w:p>
    <w:p w14:paraId="01B34054" w14:textId="73638529" w:rsidR="00BD7269" w:rsidRPr="00EE5A23" w:rsidRDefault="00BD7269" w:rsidP="00596FC7">
      <w:pPr>
        <w:rPr>
          <w:rFonts w:ascii="Arial" w:hAnsi="Arial" w:cs="Arial"/>
          <w:bCs/>
        </w:rPr>
      </w:pPr>
      <w:r w:rsidRPr="00EE5A23">
        <w:rPr>
          <w:rFonts w:ascii="Arial" w:hAnsi="Arial" w:cs="Arial"/>
          <w:bCs/>
        </w:rPr>
        <w:t>2.2</w:t>
      </w:r>
      <w:r w:rsidRPr="00EE5A23">
        <w:rPr>
          <w:rFonts w:ascii="Arial" w:hAnsi="Arial" w:cs="Arial"/>
          <w:bCs/>
        </w:rPr>
        <w:tab/>
        <w:t>Bus Contracts</w:t>
      </w:r>
    </w:p>
    <w:p w14:paraId="7CED9BB4" w14:textId="5C0449D8" w:rsidR="007E2642" w:rsidRPr="00EE5A23" w:rsidRDefault="007E2642" w:rsidP="00596FC7">
      <w:pPr>
        <w:rPr>
          <w:rFonts w:ascii="Arial" w:hAnsi="Arial" w:cs="Arial"/>
          <w:bCs/>
        </w:rPr>
      </w:pPr>
      <w:r w:rsidRPr="00EE5A23">
        <w:rPr>
          <w:rFonts w:ascii="Arial" w:hAnsi="Arial" w:cs="Arial"/>
          <w:bCs/>
        </w:rPr>
        <w:t xml:space="preserve">Our second group of papers examined the role of bus contracts. Patricia Galilea </w:t>
      </w:r>
      <w:r w:rsidR="00962B42" w:rsidRPr="00EE5A23">
        <w:rPr>
          <w:rFonts w:ascii="Arial" w:hAnsi="Arial" w:cs="Arial"/>
          <w:bCs/>
        </w:rPr>
        <w:t>(</w:t>
      </w:r>
      <w:r w:rsidR="00DE4BC5">
        <w:rPr>
          <w:rFonts w:ascii="Arial" w:hAnsi="Arial" w:cs="Arial"/>
          <w:bCs/>
        </w:rPr>
        <w:t>in a paper with</w:t>
      </w:r>
      <w:r w:rsidR="00962B42" w:rsidRPr="00EE5A23">
        <w:rPr>
          <w:rFonts w:ascii="Arial" w:hAnsi="Arial" w:cs="Arial"/>
          <w:bCs/>
        </w:rPr>
        <w:t xml:space="preserve"> </w:t>
      </w:r>
      <w:r w:rsidR="00962B42" w:rsidRPr="00EE5A23">
        <w:rPr>
          <w:rFonts w:ascii="Arial" w:hAnsi="Arial" w:cs="Arial"/>
          <w:bCs/>
          <w:lang w:val="en-US"/>
        </w:rPr>
        <w:t>Alejandra Chaparro</w:t>
      </w:r>
      <w:r w:rsidR="00DE4BC5">
        <w:rPr>
          <w:rFonts w:ascii="Arial" w:hAnsi="Arial" w:cs="Arial"/>
          <w:bCs/>
          <w:lang w:val="en-US"/>
        </w:rPr>
        <w:t xml:space="preserve">, </w:t>
      </w:r>
      <w:r w:rsidR="00DE4BC5" w:rsidRPr="00DE4BC5">
        <w:rPr>
          <w:rFonts w:ascii="Arial" w:hAnsi="Arial" w:cs="Arial"/>
          <w:bCs/>
          <w:lang w:val="en-AU"/>
        </w:rPr>
        <w:t>Juan Muñoz and Joaquín Poblete</w:t>
      </w:r>
      <w:r w:rsidR="00962B42" w:rsidRPr="00EE5A23">
        <w:rPr>
          <w:rFonts w:ascii="Arial" w:hAnsi="Arial" w:cs="Arial"/>
          <w:bCs/>
          <w:lang w:val="en-US"/>
        </w:rPr>
        <w:t>)</w:t>
      </w:r>
      <w:r w:rsidR="00962B42" w:rsidRPr="00EE5A23">
        <w:rPr>
          <w:rFonts w:ascii="Arial" w:hAnsi="Arial" w:cs="Arial"/>
          <w:bCs/>
        </w:rPr>
        <w:t xml:space="preserve"> </w:t>
      </w:r>
      <w:r w:rsidRPr="00EE5A23">
        <w:rPr>
          <w:rFonts w:ascii="Arial" w:hAnsi="Arial" w:cs="Arial"/>
          <w:bCs/>
        </w:rPr>
        <w:t xml:space="preserve">examined the situation in Santiago, Chile, where in 2016 there was a 7% deficit in the number of drivers which could rise to 20% by 2026. </w:t>
      </w:r>
      <w:r w:rsidR="002B72BC" w:rsidRPr="00EE5A23">
        <w:rPr>
          <w:rFonts w:ascii="Arial" w:hAnsi="Arial" w:cs="Arial"/>
          <w:bCs/>
        </w:rPr>
        <w:t>This in turn has led to problems with service quality as operators are reluctant to discipline drivers when, for example, they l</w:t>
      </w:r>
      <w:r w:rsidR="00AB606E" w:rsidRPr="00EE5A23">
        <w:rPr>
          <w:rFonts w:ascii="Arial" w:hAnsi="Arial" w:cs="Arial"/>
          <w:bCs/>
        </w:rPr>
        <w:t>e</w:t>
      </w:r>
      <w:r w:rsidR="002B72BC" w:rsidRPr="00EE5A23">
        <w:rPr>
          <w:rFonts w:ascii="Arial" w:hAnsi="Arial" w:cs="Arial"/>
          <w:bCs/>
        </w:rPr>
        <w:t xml:space="preserve">ave customers at stops even when there is capacity available. </w:t>
      </w:r>
      <w:r w:rsidRPr="00EE5A23">
        <w:rPr>
          <w:rFonts w:ascii="Arial" w:hAnsi="Arial" w:cs="Arial"/>
          <w:bCs/>
        </w:rPr>
        <w:t xml:space="preserve">The scope for incentivising drivers </w:t>
      </w:r>
      <w:r w:rsidR="00AB606E" w:rsidRPr="00EE5A23">
        <w:rPr>
          <w:rFonts w:ascii="Arial" w:hAnsi="Arial" w:cs="Arial"/>
          <w:bCs/>
        </w:rPr>
        <w:t xml:space="preserve">to deliver service quality </w:t>
      </w:r>
      <w:r w:rsidRPr="00EE5A23">
        <w:rPr>
          <w:rFonts w:ascii="Arial" w:hAnsi="Arial" w:cs="Arial"/>
          <w:bCs/>
        </w:rPr>
        <w:t xml:space="preserve">through revenue sharing was examined but this may lead to adverse selection in instances where the agent (the driver) has better information than the principal (manager), although </w:t>
      </w:r>
      <w:r w:rsidR="009D055D">
        <w:rPr>
          <w:rFonts w:ascii="Arial" w:hAnsi="Arial" w:cs="Arial"/>
          <w:bCs/>
        </w:rPr>
        <w:t xml:space="preserve">this </w:t>
      </w:r>
      <w:r w:rsidR="002B72BC" w:rsidRPr="00EE5A23">
        <w:rPr>
          <w:rFonts w:ascii="Arial" w:hAnsi="Arial" w:cs="Arial"/>
          <w:bCs/>
        </w:rPr>
        <w:t>is</w:t>
      </w:r>
      <w:r w:rsidRPr="00EE5A23">
        <w:rPr>
          <w:rFonts w:ascii="Arial" w:hAnsi="Arial" w:cs="Arial"/>
          <w:bCs/>
        </w:rPr>
        <w:t xml:space="preserve"> reduced through automated </w:t>
      </w:r>
      <w:r w:rsidR="00FD1801" w:rsidRPr="00EE5A23">
        <w:rPr>
          <w:rFonts w:ascii="Arial" w:hAnsi="Arial" w:cs="Arial"/>
          <w:bCs/>
        </w:rPr>
        <w:t>fares collection</w:t>
      </w:r>
      <w:r w:rsidR="002B72BC" w:rsidRPr="00EE5A23">
        <w:rPr>
          <w:rFonts w:ascii="Arial" w:hAnsi="Arial" w:cs="Arial"/>
          <w:bCs/>
        </w:rPr>
        <w:t xml:space="preserve"> such as the Bip card system in Santiago</w:t>
      </w:r>
      <w:r w:rsidR="00FD1801" w:rsidRPr="00EE5A23">
        <w:rPr>
          <w:rFonts w:ascii="Arial" w:hAnsi="Arial" w:cs="Arial"/>
          <w:bCs/>
        </w:rPr>
        <w:t xml:space="preserve">. Nonetheless, the Workshop was concerned that this may be an instance of whack-a-mole in that when one problem </w:t>
      </w:r>
      <w:r w:rsidR="00490F1A" w:rsidRPr="00EE5A23">
        <w:rPr>
          <w:rFonts w:ascii="Arial" w:hAnsi="Arial" w:cs="Arial"/>
          <w:bCs/>
        </w:rPr>
        <w:t xml:space="preserve">is </w:t>
      </w:r>
      <w:r w:rsidR="00FD1801" w:rsidRPr="00EE5A23">
        <w:rPr>
          <w:rFonts w:ascii="Arial" w:hAnsi="Arial" w:cs="Arial"/>
          <w:bCs/>
        </w:rPr>
        <w:t xml:space="preserve">solved, another one emerges </w:t>
      </w:r>
      <w:r w:rsidR="00BD7269" w:rsidRPr="00EE5A23">
        <w:rPr>
          <w:rFonts w:ascii="Arial" w:hAnsi="Arial" w:cs="Arial"/>
          <w:bCs/>
        </w:rPr>
        <w:t xml:space="preserve">- </w:t>
      </w:r>
      <w:r w:rsidR="00FD1801" w:rsidRPr="00EE5A23">
        <w:rPr>
          <w:rFonts w:ascii="Arial" w:hAnsi="Arial" w:cs="Arial"/>
          <w:bCs/>
        </w:rPr>
        <w:t>such as racing to stops and other curious old driving practices</w:t>
      </w:r>
      <w:r w:rsidR="00BD7269" w:rsidRPr="00EE5A23">
        <w:rPr>
          <w:rFonts w:ascii="Arial" w:hAnsi="Arial" w:cs="Arial"/>
          <w:bCs/>
        </w:rPr>
        <w:t xml:space="preserve"> that were evident at the birth of the bus industry</w:t>
      </w:r>
      <w:r w:rsidR="00FD1801" w:rsidRPr="00EE5A23">
        <w:rPr>
          <w:rFonts w:ascii="Arial" w:hAnsi="Arial" w:cs="Arial"/>
          <w:bCs/>
        </w:rPr>
        <w:t xml:space="preserve"> (Foster and Golay</w:t>
      </w:r>
      <w:r w:rsidR="00B14EF1" w:rsidRPr="00EE5A23">
        <w:rPr>
          <w:rFonts w:ascii="Arial" w:hAnsi="Arial" w:cs="Arial"/>
          <w:bCs/>
        </w:rPr>
        <w:t>, 1986</w:t>
      </w:r>
      <w:r w:rsidR="00FD1801" w:rsidRPr="00EE5A23">
        <w:rPr>
          <w:rFonts w:ascii="Arial" w:hAnsi="Arial" w:cs="Arial"/>
          <w:bCs/>
        </w:rPr>
        <w:t>)</w:t>
      </w:r>
      <w:r w:rsidR="002B72BC" w:rsidRPr="00EE5A23">
        <w:rPr>
          <w:rFonts w:ascii="Arial" w:hAnsi="Arial" w:cs="Arial"/>
          <w:bCs/>
        </w:rPr>
        <w:t>, although again technology (such as automatic vehicle location) might be able to limit this</w:t>
      </w:r>
      <w:r w:rsidR="00FD1801" w:rsidRPr="00EE5A23">
        <w:rPr>
          <w:rFonts w:ascii="Arial" w:hAnsi="Arial" w:cs="Arial"/>
          <w:bCs/>
        </w:rPr>
        <w:t>.</w:t>
      </w:r>
      <w:r w:rsidR="00490F1A" w:rsidRPr="00EE5A23">
        <w:rPr>
          <w:rFonts w:ascii="Arial" w:hAnsi="Arial" w:cs="Arial"/>
          <w:bCs/>
        </w:rPr>
        <w:t xml:space="preserve"> </w:t>
      </w:r>
    </w:p>
    <w:p w14:paraId="3F6446D8" w14:textId="493498D4" w:rsidR="0039144A" w:rsidRPr="00EE5A23" w:rsidRDefault="00490F1A" w:rsidP="0039144A">
      <w:pPr>
        <w:rPr>
          <w:rFonts w:ascii="Arial" w:hAnsi="Arial" w:cs="Arial"/>
          <w:bCs/>
        </w:rPr>
      </w:pPr>
      <w:r w:rsidRPr="00EE5A23">
        <w:rPr>
          <w:rFonts w:ascii="Arial" w:hAnsi="Arial" w:cs="Arial"/>
          <w:bCs/>
        </w:rPr>
        <w:t xml:space="preserve">Roger Pyddoke examined penalties as quality incentives for bus services in </w:t>
      </w:r>
      <w:r w:rsidR="0039144A" w:rsidRPr="00EE5A23">
        <w:rPr>
          <w:rFonts w:ascii="Arial" w:hAnsi="Arial" w:cs="Arial"/>
          <w:bCs/>
        </w:rPr>
        <w:t>Skane and Stockholm (</w:t>
      </w:r>
      <w:r w:rsidRPr="00EE5A23">
        <w:rPr>
          <w:rFonts w:ascii="Arial" w:hAnsi="Arial" w:cs="Arial"/>
          <w:bCs/>
        </w:rPr>
        <w:t>Sweden</w:t>
      </w:r>
      <w:r w:rsidR="0039144A" w:rsidRPr="00EE5A23">
        <w:rPr>
          <w:rFonts w:ascii="Arial" w:hAnsi="Arial" w:cs="Arial"/>
          <w:bCs/>
        </w:rPr>
        <w:t>)</w:t>
      </w:r>
      <w:r w:rsidRPr="00EE5A23">
        <w:rPr>
          <w:rFonts w:ascii="Arial" w:hAnsi="Arial" w:cs="Arial"/>
          <w:bCs/>
        </w:rPr>
        <w:t xml:space="preserve">, including consideration of delays, cancelled departures and customer satisfaction.  However, in part due to the number of excusable performance incidents, the </w:t>
      </w:r>
      <w:r w:rsidRPr="00EE5A23">
        <w:rPr>
          <w:rFonts w:ascii="Arial" w:hAnsi="Arial" w:cs="Arial"/>
          <w:bCs/>
        </w:rPr>
        <w:lastRenderedPageBreak/>
        <w:t xml:space="preserve">aggregate penalties were </w:t>
      </w:r>
      <w:r w:rsidR="0039144A" w:rsidRPr="00EE5A23">
        <w:rPr>
          <w:rFonts w:ascii="Arial" w:hAnsi="Arial" w:cs="Arial"/>
          <w:bCs/>
        </w:rPr>
        <w:t xml:space="preserve">small </w:t>
      </w:r>
      <w:r w:rsidRPr="00EE5A23">
        <w:rPr>
          <w:rFonts w:ascii="Arial" w:hAnsi="Arial" w:cs="Arial"/>
          <w:bCs/>
        </w:rPr>
        <w:t xml:space="preserve">compared to total revenue and hence judged </w:t>
      </w:r>
      <w:r w:rsidR="009D055D">
        <w:rPr>
          <w:rFonts w:ascii="Arial" w:hAnsi="Arial" w:cs="Arial"/>
          <w:bCs/>
        </w:rPr>
        <w:t xml:space="preserve">to be </w:t>
      </w:r>
      <w:r w:rsidRPr="00EE5A23">
        <w:rPr>
          <w:rFonts w:ascii="Arial" w:hAnsi="Arial" w:cs="Arial"/>
          <w:bCs/>
        </w:rPr>
        <w:t>relatively ineffective.</w:t>
      </w:r>
      <w:r w:rsidR="0039144A" w:rsidRPr="00EE5A23">
        <w:rPr>
          <w:rFonts w:ascii="Arial" w:hAnsi="Arial" w:cs="Arial"/>
          <w:lang w:val="en-US"/>
        </w:rPr>
        <w:t xml:space="preserve"> There were </w:t>
      </w:r>
      <w:r w:rsidR="00715B91" w:rsidRPr="00EE5A23">
        <w:rPr>
          <w:rFonts w:ascii="Arial" w:hAnsi="Arial" w:cs="Arial"/>
          <w:lang w:val="en-US"/>
        </w:rPr>
        <w:t xml:space="preserve">no positive trends for either delivered or punctual departures, but there were </w:t>
      </w:r>
      <w:r w:rsidR="0039144A" w:rsidRPr="00EE5A23">
        <w:rPr>
          <w:rFonts w:ascii="Arial" w:hAnsi="Arial" w:cs="Arial"/>
          <w:lang w:val="en-US"/>
        </w:rPr>
        <w:t>p</w:t>
      </w:r>
      <w:r w:rsidR="0039144A" w:rsidRPr="00EE5A23">
        <w:rPr>
          <w:rFonts w:ascii="Arial" w:hAnsi="Arial" w:cs="Arial"/>
          <w:bCs/>
          <w:lang w:val="en-US"/>
        </w:rPr>
        <w:t>ositive and statistically significant trends for customer satisfaction for bus</w:t>
      </w:r>
      <w:r w:rsidR="00715B91" w:rsidRPr="00EE5A23">
        <w:rPr>
          <w:rFonts w:ascii="Arial" w:hAnsi="Arial" w:cs="Arial"/>
          <w:bCs/>
          <w:lang w:val="en-US"/>
        </w:rPr>
        <w:t xml:space="preserve"> s</w:t>
      </w:r>
      <w:r w:rsidR="0039144A" w:rsidRPr="00EE5A23">
        <w:rPr>
          <w:rFonts w:ascii="Arial" w:hAnsi="Arial" w:cs="Arial"/>
          <w:bCs/>
          <w:lang w:val="en-US"/>
        </w:rPr>
        <w:t>e</w:t>
      </w:r>
      <w:r w:rsidR="00715B91" w:rsidRPr="00EE5A23">
        <w:rPr>
          <w:rFonts w:ascii="Arial" w:hAnsi="Arial" w:cs="Arial"/>
          <w:bCs/>
          <w:lang w:val="en-US"/>
        </w:rPr>
        <w:t>rvice</w:t>
      </w:r>
      <w:r w:rsidR="0039144A" w:rsidRPr="00EE5A23">
        <w:rPr>
          <w:rFonts w:ascii="Arial" w:hAnsi="Arial" w:cs="Arial"/>
          <w:bCs/>
          <w:lang w:val="en-US"/>
        </w:rPr>
        <w:t xml:space="preserve">s in the two </w:t>
      </w:r>
      <w:r w:rsidR="00715B91" w:rsidRPr="00EE5A23">
        <w:rPr>
          <w:rFonts w:ascii="Arial" w:hAnsi="Arial" w:cs="Arial"/>
          <w:bCs/>
          <w:lang w:val="en-US"/>
        </w:rPr>
        <w:t xml:space="preserve">regions </w:t>
      </w:r>
      <w:r w:rsidR="0039144A" w:rsidRPr="00EE5A23">
        <w:rPr>
          <w:rFonts w:ascii="Arial" w:hAnsi="Arial" w:cs="Arial"/>
          <w:bCs/>
          <w:lang w:val="en-US"/>
        </w:rPr>
        <w:t>but these trends could not easily be attributed to the penalty regime.</w:t>
      </w:r>
    </w:p>
    <w:p w14:paraId="12FF88EE" w14:textId="3F5C5FAA" w:rsidR="00AA77FF" w:rsidRPr="00EE5A23" w:rsidRDefault="00AA77FF" w:rsidP="00CC05B3">
      <w:pPr>
        <w:rPr>
          <w:rFonts w:ascii="Arial" w:hAnsi="Arial" w:cs="Arial"/>
          <w:bCs/>
        </w:rPr>
      </w:pPr>
      <w:r w:rsidRPr="00EE5A23">
        <w:rPr>
          <w:rFonts w:ascii="Arial" w:hAnsi="Arial" w:cs="Arial"/>
          <w:bCs/>
        </w:rPr>
        <w:t>Jackie Walters review</w:t>
      </w:r>
      <w:r w:rsidR="008A5FD5" w:rsidRPr="00EE5A23">
        <w:rPr>
          <w:rFonts w:ascii="Arial" w:hAnsi="Arial" w:cs="Arial"/>
          <w:bCs/>
        </w:rPr>
        <w:t>ed</w:t>
      </w:r>
      <w:r w:rsidRPr="00EE5A23">
        <w:rPr>
          <w:rFonts w:ascii="Arial" w:hAnsi="Arial" w:cs="Arial"/>
          <w:bCs/>
        </w:rPr>
        <w:t xml:space="preserve"> the difficulties of letting</w:t>
      </w:r>
      <w:r w:rsidR="004260EA" w:rsidRPr="00EE5A23">
        <w:rPr>
          <w:rFonts w:ascii="Arial" w:hAnsi="Arial" w:cs="Arial"/>
          <w:bCs/>
        </w:rPr>
        <w:t xml:space="preserve"> a</w:t>
      </w:r>
      <w:r w:rsidRPr="00EE5A23">
        <w:rPr>
          <w:rFonts w:ascii="Arial" w:hAnsi="Arial" w:cs="Arial"/>
          <w:bCs/>
        </w:rPr>
        <w:t xml:space="preserve"> contract for the Mamelodi township</w:t>
      </w:r>
      <w:r w:rsidR="008A5FD5" w:rsidRPr="00EE5A23">
        <w:rPr>
          <w:rFonts w:ascii="Arial" w:hAnsi="Arial" w:cs="Arial"/>
          <w:bCs/>
        </w:rPr>
        <w:t xml:space="preserve">, on the outskirts of Pretoria, </w:t>
      </w:r>
      <w:r w:rsidRPr="00EE5A23">
        <w:rPr>
          <w:rFonts w:ascii="Arial" w:hAnsi="Arial" w:cs="Arial"/>
          <w:bCs/>
        </w:rPr>
        <w:t>South Africa. Up to 1997</w:t>
      </w:r>
      <w:r w:rsidR="00BD7269" w:rsidRPr="00EE5A23">
        <w:rPr>
          <w:rFonts w:ascii="Arial" w:hAnsi="Arial" w:cs="Arial"/>
          <w:bCs/>
        </w:rPr>
        <w:t>,</w:t>
      </w:r>
      <w:r w:rsidRPr="00EE5A23">
        <w:rPr>
          <w:rFonts w:ascii="Arial" w:hAnsi="Arial" w:cs="Arial"/>
          <w:bCs/>
        </w:rPr>
        <w:t xml:space="preserve"> services </w:t>
      </w:r>
      <w:r w:rsidR="00277735" w:rsidRPr="00EE5A23">
        <w:rPr>
          <w:rFonts w:ascii="Arial" w:hAnsi="Arial" w:cs="Arial"/>
          <w:bCs/>
        </w:rPr>
        <w:t xml:space="preserve">in South Africa </w:t>
      </w:r>
      <w:r w:rsidRPr="00EE5A23">
        <w:rPr>
          <w:rFonts w:ascii="Arial" w:hAnsi="Arial" w:cs="Arial"/>
          <w:bCs/>
        </w:rPr>
        <w:t>were provided on the basis of indefinite (grandfather) rights</w:t>
      </w:r>
      <w:r w:rsidR="008A5FD5" w:rsidRPr="00EE5A23">
        <w:rPr>
          <w:rFonts w:ascii="Arial" w:hAnsi="Arial" w:cs="Arial"/>
          <w:bCs/>
        </w:rPr>
        <w:t>, although there were some experiments with tendering, including Mam</w:t>
      </w:r>
      <w:r w:rsidR="00BD7269" w:rsidRPr="00EE5A23">
        <w:rPr>
          <w:rFonts w:ascii="Arial" w:hAnsi="Arial" w:cs="Arial"/>
          <w:bCs/>
        </w:rPr>
        <w:t>e</w:t>
      </w:r>
      <w:r w:rsidR="008A5FD5" w:rsidRPr="00EE5A23">
        <w:rPr>
          <w:rFonts w:ascii="Arial" w:hAnsi="Arial" w:cs="Arial"/>
          <w:bCs/>
        </w:rPr>
        <w:t>lodi</w:t>
      </w:r>
      <w:r w:rsidRPr="00EE5A23">
        <w:rPr>
          <w:rFonts w:ascii="Arial" w:hAnsi="Arial" w:cs="Arial"/>
          <w:bCs/>
        </w:rPr>
        <w:t xml:space="preserve">. Interim contracts were implemented in 1997, with contracting-out to be completed by 2000. </w:t>
      </w:r>
      <w:r w:rsidR="008A5FD5" w:rsidRPr="00EE5A23">
        <w:rPr>
          <w:rFonts w:ascii="Arial" w:hAnsi="Arial" w:cs="Arial"/>
          <w:bCs/>
        </w:rPr>
        <w:t xml:space="preserve">However, progress was </w:t>
      </w:r>
      <w:r w:rsidR="00CC05B3" w:rsidRPr="00EE5A23">
        <w:rPr>
          <w:rFonts w:ascii="Arial" w:hAnsi="Arial" w:cs="Arial"/>
          <w:bCs/>
        </w:rPr>
        <w:t xml:space="preserve">slow. </w:t>
      </w:r>
      <w:r w:rsidR="00E3369B" w:rsidRPr="00EE5A23">
        <w:rPr>
          <w:rFonts w:ascii="Arial" w:hAnsi="Arial" w:cs="Arial"/>
          <w:bCs/>
          <w:lang w:val="en-US"/>
        </w:rPr>
        <w:t>A moratorium was place</w:t>
      </w:r>
      <w:r w:rsidR="00BD7269" w:rsidRPr="00EE5A23">
        <w:rPr>
          <w:rFonts w:ascii="Arial" w:hAnsi="Arial" w:cs="Arial"/>
          <w:bCs/>
          <w:lang w:val="en-US"/>
        </w:rPr>
        <w:t>d</w:t>
      </w:r>
      <w:r w:rsidR="00E3369B" w:rsidRPr="00EE5A23">
        <w:rPr>
          <w:rFonts w:ascii="Arial" w:hAnsi="Arial" w:cs="Arial"/>
          <w:bCs/>
          <w:lang w:val="en-US"/>
        </w:rPr>
        <w:t xml:space="preserve"> on new tendered contracts in 2001 due to funding issues</w:t>
      </w:r>
      <w:r w:rsidR="00CC05B3" w:rsidRPr="00EE5A23">
        <w:rPr>
          <w:rFonts w:ascii="Arial" w:hAnsi="Arial" w:cs="Arial"/>
          <w:bCs/>
          <w:lang w:val="en-US"/>
        </w:rPr>
        <w:t xml:space="preserve">. </w:t>
      </w:r>
      <w:r w:rsidR="00E3369B" w:rsidRPr="00EE5A23">
        <w:rPr>
          <w:rFonts w:ascii="Arial" w:hAnsi="Arial" w:cs="Arial"/>
          <w:bCs/>
          <w:lang w:val="en-US"/>
        </w:rPr>
        <w:t xml:space="preserve">To date </w:t>
      </w:r>
      <w:r w:rsidR="00CC05B3" w:rsidRPr="00EE5A23">
        <w:rPr>
          <w:rFonts w:ascii="Arial" w:hAnsi="Arial" w:cs="Arial"/>
          <w:bCs/>
          <w:lang w:val="en-US"/>
        </w:rPr>
        <w:t>in South Africa</w:t>
      </w:r>
      <w:r w:rsidR="00BD7269" w:rsidRPr="00EE5A23">
        <w:rPr>
          <w:rFonts w:ascii="Arial" w:hAnsi="Arial" w:cs="Arial"/>
          <w:bCs/>
          <w:lang w:val="en-US"/>
        </w:rPr>
        <w:t>,</w:t>
      </w:r>
      <w:r w:rsidR="00CC05B3" w:rsidRPr="00EE5A23">
        <w:rPr>
          <w:rFonts w:ascii="Arial" w:hAnsi="Arial" w:cs="Arial"/>
          <w:bCs/>
          <w:lang w:val="en-US"/>
        </w:rPr>
        <w:t xml:space="preserve"> </w:t>
      </w:r>
      <w:r w:rsidR="00E3369B" w:rsidRPr="00EE5A23">
        <w:rPr>
          <w:rFonts w:ascii="Arial" w:hAnsi="Arial" w:cs="Arial"/>
          <w:bCs/>
          <w:lang w:val="en-US"/>
        </w:rPr>
        <w:t xml:space="preserve">there are about 66 tendered contracts, 10 negotiated contracts with the remainder (39) being interim contracts concluded as far back as 1997. </w:t>
      </w:r>
      <w:r w:rsidR="00CC05B3" w:rsidRPr="00EE5A23">
        <w:rPr>
          <w:rFonts w:ascii="Arial" w:hAnsi="Arial" w:cs="Arial"/>
          <w:bCs/>
          <w:lang w:val="en-US"/>
        </w:rPr>
        <w:t xml:space="preserve"> The first tender since then, for 77 bus shifts, was in Mamelodi in 2018. However, despite there being eight bidders, the contract was not let due to unaffordability of the bids. Problems included an </w:t>
      </w:r>
      <w:r w:rsidRPr="00EE5A23">
        <w:rPr>
          <w:rFonts w:ascii="Arial" w:hAnsi="Arial" w:cs="Arial"/>
          <w:bCs/>
        </w:rPr>
        <w:t>emphasis on net costs, the inadequacy of the cost escalator</w:t>
      </w:r>
      <w:r w:rsidR="00CC05B3" w:rsidRPr="00EE5A23">
        <w:rPr>
          <w:rFonts w:ascii="Arial" w:hAnsi="Arial" w:cs="Arial"/>
          <w:bCs/>
        </w:rPr>
        <w:t>,</w:t>
      </w:r>
      <w:r w:rsidRPr="00EE5A23">
        <w:rPr>
          <w:rFonts w:ascii="Arial" w:hAnsi="Arial" w:cs="Arial"/>
          <w:bCs/>
        </w:rPr>
        <w:t xml:space="preserve"> difficulties in meeting the sub-contracting requirements,</w:t>
      </w:r>
      <w:r w:rsidR="00CC05B3" w:rsidRPr="00EE5A23">
        <w:rPr>
          <w:rFonts w:ascii="Arial" w:hAnsi="Arial" w:cs="Arial"/>
          <w:bCs/>
        </w:rPr>
        <w:t xml:space="preserve"> contract design problems, competition from the minibus industry and lack of reliable information (with </w:t>
      </w:r>
      <w:r w:rsidR="004260EA" w:rsidRPr="00EE5A23">
        <w:rPr>
          <w:rFonts w:ascii="Arial" w:hAnsi="Arial" w:cs="Arial"/>
          <w:bCs/>
        </w:rPr>
        <w:t xml:space="preserve">a lack of trip </w:t>
      </w:r>
      <w:r w:rsidR="00CC05B3" w:rsidRPr="00EE5A23">
        <w:rPr>
          <w:rFonts w:ascii="Arial" w:hAnsi="Arial" w:cs="Arial"/>
          <w:bCs/>
        </w:rPr>
        <w:t xml:space="preserve">data for 24 of the 77 shifts). </w:t>
      </w:r>
    </w:p>
    <w:p w14:paraId="21A38F36" w14:textId="5EF02526" w:rsidR="00643162" w:rsidRPr="00EE5A23" w:rsidRDefault="00CC05B3" w:rsidP="004E359D">
      <w:pPr>
        <w:rPr>
          <w:rFonts w:ascii="Arial" w:hAnsi="Arial" w:cs="Arial"/>
          <w:bCs/>
        </w:rPr>
      </w:pPr>
      <w:r w:rsidRPr="00EE5A23">
        <w:rPr>
          <w:rFonts w:ascii="Arial" w:hAnsi="Arial" w:cs="Arial"/>
          <w:bCs/>
        </w:rPr>
        <w:t xml:space="preserve">John Preston </w:t>
      </w:r>
      <w:r w:rsidR="00C748B4">
        <w:rPr>
          <w:rFonts w:ascii="Arial" w:hAnsi="Arial" w:cs="Arial"/>
          <w:bCs/>
        </w:rPr>
        <w:t xml:space="preserve">(in a paper with Evangelos Darivakis) </w:t>
      </w:r>
      <w:r w:rsidRPr="00EE5A23">
        <w:rPr>
          <w:rFonts w:ascii="Arial" w:hAnsi="Arial" w:cs="Arial"/>
          <w:bCs/>
        </w:rPr>
        <w:t xml:space="preserve">briefly traced the history of </w:t>
      </w:r>
      <w:r w:rsidR="004E359D" w:rsidRPr="00EE5A23">
        <w:rPr>
          <w:rFonts w:ascii="Arial" w:hAnsi="Arial" w:cs="Arial"/>
          <w:bCs/>
        </w:rPr>
        <w:t>Q</w:t>
      </w:r>
      <w:r w:rsidRPr="00EE5A23">
        <w:rPr>
          <w:rFonts w:ascii="Arial" w:hAnsi="Arial" w:cs="Arial"/>
          <w:bCs/>
        </w:rPr>
        <w:t xml:space="preserve">uality </w:t>
      </w:r>
      <w:r w:rsidR="004E359D" w:rsidRPr="00EE5A23">
        <w:rPr>
          <w:rFonts w:ascii="Arial" w:hAnsi="Arial" w:cs="Arial"/>
          <w:bCs/>
        </w:rPr>
        <w:t>Bus P</w:t>
      </w:r>
      <w:r w:rsidRPr="00EE5A23">
        <w:rPr>
          <w:rFonts w:ascii="Arial" w:hAnsi="Arial" w:cs="Arial"/>
          <w:bCs/>
        </w:rPr>
        <w:t xml:space="preserve">artnerships </w:t>
      </w:r>
      <w:r w:rsidR="004E359D" w:rsidRPr="00EE5A23">
        <w:rPr>
          <w:rFonts w:ascii="Arial" w:hAnsi="Arial" w:cs="Arial"/>
          <w:bCs/>
        </w:rPr>
        <w:t xml:space="preserve">(QBPs) </w:t>
      </w:r>
      <w:r w:rsidRPr="00EE5A23">
        <w:rPr>
          <w:rFonts w:ascii="Arial" w:hAnsi="Arial" w:cs="Arial"/>
          <w:bCs/>
        </w:rPr>
        <w:t>in Great Britain outside London and contrasted them with the comprehensive tendering (or franchising) model in London.</w:t>
      </w:r>
      <w:r w:rsidR="004E359D" w:rsidRPr="00EE5A23">
        <w:rPr>
          <w:rFonts w:ascii="Arial" w:hAnsi="Arial" w:cs="Arial"/>
          <w:bCs/>
        </w:rPr>
        <w:t xml:space="preserve"> London was shown to be an anomaly with an extra 220 bus trips per capita per annum than the average for Great Britain but this is due to many factors in addition to the organisation of the industry. Analysis then focused on the 2017 Bus Services Act and</w:t>
      </w:r>
      <w:r w:rsidR="00BD7269" w:rsidRPr="00EE5A23">
        <w:rPr>
          <w:rFonts w:ascii="Arial" w:hAnsi="Arial" w:cs="Arial"/>
          <w:bCs/>
        </w:rPr>
        <w:t xml:space="preserve"> the </w:t>
      </w:r>
      <w:r w:rsidR="004E359D" w:rsidRPr="00EE5A23">
        <w:rPr>
          <w:rFonts w:ascii="Arial" w:hAnsi="Arial" w:cs="Arial"/>
          <w:bCs/>
        </w:rPr>
        <w:t>role of Advanced Quality Partnerships (AQPs) and Enhance</w:t>
      </w:r>
      <w:r w:rsidR="009D055D">
        <w:rPr>
          <w:rFonts w:ascii="Arial" w:hAnsi="Arial" w:cs="Arial"/>
          <w:bCs/>
        </w:rPr>
        <w:t>d</w:t>
      </w:r>
      <w:r w:rsidR="004E359D" w:rsidRPr="00EE5A23">
        <w:rPr>
          <w:rFonts w:ascii="Arial" w:hAnsi="Arial" w:cs="Arial"/>
          <w:bCs/>
        </w:rPr>
        <w:t xml:space="preserve"> Quality Partnership (EQPs). It was found than h</w:t>
      </w:r>
      <w:r w:rsidR="00E3369B" w:rsidRPr="00EE5A23">
        <w:rPr>
          <w:rFonts w:ascii="Arial" w:hAnsi="Arial" w:cs="Arial"/>
          <w:bCs/>
        </w:rPr>
        <w:t xml:space="preserve">aving an AQP </w:t>
      </w:r>
      <w:r w:rsidR="004E359D" w:rsidRPr="00EE5A23">
        <w:rPr>
          <w:rFonts w:ascii="Arial" w:hAnsi="Arial" w:cs="Arial"/>
          <w:bCs/>
        </w:rPr>
        <w:t xml:space="preserve">was </w:t>
      </w:r>
      <w:r w:rsidR="00E3369B" w:rsidRPr="00EE5A23">
        <w:rPr>
          <w:rFonts w:ascii="Arial" w:hAnsi="Arial" w:cs="Arial"/>
          <w:bCs/>
        </w:rPr>
        <w:t xml:space="preserve">associated with </w:t>
      </w:r>
      <w:r w:rsidR="004E359D" w:rsidRPr="00EE5A23">
        <w:rPr>
          <w:rFonts w:ascii="Arial" w:hAnsi="Arial" w:cs="Arial"/>
          <w:bCs/>
        </w:rPr>
        <w:t>40</w:t>
      </w:r>
      <w:r w:rsidR="005417A1" w:rsidRPr="00EE5A23">
        <w:rPr>
          <w:rFonts w:ascii="Arial" w:hAnsi="Arial" w:cs="Arial"/>
          <w:bCs/>
        </w:rPr>
        <w:t>%</w:t>
      </w:r>
      <w:r w:rsidR="004E359D" w:rsidRPr="00EE5A23">
        <w:rPr>
          <w:rFonts w:ascii="Arial" w:hAnsi="Arial" w:cs="Arial"/>
          <w:bCs/>
        </w:rPr>
        <w:t xml:space="preserve"> </w:t>
      </w:r>
      <w:r w:rsidR="00E3369B" w:rsidRPr="00EE5A23">
        <w:rPr>
          <w:rFonts w:ascii="Arial" w:hAnsi="Arial" w:cs="Arial"/>
          <w:bCs/>
        </w:rPr>
        <w:t xml:space="preserve">to </w:t>
      </w:r>
      <w:r w:rsidR="004E359D" w:rsidRPr="00EE5A23">
        <w:rPr>
          <w:rFonts w:ascii="Arial" w:hAnsi="Arial" w:cs="Arial"/>
          <w:bCs/>
        </w:rPr>
        <w:t xml:space="preserve">43% higher demand </w:t>
      </w:r>
      <w:r w:rsidR="009D055D">
        <w:rPr>
          <w:rFonts w:ascii="Arial" w:hAnsi="Arial" w:cs="Arial"/>
          <w:bCs/>
        </w:rPr>
        <w:t xml:space="preserve">per capita </w:t>
      </w:r>
      <w:r w:rsidR="004E359D" w:rsidRPr="00EE5A23">
        <w:rPr>
          <w:rFonts w:ascii="Arial" w:hAnsi="Arial" w:cs="Arial"/>
          <w:bCs/>
        </w:rPr>
        <w:t>whilst n</w:t>
      </w:r>
      <w:r w:rsidR="00E3369B" w:rsidRPr="00EE5A23">
        <w:rPr>
          <w:rFonts w:ascii="Arial" w:hAnsi="Arial" w:cs="Arial"/>
          <w:bCs/>
        </w:rPr>
        <w:t xml:space="preserve">ot having a QBP </w:t>
      </w:r>
      <w:r w:rsidR="004E359D" w:rsidRPr="00EE5A23">
        <w:rPr>
          <w:rFonts w:ascii="Arial" w:hAnsi="Arial" w:cs="Arial"/>
          <w:bCs/>
        </w:rPr>
        <w:t xml:space="preserve">at all was </w:t>
      </w:r>
      <w:r w:rsidR="00E3369B" w:rsidRPr="00EE5A23">
        <w:rPr>
          <w:rFonts w:ascii="Arial" w:hAnsi="Arial" w:cs="Arial"/>
          <w:bCs/>
        </w:rPr>
        <w:t xml:space="preserve">associated with demand </w:t>
      </w:r>
      <w:r w:rsidR="009D055D">
        <w:rPr>
          <w:rFonts w:ascii="Arial" w:hAnsi="Arial" w:cs="Arial"/>
          <w:bCs/>
        </w:rPr>
        <w:t xml:space="preserve">per capita </w:t>
      </w:r>
      <w:r w:rsidR="00E3369B" w:rsidRPr="00EE5A23">
        <w:rPr>
          <w:rFonts w:ascii="Arial" w:hAnsi="Arial" w:cs="Arial"/>
          <w:bCs/>
        </w:rPr>
        <w:t>17% to 38% lower</w:t>
      </w:r>
      <w:r w:rsidR="004E359D" w:rsidRPr="00EE5A23">
        <w:rPr>
          <w:rFonts w:ascii="Arial" w:hAnsi="Arial" w:cs="Arial"/>
          <w:bCs/>
        </w:rPr>
        <w:t>, depending on the type of area. Although such correlation does not imply causation, there is some evidence that QBPs can lead to uplifts in demand</w:t>
      </w:r>
      <w:r w:rsidR="005417A1" w:rsidRPr="00EE5A23">
        <w:rPr>
          <w:rFonts w:ascii="Arial" w:hAnsi="Arial" w:cs="Arial"/>
          <w:bCs/>
        </w:rPr>
        <w:t xml:space="preserve"> (</w:t>
      </w:r>
      <w:r w:rsidR="00231D18" w:rsidRPr="00EE5A23">
        <w:rPr>
          <w:rFonts w:ascii="Arial" w:hAnsi="Arial" w:cs="Arial"/>
          <w:bCs/>
        </w:rPr>
        <w:t xml:space="preserve">or, alternatively, </w:t>
      </w:r>
      <w:r w:rsidR="005417A1" w:rsidRPr="00EE5A23">
        <w:rPr>
          <w:rFonts w:ascii="Arial" w:hAnsi="Arial" w:cs="Arial"/>
          <w:bCs/>
        </w:rPr>
        <w:t>places with good bus markets tend to take up QBPs)</w:t>
      </w:r>
      <w:r w:rsidR="004E359D" w:rsidRPr="00EE5A23">
        <w:rPr>
          <w:rFonts w:ascii="Arial" w:hAnsi="Arial" w:cs="Arial"/>
          <w:bCs/>
        </w:rPr>
        <w:t xml:space="preserve">, but there are barriers related </w:t>
      </w:r>
      <w:r w:rsidR="00D36371" w:rsidRPr="00EE5A23">
        <w:rPr>
          <w:rFonts w:ascii="Arial" w:hAnsi="Arial" w:cs="Arial"/>
          <w:bCs/>
        </w:rPr>
        <w:t xml:space="preserve">to </w:t>
      </w:r>
      <w:r w:rsidR="004E359D" w:rsidRPr="00EE5A23">
        <w:rPr>
          <w:rFonts w:ascii="Arial" w:hAnsi="Arial" w:cs="Arial"/>
          <w:bCs/>
        </w:rPr>
        <w:t>the risk</w:t>
      </w:r>
      <w:r w:rsidR="00D36371" w:rsidRPr="00EE5A23">
        <w:rPr>
          <w:rFonts w:ascii="Arial" w:hAnsi="Arial" w:cs="Arial"/>
          <w:bCs/>
        </w:rPr>
        <w:t>s</w:t>
      </w:r>
      <w:r w:rsidR="004E359D" w:rsidRPr="00EE5A23">
        <w:rPr>
          <w:rFonts w:ascii="Arial" w:hAnsi="Arial" w:cs="Arial"/>
          <w:bCs/>
        </w:rPr>
        <w:t xml:space="preserve"> being borne by the Authority and the rewards by the Operators and </w:t>
      </w:r>
      <w:r w:rsidR="00D36371" w:rsidRPr="00EE5A23">
        <w:rPr>
          <w:rFonts w:ascii="Arial" w:hAnsi="Arial" w:cs="Arial"/>
          <w:bCs/>
        </w:rPr>
        <w:t>the extant knowledge and capabilities of Authorities.</w:t>
      </w:r>
    </w:p>
    <w:p w14:paraId="28B4B10E" w14:textId="3C1198EA" w:rsidR="00BD7269" w:rsidRPr="00EE5A23" w:rsidRDefault="00BD7269" w:rsidP="004E359D">
      <w:pPr>
        <w:rPr>
          <w:rFonts w:ascii="Arial" w:hAnsi="Arial" w:cs="Arial"/>
          <w:bCs/>
        </w:rPr>
      </w:pPr>
      <w:r w:rsidRPr="00EE5A23">
        <w:rPr>
          <w:rFonts w:ascii="Arial" w:hAnsi="Arial" w:cs="Arial"/>
          <w:bCs/>
        </w:rPr>
        <w:t>2.3</w:t>
      </w:r>
      <w:r w:rsidRPr="00EE5A23">
        <w:rPr>
          <w:rFonts w:ascii="Arial" w:hAnsi="Arial" w:cs="Arial"/>
          <w:bCs/>
        </w:rPr>
        <w:tab/>
        <w:t>Public Transport Contracts</w:t>
      </w:r>
    </w:p>
    <w:p w14:paraId="537AD349" w14:textId="2B91D5F6" w:rsidR="004E359D" w:rsidRPr="00EE5A23" w:rsidRDefault="00962B42" w:rsidP="00CC05B3">
      <w:pPr>
        <w:rPr>
          <w:rFonts w:ascii="Arial" w:hAnsi="Arial" w:cs="Arial"/>
          <w:bCs/>
          <w:lang w:val="en-US"/>
        </w:rPr>
      </w:pPr>
      <w:r w:rsidRPr="00EE5A23">
        <w:rPr>
          <w:rFonts w:ascii="Arial" w:hAnsi="Arial" w:cs="Arial"/>
          <w:bCs/>
        </w:rPr>
        <w:t xml:space="preserve">Our third group of papers looked at more general developments in public transport contracts. </w:t>
      </w:r>
      <w:r w:rsidRPr="00EE5A23">
        <w:rPr>
          <w:rFonts w:ascii="Arial" w:hAnsi="Arial" w:cs="Arial"/>
          <w:bCs/>
          <w:lang w:val="en-US"/>
        </w:rPr>
        <w:t>Wijnand Veeneman (</w:t>
      </w:r>
      <w:r w:rsidR="00C748B4">
        <w:rPr>
          <w:rFonts w:ascii="Arial" w:hAnsi="Arial" w:cs="Arial"/>
          <w:bCs/>
          <w:lang w:val="en-US"/>
        </w:rPr>
        <w:t xml:space="preserve">in a paper with </w:t>
      </w:r>
      <w:r w:rsidR="00C748B4" w:rsidRPr="00C748B4">
        <w:rPr>
          <w:rFonts w:ascii="Arial" w:hAnsi="Arial" w:cs="Arial"/>
          <w:bCs/>
          <w:lang w:val="en-AU"/>
        </w:rPr>
        <w:t>Gerald Hoekstra</w:t>
      </w:r>
      <w:r w:rsidR="00C748B4">
        <w:rPr>
          <w:rFonts w:ascii="Arial" w:hAnsi="Arial" w:cs="Arial"/>
          <w:bCs/>
          <w:lang w:val="en-AU"/>
        </w:rPr>
        <w:t>,</w:t>
      </w:r>
      <w:r w:rsidR="00C748B4" w:rsidRPr="00C748B4">
        <w:rPr>
          <w:rFonts w:ascii="Arial" w:hAnsi="Arial" w:cs="Arial"/>
          <w:bCs/>
          <w:lang w:val="en-US"/>
        </w:rPr>
        <w:t xml:space="preserve"> </w:t>
      </w:r>
      <w:r w:rsidRPr="00EE5A23">
        <w:rPr>
          <w:rFonts w:ascii="Arial" w:hAnsi="Arial" w:cs="Arial"/>
          <w:bCs/>
          <w:lang w:val="en-US"/>
        </w:rPr>
        <w:t>Niels van Oort</w:t>
      </w:r>
      <w:r w:rsidR="00C748B4">
        <w:rPr>
          <w:rFonts w:ascii="Arial" w:hAnsi="Arial" w:cs="Arial"/>
          <w:bCs/>
          <w:lang w:val="en-US"/>
        </w:rPr>
        <w:t xml:space="preserve"> and Rob Goverde</w:t>
      </w:r>
      <w:r w:rsidRPr="00EE5A23">
        <w:rPr>
          <w:rFonts w:ascii="Arial" w:hAnsi="Arial" w:cs="Arial"/>
          <w:bCs/>
          <w:lang w:val="en-US"/>
        </w:rPr>
        <w:t>) examined three recent contracts in the Netherlands. In Groningen, separate bus and train contracts were let.  In Frysl</w:t>
      </w:r>
      <w:r w:rsidR="003C7A8A" w:rsidRPr="00EE5A23">
        <w:rPr>
          <w:rFonts w:ascii="Arial" w:hAnsi="Arial" w:cs="Arial"/>
          <w:bCs/>
          <w:lang w:val="en-US"/>
        </w:rPr>
        <w:t>a</w:t>
      </w:r>
      <w:r w:rsidRPr="00EE5A23">
        <w:rPr>
          <w:rFonts w:ascii="Arial" w:hAnsi="Arial" w:cs="Arial"/>
          <w:bCs/>
          <w:lang w:val="en-US"/>
        </w:rPr>
        <w:t>n</w:t>
      </w:r>
      <w:r w:rsidR="00C748B4">
        <w:rPr>
          <w:rFonts w:ascii="Arial" w:hAnsi="Arial" w:cs="Arial"/>
          <w:bCs/>
          <w:lang w:val="en-US"/>
        </w:rPr>
        <w:t xml:space="preserve"> (Friesland)</w:t>
      </w:r>
      <w:r w:rsidRPr="00EE5A23">
        <w:rPr>
          <w:rFonts w:ascii="Arial" w:hAnsi="Arial" w:cs="Arial"/>
          <w:bCs/>
          <w:lang w:val="en-US"/>
        </w:rPr>
        <w:t>, a public transport partnership between bus and train operators was developed. In Limbur</w:t>
      </w:r>
      <w:r w:rsidR="003C7A8A" w:rsidRPr="00EE5A23">
        <w:rPr>
          <w:rFonts w:ascii="Arial" w:hAnsi="Arial" w:cs="Arial"/>
          <w:bCs/>
          <w:lang w:val="en-US"/>
        </w:rPr>
        <w:t>g</w:t>
      </w:r>
      <w:r w:rsidRPr="00EE5A23">
        <w:rPr>
          <w:rFonts w:ascii="Arial" w:hAnsi="Arial" w:cs="Arial"/>
          <w:bCs/>
          <w:lang w:val="en-US"/>
        </w:rPr>
        <w:t xml:space="preserve">, a combined bus and train contract was let. </w:t>
      </w:r>
      <w:r w:rsidR="003C7A8A" w:rsidRPr="00EE5A23">
        <w:rPr>
          <w:rFonts w:ascii="Arial" w:hAnsi="Arial" w:cs="Arial"/>
          <w:bCs/>
          <w:lang w:val="en-US"/>
        </w:rPr>
        <w:t xml:space="preserve">An assessment based on network coverage, schedules, information, fares and vehicle management suggested that multi-modal contracts had some advantages, although this would depend on the extent to which interchange is penalized. </w:t>
      </w:r>
    </w:p>
    <w:p w14:paraId="40E7718C" w14:textId="14CA06D3" w:rsidR="009B594D" w:rsidRPr="00EE5A23" w:rsidRDefault="009D055D" w:rsidP="009B594D">
      <w:pPr>
        <w:rPr>
          <w:rFonts w:ascii="Arial" w:hAnsi="Arial" w:cs="Arial"/>
          <w:bCs/>
          <w:lang w:val="en-US"/>
        </w:rPr>
      </w:pPr>
      <w:r>
        <w:rPr>
          <w:rFonts w:ascii="Arial" w:hAnsi="Arial" w:cs="Arial"/>
          <w:bCs/>
          <w:lang w:val="en-US"/>
        </w:rPr>
        <w:t xml:space="preserve">Wijnand </w:t>
      </w:r>
      <w:r w:rsidR="005417A1" w:rsidRPr="00EE5A23">
        <w:rPr>
          <w:rFonts w:ascii="Arial" w:hAnsi="Arial" w:cs="Arial"/>
          <w:bCs/>
          <w:lang w:val="en-US"/>
        </w:rPr>
        <w:t xml:space="preserve">Veeneman </w:t>
      </w:r>
      <w:r w:rsidR="003C7A8A" w:rsidRPr="00EE5A23">
        <w:rPr>
          <w:rFonts w:ascii="Arial" w:hAnsi="Arial" w:cs="Arial"/>
          <w:bCs/>
          <w:lang w:val="en-US"/>
        </w:rPr>
        <w:t>then went on to provide the fifth in a series of reviews of the 13 Transport Authorities in the Netherlands</w:t>
      </w:r>
      <w:r w:rsidR="000B7093" w:rsidRPr="00EE5A23">
        <w:rPr>
          <w:rFonts w:ascii="Arial" w:hAnsi="Arial" w:cs="Arial"/>
          <w:bCs/>
          <w:lang w:val="en-US"/>
        </w:rPr>
        <w:t>, originating with Veeneman, 2010</w:t>
      </w:r>
      <w:r w:rsidR="003C7A8A" w:rsidRPr="00EE5A23">
        <w:rPr>
          <w:rFonts w:ascii="Arial" w:hAnsi="Arial" w:cs="Arial"/>
          <w:bCs/>
          <w:lang w:val="en-US"/>
        </w:rPr>
        <w:t xml:space="preserve">. </w:t>
      </w:r>
      <w:r w:rsidR="002D680F" w:rsidRPr="00EE5A23">
        <w:rPr>
          <w:rFonts w:ascii="Arial" w:hAnsi="Arial" w:cs="Arial"/>
          <w:bCs/>
          <w:lang w:val="en-US"/>
        </w:rPr>
        <w:t xml:space="preserve">Two of these had negotiated contracts, the rest used competitive tendering. A number of trends were observed. Contracts were getting </w:t>
      </w:r>
      <w:r w:rsidR="00EA587A">
        <w:rPr>
          <w:rFonts w:ascii="Arial" w:hAnsi="Arial" w:cs="Arial"/>
          <w:bCs/>
          <w:lang w:val="en-US"/>
        </w:rPr>
        <w:t>larger</w:t>
      </w:r>
      <w:r w:rsidR="00EA587A" w:rsidRPr="00EE5A23">
        <w:rPr>
          <w:rFonts w:ascii="Arial" w:hAnsi="Arial" w:cs="Arial"/>
          <w:bCs/>
          <w:lang w:val="en-US"/>
        </w:rPr>
        <w:t xml:space="preserve"> </w:t>
      </w:r>
      <w:r w:rsidR="002D680F" w:rsidRPr="00EE5A23">
        <w:rPr>
          <w:rFonts w:ascii="Arial" w:hAnsi="Arial" w:cs="Arial"/>
          <w:bCs/>
          <w:lang w:val="en-US"/>
        </w:rPr>
        <w:t xml:space="preserve">(including multi-modal contracts as above) and moving from net to gross cost. Alternatives to conventional public transport were being explored through mobility concessions covering demand responsive transport, Mobility as a Service, shared bikes and autonomous vehicles.  Parallels with Singapore’s development of </w:t>
      </w:r>
      <w:r w:rsidR="009B594D" w:rsidRPr="00EE5A23">
        <w:rPr>
          <w:rFonts w:ascii="Arial" w:hAnsi="Arial" w:cs="Arial"/>
          <w:bCs/>
          <w:lang w:val="en-US"/>
        </w:rPr>
        <w:lastRenderedPageBreak/>
        <w:t xml:space="preserve">a </w:t>
      </w:r>
      <w:r w:rsidR="002D680F" w:rsidRPr="00EE5A23">
        <w:rPr>
          <w:rFonts w:ascii="Arial" w:hAnsi="Arial" w:cs="Arial"/>
          <w:bCs/>
          <w:lang w:val="en-US"/>
        </w:rPr>
        <w:t xml:space="preserve">Sandbox </w:t>
      </w:r>
      <w:r w:rsidR="009B594D" w:rsidRPr="00EE5A23">
        <w:rPr>
          <w:rFonts w:ascii="Arial" w:hAnsi="Arial" w:cs="Arial"/>
          <w:bCs/>
          <w:lang w:val="en-US"/>
        </w:rPr>
        <w:t>regulatory approach</w:t>
      </w:r>
      <w:r w:rsidR="002D680F" w:rsidRPr="00EE5A23">
        <w:rPr>
          <w:rFonts w:ascii="Arial" w:hAnsi="Arial" w:cs="Arial"/>
          <w:bCs/>
          <w:lang w:val="en-US"/>
        </w:rPr>
        <w:t xml:space="preserve"> </w:t>
      </w:r>
      <w:r w:rsidR="00AB606E" w:rsidRPr="00EE5A23">
        <w:rPr>
          <w:rFonts w:ascii="Arial" w:hAnsi="Arial" w:cs="Arial"/>
          <w:bCs/>
          <w:lang w:val="en-US"/>
        </w:rPr>
        <w:t>and the US Federal Transit A</w:t>
      </w:r>
      <w:r w:rsidR="00FF12E8" w:rsidRPr="00EE5A23">
        <w:rPr>
          <w:rFonts w:ascii="Arial" w:hAnsi="Arial" w:cs="Arial"/>
          <w:bCs/>
          <w:lang w:val="en-US"/>
        </w:rPr>
        <w:t>dministration</w:t>
      </w:r>
      <w:r w:rsidR="00AB606E" w:rsidRPr="00EE5A23">
        <w:rPr>
          <w:rFonts w:ascii="Arial" w:hAnsi="Arial" w:cs="Arial"/>
          <w:bCs/>
          <w:lang w:val="en-US"/>
        </w:rPr>
        <w:t xml:space="preserve">’s </w:t>
      </w:r>
      <w:r w:rsidR="00FF12E8" w:rsidRPr="00EE5A23">
        <w:rPr>
          <w:rFonts w:ascii="Arial" w:hAnsi="Arial" w:cs="Arial"/>
          <w:bCs/>
          <w:lang w:val="en-US"/>
        </w:rPr>
        <w:t>mobility on demand Sandbox program</w:t>
      </w:r>
      <w:r w:rsidR="00FF12E8" w:rsidRPr="00EE5A23">
        <w:rPr>
          <w:rStyle w:val="FootnoteReference"/>
          <w:rFonts w:ascii="Arial" w:hAnsi="Arial" w:cs="Arial"/>
          <w:bCs/>
          <w:lang w:val="en-US"/>
        </w:rPr>
        <w:footnoteReference w:id="1"/>
      </w:r>
      <w:r w:rsidR="00AB606E" w:rsidRPr="00EE5A23">
        <w:rPr>
          <w:rFonts w:ascii="Arial" w:hAnsi="Arial" w:cs="Arial"/>
          <w:bCs/>
          <w:lang w:val="en-US"/>
        </w:rPr>
        <w:t xml:space="preserve"> </w:t>
      </w:r>
      <w:r w:rsidR="002D680F" w:rsidRPr="00EE5A23">
        <w:rPr>
          <w:rFonts w:ascii="Arial" w:hAnsi="Arial" w:cs="Arial"/>
          <w:bCs/>
          <w:lang w:val="en-US"/>
        </w:rPr>
        <w:t xml:space="preserve">were drawn. </w:t>
      </w:r>
      <w:r w:rsidR="00FF12E8" w:rsidRPr="00EE5A23">
        <w:rPr>
          <w:rFonts w:ascii="Arial" w:hAnsi="Arial" w:cs="Arial"/>
          <w:bCs/>
          <w:lang w:val="en-US"/>
        </w:rPr>
        <w:t xml:space="preserve">These schemes typically involve some financial support for innovative services, along with some dispensations from regulations that are perceived to limit these innovations. </w:t>
      </w:r>
      <w:r w:rsidR="002D680F" w:rsidRPr="00EE5A23">
        <w:rPr>
          <w:rFonts w:ascii="Arial" w:hAnsi="Arial" w:cs="Arial"/>
          <w:bCs/>
          <w:lang w:val="en-US"/>
        </w:rPr>
        <w:t>The relationship between authorities and operators was changing, with more strategic assets in the hands of the former, particularly stimulated by the move to low emission vehicles</w:t>
      </w:r>
      <w:r>
        <w:rPr>
          <w:rFonts w:ascii="Arial" w:hAnsi="Arial" w:cs="Arial"/>
          <w:bCs/>
          <w:lang w:val="en-US"/>
        </w:rPr>
        <w:t>,</w:t>
      </w:r>
      <w:r w:rsidR="00231D18" w:rsidRPr="00EE5A23">
        <w:rPr>
          <w:rFonts w:ascii="Arial" w:hAnsi="Arial" w:cs="Arial"/>
          <w:bCs/>
          <w:lang w:val="en-US"/>
        </w:rPr>
        <w:t xml:space="preserve"> as it is believed you </w:t>
      </w:r>
      <w:r w:rsidR="00F264E6" w:rsidRPr="00EE5A23">
        <w:rPr>
          <w:rFonts w:ascii="Arial" w:hAnsi="Arial" w:cs="Arial"/>
          <w:bCs/>
          <w:lang w:val="en-US"/>
        </w:rPr>
        <w:t xml:space="preserve">can’t leave all the risks to the operator. </w:t>
      </w:r>
      <w:r w:rsidR="002D680F" w:rsidRPr="00EE5A23">
        <w:rPr>
          <w:rFonts w:ascii="Arial" w:hAnsi="Arial" w:cs="Arial"/>
          <w:bCs/>
          <w:lang w:val="en-US"/>
        </w:rPr>
        <w:t xml:space="preserve">Lastly, contracts were being simplified with a move away </w:t>
      </w:r>
      <w:r w:rsidR="000B7093" w:rsidRPr="00EE5A23">
        <w:rPr>
          <w:rFonts w:ascii="Arial" w:hAnsi="Arial" w:cs="Arial"/>
          <w:bCs/>
          <w:lang w:val="en-US"/>
        </w:rPr>
        <w:t xml:space="preserve">from incentives, greater use of longer </w:t>
      </w:r>
      <w:r>
        <w:rPr>
          <w:rFonts w:ascii="Arial" w:hAnsi="Arial" w:cs="Arial"/>
          <w:bCs/>
          <w:lang w:val="en-US"/>
        </w:rPr>
        <w:t xml:space="preserve">contracts </w:t>
      </w:r>
      <w:r w:rsidR="000B7093" w:rsidRPr="00EE5A23">
        <w:rPr>
          <w:rFonts w:ascii="Arial" w:hAnsi="Arial" w:cs="Arial"/>
          <w:bCs/>
          <w:lang w:val="en-US"/>
        </w:rPr>
        <w:t>(up to 15 years)</w:t>
      </w:r>
      <w:r w:rsidR="00F264E6" w:rsidRPr="00EE5A23">
        <w:rPr>
          <w:rFonts w:ascii="Arial" w:hAnsi="Arial" w:cs="Arial"/>
          <w:bCs/>
          <w:lang w:val="en-US"/>
        </w:rPr>
        <w:t xml:space="preserve"> due to investments in zero emission vehicles</w:t>
      </w:r>
      <w:r>
        <w:rPr>
          <w:rFonts w:ascii="Arial" w:hAnsi="Arial" w:cs="Arial"/>
          <w:bCs/>
          <w:lang w:val="en-US"/>
        </w:rPr>
        <w:t>,</w:t>
      </w:r>
      <w:r w:rsidR="000B7093" w:rsidRPr="00EE5A23">
        <w:rPr>
          <w:rFonts w:ascii="Arial" w:hAnsi="Arial" w:cs="Arial"/>
          <w:bCs/>
          <w:lang w:val="en-US"/>
        </w:rPr>
        <w:t xml:space="preserve"> </w:t>
      </w:r>
      <w:r>
        <w:rPr>
          <w:rFonts w:ascii="Arial" w:hAnsi="Arial" w:cs="Arial"/>
          <w:bCs/>
          <w:lang w:val="en-US"/>
        </w:rPr>
        <w:t>more</w:t>
      </w:r>
      <w:r w:rsidR="000B7093" w:rsidRPr="00EE5A23">
        <w:rPr>
          <w:rFonts w:ascii="Arial" w:hAnsi="Arial" w:cs="Arial"/>
          <w:bCs/>
          <w:lang w:val="en-US"/>
        </w:rPr>
        <w:t xml:space="preserve"> repeat tender</w:t>
      </w:r>
      <w:r>
        <w:rPr>
          <w:rFonts w:ascii="Arial" w:hAnsi="Arial" w:cs="Arial"/>
          <w:bCs/>
          <w:lang w:val="en-US"/>
        </w:rPr>
        <w:t>s</w:t>
      </w:r>
      <w:r w:rsidR="000B7093" w:rsidRPr="00EE5A23">
        <w:rPr>
          <w:rFonts w:ascii="Arial" w:hAnsi="Arial" w:cs="Arial"/>
          <w:bCs/>
          <w:lang w:val="en-US"/>
        </w:rPr>
        <w:t xml:space="preserve"> and </w:t>
      </w:r>
      <w:r>
        <w:rPr>
          <w:rFonts w:ascii="Arial" w:hAnsi="Arial" w:cs="Arial"/>
          <w:bCs/>
          <w:lang w:val="en-US"/>
        </w:rPr>
        <w:t xml:space="preserve">a tendency for </w:t>
      </w:r>
      <w:r w:rsidR="000B7093" w:rsidRPr="00EE5A23">
        <w:rPr>
          <w:rFonts w:ascii="Arial" w:hAnsi="Arial" w:cs="Arial"/>
          <w:bCs/>
          <w:lang w:val="en-US"/>
        </w:rPr>
        <w:t>network simplification, including the straightening of services.</w:t>
      </w:r>
      <w:r w:rsidR="009B594D" w:rsidRPr="00EE5A23">
        <w:rPr>
          <w:rFonts w:ascii="Arial" w:hAnsi="Arial" w:cs="Arial"/>
          <w:bCs/>
          <w:lang w:val="en-US"/>
        </w:rPr>
        <w:t xml:space="preserve"> Where there are centrally owned bus assets such as in the Singapore’s BCM, the need for such longer contract duration was seen as being less crucial.</w:t>
      </w:r>
    </w:p>
    <w:p w14:paraId="3E859E12" w14:textId="12F8EFAB" w:rsidR="0051503A" w:rsidRPr="00EE5A23" w:rsidRDefault="0051503A" w:rsidP="00CC05B3">
      <w:pPr>
        <w:rPr>
          <w:rFonts w:ascii="Arial" w:hAnsi="Arial" w:cs="Arial"/>
          <w:bCs/>
          <w:lang w:val="en-US"/>
        </w:rPr>
      </w:pPr>
      <w:r w:rsidRPr="00EE5A23">
        <w:rPr>
          <w:rFonts w:ascii="Arial" w:hAnsi="Arial" w:cs="Arial"/>
          <w:bCs/>
          <w:lang w:val="en-US"/>
        </w:rPr>
        <w:t xml:space="preserve">Building on the work of </w:t>
      </w:r>
      <w:proofErr w:type="spellStart"/>
      <w:r w:rsidRPr="00EE5A23">
        <w:rPr>
          <w:rFonts w:ascii="Arial" w:hAnsi="Arial" w:cs="Arial"/>
          <w:bCs/>
          <w:lang w:val="en-US"/>
        </w:rPr>
        <w:t>Gwilliam</w:t>
      </w:r>
      <w:proofErr w:type="spellEnd"/>
      <w:r w:rsidRPr="00EE5A23">
        <w:rPr>
          <w:rFonts w:ascii="Arial" w:hAnsi="Arial" w:cs="Arial"/>
          <w:bCs/>
          <w:lang w:val="en-US"/>
        </w:rPr>
        <w:t xml:space="preserve"> (200</w:t>
      </w:r>
      <w:r w:rsidR="00574F5B">
        <w:rPr>
          <w:rFonts w:ascii="Arial" w:hAnsi="Arial" w:cs="Arial"/>
          <w:bCs/>
          <w:lang w:val="en-US"/>
        </w:rPr>
        <w:t>8</w:t>
      </w:r>
      <w:r w:rsidRPr="00EE5A23">
        <w:rPr>
          <w:rFonts w:ascii="Arial" w:hAnsi="Arial" w:cs="Arial"/>
          <w:bCs/>
          <w:lang w:val="en-US"/>
        </w:rPr>
        <w:t xml:space="preserve">), Andrei </w:t>
      </w:r>
      <w:proofErr w:type="spellStart"/>
      <w:r w:rsidRPr="00EE5A23">
        <w:rPr>
          <w:rFonts w:ascii="Arial" w:hAnsi="Arial" w:cs="Arial"/>
          <w:bCs/>
          <w:lang w:val="en-US"/>
        </w:rPr>
        <w:t>Dementiev</w:t>
      </w:r>
      <w:proofErr w:type="spellEnd"/>
      <w:r w:rsidRPr="00EE5A23">
        <w:rPr>
          <w:rFonts w:ascii="Arial" w:hAnsi="Arial" w:cs="Arial"/>
          <w:bCs/>
          <w:lang w:val="en-US"/>
        </w:rPr>
        <w:t xml:space="preserve"> </w:t>
      </w:r>
      <w:r w:rsidR="00C748B4">
        <w:rPr>
          <w:rFonts w:ascii="Arial" w:hAnsi="Arial" w:cs="Arial"/>
          <w:bCs/>
          <w:lang w:val="en-US"/>
        </w:rPr>
        <w:t xml:space="preserve">(in a paper with </w:t>
      </w:r>
      <w:r w:rsidR="00C748B4" w:rsidRPr="00C748B4">
        <w:rPr>
          <w:rFonts w:ascii="Arial" w:hAnsi="Arial" w:cs="Arial"/>
          <w:bCs/>
          <w:lang w:val="en-AU"/>
        </w:rPr>
        <w:t>Hyen Jin Han</w:t>
      </w:r>
      <w:r w:rsidR="00C748B4">
        <w:rPr>
          <w:rFonts w:ascii="Arial" w:hAnsi="Arial" w:cs="Arial"/>
          <w:bCs/>
          <w:lang w:val="en-AU"/>
        </w:rPr>
        <w:t>)</w:t>
      </w:r>
      <w:r w:rsidR="00C748B4" w:rsidRPr="00C748B4">
        <w:rPr>
          <w:rFonts w:ascii="Arial" w:hAnsi="Arial" w:cs="Arial"/>
          <w:bCs/>
          <w:lang w:val="en-US"/>
        </w:rPr>
        <w:t xml:space="preserve"> </w:t>
      </w:r>
      <w:r w:rsidRPr="00EE5A23">
        <w:rPr>
          <w:rFonts w:ascii="Arial" w:hAnsi="Arial" w:cs="Arial"/>
          <w:bCs/>
          <w:lang w:val="en-US"/>
        </w:rPr>
        <w:t>reinterpret</w:t>
      </w:r>
      <w:r w:rsidR="009D055D">
        <w:rPr>
          <w:rFonts w:ascii="Arial" w:hAnsi="Arial" w:cs="Arial"/>
          <w:bCs/>
          <w:lang w:val="en-US"/>
        </w:rPr>
        <w:t>ed</w:t>
      </w:r>
      <w:r w:rsidRPr="00EE5A23">
        <w:rPr>
          <w:rFonts w:ascii="Arial" w:hAnsi="Arial" w:cs="Arial"/>
          <w:bCs/>
          <w:lang w:val="en-US"/>
        </w:rPr>
        <w:t xml:space="preserve"> regulatory cycles and show</w:t>
      </w:r>
      <w:r w:rsidR="009D055D">
        <w:rPr>
          <w:rFonts w:ascii="Arial" w:hAnsi="Arial" w:cs="Arial"/>
          <w:bCs/>
          <w:lang w:val="en-US"/>
        </w:rPr>
        <w:t>ed</w:t>
      </w:r>
      <w:r w:rsidRPr="00EE5A23">
        <w:rPr>
          <w:rFonts w:ascii="Arial" w:hAnsi="Arial" w:cs="Arial"/>
          <w:bCs/>
          <w:lang w:val="en-US"/>
        </w:rPr>
        <w:t xml:space="preserve"> how they are affected by three exogenous variables: technological, fiscal constraints and institutional capacity. A key contribution was the development of an inner cycle by which competition for and in the market can evolve into negotiated contracts (see Figure</w:t>
      </w:r>
      <w:r w:rsidR="00BD7269" w:rsidRPr="00EE5A23">
        <w:rPr>
          <w:rFonts w:ascii="Arial" w:hAnsi="Arial" w:cs="Arial"/>
          <w:bCs/>
          <w:lang w:val="en-US"/>
        </w:rPr>
        <w:t xml:space="preserve"> 4</w:t>
      </w:r>
      <w:r w:rsidRPr="00EE5A23">
        <w:rPr>
          <w:rFonts w:ascii="Arial" w:hAnsi="Arial" w:cs="Arial"/>
          <w:bCs/>
          <w:lang w:val="en-US"/>
        </w:rPr>
        <w:t>).</w:t>
      </w:r>
    </w:p>
    <w:p w14:paraId="56A3A5EF" w14:textId="30B08829" w:rsidR="00BD7269" w:rsidRPr="00EE5A23" w:rsidRDefault="00BD7269" w:rsidP="00CC05B3">
      <w:pPr>
        <w:rPr>
          <w:rFonts w:ascii="Arial" w:hAnsi="Arial" w:cs="Arial"/>
          <w:bCs/>
          <w:lang w:val="en-US"/>
        </w:rPr>
      </w:pPr>
    </w:p>
    <w:p w14:paraId="33574261" w14:textId="77777777" w:rsidR="00BD7269" w:rsidRPr="00EE5A23" w:rsidRDefault="00BD7269" w:rsidP="00BD7269">
      <w:pPr>
        <w:jc w:val="center"/>
        <w:rPr>
          <w:rFonts w:ascii="Arial" w:hAnsi="Arial" w:cs="Arial"/>
          <w:bCs/>
          <w:noProof/>
          <w:lang w:eastAsia="en-GB"/>
        </w:rPr>
      </w:pPr>
      <w:r w:rsidRPr="00EE5A23">
        <w:rPr>
          <w:rFonts w:ascii="Arial" w:hAnsi="Arial" w:cs="Arial"/>
          <w:b/>
          <w:bCs/>
          <w:lang w:val="en-US"/>
        </w:rPr>
        <w:t>Figure 4: Regulatory Cycles</w:t>
      </w:r>
      <w:r w:rsidRPr="00EE5A23">
        <w:rPr>
          <w:rFonts w:ascii="Arial" w:hAnsi="Arial" w:cs="Arial"/>
          <w:bCs/>
          <w:noProof/>
          <w:lang w:eastAsia="en-GB"/>
        </w:rPr>
        <w:t xml:space="preserve"> </w:t>
      </w:r>
    </w:p>
    <w:p w14:paraId="262E140B" w14:textId="3F35945E" w:rsidR="002F1575" w:rsidRPr="00EE5A23" w:rsidRDefault="002F1575" w:rsidP="00BD7269">
      <w:pPr>
        <w:jc w:val="center"/>
        <w:rPr>
          <w:rFonts w:ascii="Arial" w:hAnsi="Arial" w:cs="Arial"/>
          <w:bCs/>
          <w:noProof/>
          <w:lang w:eastAsia="en-GB"/>
        </w:rPr>
      </w:pPr>
      <w:r w:rsidRPr="00EE5A23">
        <w:rPr>
          <w:rFonts w:ascii="Arial" w:hAnsi="Arial" w:cs="Arial"/>
          <w:bCs/>
          <w:noProof/>
          <w:lang w:val="en-US"/>
        </w:rPr>
        <w:drawing>
          <wp:inline distT="0" distB="0" distL="0" distR="0" wp14:anchorId="362A52AD" wp14:editId="057231FF">
            <wp:extent cx="5731510" cy="2857264"/>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857264"/>
                    </a:xfrm>
                    <a:prstGeom prst="rect">
                      <a:avLst/>
                    </a:prstGeom>
                    <a:noFill/>
                    <a:ln>
                      <a:noFill/>
                    </a:ln>
                  </pic:spPr>
                </pic:pic>
              </a:graphicData>
            </a:graphic>
          </wp:inline>
        </w:drawing>
      </w:r>
    </w:p>
    <w:p w14:paraId="75E12A02" w14:textId="1F77B88F" w:rsidR="00BD7269" w:rsidRPr="00EE5A23" w:rsidRDefault="00BD7269" w:rsidP="00BD7269">
      <w:pPr>
        <w:rPr>
          <w:rFonts w:ascii="Arial" w:hAnsi="Arial" w:cs="Arial"/>
          <w:bCs/>
        </w:rPr>
      </w:pPr>
      <w:r w:rsidRPr="00EE5A23">
        <w:rPr>
          <w:rFonts w:ascii="Arial" w:hAnsi="Arial" w:cs="Arial"/>
          <w:bCs/>
        </w:rPr>
        <w:t>Source: Dementiev, 2019.</w:t>
      </w:r>
    </w:p>
    <w:p w14:paraId="4EEFF9B9" w14:textId="57B4D1E0" w:rsidR="00BD7269" w:rsidRPr="00EE5A23" w:rsidRDefault="00BD7269" w:rsidP="00BD7269">
      <w:pPr>
        <w:rPr>
          <w:rFonts w:ascii="Arial" w:hAnsi="Arial" w:cs="Arial"/>
          <w:bCs/>
        </w:rPr>
      </w:pPr>
      <w:r w:rsidRPr="00EE5A23">
        <w:rPr>
          <w:rFonts w:ascii="Arial" w:hAnsi="Arial" w:cs="Arial"/>
          <w:bCs/>
        </w:rPr>
        <w:t>2.4</w:t>
      </w:r>
      <w:r w:rsidRPr="00EE5A23">
        <w:rPr>
          <w:rFonts w:ascii="Arial" w:hAnsi="Arial" w:cs="Arial"/>
          <w:bCs/>
        </w:rPr>
        <w:tab/>
        <w:t>Rail Contracts</w:t>
      </w:r>
    </w:p>
    <w:p w14:paraId="457943BD" w14:textId="730F2ED6" w:rsidR="007216F4" w:rsidRPr="00EE5A23" w:rsidRDefault="00EA587A" w:rsidP="00596FC7">
      <w:pPr>
        <w:rPr>
          <w:rFonts w:ascii="Arial" w:hAnsi="Arial" w:cs="Arial"/>
          <w:bCs/>
          <w:lang w:val="en-US"/>
        </w:rPr>
      </w:pPr>
      <w:r>
        <w:rPr>
          <w:rFonts w:ascii="Arial" w:hAnsi="Arial" w:cs="Arial"/>
          <w:bCs/>
        </w:rPr>
        <w:t>The</w:t>
      </w:r>
      <w:r w:rsidRPr="00EE5A23">
        <w:rPr>
          <w:rFonts w:ascii="Arial" w:hAnsi="Arial" w:cs="Arial"/>
          <w:bCs/>
        </w:rPr>
        <w:t xml:space="preserve"> </w:t>
      </w:r>
      <w:r w:rsidR="008F20E0" w:rsidRPr="00EE5A23">
        <w:rPr>
          <w:rFonts w:ascii="Arial" w:hAnsi="Arial" w:cs="Arial"/>
          <w:bCs/>
        </w:rPr>
        <w:t xml:space="preserve">final two papers looked at rail contracts. Christian Desmaris </w:t>
      </w:r>
      <w:r w:rsidR="00574F5B">
        <w:rPr>
          <w:rFonts w:ascii="Arial" w:hAnsi="Arial" w:cs="Arial"/>
          <w:bCs/>
        </w:rPr>
        <w:t xml:space="preserve">(in a paper with </w:t>
      </w:r>
      <w:r w:rsidR="00574F5B" w:rsidRPr="00574F5B">
        <w:rPr>
          <w:rFonts w:ascii="Arial" w:hAnsi="Arial" w:cs="Arial"/>
          <w:bCs/>
          <w:lang w:val="en-AU"/>
        </w:rPr>
        <w:t>Guillaume Monchambert</w:t>
      </w:r>
      <w:r w:rsidR="00574F5B">
        <w:rPr>
          <w:rFonts w:ascii="Arial" w:hAnsi="Arial" w:cs="Arial"/>
          <w:bCs/>
          <w:lang w:val="en-AU"/>
        </w:rPr>
        <w:t>)</w:t>
      </w:r>
      <w:r w:rsidR="00574F5B" w:rsidRPr="00574F5B">
        <w:rPr>
          <w:rFonts w:ascii="Arial" w:hAnsi="Arial" w:cs="Arial"/>
          <w:bCs/>
        </w:rPr>
        <w:t xml:space="preserve"> </w:t>
      </w:r>
      <w:r w:rsidR="008F20E0" w:rsidRPr="00EE5A23">
        <w:rPr>
          <w:rFonts w:ascii="Arial" w:hAnsi="Arial" w:cs="Arial"/>
          <w:bCs/>
        </w:rPr>
        <w:t xml:space="preserve">examined </w:t>
      </w:r>
      <w:r w:rsidR="00EA0B97" w:rsidRPr="00EE5A23">
        <w:rPr>
          <w:rFonts w:ascii="Arial" w:hAnsi="Arial" w:cs="Arial"/>
          <w:bCs/>
        </w:rPr>
        <w:t xml:space="preserve">20 </w:t>
      </w:r>
      <w:r w:rsidR="008F20E0" w:rsidRPr="00EE5A23">
        <w:rPr>
          <w:rFonts w:ascii="Arial" w:hAnsi="Arial" w:cs="Arial"/>
          <w:bCs/>
        </w:rPr>
        <w:t xml:space="preserve">regional railways in France that </w:t>
      </w:r>
      <w:r w:rsidR="007216F4" w:rsidRPr="00EE5A23">
        <w:rPr>
          <w:rFonts w:ascii="Arial" w:hAnsi="Arial" w:cs="Arial"/>
          <w:bCs/>
        </w:rPr>
        <w:t xml:space="preserve">traditionally have been based on cost-plus compensation, </w:t>
      </w:r>
      <w:r w:rsidR="00BF2BC8" w:rsidRPr="00EE5A23">
        <w:rPr>
          <w:rFonts w:ascii="Arial" w:hAnsi="Arial" w:cs="Arial"/>
          <w:bCs/>
        </w:rPr>
        <w:t xml:space="preserve">but </w:t>
      </w:r>
      <w:r w:rsidR="008F20E0" w:rsidRPr="00EE5A23">
        <w:rPr>
          <w:rFonts w:ascii="Arial" w:hAnsi="Arial" w:cs="Arial"/>
          <w:bCs/>
        </w:rPr>
        <w:t xml:space="preserve">will be contracted-out </w:t>
      </w:r>
      <w:r w:rsidR="00EA0B97" w:rsidRPr="00EE5A23">
        <w:rPr>
          <w:rFonts w:ascii="Arial" w:hAnsi="Arial" w:cs="Arial"/>
          <w:bCs/>
        </w:rPr>
        <w:t>from</w:t>
      </w:r>
      <w:r w:rsidR="008F20E0" w:rsidRPr="00EE5A23">
        <w:rPr>
          <w:rFonts w:ascii="Arial" w:hAnsi="Arial" w:cs="Arial"/>
          <w:bCs/>
        </w:rPr>
        <w:t xml:space="preserve"> December 2019. These are services with low cost recovery, with an average farebox </w:t>
      </w:r>
      <w:r w:rsidR="009D2980" w:rsidRPr="00EE5A23">
        <w:rPr>
          <w:rFonts w:ascii="Arial" w:hAnsi="Arial" w:cs="Arial"/>
          <w:bCs/>
        </w:rPr>
        <w:t xml:space="preserve">coverage </w:t>
      </w:r>
      <w:r w:rsidR="008F20E0" w:rsidRPr="00EE5A23">
        <w:rPr>
          <w:rFonts w:ascii="Arial" w:hAnsi="Arial" w:cs="Arial"/>
          <w:bCs/>
        </w:rPr>
        <w:t xml:space="preserve">of 29%, and increasing subsidy – up </w:t>
      </w:r>
      <w:r w:rsidR="008F20E0" w:rsidRPr="00EE5A23">
        <w:rPr>
          <w:rFonts w:ascii="Arial" w:hAnsi="Arial" w:cs="Arial"/>
          <w:bCs/>
          <w:lang w:val="en-US"/>
        </w:rPr>
        <w:t xml:space="preserve">82% between 2002 and 2016. </w:t>
      </w:r>
      <w:r w:rsidR="00EA0B97" w:rsidRPr="00EE5A23">
        <w:rPr>
          <w:rFonts w:ascii="Arial" w:hAnsi="Arial" w:cs="Arial"/>
          <w:bCs/>
          <w:lang w:val="en-US"/>
        </w:rPr>
        <w:t>Econometric modelling indicated large variations in terms of technical efficiency (with an average inefficiency of 15%) and in costs per train km and the expected negative correlation between the two. Two cont</w:t>
      </w:r>
      <w:r w:rsidR="007216F4" w:rsidRPr="00EE5A23">
        <w:rPr>
          <w:rFonts w:ascii="Arial" w:hAnsi="Arial" w:cs="Arial"/>
          <w:bCs/>
          <w:lang w:val="en-US"/>
        </w:rPr>
        <w:t xml:space="preserve">ractual design features </w:t>
      </w:r>
      <w:r w:rsidR="007216F4" w:rsidRPr="00EE5A23">
        <w:rPr>
          <w:rFonts w:ascii="Arial" w:hAnsi="Arial" w:cs="Arial"/>
          <w:bCs/>
          <w:lang w:val="en-US"/>
        </w:rPr>
        <w:lastRenderedPageBreak/>
        <w:t>are found to be correlated with technical efficiency. Where an additional operator compensation is offered</w:t>
      </w:r>
      <w:r w:rsidR="00BF2BC8" w:rsidRPr="00EE5A23">
        <w:rPr>
          <w:rFonts w:ascii="Arial" w:hAnsi="Arial" w:cs="Arial"/>
          <w:bCs/>
          <w:lang w:val="en-US"/>
        </w:rPr>
        <w:t>,</w:t>
      </w:r>
      <w:r w:rsidR="007216F4" w:rsidRPr="00EE5A23">
        <w:rPr>
          <w:rFonts w:ascii="Arial" w:hAnsi="Arial" w:cs="Arial"/>
          <w:bCs/>
          <w:lang w:val="en-US"/>
        </w:rPr>
        <w:t xml:space="preserve"> this is associated with an increase in technical inefficiency. Where a contract is very detailed (in terms of the number of pages), this is associated with a decrease in technical efficiency – but this may just be reflective of problematic operations. </w:t>
      </w:r>
    </w:p>
    <w:p w14:paraId="6714DF23" w14:textId="0EA2275C" w:rsidR="008F20E0" w:rsidRPr="00EE5A23" w:rsidRDefault="007216F4" w:rsidP="00596FC7">
      <w:pPr>
        <w:rPr>
          <w:rFonts w:ascii="Arial" w:hAnsi="Arial" w:cs="Arial"/>
          <w:bCs/>
          <w:lang w:val="en-US"/>
        </w:rPr>
      </w:pPr>
      <w:r w:rsidRPr="00EE5A23">
        <w:rPr>
          <w:rFonts w:ascii="Arial" w:hAnsi="Arial" w:cs="Arial"/>
          <w:bCs/>
          <w:lang w:val="en-US"/>
        </w:rPr>
        <w:t xml:space="preserve">John Preston </w:t>
      </w:r>
      <w:r w:rsidR="00574F5B">
        <w:rPr>
          <w:rFonts w:ascii="Arial" w:hAnsi="Arial" w:cs="Arial"/>
          <w:bCs/>
          <w:lang w:val="en-US"/>
        </w:rPr>
        <w:t xml:space="preserve">(in paper with Charles Bickel) </w:t>
      </w:r>
      <w:r w:rsidRPr="00EE5A23">
        <w:rPr>
          <w:rFonts w:ascii="Arial" w:hAnsi="Arial" w:cs="Arial"/>
          <w:bCs/>
          <w:lang w:val="en-US"/>
        </w:rPr>
        <w:t xml:space="preserve">provided an update on rail franchising in Great Britain. </w:t>
      </w:r>
      <w:r w:rsidR="009D2980" w:rsidRPr="00EE5A23">
        <w:rPr>
          <w:rFonts w:ascii="Arial" w:hAnsi="Arial" w:cs="Arial"/>
          <w:bCs/>
          <w:lang w:val="en-US"/>
        </w:rPr>
        <w:t xml:space="preserve">The current period of franchising started in 2014 and 11 franchises were re-let by </w:t>
      </w:r>
      <w:r w:rsidR="003974A0" w:rsidRPr="00EE5A23">
        <w:rPr>
          <w:rFonts w:ascii="Arial" w:hAnsi="Arial" w:cs="Arial"/>
          <w:bCs/>
          <w:lang w:val="en-US"/>
        </w:rPr>
        <w:t>mid-2019</w:t>
      </w:r>
      <w:r w:rsidR="009D2980" w:rsidRPr="00EE5A23">
        <w:rPr>
          <w:rFonts w:ascii="Arial" w:hAnsi="Arial" w:cs="Arial"/>
          <w:bCs/>
          <w:lang w:val="en-US"/>
        </w:rPr>
        <w:t xml:space="preserve">. There were six more to be </w:t>
      </w:r>
      <w:r w:rsidR="00231D18" w:rsidRPr="00EE5A23">
        <w:rPr>
          <w:rFonts w:ascii="Arial" w:hAnsi="Arial" w:cs="Arial"/>
          <w:bCs/>
          <w:lang w:val="en-US"/>
        </w:rPr>
        <w:t>re-</w:t>
      </w:r>
      <w:r w:rsidR="009D2980" w:rsidRPr="00EE5A23">
        <w:rPr>
          <w:rFonts w:ascii="Arial" w:hAnsi="Arial" w:cs="Arial"/>
          <w:bCs/>
          <w:lang w:val="en-US"/>
        </w:rPr>
        <w:t xml:space="preserve">let. Overall ridership </w:t>
      </w:r>
      <w:r w:rsidR="00231D18" w:rsidRPr="00EE5A23">
        <w:rPr>
          <w:rFonts w:ascii="Arial" w:hAnsi="Arial" w:cs="Arial"/>
          <w:bCs/>
          <w:lang w:val="en-US"/>
        </w:rPr>
        <w:t xml:space="preserve">(in terms of passenger kilometres) </w:t>
      </w:r>
      <w:r w:rsidR="009D2980" w:rsidRPr="00EE5A23">
        <w:rPr>
          <w:rFonts w:ascii="Arial" w:hAnsi="Arial" w:cs="Arial"/>
          <w:bCs/>
          <w:lang w:val="en-US"/>
        </w:rPr>
        <w:t>increased by 118%</w:t>
      </w:r>
      <w:r w:rsidR="00231D18" w:rsidRPr="00EE5A23">
        <w:rPr>
          <w:rFonts w:ascii="Arial" w:hAnsi="Arial" w:cs="Arial"/>
          <w:bCs/>
          <w:lang w:val="en-US"/>
        </w:rPr>
        <w:t>since the beginning of franchising (1995/6) but by only 16% since 2012/13</w:t>
      </w:r>
      <w:r w:rsidR="009D2980" w:rsidRPr="00EE5A23">
        <w:rPr>
          <w:rFonts w:ascii="Arial" w:hAnsi="Arial" w:cs="Arial"/>
          <w:bCs/>
          <w:lang w:val="en-US"/>
        </w:rPr>
        <w:t xml:space="preserve">. </w:t>
      </w:r>
      <w:r w:rsidRPr="00EE5A23">
        <w:rPr>
          <w:rFonts w:ascii="Arial" w:hAnsi="Arial" w:cs="Arial"/>
          <w:bCs/>
          <w:lang w:val="en-US"/>
        </w:rPr>
        <w:t xml:space="preserve">It was found that in recent years it could be argued that franchising was welfare enhancing but was not financially sustainable in that there appeared to be a number of zombie franchises that were loss making for the private operator. </w:t>
      </w:r>
      <w:r w:rsidR="00DF7CC8" w:rsidRPr="00EE5A23">
        <w:rPr>
          <w:rFonts w:ascii="Arial" w:hAnsi="Arial" w:cs="Arial"/>
          <w:bCs/>
          <w:lang w:val="en-US"/>
        </w:rPr>
        <w:t>A comparison of the East Coast franchise when it was under public ownership with South West Trains indicated better social performance,  with respect to better punctuality and reliability and customer satisfaction, but weaker commercial performance, particularly in terms of increasing revenue yield.</w:t>
      </w:r>
    </w:p>
    <w:p w14:paraId="231C9A52" w14:textId="186BB050" w:rsidR="00DF7CC8" w:rsidRPr="00EE5A23" w:rsidRDefault="00BF2BC8" w:rsidP="00596FC7">
      <w:pPr>
        <w:rPr>
          <w:rFonts w:ascii="Arial" w:hAnsi="Arial" w:cs="Arial"/>
          <w:b/>
          <w:bCs/>
          <w:lang w:val="en-US"/>
        </w:rPr>
      </w:pPr>
      <w:r w:rsidRPr="00EE5A23">
        <w:rPr>
          <w:rFonts w:ascii="Arial" w:hAnsi="Arial" w:cs="Arial"/>
          <w:b/>
          <w:bCs/>
          <w:lang w:val="en-US"/>
        </w:rPr>
        <w:t>3.</w:t>
      </w:r>
      <w:r w:rsidRPr="00EE5A23">
        <w:rPr>
          <w:rFonts w:ascii="Arial" w:hAnsi="Arial" w:cs="Arial"/>
          <w:b/>
          <w:bCs/>
          <w:lang w:val="en-US"/>
        </w:rPr>
        <w:tab/>
      </w:r>
      <w:r w:rsidR="00DF7CC8" w:rsidRPr="00EE5A23">
        <w:rPr>
          <w:rFonts w:ascii="Arial" w:hAnsi="Arial" w:cs="Arial"/>
          <w:b/>
          <w:bCs/>
          <w:lang w:val="en-US"/>
        </w:rPr>
        <w:t>Key Findings</w:t>
      </w:r>
    </w:p>
    <w:p w14:paraId="0BCFE0A3" w14:textId="07A14FFB" w:rsidR="00BF2BC8" w:rsidRPr="00EE5A23" w:rsidRDefault="00EA587A" w:rsidP="00596FC7">
      <w:pPr>
        <w:rPr>
          <w:rFonts w:ascii="Arial" w:hAnsi="Arial" w:cs="Arial"/>
          <w:bCs/>
          <w:lang w:val="en-US"/>
        </w:rPr>
      </w:pPr>
      <w:r>
        <w:rPr>
          <w:rFonts w:ascii="Arial" w:hAnsi="Arial" w:cs="Arial"/>
          <w:bCs/>
          <w:lang w:val="en-US"/>
        </w:rPr>
        <w:t>The</w:t>
      </w:r>
      <w:r w:rsidRPr="00EE5A23">
        <w:rPr>
          <w:rFonts w:ascii="Arial" w:hAnsi="Arial" w:cs="Arial"/>
          <w:bCs/>
          <w:lang w:val="en-US"/>
        </w:rPr>
        <w:t xml:space="preserve"> </w:t>
      </w:r>
      <w:r w:rsidR="00BF2BC8" w:rsidRPr="00EE5A23">
        <w:rPr>
          <w:rFonts w:ascii="Arial" w:hAnsi="Arial" w:cs="Arial"/>
          <w:bCs/>
          <w:lang w:val="en-US"/>
        </w:rPr>
        <w:t xml:space="preserve">discussions concentrated on our first </w:t>
      </w:r>
      <w:r w:rsidR="003974A0" w:rsidRPr="00EE5A23">
        <w:rPr>
          <w:rFonts w:ascii="Arial" w:hAnsi="Arial" w:cs="Arial"/>
          <w:bCs/>
          <w:lang w:val="en-US"/>
        </w:rPr>
        <w:t>objective, which</w:t>
      </w:r>
      <w:r w:rsidR="00BF2BC8" w:rsidRPr="00EE5A23">
        <w:rPr>
          <w:rFonts w:ascii="Arial" w:hAnsi="Arial" w:cs="Arial"/>
          <w:bCs/>
          <w:lang w:val="en-US"/>
        </w:rPr>
        <w:t xml:space="preserve"> was related to critical success factors, with only brief discussions related to the second and third objectives concerning technology and governance respectively. </w:t>
      </w:r>
      <w:r>
        <w:rPr>
          <w:rFonts w:ascii="Arial" w:hAnsi="Arial" w:cs="Arial"/>
          <w:bCs/>
          <w:lang w:val="en-US"/>
        </w:rPr>
        <w:t>D</w:t>
      </w:r>
      <w:r w:rsidR="00694CAA" w:rsidRPr="00EE5A23">
        <w:rPr>
          <w:rFonts w:ascii="Arial" w:hAnsi="Arial" w:cs="Arial"/>
          <w:bCs/>
          <w:lang w:val="en-US"/>
        </w:rPr>
        <w:t>iscussions involved 18 participants from 13 different countries and thus</w:t>
      </w:r>
      <w:r w:rsidR="00954A4F" w:rsidRPr="00EE5A23">
        <w:rPr>
          <w:rFonts w:ascii="Arial" w:hAnsi="Arial" w:cs="Arial"/>
          <w:bCs/>
          <w:lang w:val="en-US"/>
        </w:rPr>
        <w:t xml:space="preserve"> had a strong international dimension.</w:t>
      </w:r>
    </w:p>
    <w:p w14:paraId="0CAC1C0A" w14:textId="77777777" w:rsidR="00BF2BC8" w:rsidRPr="00EE5A23" w:rsidRDefault="00BF2BC8" w:rsidP="00596FC7">
      <w:pPr>
        <w:rPr>
          <w:rFonts w:ascii="Arial" w:hAnsi="Arial" w:cs="Arial"/>
          <w:bCs/>
          <w:lang w:val="en-US"/>
        </w:rPr>
      </w:pPr>
      <w:r w:rsidRPr="00EE5A23">
        <w:rPr>
          <w:rFonts w:ascii="Arial" w:hAnsi="Arial" w:cs="Arial"/>
          <w:bCs/>
          <w:lang w:val="en-US"/>
        </w:rPr>
        <w:t>3.1</w:t>
      </w:r>
      <w:r w:rsidRPr="00EE5A23">
        <w:rPr>
          <w:rFonts w:ascii="Arial" w:hAnsi="Arial" w:cs="Arial"/>
          <w:bCs/>
          <w:lang w:val="en-US"/>
        </w:rPr>
        <w:tab/>
        <w:t>Critical Success Factors</w:t>
      </w:r>
    </w:p>
    <w:p w14:paraId="4D8A4DB0" w14:textId="78F6EB32" w:rsidR="007964CF" w:rsidRDefault="00DF7CC8" w:rsidP="00596FC7">
      <w:pPr>
        <w:rPr>
          <w:rFonts w:ascii="Arial" w:hAnsi="Arial" w:cs="Arial"/>
          <w:bCs/>
          <w:lang w:val="en-US"/>
        </w:rPr>
      </w:pPr>
      <w:r w:rsidRPr="00EE5A23">
        <w:rPr>
          <w:rFonts w:ascii="Arial" w:hAnsi="Arial" w:cs="Arial"/>
          <w:bCs/>
          <w:lang w:val="en-US"/>
        </w:rPr>
        <w:t xml:space="preserve">With respect to </w:t>
      </w:r>
      <w:r w:rsidR="00A17F30" w:rsidRPr="00EE5A23">
        <w:rPr>
          <w:rFonts w:ascii="Arial" w:hAnsi="Arial" w:cs="Arial"/>
          <w:bCs/>
          <w:lang w:val="en-US"/>
        </w:rPr>
        <w:t xml:space="preserve">contract design, discussions revolved around three case studies based loosely on the Mamelodi contract in South Africa, the Dutch multi-modal contracts and a franchise for an inter-urban rail service in Great Britain. </w:t>
      </w:r>
      <w:r w:rsidR="00871AEF">
        <w:rPr>
          <w:rFonts w:ascii="Arial" w:hAnsi="Arial" w:cs="Arial"/>
          <w:bCs/>
          <w:lang w:val="en-US"/>
        </w:rPr>
        <w:t>The main</w:t>
      </w:r>
      <w:r w:rsidR="00871AEF" w:rsidRPr="00EE5A23">
        <w:rPr>
          <w:rFonts w:ascii="Arial" w:hAnsi="Arial" w:cs="Arial"/>
          <w:bCs/>
          <w:lang w:val="en-US"/>
        </w:rPr>
        <w:t xml:space="preserve"> </w:t>
      </w:r>
      <w:r w:rsidR="00A17F30" w:rsidRPr="00EE5A23">
        <w:rPr>
          <w:rFonts w:ascii="Arial" w:hAnsi="Arial" w:cs="Arial"/>
          <w:bCs/>
          <w:lang w:val="en-US"/>
        </w:rPr>
        <w:t>conclusions are given by Table 1.</w:t>
      </w:r>
    </w:p>
    <w:p w14:paraId="6E8D60BE" w14:textId="77777777" w:rsidR="007964CF" w:rsidRDefault="007964CF">
      <w:pPr>
        <w:rPr>
          <w:rFonts w:ascii="Arial" w:hAnsi="Arial" w:cs="Arial"/>
          <w:bCs/>
          <w:lang w:val="en-US"/>
        </w:rPr>
      </w:pPr>
      <w:r>
        <w:rPr>
          <w:rFonts w:ascii="Arial" w:hAnsi="Arial" w:cs="Arial"/>
          <w:bCs/>
          <w:lang w:val="en-US"/>
        </w:rPr>
        <w:br w:type="page"/>
      </w:r>
    </w:p>
    <w:p w14:paraId="2CB77C9C" w14:textId="77777777" w:rsidR="00DF7CC8" w:rsidRPr="00EE5A23" w:rsidRDefault="00DF7CC8" w:rsidP="00596FC7">
      <w:pPr>
        <w:rPr>
          <w:rFonts w:ascii="Arial" w:hAnsi="Arial" w:cs="Arial"/>
          <w:bCs/>
          <w:lang w:val="en-US"/>
        </w:rPr>
      </w:pPr>
    </w:p>
    <w:p w14:paraId="4E78606E" w14:textId="3300BD41" w:rsidR="00A17F30" w:rsidRPr="00EE5A23" w:rsidRDefault="00A17F30" w:rsidP="00954A4F">
      <w:pPr>
        <w:jc w:val="center"/>
        <w:rPr>
          <w:rFonts w:ascii="Arial" w:hAnsi="Arial" w:cs="Arial"/>
          <w:b/>
          <w:bCs/>
          <w:lang w:val="en-US"/>
        </w:rPr>
      </w:pPr>
      <w:r w:rsidRPr="00EE5A23">
        <w:rPr>
          <w:rFonts w:ascii="Arial" w:hAnsi="Arial" w:cs="Arial"/>
          <w:b/>
          <w:bCs/>
          <w:lang w:val="en-US"/>
        </w:rPr>
        <w:t>Table 1</w:t>
      </w:r>
      <w:r w:rsidR="00BF2BC8" w:rsidRPr="00EE5A23">
        <w:rPr>
          <w:rFonts w:ascii="Arial" w:hAnsi="Arial" w:cs="Arial"/>
          <w:b/>
          <w:bCs/>
          <w:lang w:val="en-US"/>
        </w:rPr>
        <w:t>: Keys Issue in the Contracting Cycle.</w:t>
      </w:r>
    </w:p>
    <w:tbl>
      <w:tblPr>
        <w:tblStyle w:val="TableGrid"/>
        <w:tblW w:w="0" w:type="auto"/>
        <w:tblLook w:val="0420" w:firstRow="1" w:lastRow="0" w:firstColumn="0" w:lastColumn="0" w:noHBand="0" w:noVBand="1"/>
      </w:tblPr>
      <w:tblGrid>
        <w:gridCol w:w="1531"/>
        <w:gridCol w:w="1728"/>
        <w:gridCol w:w="2062"/>
        <w:gridCol w:w="1762"/>
        <w:gridCol w:w="1933"/>
      </w:tblGrid>
      <w:tr w:rsidR="00C63305" w:rsidRPr="00EE5A23" w14:paraId="437A794D" w14:textId="77777777" w:rsidTr="00B64178">
        <w:trPr>
          <w:trHeight w:val="584"/>
        </w:trPr>
        <w:tc>
          <w:tcPr>
            <w:tcW w:w="0" w:type="auto"/>
            <w:hideMark/>
          </w:tcPr>
          <w:p w14:paraId="39DDD485" w14:textId="77777777" w:rsidR="00A17F30" w:rsidRPr="00EE5A23" w:rsidRDefault="00A17F30" w:rsidP="00A17F30">
            <w:pPr>
              <w:rPr>
                <w:rFonts w:ascii="Arial" w:eastAsia="Times New Roman" w:hAnsi="Arial" w:cs="Arial"/>
                <w:lang w:eastAsia="en-GB"/>
              </w:rPr>
            </w:pPr>
          </w:p>
        </w:tc>
        <w:tc>
          <w:tcPr>
            <w:tcW w:w="0" w:type="auto"/>
            <w:hideMark/>
          </w:tcPr>
          <w:p w14:paraId="0E2ED30D" w14:textId="77777777" w:rsidR="00A17F30" w:rsidRPr="00B64178" w:rsidRDefault="00A17F30" w:rsidP="00A17F30">
            <w:pPr>
              <w:rPr>
                <w:rFonts w:ascii="Arial" w:eastAsia="Times New Roman" w:hAnsi="Arial" w:cs="Arial"/>
                <w:lang w:eastAsia="en-GB"/>
              </w:rPr>
            </w:pPr>
            <w:r w:rsidRPr="00B64178">
              <w:rPr>
                <w:rFonts w:ascii="Arial" w:eastAsia="Times New Roman" w:hAnsi="Arial" w:cs="Arial"/>
                <w:b/>
                <w:bCs/>
                <w:kern w:val="24"/>
                <w:lang w:eastAsia="en-GB"/>
              </w:rPr>
              <w:t>Setting up the competition</w:t>
            </w:r>
          </w:p>
        </w:tc>
        <w:tc>
          <w:tcPr>
            <w:tcW w:w="0" w:type="auto"/>
            <w:hideMark/>
          </w:tcPr>
          <w:p w14:paraId="3563604E" w14:textId="77777777" w:rsidR="00A17F30" w:rsidRPr="00B64178" w:rsidRDefault="00A17F30" w:rsidP="00A17F30">
            <w:pPr>
              <w:rPr>
                <w:rFonts w:ascii="Arial" w:eastAsia="Times New Roman" w:hAnsi="Arial" w:cs="Arial"/>
                <w:lang w:eastAsia="en-GB"/>
              </w:rPr>
            </w:pPr>
            <w:r w:rsidRPr="00B64178">
              <w:rPr>
                <w:rFonts w:ascii="Arial" w:eastAsia="Times New Roman" w:hAnsi="Arial" w:cs="Arial"/>
                <w:b/>
                <w:bCs/>
                <w:kern w:val="24"/>
                <w:lang w:eastAsia="en-GB"/>
              </w:rPr>
              <w:t>Contract specification</w:t>
            </w:r>
          </w:p>
        </w:tc>
        <w:tc>
          <w:tcPr>
            <w:tcW w:w="0" w:type="auto"/>
            <w:hideMark/>
          </w:tcPr>
          <w:p w14:paraId="40726E39" w14:textId="77777777" w:rsidR="00A17F30" w:rsidRPr="00B64178" w:rsidRDefault="00A17F30" w:rsidP="00A17F30">
            <w:pPr>
              <w:rPr>
                <w:rFonts w:ascii="Arial" w:eastAsia="Times New Roman" w:hAnsi="Arial" w:cs="Arial"/>
                <w:lang w:eastAsia="en-GB"/>
              </w:rPr>
            </w:pPr>
            <w:r w:rsidRPr="00B64178">
              <w:rPr>
                <w:rFonts w:ascii="Arial" w:eastAsia="Times New Roman" w:hAnsi="Arial" w:cs="Arial"/>
                <w:b/>
                <w:bCs/>
                <w:kern w:val="24"/>
                <w:lang w:eastAsia="en-GB"/>
              </w:rPr>
              <w:t>Contract Award</w:t>
            </w:r>
          </w:p>
        </w:tc>
        <w:tc>
          <w:tcPr>
            <w:tcW w:w="0" w:type="auto"/>
            <w:hideMark/>
          </w:tcPr>
          <w:p w14:paraId="00FB4B0A" w14:textId="77777777" w:rsidR="00A17F30" w:rsidRPr="00B64178" w:rsidRDefault="00A17F30" w:rsidP="00A17F30">
            <w:pPr>
              <w:rPr>
                <w:rFonts w:ascii="Arial" w:eastAsia="Times New Roman" w:hAnsi="Arial" w:cs="Arial"/>
                <w:lang w:eastAsia="en-GB"/>
              </w:rPr>
            </w:pPr>
            <w:r w:rsidRPr="00B64178">
              <w:rPr>
                <w:rFonts w:ascii="Arial" w:eastAsia="Times New Roman" w:hAnsi="Arial" w:cs="Arial"/>
                <w:b/>
                <w:bCs/>
                <w:kern w:val="24"/>
                <w:lang w:eastAsia="en-GB"/>
              </w:rPr>
              <w:t>Contract Review and Enforcement</w:t>
            </w:r>
          </w:p>
        </w:tc>
      </w:tr>
      <w:tr w:rsidR="00C63305" w:rsidRPr="00EE5A23" w14:paraId="5288EB81" w14:textId="77777777" w:rsidTr="00B64178">
        <w:trPr>
          <w:trHeight w:val="584"/>
        </w:trPr>
        <w:tc>
          <w:tcPr>
            <w:tcW w:w="0" w:type="auto"/>
            <w:hideMark/>
          </w:tcPr>
          <w:p w14:paraId="4C8C616E"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Less mature urban market</w:t>
            </w:r>
          </w:p>
          <w:p w14:paraId="408291D4" w14:textId="5F18C0C7" w:rsidR="00A17F30" w:rsidRPr="00EE5A23" w:rsidRDefault="00A17F30" w:rsidP="00A17F30">
            <w:pPr>
              <w:contextualSpacing/>
              <w:rPr>
                <w:rFonts w:ascii="Arial" w:eastAsia="Times New Roman" w:hAnsi="Arial" w:cs="Arial"/>
                <w:lang w:eastAsia="en-GB"/>
              </w:rPr>
            </w:pPr>
            <w:r w:rsidRPr="00EE5A23">
              <w:rPr>
                <w:rFonts w:ascii="Arial" w:eastAsia="Times New Roman" w:hAnsi="Arial" w:cs="Arial"/>
                <w:color w:val="000000" w:themeColor="dark1"/>
                <w:kern w:val="24"/>
                <w:lang w:eastAsia="en-GB"/>
              </w:rPr>
              <w:t>- Unimodal</w:t>
            </w:r>
            <w:r w:rsidR="002A7B3F" w:rsidRPr="00EE5A23">
              <w:rPr>
                <w:rFonts w:ascii="Arial" w:eastAsia="Times New Roman" w:hAnsi="Arial" w:cs="Arial"/>
                <w:color w:val="000000" w:themeColor="dark1"/>
                <w:kern w:val="24"/>
                <w:lang w:eastAsia="en-GB"/>
              </w:rPr>
              <w:t xml:space="preserve"> (bus)</w:t>
            </w:r>
          </w:p>
          <w:p w14:paraId="6C2135D3"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(after Walters)</w:t>
            </w:r>
          </w:p>
        </w:tc>
        <w:tc>
          <w:tcPr>
            <w:tcW w:w="0" w:type="auto"/>
            <w:vMerge w:val="restart"/>
            <w:hideMark/>
          </w:tcPr>
          <w:p w14:paraId="511AC840"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CfEoI.</w:t>
            </w:r>
          </w:p>
          <w:p w14:paraId="0B812EF9"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Briefing.</w:t>
            </w:r>
          </w:p>
          <w:p w14:paraId="75F3B343"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RfP.</w:t>
            </w:r>
          </w:p>
          <w:p w14:paraId="21310302"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Clear commitment.</w:t>
            </w:r>
          </w:p>
          <w:p w14:paraId="704D2C54"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Sufficient time.</w:t>
            </w:r>
          </w:p>
          <w:p w14:paraId="1BAB8A3D" w14:textId="77777777" w:rsidR="00A17F30" w:rsidRPr="00EE5A23" w:rsidRDefault="00A17F30" w:rsidP="00A17F30">
            <w:pPr>
              <w:rPr>
                <w:rFonts w:ascii="Arial" w:eastAsia="Times New Roman" w:hAnsi="Arial" w:cs="Arial"/>
                <w:color w:val="000000" w:themeColor="dark1"/>
                <w:kern w:val="24"/>
                <w:lang w:eastAsia="en-GB"/>
              </w:rPr>
            </w:pPr>
            <w:r w:rsidRPr="00EE5A23">
              <w:rPr>
                <w:rFonts w:ascii="Arial" w:eastAsia="Times New Roman" w:hAnsi="Arial" w:cs="Arial"/>
                <w:color w:val="000000" w:themeColor="dark1"/>
                <w:kern w:val="24"/>
                <w:lang w:eastAsia="en-GB"/>
              </w:rPr>
              <w:t xml:space="preserve">Sufficient &amp; accurate data. </w:t>
            </w:r>
          </w:p>
          <w:p w14:paraId="5BAA9317" w14:textId="2257C19E"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Funding.</w:t>
            </w:r>
          </w:p>
        </w:tc>
        <w:tc>
          <w:tcPr>
            <w:tcW w:w="0" w:type="auto"/>
            <w:hideMark/>
          </w:tcPr>
          <w:p w14:paraId="65A01104" w14:textId="0E744CFC" w:rsidR="00B06892" w:rsidRPr="00EE5A23" w:rsidRDefault="00B06892" w:rsidP="00A17F30">
            <w:pPr>
              <w:rPr>
                <w:rFonts w:ascii="Arial" w:eastAsia="Times New Roman" w:hAnsi="Arial" w:cs="Arial"/>
                <w:color w:val="000000" w:themeColor="dark1"/>
                <w:kern w:val="24"/>
                <w:lang w:eastAsia="en-GB"/>
              </w:rPr>
            </w:pPr>
            <w:r w:rsidRPr="00EE5A23">
              <w:rPr>
                <w:rFonts w:ascii="Arial" w:eastAsia="Times New Roman" w:hAnsi="Arial" w:cs="Arial"/>
                <w:color w:val="000000" w:themeColor="dark1"/>
                <w:kern w:val="24"/>
                <w:lang w:eastAsia="en-GB"/>
              </w:rPr>
              <w:t xml:space="preserve">Institutional maturity </w:t>
            </w:r>
          </w:p>
          <w:p w14:paraId="39D9CDDF" w14:textId="21376811"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Keep it simple.</w:t>
            </w:r>
          </w:p>
          <w:p w14:paraId="73BBA8CB" w14:textId="70FD2A95"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Small batches</w:t>
            </w:r>
            <w:r w:rsidR="00231D18" w:rsidRPr="00EE5A23">
              <w:rPr>
                <w:rFonts w:ascii="Arial" w:eastAsia="Times New Roman" w:hAnsi="Arial" w:cs="Arial"/>
                <w:color w:val="000000" w:themeColor="dark1"/>
                <w:kern w:val="24"/>
                <w:lang w:eastAsia="en-GB"/>
              </w:rPr>
              <w:t>, up to depot scale</w:t>
            </w:r>
            <w:r w:rsidRPr="00EE5A23">
              <w:rPr>
                <w:rFonts w:ascii="Arial" w:eastAsia="Times New Roman" w:hAnsi="Arial" w:cs="Arial"/>
                <w:color w:val="000000" w:themeColor="dark1"/>
                <w:kern w:val="24"/>
                <w:lang w:eastAsia="en-GB"/>
              </w:rPr>
              <w:t>.</w:t>
            </w:r>
          </w:p>
          <w:p w14:paraId="6D2FF138" w14:textId="77777777" w:rsidR="00A17F30" w:rsidRPr="00EE5A23" w:rsidRDefault="00A17F30" w:rsidP="00A17F30">
            <w:pPr>
              <w:rPr>
                <w:rFonts w:ascii="Arial" w:eastAsia="Times New Roman" w:hAnsi="Arial" w:cs="Arial"/>
                <w:color w:val="000000" w:themeColor="dark1"/>
                <w:kern w:val="24"/>
                <w:lang w:eastAsia="en-GB"/>
              </w:rPr>
            </w:pPr>
            <w:r w:rsidRPr="00EE5A23">
              <w:rPr>
                <w:rFonts w:ascii="Arial" w:eastAsia="Times New Roman" w:hAnsi="Arial" w:cs="Arial"/>
                <w:color w:val="000000" w:themeColor="dark1"/>
                <w:kern w:val="24"/>
                <w:lang w:eastAsia="en-GB"/>
              </w:rPr>
              <w:t>Market development.</w:t>
            </w:r>
          </w:p>
          <w:p w14:paraId="01476A36" w14:textId="6B4B6C8D" w:rsidR="00C63305" w:rsidRPr="00EE5A23" w:rsidRDefault="00C63305"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Elements of environmental specifications</w:t>
            </w:r>
            <w:r w:rsidR="00231D18" w:rsidRPr="00EE5A23">
              <w:rPr>
                <w:rFonts w:ascii="Arial" w:eastAsia="Times New Roman" w:hAnsi="Arial" w:cs="Arial"/>
                <w:color w:val="000000" w:themeColor="dark1"/>
                <w:kern w:val="24"/>
                <w:lang w:eastAsia="en-GB"/>
              </w:rPr>
              <w:t>.</w:t>
            </w:r>
          </w:p>
        </w:tc>
        <w:tc>
          <w:tcPr>
            <w:tcW w:w="0" w:type="auto"/>
            <w:hideMark/>
          </w:tcPr>
          <w:p w14:paraId="2BC253D7"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Gross costs with unreliability penalties.</w:t>
            </w:r>
          </w:p>
        </w:tc>
        <w:tc>
          <w:tcPr>
            <w:tcW w:w="0" w:type="auto"/>
            <w:vMerge w:val="restart"/>
            <w:hideMark/>
          </w:tcPr>
          <w:p w14:paraId="591717C0"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Cost escalators.</w:t>
            </w:r>
          </w:p>
          <w:p w14:paraId="65F71260"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Demand &amp; Supply data.</w:t>
            </w:r>
          </w:p>
        </w:tc>
      </w:tr>
      <w:tr w:rsidR="00C63305" w:rsidRPr="00EE5A23" w14:paraId="3A41A3DD" w14:textId="77777777" w:rsidTr="00B64178">
        <w:trPr>
          <w:trHeight w:val="584"/>
        </w:trPr>
        <w:tc>
          <w:tcPr>
            <w:tcW w:w="0" w:type="auto"/>
            <w:hideMark/>
          </w:tcPr>
          <w:p w14:paraId="69BF8CA7"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Mature urban market</w:t>
            </w:r>
          </w:p>
          <w:p w14:paraId="7483C5DF" w14:textId="3BE2F315" w:rsidR="00A17F30" w:rsidRPr="00EE5A23" w:rsidRDefault="00A17F30" w:rsidP="00A17F30">
            <w:pPr>
              <w:contextualSpacing/>
              <w:rPr>
                <w:rFonts w:ascii="Arial" w:eastAsia="Times New Roman" w:hAnsi="Arial" w:cs="Arial"/>
                <w:color w:val="000000" w:themeColor="dark1"/>
                <w:kern w:val="24"/>
                <w:lang w:eastAsia="en-GB"/>
              </w:rPr>
            </w:pPr>
            <w:r w:rsidRPr="00EE5A23">
              <w:rPr>
                <w:rFonts w:ascii="Arial" w:eastAsia="Times New Roman" w:hAnsi="Arial" w:cs="Arial"/>
                <w:color w:val="000000" w:themeColor="dark1"/>
                <w:kern w:val="24"/>
                <w:lang w:eastAsia="en-GB"/>
              </w:rPr>
              <w:t>- Multimodal</w:t>
            </w:r>
          </w:p>
          <w:p w14:paraId="0C942EDE" w14:textId="61C70994" w:rsidR="002A7B3F" w:rsidRPr="00EE5A23" w:rsidRDefault="002A7B3F" w:rsidP="00A17F30">
            <w:pPr>
              <w:contextualSpacing/>
              <w:rPr>
                <w:rFonts w:ascii="Arial" w:eastAsia="Times New Roman" w:hAnsi="Arial" w:cs="Arial"/>
                <w:lang w:eastAsia="en-GB"/>
              </w:rPr>
            </w:pPr>
            <w:r w:rsidRPr="00EE5A23">
              <w:rPr>
                <w:rFonts w:ascii="Arial" w:eastAsia="Times New Roman" w:hAnsi="Arial" w:cs="Arial"/>
                <w:color w:val="000000" w:themeColor="dark1"/>
                <w:kern w:val="24"/>
                <w:lang w:eastAsia="en-GB"/>
              </w:rPr>
              <w:t>(bus and rail)</w:t>
            </w:r>
          </w:p>
          <w:p w14:paraId="7E4AE8BB" w14:textId="77777777" w:rsidR="00A17F30" w:rsidRPr="00EE5A23" w:rsidRDefault="00A17F30" w:rsidP="00A17F30">
            <w:pPr>
              <w:rPr>
                <w:rFonts w:ascii="Arial" w:eastAsia="Times New Roman" w:hAnsi="Arial" w:cs="Arial"/>
                <w:lang w:val="sv-SE" w:eastAsia="en-GB"/>
              </w:rPr>
            </w:pPr>
            <w:r w:rsidRPr="00EE5A23">
              <w:rPr>
                <w:rFonts w:ascii="Arial" w:eastAsia="Times New Roman" w:hAnsi="Arial" w:cs="Arial"/>
                <w:color w:val="000000" w:themeColor="dark1"/>
                <w:kern w:val="24"/>
                <w:lang w:val="sv-SE" w:eastAsia="en-GB"/>
              </w:rPr>
              <w:t>(after van Oort et al.)</w:t>
            </w:r>
          </w:p>
        </w:tc>
        <w:tc>
          <w:tcPr>
            <w:tcW w:w="0" w:type="auto"/>
            <w:vMerge/>
            <w:hideMark/>
          </w:tcPr>
          <w:p w14:paraId="1ACF3D5B" w14:textId="77777777" w:rsidR="00A17F30" w:rsidRPr="00EE5A23" w:rsidRDefault="00A17F30" w:rsidP="00A17F30">
            <w:pPr>
              <w:rPr>
                <w:rFonts w:ascii="Arial" w:eastAsia="Times New Roman" w:hAnsi="Arial" w:cs="Arial"/>
                <w:lang w:val="sv-SE" w:eastAsia="en-GB"/>
              </w:rPr>
            </w:pPr>
          </w:p>
        </w:tc>
        <w:tc>
          <w:tcPr>
            <w:tcW w:w="0" w:type="auto"/>
            <w:hideMark/>
          </w:tcPr>
          <w:p w14:paraId="1B71836F"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More advanced.</w:t>
            </w:r>
          </w:p>
          <w:p w14:paraId="6CCBF5B7"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Depot scale (100 buses).</w:t>
            </w:r>
          </w:p>
          <w:p w14:paraId="679E56C1" w14:textId="3095D6AE"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 xml:space="preserve">Environmental </w:t>
            </w:r>
            <w:r w:rsidR="00287D7E" w:rsidRPr="00EE5A23">
              <w:rPr>
                <w:rFonts w:ascii="Arial" w:eastAsia="Times New Roman" w:hAnsi="Arial" w:cs="Arial"/>
                <w:color w:val="000000" w:themeColor="dark1"/>
                <w:kern w:val="24"/>
                <w:lang w:eastAsia="en-GB"/>
              </w:rPr>
              <w:t>specifications.</w:t>
            </w:r>
          </w:p>
        </w:tc>
        <w:tc>
          <w:tcPr>
            <w:tcW w:w="0" w:type="auto"/>
            <w:hideMark/>
          </w:tcPr>
          <w:p w14:paraId="40730BE5"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Gross costs with quality incentives.</w:t>
            </w:r>
          </w:p>
        </w:tc>
        <w:tc>
          <w:tcPr>
            <w:tcW w:w="0" w:type="auto"/>
            <w:vMerge/>
            <w:hideMark/>
          </w:tcPr>
          <w:p w14:paraId="189C2B9B" w14:textId="77777777" w:rsidR="00A17F30" w:rsidRPr="00EE5A23" w:rsidRDefault="00A17F30" w:rsidP="00A17F30">
            <w:pPr>
              <w:rPr>
                <w:rFonts w:ascii="Arial" w:eastAsia="Times New Roman" w:hAnsi="Arial" w:cs="Arial"/>
                <w:lang w:eastAsia="en-GB"/>
              </w:rPr>
            </w:pPr>
          </w:p>
        </w:tc>
      </w:tr>
      <w:tr w:rsidR="00C63305" w:rsidRPr="00EE5A23" w14:paraId="042A59AB" w14:textId="77777777" w:rsidTr="00B64178">
        <w:trPr>
          <w:trHeight w:val="584"/>
        </w:trPr>
        <w:tc>
          <w:tcPr>
            <w:tcW w:w="0" w:type="auto"/>
            <w:hideMark/>
          </w:tcPr>
          <w:p w14:paraId="033824DD" w14:textId="3E7E1186"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 xml:space="preserve">Mature inter-urban </w:t>
            </w:r>
            <w:r w:rsidR="00D37010" w:rsidRPr="00EE5A23">
              <w:rPr>
                <w:rFonts w:ascii="Arial" w:eastAsia="Times New Roman" w:hAnsi="Arial" w:cs="Arial"/>
                <w:color w:val="000000" w:themeColor="dark1"/>
                <w:kern w:val="24"/>
                <w:lang w:eastAsia="en-GB"/>
              </w:rPr>
              <w:t>m</w:t>
            </w:r>
            <w:r w:rsidRPr="00EE5A23">
              <w:rPr>
                <w:rFonts w:ascii="Arial" w:eastAsia="Times New Roman" w:hAnsi="Arial" w:cs="Arial"/>
                <w:color w:val="000000" w:themeColor="dark1"/>
                <w:kern w:val="24"/>
                <w:lang w:eastAsia="en-GB"/>
              </w:rPr>
              <w:t>arket</w:t>
            </w:r>
          </w:p>
          <w:p w14:paraId="1BEAE204" w14:textId="06CD78CF" w:rsidR="00A17F30" w:rsidRPr="00EE5A23" w:rsidRDefault="00A17F30" w:rsidP="00A17F30">
            <w:pPr>
              <w:contextualSpacing/>
              <w:rPr>
                <w:rFonts w:ascii="Arial" w:eastAsia="Times New Roman" w:hAnsi="Arial" w:cs="Arial"/>
                <w:lang w:eastAsia="en-GB"/>
              </w:rPr>
            </w:pPr>
            <w:r w:rsidRPr="00EE5A23">
              <w:rPr>
                <w:rFonts w:ascii="Arial" w:eastAsia="Times New Roman" w:hAnsi="Arial" w:cs="Arial"/>
                <w:color w:val="000000" w:themeColor="dark1"/>
                <w:kern w:val="24"/>
                <w:lang w:eastAsia="en-GB"/>
              </w:rPr>
              <w:t>- Unimodal</w:t>
            </w:r>
            <w:r w:rsidR="002A7B3F" w:rsidRPr="00EE5A23">
              <w:rPr>
                <w:rFonts w:ascii="Arial" w:eastAsia="Times New Roman" w:hAnsi="Arial" w:cs="Arial"/>
                <w:color w:val="000000" w:themeColor="dark1"/>
                <w:kern w:val="24"/>
                <w:lang w:eastAsia="en-GB"/>
              </w:rPr>
              <w:t xml:space="preserve"> (rail)</w:t>
            </w:r>
          </w:p>
          <w:p w14:paraId="1CED81FC"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(after Preston)</w:t>
            </w:r>
          </w:p>
        </w:tc>
        <w:tc>
          <w:tcPr>
            <w:tcW w:w="0" w:type="auto"/>
            <w:vMerge/>
            <w:hideMark/>
          </w:tcPr>
          <w:p w14:paraId="5EA05273" w14:textId="77777777" w:rsidR="00A17F30" w:rsidRPr="00EE5A23" w:rsidRDefault="00A17F30" w:rsidP="00A17F30">
            <w:pPr>
              <w:rPr>
                <w:rFonts w:ascii="Arial" w:eastAsia="Times New Roman" w:hAnsi="Arial" w:cs="Arial"/>
                <w:lang w:eastAsia="en-GB"/>
              </w:rPr>
            </w:pPr>
          </w:p>
        </w:tc>
        <w:tc>
          <w:tcPr>
            <w:tcW w:w="0" w:type="auto"/>
            <w:hideMark/>
          </w:tcPr>
          <w:p w14:paraId="4787DE91"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Route scale.</w:t>
            </w:r>
          </w:p>
        </w:tc>
        <w:tc>
          <w:tcPr>
            <w:tcW w:w="0" w:type="auto"/>
            <w:hideMark/>
          </w:tcPr>
          <w:p w14:paraId="427243E2"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Net subsidy with quality incentives.</w:t>
            </w:r>
          </w:p>
        </w:tc>
        <w:tc>
          <w:tcPr>
            <w:tcW w:w="0" w:type="auto"/>
            <w:hideMark/>
          </w:tcPr>
          <w:p w14:paraId="34A2FB76"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Cost escalators.</w:t>
            </w:r>
          </w:p>
          <w:p w14:paraId="6B95A6D8"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Revenue modifiers.</w:t>
            </w:r>
          </w:p>
          <w:p w14:paraId="672EA986" w14:textId="77777777" w:rsidR="00A17F30" w:rsidRPr="00EE5A23" w:rsidRDefault="00A17F30" w:rsidP="00A17F30">
            <w:pPr>
              <w:rPr>
                <w:rFonts w:ascii="Arial" w:eastAsia="Times New Roman" w:hAnsi="Arial" w:cs="Arial"/>
                <w:lang w:eastAsia="en-GB"/>
              </w:rPr>
            </w:pPr>
            <w:r w:rsidRPr="00EE5A23">
              <w:rPr>
                <w:rFonts w:ascii="Arial" w:eastAsia="Times New Roman" w:hAnsi="Arial" w:cs="Arial"/>
                <w:color w:val="000000" w:themeColor="dark1"/>
                <w:kern w:val="24"/>
                <w:lang w:eastAsia="en-GB"/>
              </w:rPr>
              <w:t>Demand &amp; Supply data.</w:t>
            </w:r>
          </w:p>
        </w:tc>
      </w:tr>
    </w:tbl>
    <w:p w14:paraId="0E61ECC1" w14:textId="425B9A85" w:rsidR="00A17F30" w:rsidRPr="00EE5A23" w:rsidRDefault="00B64178" w:rsidP="00596FC7">
      <w:pPr>
        <w:rPr>
          <w:rFonts w:ascii="Arial" w:hAnsi="Arial" w:cs="Arial"/>
          <w:bCs/>
          <w:lang w:val="en-US"/>
        </w:rPr>
      </w:pPr>
      <w:r>
        <w:rPr>
          <w:rFonts w:ascii="Arial" w:hAnsi="Arial" w:cs="Arial"/>
          <w:bCs/>
          <w:lang w:val="en-US"/>
        </w:rPr>
        <w:t>For definitions see text below.</w:t>
      </w:r>
    </w:p>
    <w:p w14:paraId="11EEA0B1" w14:textId="7B29E382" w:rsidR="00D37010" w:rsidRPr="00EE5A23" w:rsidRDefault="00D37010" w:rsidP="00596FC7">
      <w:pPr>
        <w:rPr>
          <w:rFonts w:ascii="Arial" w:hAnsi="Arial" w:cs="Arial"/>
          <w:bCs/>
          <w:lang w:val="en-US"/>
        </w:rPr>
      </w:pPr>
      <w:r w:rsidRPr="00EE5A23">
        <w:rPr>
          <w:rFonts w:ascii="Arial" w:hAnsi="Arial" w:cs="Arial"/>
          <w:bCs/>
          <w:lang w:val="en-US"/>
        </w:rPr>
        <w:t xml:space="preserve">Our first finding is that setting up the competition is vital. </w:t>
      </w:r>
      <w:r w:rsidR="00B06892" w:rsidRPr="00EE5A23">
        <w:rPr>
          <w:rFonts w:ascii="Arial" w:hAnsi="Arial" w:cs="Arial"/>
          <w:bCs/>
          <w:lang w:val="en-US"/>
        </w:rPr>
        <w:t xml:space="preserve">Institutional maturity of the contracting body plays a large role in managing the contracting process. </w:t>
      </w:r>
      <w:r w:rsidRPr="00EE5A23">
        <w:rPr>
          <w:rFonts w:ascii="Arial" w:hAnsi="Arial" w:cs="Arial"/>
          <w:bCs/>
          <w:lang w:val="en-US"/>
        </w:rPr>
        <w:t xml:space="preserve">This involves issuing a Call for Expressions of Interest (CfEoI) and detailed briefings </w:t>
      </w:r>
      <w:r w:rsidR="00BF2BC8" w:rsidRPr="00EE5A23">
        <w:rPr>
          <w:rFonts w:ascii="Arial" w:hAnsi="Arial" w:cs="Arial"/>
          <w:bCs/>
          <w:lang w:val="en-US"/>
        </w:rPr>
        <w:t xml:space="preserve">to stimulate bidder interest </w:t>
      </w:r>
      <w:r w:rsidRPr="00EE5A23">
        <w:rPr>
          <w:rFonts w:ascii="Arial" w:hAnsi="Arial" w:cs="Arial"/>
          <w:bCs/>
          <w:lang w:val="en-US"/>
        </w:rPr>
        <w:t>before beginning the procurement by issuing the Request for Proposals (RfP). There needs to be clear commitment from the contracting body that it will do what i</w:t>
      </w:r>
      <w:r w:rsidR="00BF2BC8" w:rsidRPr="00EE5A23">
        <w:rPr>
          <w:rFonts w:ascii="Arial" w:hAnsi="Arial" w:cs="Arial"/>
          <w:bCs/>
          <w:lang w:val="en-US"/>
        </w:rPr>
        <w:t>t</w:t>
      </w:r>
      <w:r w:rsidRPr="00EE5A23">
        <w:rPr>
          <w:rFonts w:ascii="Arial" w:hAnsi="Arial" w:cs="Arial"/>
          <w:bCs/>
          <w:lang w:val="en-US"/>
        </w:rPr>
        <w:t xml:space="preserve"> says it is going to do. Sufficient and accurate data should be provided to all prospective bidders. These findings are particularly important for less mature markets where contracting-</w:t>
      </w:r>
      <w:r w:rsidR="00B64178">
        <w:rPr>
          <w:rFonts w:ascii="Arial" w:hAnsi="Arial" w:cs="Arial"/>
          <w:bCs/>
          <w:lang w:val="en-US"/>
        </w:rPr>
        <w:t>out</w:t>
      </w:r>
      <w:r w:rsidRPr="00EE5A23">
        <w:rPr>
          <w:rFonts w:ascii="Arial" w:hAnsi="Arial" w:cs="Arial"/>
          <w:bCs/>
          <w:lang w:val="en-US"/>
        </w:rPr>
        <w:t xml:space="preserve"> is</w:t>
      </w:r>
      <w:r w:rsidR="00B06892" w:rsidRPr="00EE5A23">
        <w:rPr>
          <w:rFonts w:ascii="Arial" w:hAnsi="Arial" w:cs="Arial"/>
          <w:bCs/>
          <w:lang w:val="en-US"/>
        </w:rPr>
        <w:t xml:space="preserve"> not well established</w:t>
      </w:r>
      <w:r w:rsidRPr="00EE5A23">
        <w:rPr>
          <w:rFonts w:ascii="Arial" w:hAnsi="Arial" w:cs="Arial"/>
          <w:bCs/>
          <w:lang w:val="en-US"/>
        </w:rPr>
        <w:t xml:space="preserve"> but is also important in more mature markets where the bidding pool will require replenishing from time to time. </w:t>
      </w:r>
      <w:r w:rsidR="00287D7E" w:rsidRPr="00EE5A23">
        <w:rPr>
          <w:rFonts w:ascii="Arial" w:hAnsi="Arial" w:cs="Arial"/>
          <w:bCs/>
          <w:lang w:val="en-US"/>
        </w:rPr>
        <w:t>The contracting body needs to have sufficient time and funding for these essential preparatory works</w:t>
      </w:r>
      <w:r w:rsidR="009D3D29" w:rsidRPr="00EE5A23">
        <w:rPr>
          <w:rFonts w:ascii="Arial" w:hAnsi="Arial" w:cs="Arial"/>
          <w:bCs/>
          <w:lang w:val="en-US"/>
        </w:rPr>
        <w:t>, including dealing with issues related to transition,</w:t>
      </w:r>
      <w:r w:rsidR="00B06892" w:rsidRPr="00EE5A23">
        <w:rPr>
          <w:rFonts w:ascii="Arial" w:hAnsi="Arial" w:cs="Arial"/>
          <w:bCs/>
          <w:lang w:val="en-US"/>
        </w:rPr>
        <w:t xml:space="preserve"> as well as the ongoing funding for the duration of the contract</w:t>
      </w:r>
      <w:r w:rsidR="00287D7E" w:rsidRPr="00EE5A23">
        <w:rPr>
          <w:rFonts w:ascii="Arial" w:hAnsi="Arial" w:cs="Arial"/>
          <w:bCs/>
          <w:lang w:val="en-US"/>
        </w:rPr>
        <w:t>.</w:t>
      </w:r>
    </w:p>
    <w:p w14:paraId="25D5C5A8" w14:textId="0553DC80" w:rsidR="00287D7E" w:rsidRPr="00EE5A23" w:rsidRDefault="00287D7E" w:rsidP="00596FC7">
      <w:pPr>
        <w:rPr>
          <w:rFonts w:ascii="Arial" w:hAnsi="Arial" w:cs="Arial"/>
          <w:bCs/>
          <w:lang w:val="en-US"/>
        </w:rPr>
      </w:pPr>
      <w:r w:rsidRPr="00EE5A23">
        <w:rPr>
          <w:rFonts w:ascii="Arial" w:hAnsi="Arial" w:cs="Arial"/>
          <w:bCs/>
          <w:lang w:val="en-US"/>
        </w:rPr>
        <w:t>In terms of contract specification</w:t>
      </w:r>
      <w:r w:rsidR="00BF2BC8" w:rsidRPr="00EE5A23">
        <w:rPr>
          <w:rFonts w:ascii="Arial" w:hAnsi="Arial" w:cs="Arial"/>
          <w:bCs/>
          <w:lang w:val="en-US"/>
        </w:rPr>
        <w:t>, our</w:t>
      </w:r>
      <w:r w:rsidRPr="00EE5A23">
        <w:rPr>
          <w:rFonts w:ascii="Arial" w:hAnsi="Arial" w:cs="Arial"/>
          <w:bCs/>
          <w:lang w:val="en-US"/>
        </w:rPr>
        <w:t xml:space="preserve"> advice would be to keep contracts </w:t>
      </w:r>
      <w:r w:rsidR="00574F5B">
        <w:rPr>
          <w:rFonts w:ascii="Arial" w:hAnsi="Arial" w:cs="Arial"/>
          <w:bCs/>
          <w:lang w:val="en-US"/>
        </w:rPr>
        <w:t xml:space="preserve">simple for less mature markets and hence </w:t>
      </w:r>
      <w:r w:rsidRPr="00EE5A23">
        <w:rPr>
          <w:rFonts w:ascii="Arial" w:hAnsi="Arial" w:cs="Arial"/>
          <w:bCs/>
          <w:lang w:val="en-US"/>
        </w:rPr>
        <w:t>small</w:t>
      </w:r>
      <w:r w:rsidR="00231D18" w:rsidRPr="00EE5A23">
        <w:rPr>
          <w:rFonts w:ascii="Arial" w:hAnsi="Arial" w:cs="Arial"/>
          <w:bCs/>
          <w:lang w:val="en-US"/>
        </w:rPr>
        <w:t xml:space="preserve"> (depot scale and below)</w:t>
      </w:r>
      <w:r w:rsidRPr="00EE5A23">
        <w:rPr>
          <w:rFonts w:ascii="Arial" w:hAnsi="Arial" w:cs="Arial"/>
          <w:bCs/>
          <w:lang w:val="en-US"/>
        </w:rPr>
        <w:t>. For more mature markets, large contracts are feasible (at the depot level</w:t>
      </w:r>
      <w:r w:rsidR="00574F5B">
        <w:rPr>
          <w:rFonts w:ascii="Arial" w:hAnsi="Arial" w:cs="Arial"/>
          <w:bCs/>
          <w:lang w:val="en-US"/>
        </w:rPr>
        <w:t xml:space="preserve"> and above</w:t>
      </w:r>
      <w:r w:rsidRPr="00EE5A23">
        <w:rPr>
          <w:rFonts w:ascii="Arial" w:hAnsi="Arial" w:cs="Arial"/>
          <w:bCs/>
          <w:lang w:val="en-US"/>
        </w:rPr>
        <w:t xml:space="preserve">) and the contracts can be </w:t>
      </w:r>
      <w:r w:rsidR="00BF2BC8" w:rsidRPr="00EE5A23">
        <w:rPr>
          <w:rFonts w:ascii="Arial" w:hAnsi="Arial" w:cs="Arial"/>
          <w:bCs/>
          <w:lang w:val="en-US"/>
        </w:rPr>
        <w:t xml:space="preserve">(and often are) </w:t>
      </w:r>
      <w:r w:rsidRPr="00EE5A23">
        <w:rPr>
          <w:rFonts w:ascii="Arial" w:hAnsi="Arial" w:cs="Arial"/>
          <w:bCs/>
          <w:lang w:val="en-US"/>
        </w:rPr>
        <w:t>more advance</w:t>
      </w:r>
      <w:r w:rsidR="00BF2BC8" w:rsidRPr="00EE5A23">
        <w:rPr>
          <w:rFonts w:ascii="Arial" w:hAnsi="Arial" w:cs="Arial"/>
          <w:bCs/>
          <w:lang w:val="en-US"/>
        </w:rPr>
        <w:t>d</w:t>
      </w:r>
      <w:r w:rsidRPr="00EE5A23">
        <w:rPr>
          <w:rFonts w:ascii="Arial" w:hAnsi="Arial" w:cs="Arial"/>
          <w:bCs/>
          <w:lang w:val="en-US"/>
        </w:rPr>
        <w:t xml:space="preserve">, for example in terms of environmental specifications for vehicles. </w:t>
      </w:r>
    </w:p>
    <w:p w14:paraId="4007BC8B" w14:textId="4E0585AB" w:rsidR="00DF7CC8" w:rsidRPr="00EE5A23" w:rsidRDefault="00E81B61" w:rsidP="00596FC7">
      <w:pPr>
        <w:rPr>
          <w:rFonts w:ascii="Arial" w:hAnsi="Arial" w:cs="Arial"/>
          <w:bCs/>
          <w:lang w:val="en-US"/>
        </w:rPr>
      </w:pPr>
      <w:r w:rsidRPr="00EE5A23">
        <w:rPr>
          <w:rFonts w:ascii="Arial" w:hAnsi="Arial" w:cs="Arial"/>
          <w:bCs/>
          <w:lang w:val="en-US"/>
        </w:rPr>
        <w:t>In terms of contract award mechanisms</w:t>
      </w:r>
      <w:r w:rsidR="00BF2BC8" w:rsidRPr="00EE5A23">
        <w:rPr>
          <w:rFonts w:ascii="Arial" w:hAnsi="Arial" w:cs="Arial"/>
          <w:bCs/>
          <w:lang w:val="en-US"/>
        </w:rPr>
        <w:t>,</w:t>
      </w:r>
      <w:r w:rsidRPr="00EE5A23">
        <w:rPr>
          <w:rFonts w:ascii="Arial" w:hAnsi="Arial" w:cs="Arial"/>
          <w:bCs/>
          <w:lang w:val="en-US"/>
        </w:rPr>
        <w:t xml:space="preserve"> our preference is for gross costs for urban contracts, with penalties for poor performance in less mature markets and bonuses for improved quality in more mature markets. For commercial inter-urban routes, net cost is </w:t>
      </w:r>
      <w:r w:rsidR="00BF2BC8" w:rsidRPr="00EE5A23">
        <w:rPr>
          <w:rFonts w:ascii="Arial" w:hAnsi="Arial" w:cs="Arial"/>
          <w:bCs/>
          <w:lang w:val="en-US"/>
        </w:rPr>
        <w:t xml:space="preserve">more </w:t>
      </w:r>
      <w:r w:rsidRPr="00EE5A23">
        <w:rPr>
          <w:rFonts w:ascii="Arial" w:hAnsi="Arial" w:cs="Arial"/>
          <w:bCs/>
          <w:lang w:val="en-US"/>
        </w:rPr>
        <w:t xml:space="preserve">appropriate, although quality incentives may still be required </w:t>
      </w:r>
      <w:r w:rsidR="00780A53" w:rsidRPr="00EE5A23">
        <w:rPr>
          <w:rFonts w:ascii="Arial" w:hAnsi="Arial" w:cs="Arial"/>
          <w:bCs/>
          <w:lang w:val="en-US"/>
        </w:rPr>
        <w:t xml:space="preserve">where </w:t>
      </w:r>
      <w:r w:rsidRPr="00EE5A23">
        <w:rPr>
          <w:rFonts w:ascii="Arial" w:hAnsi="Arial" w:cs="Arial"/>
          <w:bCs/>
          <w:lang w:val="en-US"/>
        </w:rPr>
        <w:t>there is some market power.</w:t>
      </w:r>
    </w:p>
    <w:p w14:paraId="0C05A756" w14:textId="025B5069" w:rsidR="00E81B61" w:rsidRPr="00EE5A23" w:rsidRDefault="00E81B61" w:rsidP="00596FC7">
      <w:pPr>
        <w:rPr>
          <w:rFonts w:ascii="Arial" w:hAnsi="Arial" w:cs="Arial"/>
          <w:bCs/>
          <w:lang w:val="en-US"/>
        </w:rPr>
      </w:pPr>
      <w:r w:rsidRPr="00EE5A23">
        <w:rPr>
          <w:rFonts w:ascii="Arial" w:hAnsi="Arial" w:cs="Arial"/>
          <w:bCs/>
          <w:lang w:val="en-US"/>
        </w:rPr>
        <w:lastRenderedPageBreak/>
        <w:t xml:space="preserve">In terms of contract review and enforcement, in all markets the </w:t>
      </w:r>
      <w:r w:rsidR="00780A53" w:rsidRPr="00EE5A23">
        <w:rPr>
          <w:rFonts w:ascii="Arial" w:hAnsi="Arial" w:cs="Arial"/>
          <w:bCs/>
          <w:lang w:val="en-US"/>
        </w:rPr>
        <w:t>collation of relevant demand and supply data is vital.</w:t>
      </w:r>
      <w:r w:rsidR="00365640" w:rsidRPr="00EE5A23">
        <w:rPr>
          <w:rFonts w:ascii="Arial" w:hAnsi="Arial" w:cs="Arial"/>
          <w:bCs/>
          <w:lang w:val="en-US"/>
        </w:rPr>
        <w:t xml:space="preserve"> This should take into account appropriate risk shar</w:t>
      </w:r>
      <w:r w:rsidR="00B64178">
        <w:rPr>
          <w:rFonts w:ascii="Arial" w:hAnsi="Arial" w:cs="Arial"/>
          <w:bCs/>
          <w:lang w:val="en-US"/>
        </w:rPr>
        <w:t>ing</w:t>
      </w:r>
      <w:r w:rsidR="00365640" w:rsidRPr="00EE5A23">
        <w:rPr>
          <w:rFonts w:ascii="Arial" w:hAnsi="Arial" w:cs="Arial"/>
          <w:bCs/>
          <w:lang w:val="en-US"/>
        </w:rPr>
        <w:t xml:space="preserve"> between the authority and the operator</w:t>
      </w:r>
      <w:r w:rsidR="00574F5B">
        <w:rPr>
          <w:rFonts w:ascii="Arial" w:hAnsi="Arial" w:cs="Arial"/>
          <w:bCs/>
          <w:lang w:val="en-US"/>
        </w:rPr>
        <w:t>.</w:t>
      </w:r>
      <w:r w:rsidR="00365640" w:rsidRPr="00EE5A23">
        <w:rPr>
          <w:rFonts w:ascii="Arial" w:hAnsi="Arial" w:cs="Arial"/>
          <w:bCs/>
          <w:lang w:val="en-US"/>
        </w:rPr>
        <w:t xml:space="preserve"> </w:t>
      </w:r>
      <w:r w:rsidR="00574F5B">
        <w:rPr>
          <w:rFonts w:ascii="Arial" w:hAnsi="Arial" w:cs="Arial"/>
          <w:bCs/>
          <w:lang w:val="en-US"/>
        </w:rPr>
        <w:t>The well</w:t>
      </w:r>
      <w:r w:rsidR="00292F1B">
        <w:rPr>
          <w:rFonts w:ascii="Arial" w:hAnsi="Arial" w:cs="Arial"/>
          <w:bCs/>
          <w:lang w:val="en-US"/>
        </w:rPr>
        <w:t>-</w:t>
      </w:r>
      <w:r w:rsidR="00574F5B">
        <w:rPr>
          <w:rFonts w:ascii="Arial" w:hAnsi="Arial" w:cs="Arial"/>
          <w:bCs/>
          <w:lang w:val="en-US"/>
        </w:rPr>
        <w:t>known adage is that</w:t>
      </w:r>
      <w:r w:rsidR="00DF6D3E" w:rsidRPr="00EE5A23">
        <w:rPr>
          <w:rFonts w:ascii="Arial" w:hAnsi="Arial" w:cs="Arial"/>
          <w:bCs/>
          <w:lang w:val="en-US"/>
        </w:rPr>
        <w:t xml:space="preserve"> the party that can </w:t>
      </w:r>
      <w:r w:rsidR="00574F5B">
        <w:rPr>
          <w:rFonts w:ascii="Arial" w:hAnsi="Arial" w:cs="Arial"/>
          <w:bCs/>
          <w:lang w:val="en-US"/>
        </w:rPr>
        <w:t xml:space="preserve">best </w:t>
      </w:r>
      <w:r w:rsidR="00DF6D3E" w:rsidRPr="00EE5A23">
        <w:rPr>
          <w:rFonts w:ascii="Arial" w:hAnsi="Arial" w:cs="Arial"/>
          <w:bCs/>
          <w:lang w:val="en-US"/>
        </w:rPr>
        <w:t>manage</w:t>
      </w:r>
      <w:r w:rsidR="00365640" w:rsidRPr="00EE5A23">
        <w:rPr>
          <w:rFonts w:ascii="Arial" w:hAnsi="Arial" w:cs="Arial"/>
          <w:bCs/>
          <w:lang w:val="en-US"/>
        </w:rPr>
        <w:t xml:space="preserve"> </w:t>
      </w:r>
      <w:r w:rsidR="00292F1B">
        <w:rPr>
          <w:rFonts w:ascii="Arial" w:hAnsi="Arial" w:cs="Arial"/>
          <w:bCs/>
          <w:lang w:val="en-US"/>
        </w:rPr>
        <w:t xml:space="preserve">a </w:t>
      </w:r>
      <w:r w:rsidR="00365640" w:rsidRPr="00EE5A23">
        <w:rPr>
          <w:rFonts w:ascii="Arial" w:hAnsi="Arial" w:cs="Arial"/>
          <w:bCs/>
          <w:lang w:val="en-US"/>
        </w:rPr>
        <w:t xml:space="preserve">risk ought to carry </w:t>
      </w:r>
      <w:r w:rsidR="00574F5B">
        <w:rPr>
          <w:rFonts w:ascii="Arial" w:hAnsi="Arial" w:cs="Arial"/>
          <w:bCs/>
          <w:lang w:val="en-US"/>
        </w:rPr>
        <w:t>it</w:t>
      </w:r>
      <w:r w:rsidR="00365640" w:rsidRPr="00EE5A23">
        <w:rPr>
          <w:rFonts w:ascii="Arial" w:hAnsi="Arial" w:cs="Arial"/>
          <w:bCs/>
          <w:lang w:val="en-US"/>
        </w:rPr>
        <w:t xml:space="preserve">. </w:t>
      </w:r>
      <w:r w:rsidR="00292F1B">
        <w:rPr>
          <w:rFonts w:ascii="Arial" w:hAnsi="Arial" w:cs="Arial"/>
          <w:bCs/>
          <w:lang w:val="en-US"/>
        </w:rPr>
        <w:t xml:space="preserve">In both less and more mature markets, it was accepted that the operator is best placed to manage the cost risks (provided there </w:t>
      </w:r>
      <w:proofErr w:type="gramStart"/>
      <w:r w:rsidR="00292F1B">
        <w:rPr>
          <w:rFonts w:ascii="Arial" w:hAnsi="Arial" w:cs="Arial"/>
          <w:bCs/>
          <w:lang w:val="en-US"/>
        </w:rPr>
        <w:t xml:space="preserve">are </w:t>
      </w:r>
      <w:r w:rsidR="00C87F04">
        <w:rPr>
          <w:rFonts w:ascii="Arial" w:hAnsi="Arial" w:cs="Arial"/>
          <w:bCs/>
          <w:lang w:val="en-US"/>
        </w:rPr>
        <w:t xml:space="preserve"> adequate</w:t>
      </w:r>
      <w:proofErr w:type="gramEnd"/>
      <w:r w:rsidR="00C87F04">
        <w:rPr>
          <w:rFonts w:ascii="Arial" w:hAnsi="Arial" w:cs="Arial"/>
          <w:bCs/>
          <w:lang w:val="en-US"/>
        </w:rPr>
        <w:t xml:space="preserve"> cost escalators</w:t>
      </w:r>
      <w:r w:rsidR="00292F1B">
        <w:rPr>
          <w:rFonts w:ascii="Arial" w:hAnsi="Arial" w:cs="Arial"/>
          <w:bCs/>
          <w:lang w:val="en-US"/>
        </w:rPr>
        <w:t xml:space="preserve"> – see below). For urban markets, the view was that the authority should be best placed to manage the revenue risk in both less and more mature markets, but for different reasons, related to the immaturity of operators in the former and the maturity of authorities in the latter.  However, it was recognized that in some immature markets there may not be a </w:t>
      </w:r>
      <w:r w:rsidR="00095824">
        <w:rPr>
          <w:rFonts w:ascii="Arial" w:hAnsi="Arial" w:cs="Arial"/>
          <w:bCs/>
          <w:lang w:val="en-US"/>
        </w:rPr>
        <w:t xml:space="preserve">fully </w:t>
      </w:r>
      <w:r w:rsidR="00292F1B">
        <w:rPr>
          <w:rFonts w:ascii="Arial" w:hAnsi="Arial" w:cs="Arial"/>
          <w:bCs/>
          <w:lang w:val="en-US"/>
        </w:rPr>
        <w:t>functioning au</w:t>
      </w:r>
      <w:r w:rsidR="00095824">
        <w:rPr>
          <w:rFonts w:ascii="Arial" w:hAnsi="Arial" w:cs="Arial"/>
          <w:bCs/>
          <w:lang w:val="en-US"/>
        </w:rPr>
        <w:t>thority and the operators will</w:t>
      </w:r>
      <w:r w:rsidR="00780A53" w:rsidRPr="00EE5A23">
        <w:rPr>
          <w:rFonts w:ascii="Arial" w:hAnsi="Arial" w:cs="Arial"/>
          <w:bCs/>
          <w:lang w:val="en-US"/>
        </w:rPr>
        <w:t xml:space="preserve"> </w:t>
      </w:r>
      <w:r w:rsidR="00095824">
        <w:rPr>
          <w:rFonts w:ascii="Arial" w:hAnsi="Arial" w:cs="Arial"/>
          <w:bCs/>
          <w:lang w:val="en-US"/>
        </w:rPr>
        <w:t xml:space="preserve">need to bear the revenue risk. </w:t>
      </w:r>
      <w:r w:rsidR="00780A53" w:rsidRPr="00EE5A23">
        <w:rPr>
          <w:rFonts w:ascii="Arial" w:hAnsi="Arial" w:cs="Arial"/>
          <w:bCs/>
          <w:lang w:val="en-US"/>
        </w:rPr>
        <w:t>In urban</w:t>
      </w:r>
      <w:r w:rsidR="00C87F04">
        <w:rPr>
          <w:rFonts w:ascii="Arial" w:hAnsi="Arial" w:cs="Arial"/>
          <w:bCs/>
          <w:lang w:val="en-US"/>
        </w:rPr>
        <w:t xml:space="preserve"> and inter-urban</w:t>
      </w:r>
      <w:r w:rsidR="00780A53" w:rsidRPr="00EE5A23">
        <w:rPr>
          <w:rFonts w:ascii="Arial" w:hAnsi="Arial" w:cs="Arial"/>
          <w:bCs/>
          <w:lang w:val="en-US"/>
        </w:rPr>
        <w:t xml:space="preserve"> marke</w:t>
      </w:r>
      <w:r w:rsidR="00BF2BC8" w:rsidRPr="00EE5A23">
        <w:rPr>
          <w:rFonts w:ascii="Arial" w:hAnsi="Arial" w:cs="Arial"/>
          <w:bCs/>
          <w:lang w:val="en-US"/>
        </w:rPr>
        <w:t>t</w:t>
      </w:r>
      <w:r w:rsidR="00780A53" w:rsidRPr="00EE5A23">
        <w:rPr>
          <w:rFonts w:ascii="Arial" w:hAnsi="Arial" w:cs="Arial"/>
          <w:bCs/>
          <w:lang w:val="en-US"/>
        </w:rPr>
        <w:t>s, the computation and application of appropriate costs escalators is needed</w:t>
      </w:r>
      <w:r w:rsidR="0056176B" w:rsidRPr="00EE5A23">
        <w:rPr>
          <w:rFonts w:ascii="Arial" w:hAnsi="Arial" w:cs="Arial"/>
          <w:bCs/>
          <w:lang w:val="en-US"/>
        </w:rPr>
        <w:t xml:space="preserve"> - they </w:t>
      </w:r>
      <w:r w:rsidR="0056176B" w:rsidRPr="00EE5A23">
        <w:rPr>
          <w:rFonts w:ascii="Arial" w:hAnsi="Arial" w:cs="Arial"/>
          <w:bCs/>
        </w:rPr>
        <w:t>are critical in all contracts, especially when the duration exceeds a year</w:t>
      </w:r>
      <w:r w:rsidR="00780A53" w:rsidRPr="00EE5A23">
        <w:rPr>
          <w:rFonts w:ascii="Arial" w:hAnsi="Arial" w:cs="Arial"/>
          <w:bCs/>
          <w:lang w:val="en-US"/>
        </w:rPr>
        <w:t>. In inter-urban markets, revenue modifiers may also be needed.</w:t>
      </w:r>
      <w:r w:rsidR="002A7B3F" w:rsidRPr="00EE5A23">
        <w:rPr>
          <w:rFonts w:ascii="Arial" w:hAnsi="Arial" w:cs="Arial"/>
          <w:bCs/>
          <w:lang w:val="en-US"/>
        </w:rPr>
        <w:t xml:space="preserve"> We note that public transport contracting-out is an example of recurrent procurement and there are dangers of incumbency advantage related to learning effects, sunk costs of entry and switching costs for the procurer (Iossa and Waterson, 2019).</w:t>
      </w:r>
      <w:r w:rsidR="00954A4F" w:rsidRPr="00EE5A23">
        <w:rPr>
          <w:rFonts w:ascii="Arial" w:hAnsi="Arial" w:cs="Arial"/>
          <w:bCs/>
          <w:lang w:val="en-US"/>
        </w:rPr>
        <w:t xml:space="preserve"> Experience of mature markets such as London suggest these effects are modest but may still necessitate a market refresh exercise from time to time.</w:t>
      </w:r>
    </w:p>
    <w:p w14:paraId="2866D5BC" w14:textId="02FF4240" w:rsidR="00BF12B6" w:rsidRPr="00EE5A23" w:rsidRDefault="00780A53" w:rsidP="00596FC7">
      <w:pPr>
        <w:rPr>
          <w:rFonts w:ascii="Arial" w:hAnsi="Arial" w:cs="Arial"/>
          <w:bCs/>
          <w:lang w:val="en-US"/>
        </w:rPr>
      </w:pPr>
      <w:r w:rsidRPr="00EE5A23">
        <w:rPr>
          <w:rFonts w:ascii="Arial" w:hAnsi="Arial" w:cs="Arial"/>
          <w:bCs/>
          <w:lang w:val="en-US"/>
        </w:rPr>
        <w:t>Our other main contribution, as shown by Table 2, was to develop a matrix of co</w:t>
      </w:r>
      <w:r w:rsidR="00954A4F" w:rsidRPr="00EE5A23">
        <w:rPr>
          <w:rFonts w:ascii="Arial" w:hAnsi="Arial" w:cs="Arial"/>
          <w:bCs/>
          <w:lang w:val="en-US"/>
        </w:rPr>
        <w:t>ntract incentives</w:t>
      </w:r>
      <w:r w:rsidR="00B64178">
        <w:rPr>
          <w:rFonts w:ascii="Arial" w:hAnsi="Arial" w:cs="Arial"/>
          <w:bCs/>
          <w:lang w:val="en-US"/>
        </w:rPr>
        <w:t>/</w:t>
      </w:r>
      <w:r w:rsidR="00954A4F" w:rsidRPr="00EE5A23">
        <w:rPr>
          <w:rFonts w:ascii="Arial" w:hAnsi="Arial" w:cs="Arial"/>
          <w:bCs/>
          <w:lang w:val="en-US"/>
        </w:rPr>
        <w:t>enablers</w:t>
      </w:r>
      <w:r w:rsidR="00B64178">
        <w:rPr>
          <w:rFonts w:ascii="Arial" w:hAnsi="Arial" w:cs="Arial"/>
          <w:bCs/>
          <w:lang w:val="en-US"/>
        </w:rPr>
        <w:t xml:space="preserve"> and stakeholders</w:t>
      </w:r>
      <w:r w:rsidR="00954A4F" w:rsidRPr="00EE5A23">
        <w:rPr>
          <w:rFonts w:ascii="Arial" w:hAnsi="Arial" w:cs="Arial"/>
          <w:bCs/>
          <w:lang w:val="en-US"/>
        </w:rPr>
        <w:t xml:space="preserve">, which we believe </w:t>
      </w:r>
      <w:r w:rsidR="009C777B">
        <w:rPr>
          <w:rFonts w:ascii="Arial" w:hAnsi="Arial" w:cs="Arial"/>
          <w:bCs/>
          <w:lang w:val="en-US"/>
        </w:rPr>
        <w:t xml:space="preserve">will </w:t>
      </w:r>
      <w:r w:rsidR="00954A4F" w:rsidRPr="00EE5A23">
        <w:rPr>
          <w:rFonts w:ascii="Arial" w:hAnsi="Arial" w:cs="Arial"/>
          <w:bCs/>
          <w:lang w:val="en-US"/>
        </w:rPr>
        <w:t>help determine key performance indicators</w:t>
      </w:r>
      <w:r w:rsidR="00B64178">
        <w:rPr>
          <w:rFonts w:ascii="Arial" w:hAnsi="Arial" w:cs="Arial"/>
          <w:bCs/>
          <w:lang w:val="en-US"/>
        </w:rPr>
        <w:t xml:space="preserve"> and the relevant parties who can affect them</w:t>
      </w:r>
      <w:r w:rsidR="00954A4F" w:rsidRPr="00EE5A23">
        <w:rPr>
          <w:rFonts w:ascii="Arial" w:hAnsi="Arial" w:cs="Arial"/>
          <w:bCs/>
          <w:lang w:val="en-US"/>
        </w:rPr>
        <w:t>.</w:t>
      </w:r>
      <w:r w:rsidRPr="00EE5A23">
        <w:rPr>
          <w:rFonts w:ascii="Arial" w:hAnsi="Arial" w:cs="Arial"/>
          <w:bCs/>
          <w:lang w:val="en-US"/>
        </w:rPr>
        <w:t xml:space="preserve"> </w:t>
      </w:r>
    </w:p>
    <w:p w14:paraId="1B75D63E" w14:textId="77777777" w:rsidR="00BF12B6" w:rsidRPr="00EE5A23" w:rsidRDefault="00BF12B6">
      <w:pPr>
        <w:rPr>
          <w:rFonts w:ascii="Arial" w:hAnsi="Arial" w:cs="Arial"/>
          <w:bCs/>
          <w:lang w:val="en-US"/>
        </w:rPr>
      </w:pPr>
      <w:r w:rsidRPr="00EE5A23">
        <w:rPr>
          <w:rFonts w:ascii="Arial" w:hAnsi="Arial" w:cs="Arial"/>
          <w:bCs/>
          <w:lang w:val="en-US"/>
        </w:rPr>
        <w:br w:type="page"/>
      </w:r>
    </w:p>
    <w:p w14:paraId="60B1BBA0" w14:textId="77777777" w:rsidR="00780A53" w:rsidRPr="00EE5A23" w:rsidRDefault="00780A53" w:rsidP="00596FC7">
      <w:pPr>
        <w:rPr>
          <w:rFonts w:ascii="Arial" w:hAnsi="Arial" w:cs="Arial"/>
          <w:bCs/>
          <w:lang w:val="en-US"/>
        </w:rPr>
      </w:pPr>
    </w:p>
    <w:p w14:paraId="1CE47205" w14:textId="7ECC01F2" w:rsidR="00780A53" w:rsidRPr="00EE5A23" w:rsidRDefault="00780A53" w:rsidP="00954A4F">
      <w:pPr>
        <w:jc w:val="center"/>
        <w:rPr>
          <w:rFonts w:ascii="Arial" w:hAnsi="Arial" w:cs="Arial"/>
          <w:b/>
          <w:bCs/>
          <w:lang w:val="en-US"/>
        </w:rPr>
      </w:pPr>
      <w:r w:rsidRPr="00EE5A23">
        <w:rPr>
          <w:rFonts w:ascii="Arial" w:hAnsi="Arial" w:cs="Arial"/>
          <w:b/>
          <w:bCs/>
          <w:lang w:val="en-US"/>
        </w:rPr>
        <w:t>Table 2</w:t>
      </w:r>
      <w:r w:rsidR="00954A4F" w:rsidRPr="00EE5A23">
        <w:rPr>
          <w:rFonts w:ascii="Arial" w:hAnsi="Arial" w:cs="Arial"/>
          <w:b/>
          <w:bCs/>
          <w:lang w:val="en-US"/>
        </w:rPr>
        <w:t>: Matrix of Contract Incentives</w:t>
      </w:r>
      <w:r w:rsidR="00B64178">
        <w:rPr>
          <w:rFonts w:ascii="Arial" w:hAnsi="Arial" w:cs="Arial"/>
          <w:b/>
          <w:bCs/>
          <w:lang w:val="en-US"/>
        </w:rPr>
        <w:t>/</w:t>
      </w:r>
      <w:r w:rsidR="00954A4F" w:rsidRPr="00EE5A23">
        <w:rPr>
          <w:rFonts w:ascii="Arial" w:hAnsi="Arial" w:cs="Arial"/>
          <w:b/>
          <w:bCs/>
          <w:lang w:val="en-US"/>
        </w:rPr>
        <w:t>Enablers</w:t>
      </w:r>
    </w:p>
    <w:tbl>
      <w:tblPr>
        <w:tblStyle w:val="TableGrid"/>
        <w:tblW w:w="0" w:type="auto"/>
        <w:tblLook w:val="0420" w:firstRow="1" w:lastRow="0" w:firstColumn="0" w:lastColumn="0" w:noHBand="0" w:noVBand="1"/>
      </w:tblPr>
      <w:tblGrid>
        <w:gridCol w:w="2547"/>
        <w:gridCol w:w="1280"/>
        <w:gridCol w:w="1317"/>
        <w:gridCol w:w="1333"/>
        <w:gridCol w:w="1112"/>
        <w:gridCol w:w="1427"/>
      </w:tblGrid>
      <w:tr w:rsidR="006E0DC0" w:rsidRPr="00EE5A23" w14:paraId="3B276844" w14:textId="77777777" w:rsidTr="00B64178">
        <w:trPr>
          <w:trHeight w:val="838"/>
        </w:trPr>
        <w:tc>
          <w:tcPr>
            <w:tcW w:w="0" w:type="auto"/>
            <w:hideMark/>
          </w:tcPr>
          <w:p w14:paraId="66531A53" w14:textId="77777777" w:rsidR="00780A53" w:rsidRPr="00EE5A23" w:rsidRDefault="00780A53" w:rsidP="00780A53">
            <w:pPr>
              <w:rPr>
                <w:rFonts w:ascii="Arial" w:hAnsi="Arial" w:cs="Arial"/>
                <w:bCs/>
              </w:rPr>
            </w:pPr>
          </w:p>
        </w:tc>
        <w:tc>
          <w:tcPr>
            <w:tcW w:w="0" w:type="auto"/>
            <w:hideMark/>
          </w:tcPr>
          <w:p w14:paraId="1D25C3A3" w14:textId="61595DFC" w:rsidR="00780A53" w:rsidRPr="00EE5A23" w:rsidRDefault="00780A53" w:rsidP="00780A53">
            <w:pPr>
              <w:rPr>
                <w:rFonts w:ascii="Arial" w:hAnsi="Arial" w:cs="Arial"/>
                <w:bCs/>
              </w:rPr>
            </w:pPr>
            <w:r w:rsidRPr="00EE5A23">
              <w:rPr>
                <w:rFonts w:ascii="Arial" w:hAnsi="Arial" w:cs="Arial"/>
                <w:b/>
                <w:bCs/>
              </w:rPr>
              <w:t xml:space="preserve">Authority – </w:t>
            </w:r>
          </w:p>
          <w:p w14:paraId="4CCF03C1" w14:textId="77777777" w:rsidR="00780A53" w:rsidRPr="00EE5A23" w:rsidRDefault="00780A53" w:rsidP="00780A53">
            <w:pPr>
              <w:rPr>
                <w:rFonts w:ascii="Arial" w:hAnsi="Arial" w:cs="Arial"/>
                <w:bCs/>
              </w:rPr>
            </w:pPr>
            <w:r w:rsidRPr="00EE5A23">
              <w:rPr>
                <w:rFonts w:ascii="Arial" w:hAnsi="Arial" w:cs="Arial"/>
                <w:b/>
                <w:bCs/>
              </w:rPr>
              <w:t>Managers</w:t>
            </w:r>
          </w:p>
        </w:tc>
        <w:tc>
          <w:tcPr>
            <w:tcW w:w="0" w:type="auto"/>
            <w:hideMark/>
          </w:tcPr>
          <w:p w14:paraId="3CCFDE27" w14:textId="77777777" w:rsidR="00780A53" w:rsidRPr="00EE5A23" w:rsidRDefault="00780A53" w:rsidP="00780A53">
            <w:pPr>
              <w:rPr>
                <w:rFonts w:ascii="Arial" w:hAnsi="Arial" w:cs="Arial"/>
                <w:bCs/>
              </w:rPr>
            </w:pPr>
            <w:r w:rsidRPr="00EE5A23">
              <w:rPr>
                <w:rFonts w:ascii="Arial" w:hAnsi="Arial" w:cs="Arial"/>
                <w:b/>
                <w:bCs/>
              </w:rPr>
              <w:t>Operators –</w:t>
            </w:r>
          </w:p>
          <w:p w14:paraId="0D8A4C3F" w14:textId="77777777" w:rsidR="00780A53" w:rsidRPr="00EE5A23" w:rsidRDefault="00780A53" w:rsidP="00780A53">
            <w:pPr>
              <w:rPr>
                <w:rFonts w:ascii="Arial" w:hAnsi="Arial" w:cs="Arial"/>
                <w:bCs/>
              </w:rPr>
            </w:pPr>
            <w:r w:rsidRPr="00EE5A23">
              <w:rPr>
                <w:rFonts w:ascii="Arial" w:hAnsi="Arial" w:cs="Arial"/>
                <w:b/>
                <w:bCs/>
              </w:rPr>
              <w:t>Managers</w:t>
            </w:r>
          </w:p>
        </w:tc>
        <w:tc>
          <w:tcPr>
            <w:tcW w:w="0" w:type="auto"/>
            <w:hideMark/>
          </w:tcPr>
          <w:p w14:paraId="0D9BCAB5" w14:textId="77777777" w:rsidR="00780A53" w:rsidRPr="00EE5A23" w:rsidRDefault="00780A53" w:rsidP="00780A53">
            <w:pPr>
              <w:rPr>
                <w:rFonts w:ascii="Arial" w:hAnsi="Arial" w:cs="Arial"/>
                <w:bCs/>
              </w:rPr>
            </w:pPr>
            <w:r w:rsidRPr="00EE5A23">
              <w:rPr>
                <w:rFonts w:ascii="Arial" w:hAnsi="Arial" w:cs="Arial"/>
                <w:b/>
                <w:bCs/>
              </w:rPr>
              <w:t>Operators  –</w:t>
            </w:r>
          </w:p>
          <w:p w14:paraId="2CBC2F9D" w14:textId="77777777" w:rsidR="00780A53" w:rsidRPr="00EE5A23" w:rsidRDefault="00780A53" w:rsidP="00780A53">
            <w:pPr>
              <w:rPr>
                <w:rFonts w:ascii="Arial" w:hAnsi="Arial" w:cs="Arial"/>
                <w:bCs/>
              </w:rPr>
            </w:pPr>
            <w:r w:rsidRPr="00EE5A23">
              <w:rPr>
                <w:rFonts w:ascii="Arial" w:hAnsi="Arial" w:cs="Arial"/>
                <w:b/>
                <w:bCs/>
              </w:rPr>
              <w:t>Staff</w:t>
            </w:r>
          </w:p>
        </w:tc>
        <w:tc>
          <w:tcPr>
            <w:tcW w:w="0" w:type="auto"/>
            <w:hideMark/>
          </w:tcPr>
          <w:p w14:paraId="4A7B53CE" w14:textId="77777777" w:rsidR="00780A53" w:rsidRPr="00EE5A23" w:rsidRDefault="00780A53" w:rsidP="00780A53">
            <w:pPr>
              <w:rPr>
                <w:rFonts w:ascii="Arial" w:hAnsi="Arial" w:cs="Arial"/>
                <w:bCs/>
              </w:rPr>
            </w:pPr>
            <w:r w:rsidRPr="00EE5A23">
              <w:rPr>
                <w:rFonts w:ascii="Arial" w:hAnsi="Arial" w:cs="Arial"/>
                <w:b/>
                <w:bCs/>
              </w:rPr>
              <w:t>Third Parties</w:t>
            </w:r>
          </w:p>
        </w:tc>
        <w:tc>
          <w:tcPr>
            <w:tcW w:w="0" w:type="auto"/>
            <w:hideMark/>
          </w:tcPr>
          <w:p w14:paraId="784AE165" w14:textId="77777777" w:rsidR="00780A53" w:rsidRPr="00EE5A23" w:rsidRDefault="00780A53" w:rsidP="00780A53">
            <w:pPr>
              <w:rPr>
                <w:rFonts w:ascii="Arial" w:hAnsi="Arial" w:cs="Arial"/>
                <w:bCs/>
              </w:rPr>
            </w:pPr>
            <w:r w:rsidRPr="00EE5A23">
              <w:rPr>
                <w:rFonts w:ascii="Arial" w:hAnsi="Arial" w:cs="Arial"/>
                <w:b/>
                <w:bCs/>
              </w:rPr>
              <w:t>Customers/</w:t>
            </w:r>
          </w:p>
          <w:p w14:paraId="6BB5DE8B" w14:textId="77777777" w:rsidR="00780A53" w:rsidRPr="00EE5A23" w:rsidRDefault="00780A53" w:rsidP="00780A53">
            <w:pPr>
              <w:rPr>
                <w:rFonts w:ascii="Arial" w:hAnsi="Arial" w:cs="Arial"/>
                <w:bCs/>
              </w:rPr>
            </w:pPr>
            <w:r w:rsidRPr="00EE5A23">
              <w:rPr>
                <w:rFonts w:ascii="Arial" w:hAnsi="Arial" w:cs="Arial"/>
                <w:b/>
                <w:bCs/>
              </w:rPr>
              <w:t>Citizens</w:t>
            </w:r>
          </w:p>
        </w:tc>
      </w:tr>
      <w:tr w:rsidR="006E0DC0" w:rsidRPr="00EE5A23" w14:paraId="765E7B2A" w14:textId="77777777" w:rsidTr="00B64178">
        <w:trPr>
          <w:trHeight w:val="584"/>
        </w:trPr>
        <w:tc>
          <w:tcPr>
            <w:tcW w:w="0" w:type="auto"/>
            <w:hideMark/>
          </w:tcPr>
          <w:p w14:paraId="131054C8" w14:textId="77777777" w:rsidR="0002157A" w:rsidRPr="00EE5A23" w:rsidRDefault="00780A53" w:rsidP="0002157A">
            <w:pPr>
              <w:rPr>
                <w:rFonts w:ascii="Arial" w:hAnsi="Arial" w:cs="Arial"/>
                <w:bCs/>
              </w:rPr>
            </w:pPr>
            <w:r w:rsidRPr="00EE5A23">
              <w:rPr>
                <w:rFonts w:ascii="Arial" w:hAnsi="Arial" w:cs="Arial"/>
                <w:bCs/>
              </w:rPr>
              <w:t>Pax/Revenue</w:t>
            </w:r>
            <w:r w:rsidR="0002157A" w:rsidRPr="00EE5A23">
              <w:rPr>
                <w:rFonts w:ascii="Arial" w:hAnsi="Arial" w:cs="Arial"/>
                <w:bCs/>
              </w:rPr>
              <w:t>/</w:t>
            </w:r>
          </w:p>
          <w:p w14:paraId="71D7D696" w14:textId="3A922132" w:rsidR="0002157A" w:rsidRPr="00EE5A23" w:rsidRDefault="0002157A" w:rsidP="0002157A">
            <w:pPr>
              <w:rPr>
                <w:rFonts w:ascii="Arial" w:hAnsi="Arial" w:cs="Arial"/>
                <w:bCs/>
              </w:rPr>
            </w:pPr>
            <w:r w:rsidRPr="00EE5A23">
              <w:rPr>
                <w:rFonts w:ascii="Arial" w:hAnsi="Arial" w:cs="Arial"/>
                <w:bCs/>
              </w:rPr>
              <w:t>Occupancy</w:t>
            </w:r>
          </w:p>
        </w:tc>
        <w:tc>
          <w:tcPr>
            <w:tcW w:w="0" w:type="auto"/>
            <w:shd w:val="clear" w:color="auto" w:fill="1F4E79" w:themeFill="accent5" w:themeFillShade="80"/>
            <w:hideMark/>
          </w:tcPr>
          <w:p w14:paraId="00502930"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1E48D11C"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6A8ADB43" w14:textId="77777777" w:rsidR="00780A53" w:rsidRPr="00EE5A23" w:rsidRDefault="00780A53" w:rsidP="00780A53">
            <w:pPr>
              <w:rPr>
                <w:rFonts w:ascii="Arial" w:hAnsi="Arial" w:cs="Arial"/>
                <w:bCs/>
              </w:rPr>
            </w:pPr>
          </w:p>
        </w:tc>
        <w:tc>
          <w:tcPr>
            <w:tcW w:w="0" w:type="auto"/>
            <w:hideMark/>
          </w:tcPr>
          <w:p w14:paraId="6C0A9B7D" w14:textId="77777777" w:rsidR="00780A53" w:rsidRPr="00EE5A23" w:rsidRDefault="00780A53" w:rsidP="00780A53">
            <w:pPr>
              <w:rPr>
                <w:rFonts w:ascii="Arial" w:hAnsi="Arial" w:cs="Arial"/>
                <w:bCs/>
              </w:rPr>
            </w:pPr>
          </w:p>
        </w:tc>
        <w:tc>
          <w:tcPr>
            <w:tcW w:w="0" w:type="auto"/>
            <w:hideMark/>
          </w:tcPr>
          <w:p w14:paraId="6DFBF7CE" w14:textId="77777777" w:rsidR="00780A53" w:rsidRPr="00EE5A23" w:rsidRDefault="00780A53" w:rsidP="00780A53">
            <w:pPr>
              <w:rPr>
                <w:rFonts w:ascii="Arial" w:hAnsi="Arial" w:cs="Arial"/>
                <w:bCs/>
              </w:rPr>
            </w:pPr>
          </w:p>
        </w:tc>
      </w:tr>
      <w:tr w:rsidR="006E0DC0" w:rsidRPr="00EE5A23" w14:paraId="567C9CF8" w14:textId="77777777" w:rsidTr="00B64178">
        <w:trPr>
          <w:trHeight w:val="584"/>
        </w:trPr>
        <w:tc>
          <w:tcPr>
            <w:tcW w:w="0" w:type="auto"/>
            <w:hideMark/>
          </w:tcPr>
          <w:p w14:paraId="21A7F8AA" w14:textId="77777777" w:rsidR="00780A53" w:rsidRPr="00EE5A23" w:rsidRDefault="00780A53" w:rsidP="00780A53">
            <w:pPr>
              <w:rPr>
                <w:rFonts w:ascii="Arial" w:hAnsi="Arial" w:cs="Arial"/>
                <w:bCs/>
              </w:rPr>
            </w:pPr>
            <w:r w:rsidRPr="00EE5A23">
              <w:rPr>
                <w:rFonts w:ascii="Arial" w:hAnsi="Arial" w:cs="Arial"/>
                <w:bCs/>
              </w:rPr>
              <w:t>Profit</w:t>
            </w:r>
          </w:p>
        </w:tc>
        <w:tc>
          <w:tcPr>
            <w:tcW w:w="0" w:type="auto"/>
            <w:shd w:val="clear" w:color="auto" w:fill="1F4E79" w:themeFill="accent5" w:themeFillShade="80"/>
            <w:hideMark/>
          </w:tcPr>
          <w:p w14:paraId="43FB55B8"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1C144405" w14:textId="77777777" w:rsidR="00780A53" w:rsidRPr="00EE5A23" w:rsidRDefault="00780A53" w:rsidP="00780A53">
            <w:pPr>
              <w:rPr>
                <w:rFonts w:ascii="Arial" w:hAnsi="Arial" w:cs="Arial"/>
                <w:bCs/>
              </w:rPr>
            </w:pPr>
          </w:p>
        </w:tc>
        <w:tc>
          <w:tcPr>
            <w:tcW w:w="0" w:type="auto"/>
            <w:hideMark/>
          </w:tcPr>
          <w:p w14:paraId="508234EE" w14:textId="77777777" w:rsidR="00780A53" w:rsidRPr="00EE5A23" w:rsidRDefault="00780A53" w:rsidP="00780A53">
            <w:pPr>
              <w:rPr>
                <w:rFonts w:ascii="Arial" w:hAnsi="Arial" w:cs="Arial"/>
                <w:bCs/>
              </w:rPr>
            </w:pPr>
          </w:p>
        </w:tc>
        <w:tc>
          <w:tcPr>
            <w:tcW w:w="0" w:type="auto"/>
            <w:hideMark/>
          </w:tcPr>
          <w:p w14:paraId="2E356262" w14:textId="77777777" w:rsidR="00780A53" w:rsidRPr="00EE5A23" w:rsidRDefault="00780A53" w:rsidP="00780A53">
            <w:pPr>
              <w:rPr>
                <w:rFonts w:ascii="Arial" w:hAnsi="Arial" w:cs="Arial"/>
                <w:bCs/>
              </w:rPr>
            </w:pPr>
          </w:p>
        </w:tc>
        <w:tc>
          <w:tcPr>
            <w:tcW w:w="0" w:type="auto"/>
            <w:hideMark/>
          </w:tcPr>
          <w:p w14:paraId="510C0DDC" w14:textId="77777777" w:rsidR="00780A53" w:rsidRPr="00EE5A23" w:rsidRDefault="00780A53" w:rsidP="00780A53">
            <w:pPr>
              <w:rPr>
                <w:rFonts w:ascii="Arial" w:hAnsi="Arial" w:cs="Arial"/>
                <w:bCs/>
              </w:rPr>
            </w:pPr>
          </w:p>
        </w:tc>
      </w:tr>
      <w:tr w:rsidR="006E0DC0" w:rsidRPr="00EE5A23" w14:paraId="19E7B4A6" w14:textId="77777777" w:rsidTr="00B64178">
        <w:trPr>
          <w:trHeight w:val="584"/>
        </w:trPr>
        <w:tc>
          <w:tcPr>
            <w:tcW w:w="0" w:type="auto"/>
            <w:hideMark/>
          </w:tcPr>
          <w:p w14:paraId="059EAD17" w14:textId="5ADF3C53" w:rsidR="00780A53" w:rsidRPr="00EE5A23" w:rsidRDefault="00780A53" w:rsidP="00780A53">
            <w:pPr>
              <w:rPr>
                <w:rFonts w:ascii="Arial" w:hAnsi="Arial" w:cs="Arial"/>
                <w:bCs/>
              </w:rPr>
            </w:pPr>
            <w:r w:rsidRPr="00EE5A23">
              <w:rPr>
                <w:rFonts w:ascii="Arial" w:hAnsi="Arial" w:cs="Arial"/>
                <w:bCs/>
              </w:rPr>
              <w:t>E</w:t>
            </w:r>
            <w:r w:rsidR="006E0DC0" w:rsidRPr="00EE5A23">
              <w:rPr>
                <w:rFonts w:ascii="Arial" w:hAnsi="Arial" w:cs="Arial"/>
                <w:bCs/>
              </w:rPr>
              <w:t>xcess waiting time (E</w:t>
            </w:r>
            <w:r w:rsidRPr="00EE5A23">
              <w:rPr>
                <w:rFonts w:ascii="Arial" w:hAnsi="Arial" w:cs="Arial"/>
                <w:bCs/>
              </w:rPr>
              <w:t>WT</w:t>
            </w:r>
            <w:r w:rsidR="006E0DC0" w:rsidRPr="00EE5A23">
              <w:rPr>
                <w:rFonts w:ascii="Arial" w:hAnsi="Arial" w:cs="Arial"/>
                <w:bCs/>
              </w:rPr>
              <w:t>)/ On time arrivals (</w:t>
            </w:r>
            <w:r w:rsidRPr="00EE5A23">
              <w:rPr>
                <w:rFonts w:ascii="Arial" w:hAnsi="Arial" w:cs="Arial"/>
                <w:bCs/>
              </w:rPr>
              <w:t>OTA</w:t>
            </w:r>
            <w:r w:rsidR="006E0DC0" w:rsidRPr="00EE5A23">
              <w:rPr>
                <w:rFonts w:ascii="Arial" w:hAnsi="Arial" w:cs="Arial"/>
                <w:bCs/>
              </w:rPr>
              <w:t>)</w:t>
            </w:r>
          </w:p>
        </w:tc>
        <w:tc>
          <w:tcPr>
            <w:tcW w:w="0" w:type="auto"/>
            <w:shd w:val="clear" w:color="auto" w:fill="1F4E79" w:themeFill="accent5" w:themeFillShade="80"/>
            <w:hideMark/>
          </w:tcPr>
          <w:p w14:paraId="3362FA69"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772D6AAE" w14:textId="77777777" w:rsidR="00780A53" w:rsidRPr="00EE5A23" w:rsidRDefault="00780A53" w:rsidP="00780A53">
            <w:pPr>
              <w:rPr>
                <w:rFonts w:ascii="Arial" w:hAnsi="Arial" w:cs="Arial"/>
                <w:bCs/>
              </w:rPr>
            </w:pPr>
          </w:p>
        </w:tc>
        <w:tc>
          <w:tcPr>
            <w:tcW w:w="0" w:type="auto"/>
            <w:hideMark/>
          </w:tcPr>
          <w:p w14:paraId="24627B91"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712B21F2" w14:textId="77777777" w:rsidR="00780A53" w:rsidRPr="00EE5A23" w:rsidRDefault="00780A53" w:rsidP="00780A53">
            <w:pPr>
              <w:rPr>
                <w:rFonts w:ascii="Arial" w:hAnsi="Arial" w:cs="Arial"/>
                <w:bCs/>
              </w:rPr>
            </w:pPr>
          </w:p>
        </w:tc>
        <w:tc>
          <w:tcPr>
            <w:tcW w:w="0" w:type="auto"/>
            <w:hideMark/>
          </w:tcPr>
          <w:p w14:paraId="1EC22A91" w14:textId="77777777" w:rsidR="00780A53" w:rsidRPr="00EE5A23" w:rsidRDefault="00780A53" w:rsidP="00780A53">
            <w:pPr>
              <w:rPr>
                <w:rFonts w:ascii="Arial" w:hAnsi="Arial" w:cs="Arial"/>
                <w:bCs/>
              </w:rPr>
            </w:pPr>
          </w:p>
        </w:tc>
      </w:tr>
      <w:tr w:rsidR="006E0DC0" w:rsidRPr="00EE5A23" w14:paraId="637A30FD" w14:textId="77777777" w:rsidTr="00B64178">
        <w:trPr>
          <w:trHeight w:val="584"/>
        </w:trPr>
        <w:tc>
          <w:tcPr>
            <w:tcW w:w="0" w:type="auto"/>
            <w:hideMark/>
          </w:tcPr>
          <w:p w14:paraId="690A1214" w14:textId="411A1192" w:rsidR="00780A53" w:rsidRPr="00EE5A23" w:rsidRDefault="006E0DC0" w:rsidP="00780A53">
            <w:pPr>
              <w:rPr>
                <w:rFonts w:ascii="Arial" w:hAnsi="Arial" w:cs="Arial"/>
                <w:bCs/>
              </w:rPr>
            </w:pPr>
            <w:r w:rsidRPr="00EE5A23">
              <w:rPr>
                <w:rFonts w:ascii="Arial" w:hAnsi="Arial" w:cs="Arial"/>
                <w:bCs/>
              </w:rPr>
              <w:t>Customer satisfaction surveys (CSS)</w:t>
            </w:r>
          </w:p>
        </w:tc>
        <w:tc>
          <w:tcPr>
            <w:tcW w:w="0" w:type="auto"/>
            <w:shd w:val="clear" w:color="auto" w:fill="1F4E79" w:themeFill="accent5" w:themeFillShade="80"/>
            <w:hideMark/>
          </w:tcPr>
          <w:p w14:paraId="426477EF"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2359F088" w14:textId="77777777" w:rsidR="00780A53" w:rsidRPr="00EE5A23" w:rsidRDefault="00780A53" w:rsidP="00780A53">
            <w:pPr>
              <w:rPr>
                <w:rFonts w:ascii="Arial" w:hAnsi="Arial" w:cs="Arial"/>
                <w:bCs/>
              </w:rPr>
            </w:pPr>
          </w:p>
        </w:tc>
        <w:tc>
          <w:tcPr>
            <w:tcW w:w="0" w:type="auto"/>
            <w:hideMark/>
          </w:tcPr>
          <w:p w14:paraId="4C6D49AD" w14:textId="77777777" w:rsidR="00780A53" w:rsidRPr="00EE5A23" w:rsidRDefault="00780A53" w:rsidP="00780A53">
            <w:pPr>
              <w:rPr>
                <w:rFonts w:ascii="Arial" w:hAnsi="Arial" w:cs="Arial"/>
                <w:bCs/>
              </w:rPr>
            </w:pPr>
          </w:p>
        </w:tc>
        <w:tc>
          <w:tcPr>
            <w:tcW w:w="0" w:type="auto"/>
            <w:hideMark/>
          </w:tcPr>
          <w:p w14:paraId="17B05B80"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63B2F552" w14:textId="77777777" w:rsidR="00780A53" w:rsidRPr="00EE5A23" w:rsidRDefault="00780A53" w:rsidP="00780A53">
            <w:pPr>
              <w:rPr>
                <w:rFonts w:ascii="Arial" w:hAnsi="Arial" w:cs="Arial"/>
                <w:bCs/>
              </w:rPr>
            </w:pPr>
          </w:p>
        </w:tc>
      </w:tr>
      <w:tr w:rsidR="006E0DC0" w:rsidRPr="00EE5A23" w14:paraId="2EDD51ED" w14:textId="77777777" w:rsidTr="00B64178">
        <w:trPr>
          <w:trHeight w:val="584"/>
        </w:trPr>
        <w:tc>
          <w:tcPr>
            <w:tcW w:w="0" w:type="auto"/>
            <w:hideMark/>
          </w:tcPr>
          <w:p w14:paraId="61B650D2" w14:textId="77777777" w:rsidR="00780A53" w:rsidRPr="00EE5A23" w:rsidRDefault="00780A53" w:rsidP="00780A53">
            <w:pPr>
              <w:rPr>
                <w:rFonts w:ascii="Arial" w:hAnsi="Arial" w:cs="Arial"/>
                <w:bCs/>
              </w:rPr>
            </w:pPr>
            <w:r w:rsidRPr="00EE5A23">
              <w:rPr>
                <w:rFonts w:ascii="Arial" w:hAnsi="Arial" w:cs="Arial"/>
                <w:bCs/>
              </w:rPr>
              <w:t>Complaints</w:t>
            </w:r>
          </w:p>
        </w:tc>
        <w:tc>
          <w:tcPr>
            <w:tcW w:w="0" w:type="auto"/>
            <w:shd w:val="clear" w:color="auto" w:fill="1F4E79" w:themeFill="accent5" w:themeFillShade="80"/>
            <w:hideMark/>
          </w:tcPr>
          <w:p w14:paraId="2A476C3F"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11106C34" w14:textId="77777777" w:rsidR="00780A53" w:rsidRPr="00EE5A23" w:rsidRDefault="00780A53" w:rsidP="00780A53">
            <w:pPr>
              <w:rPr>
                <w:rFonts w:ascii="Arial" w:hAnsi="Arial" w:cs="Arial"/>
                <w:bCs/>
              </w:rPr>
            </w:pPr>
          </w:p>
        </w:tc>
        <w:tc>
          <w:tcPr>
            <w:tcW w:w="0" w:type="auto"/>
            <w:hideMark/>
          </w:tcPr>
          <w:p w14:paraId="3E13CD06" w14:textId="77777777" w:rsidR="00780A53" w:rsidRPr="00EE5A23" w:rsidRDefault="00780A53" w:rsidP="00780A53">
            <w:pPr>
              <w:rPr>
                <w:rFonts w:ascii="Arial" w:hAnsi="Arial" w:cs="Arial"/>
                <w:bCs/>
              </w:rPr>
            </w:pPr>
          </w:p>
        </w:tc>
        <w:tc>
          <w:tcPr>
            <w:tcW w:w="0" w:type="auto"/>
            <w:hideMark/>
          </w:tcPr>
          <w:p w14:paraId="18AD399F" w14:textId="77777777" w:rsidR="00780A53" w:rsidRPr="00EE5A23" w:rsidRDefault="00780A53" w:rsidP="00780A53">
            <w:pPr>
              <w:rPr>
                <w:rFonts w:ascii="Arial" w:hAnsi="Arial" w:cs="Arial"/>
                <w:bCs/>
              </w:rPr>
            </w:pPr>
          </w:p>
        </w:tc>
        <w:tc>
          <w:tcPr>
            <w:tcW w:w="0" w:type="auto"/>
            <w:hideMark/>
          </w:tcPr>
          <w:p w14:paraId="48884574" w14:textId="77777777" w:rsidR="00780A53" w:rsidRPr="00EE5A23" w:rsidRDefault="00780A53" w:rsidP="00780A53">
            <w:pPr>
              <w:rPr>
                <w:rFonts w:ascii="Arial" w:hAnsi="Arial" w:cs="Arial"/>
                <w:bCs/>
                <w:highlight w:val="cyan"/>
              </w:rPr>
            </w:pPr>
          </w:p>
        </w:tc>
      </w:tr>
      <w:tr w:rsidR="006E0DC0" w:rsidRPr="00EE5A23" w14:paraId="0E045F4B" w14:textId="77777777" w:rsidTr="00B64178">
        <w:trPr>
          <w:trHeight w:val="1008"/>
        </w:trPr>
        <w:tc>
          <w:tcPr>
            <w:tcW w:w="0" w:type="auto"/>
            <w:hideMark/>
          </w:tcPr>
          <w:p w14:paraId="7B9CC251" w14:textId="77777777" w:rsidR="00780A53" w:rsidRPr="00EE5A23" w:rsidRDefault="00780A53" w:rsidP="00780A53">
            <w:pPr>
              <w:rPr>
                <w:rFonts w:ascii="Arial" w:hAnsi="Arial" w:cs="Arial"/>
                <w:bCs/>
              </w:rPr>
            </w:pPr>
            <w:r w:rsidRPr="00EE5A23">
              <w:rPr>
                <w:rFonts w:ascii="Arial" w:hAnsi="Arial" w:cs="Arial"/>
                <w:bCs/>
              </w:rPr>
              <w:t>Adjustment mechanisms</w:t>
            </w:r>
          </w:p>
        </w:tc>
        <w:tc>
          <w:tcPr>
            <w:tcW w:w="0" w:type="auto"/>
            <w:shd w:val="clear" w:color="auto" w:fill="1F4E79" w:themeFill="accent5" w:themeFillShade="80"/>
            <w:hideMark/>
          </w:tcPr>
          <w:p w14:paraId="47D799BB"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353181F6" w14:textId="77777777" w:rsidR="00780A53" w:rsidRPr="00EE5A23" w:rsidRDefault="00780A53" w:rsidP="00780A53">
            <w:pPr>
              <w:rPr>
                <w:rFonts w:ascii="Arial" w:hAnsi="Arial" w:cs="Arial"/>
                <w:bCs/>
              </w:rPr>
            </w:pPr>
          </w:p>
        </w:tc>
        <w:tc>
          <w:tcPr>
            <w:tcW w:w="0" w:type="auto"/>
            <w:hideMark/>
          </w:tcPr>
          <w:p w14:paraId="47538AD7" w14:textId="77777777" w:rsidR="00780A53" w:rsidRPr="00EE5A23" w:rsidRDefault="00780A53" w:rsidP="00780A53">
            <w:pPr>
              <w:rPr>
                <w:rFonts w:ascii="Arial" w:hAnsi="Arial" w:cs="Arial"/>
                <w:bCs/>
              </w:rPr>
            </w:pPr>
          </w:p>
        </w:tc>
        <w:tc>
          <w:tcPr>
            <w:tcW w:w="0" w:type="auto"/>
            <w:hideMark/>
          </w:tcPr>
          <w:p w14:paraId="6B023717" w14:textId="77777777" w:rsidR="00780A53" w:rsidRPr="00EE5A23" w:rsidRDefault="00780A53" w:rsidP="00780A53">
            <w:pPr>
              <w:rPr>
                <w:rFonts w:ascii="Arial" w:hAnsi="Arial" w:cs="Arial"/>
                <w:bCs/>
              </w:rPr>
            </w:pPr>
          </w:p>
        </w:tc>
        <w:tc>
          <w:tcPr>
            <w:tcW w:w="0" w:type="auto"/>
            <w:hideMark/>
          </w:tcPr>
          <w:p w14:paraId="4F085727" w14:textId="77777777" w:rsidR="00780A53" w:rsidRPr="00EE5A23" w:rsidRDefault="00780A53" w:rsidP="00780A53">
            <w:pPr>
              <w:rPr>
                <w:rFonts w:ascii="Arial" w:hAnsi="Arial" w:cs="Arial"/>
                <w:bCs/>
              </w:rPr>
            </w:pPr>
          </w:p>
        </w:tc>
      </w:tr>
      <w:tr w:rsidR="006E0DC0" w:rsidRPr="00EE5A23" w14:paraId="3204AD8D" w14:textId="77777777" w:rsidTr="00B64178">
        <w:trPr>
          <w:trHeight w:val="726"/>
        </w:trPr>
        <w:tc>
          <w:tcPr>
            <w:tcW w:w="0" w:type="auto"/>
            <w:hideMark/>
          </w:tcPr>
          <w:p w14:paraId="58C877D7" w14:textId="77777777" w:rsidR="00780A53" w:rsidRPr="00EE5A23" w:rsidRDefault="00780A53" w:rsidP="00780A53">
            <w:pPr>
              <w:rPr>
                <w:rFonts w:ascii="Arial" w:hAnsi="Arial" w:cs="Arial"/>
                <w:bCs/>
              </w:rPr>
            </w:pPr>
            <w:r w:rsidRPr="00EE5A23">
              <w:rPr>
                <w:rFonts w:ascii="Arial" w:hAnsi="Arial" w:cs="Arial"/>
                <w:bCs/>
              </w:rPr>
              <w:t>Capital</w:t>
            </w:r>
          </w:p>
        </w:tc>
        <w:tc>
          <w:tcPr>
            <w:tcW w:w="0" w:type="auto"/>
            <w:shd w:val="clear" w:color="auto" w:fill="1F4E79" w:themeFill="accent5" w:themeFillShade="80"/>
            <w:hideMark/>
          </w:tcPr>
          <w:p w14:paraId="1DAA6AC5"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2DCEBE1E" w14:textId="77777777" w:rsidR="00780A53" w:rsidRPr="00EE5A23" w:rsidRDefault="00780A53" w:rsidP="00780A53">
            <w:pPr>
              <w:rPr>
                <w:rFonts w:ascii="Arial" w:hAnsi="Arial" w:cs="Arial"/>
                <w:bCs/>
              </w:rPr>
            </w:pPr>
          </w:p>
        </w:tc>
        <w:tc>
          <w:tcPr>
            <w:tcW w:w="0" w:type="auto"/>
            <w:hideMark/>
          </w:tcPr>
          <w:p w14:paraId="6F60415D"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5AB87D07" w14:textId="77777777" w:rsidR="00780A53" w:rsidRPr="00EE5A23" w:rsidRDefault="00780A53" w:rsidP="00780A53">
            <w:pPr>
              <w:rPr>
                <w:rFonts w:ascii="Arial" w:hAnsi="Arial" w:cs="Arial"/>
                <w:bCs/>
              </w:rPr>
            </w:pPr>
          </w:p>
        </w:tc>
        <w:tc>
          <w:tcPr>
            <w:tcW w:w="0" w:type="auto"/>
            <w:hideMark/>
          </w:tcPr>
          <w:p w14:paraId="72A15347" w14:textId="77777777" w:rsidR="00780A53" w:rsidRPr="00EE5A23" w:rsidRDefault="00780A53" w:rsidP="00780A53">
            <w:pPr>
              <w:rPr>
                <w:rFonts w:ascii="Arial" w:hAnsi="Arial" w:cs="Arial"/>
                <w:bCs/>
              </w:rPr>
            </w:pPr>
          </w:p>
        </w:tc>
      </w:tr>
      <w:tr w:rsidR="006E0DC0" w:rsidRPr="00EE5A23" w14:paraId="0DD43D98" w14:textId="77777777" w:rsidTr="00B5238A">
        <w:trPr>
          <w:trHeight w:val="726"/>
        </w:trPr>
        <w:tc>
          <w:tcPr>
            <w:tcW w:w="0" w:type="auto"/>
            <w:hideMark/>
          </w:tcPr>
          <w:p w14:paraId="7882BD48" w14:textId="77777777" w:rsidR="00780A53" w:rsidRPr="00EE5A23" w:rsidRDefault="00780A53" w:rsidP="00780A53">
            <w:pPr>
              <w:rPr>
                <w:rFonts w:ascii="Arial" w:hAnsi="Arial" w:cs="Arial"/>
                <w:bCs/>
              </w:rPr>
            </w:pPr>
            <w:r w:rsidRPr="00EE5A23">
              <w:rPr>
                <w:rFonts w:ascii="Arial" w:hAnsi="Arial" w:cs="Arial"/>
                <w:bCs/>
              </w:rPr>
              <w:t>Demand data</w:t>
            </w:r>
          </w:p>
        </w:tc>
        <w:tc>
          <w:tcPr>
            <w:tcW w:w="0" w:type="auto"/>
            <w:shd w:val="clear" w:color="auto" w:fill="1F4E79" w:themeFill="accent5" w:themeFillShade="80"/>
            <w:hideMark/>
          </w:tcPr>
          <w:p w14:paraId="4AA462CD"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1F6F1ED4" w14:textId="77777777" w:rsidR="00780A53" w:rsidRPr="00EE5A23" w:rsidRDefault="00780A53" w:rsidP="00780A53">
            <w:pPr>
              <w:rPr>
                <w:rFonts w:ascii="Arial" w:hAnsi="Arial" w:cs="Arial"/>
                <w:bCs/>
              </w:rPr>
            </w:pPr>
          </w:p>
        </w:tc>
        <w:tc>
          <w:tcPr>
            <w:tcW w:w="0" w:type="auto"/>
            <w:hideMark/>
          </w:tcPr>
          <w:p w14:paraId="04FE6204"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2E02F35E"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423F34AA" w14:textId="77777777" w:rsidR="00780A53" w:rsidRPr="00EE5A23" w:rsidRDefault="00780A53" w:rsidP="00780A53">
            <w:pPr>
              <w:rPr>
                <w:rFonts w:ascii="Arial" w:hAnsi="Arial" w:cs="Arial"/>
                <w:bCs/>
              </w:rPr>
            </w:pPr>
          </w:p>
        </w:tc>
      </w:tr>
      <w:tr w:rsidR="006E0DC0" w:rsidRPr="00EE5A23" w14:paraId="2A304791" w14:textId="77777777" w:rsidTr="00B5238A">
        <w:trPr>
          <w:trHeight w:val="688"/>
        </w:trPr>
        <w:tc>
          <w:tcPr>
            <w:tcW w:w="0" w:type="auto"/>
            <w:hideMark/>
          </w:tcPr>
          <w:p w14:paraId="224BAFE9" w14:textId="77777777" w:rsidR="00780A53" w:rsidRPr="00EE5A23" w:rsidRDefault="00780A53" w:rsidP="00780A53">
            <w:pPr>
              <w:rPr>
                <w:rFonts w:ascii="Arial" w:hAnsi="Arial" w:cs="Arial"/>
                <w:bCs/>
              </w:rPr>
            </w:pPr>
            <w:r w:rsidRPr="00EE5A23">
              <w:rPr>
                <w:rFonts w:ascii="Arial" w:hAnsi="Arial" w:cs="Arial"/>
                <w:bCs/>
              </w:rPr>
              <w:t>Supply data</w:t>
            </w:r>
          </w:p>
        </w:tc>
        <w:tc>
          <w:tcPr>
            <w:tcW w:w="0" w:type="auto"/>
            <w:shd w:val="clear" w:color="auto" w:fill="1F4E79" w:themeFill="accent5" w:themeFillShade="80"/>
            <w:hideMark/>
          </w:tcPr>
          <w:p w14:paraId="4CA84041"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6DB5E9CF" w14:textId="77777777" w:rsidR="00780A53" w:rsidRPr="00EE5A23" w:rsidRDefault="00780A53" w:rsidP="00780A53">
            <w:pPr>
              <w:rPr>
                <w:rFonts w:ascii="Arial" w:hAnsi="Arial" w:cs="Arial"/>
                <w:bCs/>
              </w:rPr>
            </w:pPr>
          </w:p>
        </w:tc>
        <w:tc>
          <w:tcPr>
            <w:tcW w:w="0" w:type="auto"/>
            <w:hideMark/>
          </w:tcPr>
          <w:p w14:paraId="76D78F20"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469AB23D" w14:textId="77777777" w:rsidR="00780A53" w:rsidRPr="00EE5A23" w:rsidRDefault="00780A53" w:rsidP="00780A53">
            <w:pPr>
              <w:rPr>
                <w:rFonts w:ascii="Arial" w:hAnsi="Arial" w:cs="Arial"/>
                <w:bCs/>
              </w:rPr>
            </w:pPr>
          </w:p>
        </w:tc>
        <w:tc>
          <w:tcPr>
            <w:tcW w:w="0" w:type="auto"/>
            <w:shd w:val="clear" w:color="auto" w:fill="1F4E79" w:themeFill="accent5" w:themeFillShade="80"/>
            <w:hideMark/>
          </w:tcPr>
          <w:p w14:paraId="37B4B27D" w14:textId="77777777" w:rsidR="00780A53" w:rsidRPr="00EE5A23" w:rsidRDefault="00780A53" w:rsidP="00780A53">
            <w:pPr>
              <w:rPr>
                <w:rFonts w:ascii="Arial" w:hAnsi="Arial" w:cs="Arial"/>
                <w:bCs/>
              </w:rPr>
            </w:pPr>
          </w:p>
        </w:tc>
      </w:tr>
    </w:tbl>
    <w:p w14:paraId="4CFF6402" w14:textId="72DE8A99" w:rsidR="00780A53" w:rsidRPr="00EE5A23" w:rsidRDefault="00B5238A" w:rsidP="00596FC7">
      <w:pPr>
        <w:rPr>
          <w:rFonts w:ascii="Arial" w:hAnsi="Arial" w:cs="Arial"/>
          <w:bCs/>
          <w:lang w:val="en-US"/>
        </w:rPr>
      </w:pPr>
      <w:r>
        <w:rPr>
          <w:rFonts w:ascii="Arial" w:hAnsi="Arial" w:cs="Arial"/>
          <w:bCs/>
          <w:lang w:val="en-US"/>
        </w:rPr>
        <w:t>Dark shading indicates incentive/enabler can be affected by stakeholder.</w:t>
      </w:r>
    </w:p>
    <w:p w14:paraId="09C10F78" w14:textId="08A5576B" w:rsidR="00E81B61" w:rsidRPr="00EE5A23" w:rsidRDefault="00780A53" w:rsidP="00596FC7">
      <w:pPr>
        <w:rPr>
          <w:rFonts w:ascii="Arial" w:hAnsi="Arial" w:cs="Arial"/>
          <w:bCs/>
          <w:lang w:val="en-US"/>
        </w:rPr>
      </w:pPr>
      <w:r w:rsidRPr="00EE5A23">
        <w:rPr>
          <w:rFonts w:ascii="Arial" w:hAnsi="Arial" w:cs="Arial"/>
          <w:bCs/>
          <w:lang w:val="en-US"/>
        </w:rPr>
        <w:t xml:space="preserve">Normally, contracting (and its related theory) focuses on the relationship between the managers of the contracting body and the contracted partner, in essence between the responsible authority and the transport operators. However, our schema shows there is a role for other parties, including operating staff, third parties and citizens in general. </w:t>
      </w:r>
      <w:r w:rsidR="00954A4F" w:rsidRPr="00EE5A23">
        <w:rPr>
          <w:rFonts w:ascii="Arial" w:hAnsi="Arial" w:cs="Arial"/>
          <w:bCs/>
          <w:lang w:val="en-US"/>
        </w:rPr>
        <w:t>For an example, an important aspect of contracting-out is the transfer arrangements for operating staff.</w:t>
      </w:r>
    </w:p>
    <w:p w14:paraId="422BE600" w14:textId="213062E1" w:rsidR="00D545C9" w:rsidRPr="00EE5A23" w:rsidRDefault="00D545C9" w:rsidP="00596FC7">
      <w:pPr>
        <w:rPr>
          <w:rFonts w:ascii="Arial" w:hAnsi="Arial" w:cs="Arial"/>
          <w:bCs/>
        </w:rPr>
      </w:pPr>
      <w:r w:rsidRPr="00EE5A23">
        <w:rPr>
          <w:rFonts w:ascii="Arial" w:hAnsi="Arial" w:cs="Arial"/>
          <w:bCs/>
        </w:rPr>
        <w:t xml:space="preserve">In terms of incentives, patronage (for authority managers) and revenue (for operator managers) are key drivers, but these could also be drivers </w:t>
      </w:r>
      <w:r w:rsidR="00954A4F" w:rsidRPr="00EE5A23">
        <w:rPr>
          <w:rFonts w:ascii="Arial" w:hAnsi="Arial" w:cs="Arial"/>
          <w:bCs/>
        </w:rPr>
        <w:t xml:space="preserve">(excuse the pun) </w:t>
      </w:r>
      <w:r w:rsidRPr="00EE5A23">
        <w:rPr>
          <w:rFonts w:ascii="Arial" w:hAnsi="Arial" w:cs="Arial"/>
          <w:bCs/>
        </w:rPr>
        <w:t>f</w:t>
      </w:r>
      <w:r w:rsidR="00954A4F" w:rsidRPr="00EE5A23">
        <w:rPr>
          <w:rFonts w:ascii="Arial" w:hAnsi="Arial" w:cs="Arial"/>
          <w:bCs/>
        </w:rPr>
        <w:t>or</w:t>
      </w:r>
      <w:r w:rsidRPr="00EE5A23">
        <w:rPr>
          <w:rFonts w:ascii="Arial" w:hAnsi="Arial" w:cs="Arial"/>
          <w:bCs/>
        </w:rPr>
        <w:t xml:space="preserve"> operational staff. For managers, ultimately profit is the key incentive. For supply side incentives, excess waiting time (EWT) has become dominant for frequent services (including London and Singapore), whilst on-time arrivals (OTA) are more the norm for less frequent services. Incentive schemes based on these metrics can be delivered by third parties.</w:t>
      </w:r>
      <w:r w:rsidR="009C777B">
        <w:rPr>
          <w:rFonts w:ascii="Arial" w:hAnsi="Arial" w:cs="Arial"/>
          <w:bCs/>
        </w:rPr>
        <w:t xml:space="preserve"> </w:t>
      </w:r>
      <w:r w:rsidRPr="00EE5A23">
        <w:rPr>
          <w:rFonts w:ascii="Arial" w:hAnsi="Arial" w:cs="Arial"/>
          <w:bCs/>
        </w:rPr>
        <w:t xml:space="preserve">Customer satisfaction surveys (CSS) and formalised complaints can be the basis of incentive and compensation schemes of the delay-repay type. </w:t>
      </w:r>
    </w:p>
    <w:p w14:paraId="137F8949" w14:textId="468C9CC7" w:rsidR="00D545C9" w:rsidRPr="00EE5A23" w:rsidRDefault="00D545C9" w:rsidP="00904F23">
      <w:pPr>
        <w:rPr>
          <w:rFonts w:ascii="Arial" w:hAnsi="Arial" w:cs="Arial"/>
          <w:bCs/>
        </w:rPr>
      </w:pPr>
      <w:r w:rsidRPr="00EE5A23">
        <w:rPr>
          <w:rFonts w:ascii="Arial" w:hAnsi="Arial" w:cs="Arial"/>
          <w:bCs/>
        </w:rPr>
        <w:t>As indicated above, adjustment mechanisms on both the demand and supply side can be important facilitators to successful tendering, along with the provision of capital (no least for the purchase of new vehicles) and data on demand and supply factors.</w:t>
      </w:r>
    </w:p>
    <w:p w14:paraId="20EB27AB" w14:textId="3F116E00" w:rsidR="007216F4" w:rsidRPr="00EE5A23" w:rsidRDefault="00954A4F" w:rsidP="00596FC7">
      <w:pPr>
        <w:rPr>
          <w:rFonts w:ascii="Arial" w:hAnsi="Arial" w:cs="Arial"/>
          <w:bCs/>
        </w:rPr>
      </w:pPr>
      <w:r w:rsidRPr="00EE5A23">
        <w:rPr>
          <w:rFonts w:ascii="Arial" w:hAnsi="Arial" w:cs="Arial"/>
          <w:bCs/>
        </w:rPr>
        <w:lastRenderedPageBreak/>
        <w:t>3.2</w:t>
      </w:r>
      <w:r w:rsidRPr="00EE5A23">
        <w:rPr>
          <w:rFonts w:ascii="Arial" w:hAnsi="Arial" w:cs="Arial"/>
          <w:bCs/>
        </w:rPr>
        <w:tab/>
        <w:t>Technology and Governance Issues</w:t>
      </w:r>
    </w:p>
    <w:p w14:paraId="1AB5BAC9" w14:textId="702E7813" w:rsidR="00904F23" w:rsidRPr="00EE5A23" w:rsidRDefault="00904F23" w:rsidP="00904F23">
      <w:pPr>
        <w:rPr>
          <w:rFonts w:ascii="Arial" w:hAnsi="Arial" w:cs="Arial"/>
          <w:bCs/>
        </w:rPr>
      </w:pPr>
      <w:r w:rsidRPr="00EE5A23">
        <w:rPr>
          <w:rFonts w:ascii="Arial" w:hAnsi="Arial" w:cs="Arial"/>
          <w:bCs/>
        </w:rPr>
        <w:t xml:space="preserve">With respect to technology, GPS offers the prospects for rich real-time information on the supply side, whilst Smartcards </w:t>
      </w:r>
      <w:r w:rsidR="00095824">
        <w:rPr>
          <w:rFonts w:ascii="Arial" w:hAnsi="Arial" w:cs="Arial"/>
          <w:bCs/>
        </w:rPr>
        <w:t xml:space="preserve">(particularly if they are swipe on and off) </w:t>
      </w:r>
      <w:r w:rsidRPr="00EE5A23">
        <w:rPr>
          <w:rFonts w:ascii="Arial" w:hAnsi="Arial" w:cs="Arial"/>
          <w:bCs/>
        </w:rPr>
        <w:t>and similar products offers similar prospects on the demand side. Mobile network data (and similar) allow the matching of demand and supply at the vehicle level. These data sets in combination provide rich material for contract design</w:t>
      </w:r>
      <w:r w:rsidR="00095824">
        <w:rPr>
          <w:rFonts w:ascii="Arial" w:hAnsi="Arial" w:cs="Arial"/>
          <w:bCs/>
        </w:rPr>
        <w:t>, as they allow a much better matching of vehicle capacity and demand by time and place</w:t>
      </w:r>
      <w:r w:rsidRPr="00EE5A23">
        <w:rPr>
          <w:rFonts w:ascii="Arial" w:hAnsi="Arial" w:cs="Arial"/>
          <w:bCs/>
        </w:rPr>
        <w:t xml:space="preserve">. Regulatory sandboxes </w:t>
      </w:r>
      <w:r w:rsidR="00C57E9B" w:rsidRPr="00EE5A23">
        <w:rPr>
          <w:rFonts w:ascii="Arial" w:hAnsi="Arial" w:cs="Arial"/>
          <w:bCs/>
        </w:rPr>
        <w:t xml:space="preserve">(in order to test new technology and regulations) </w:t>
      </w:r>
      <w:r w:rsidRPr="00EE5A23">
        <w:rPr>
          <w:rFonts w:ascii="Arial" w:hAnsi="Arial" w:cs="Arial"/>
          <w:bCs/>
        </w:rPr>
        <w:t>of the type pioneered in Singapore pave the way for contractual offerings that go beyond conventional public transport (scheduled bus and rail and intermediates such bus rapid transit and light rapid transit). Potential new offerings include micro-mobility (e.g.</w:t>
      </w:r>
      <w:r w:rsidR="009C777B">
        <w:rPr>
          <w:rFonts w:ascii="Arial" w:hAnsi="Arial" w:cs="Arial"/>
          <w:bCs/>
        </w:rPr>
        <w:t>,</w:t>
      </w:r>
      <w:r w:rsidRPr="00EE5A23">
        <w:rPr>
          <w:rFonts w:ascii="Arial" w:hAnsi="Arial" w:cs="Arial"/>
          <w:bCs/>
        </w:rPr>
        <w:t xml:space="preserve"> e-scooters), demand responsive transit and ride sharing and sourcing. Smartphone apps, based around the Mobility as a Service concept, provide the basis for integration platforms.</w:t>
      </w:r>
    </w:p>
    <w:p w14:paraId="6699EAB1" w14:textId="3161AA9A" w:rsidR="00904F23" w:rsidRPr="00EE5A23" w:rsidRDefault="00904F23" w:rsidP="00904F23">
      <w:pPr>
        <w:rPr>
          <w:rFonts w:ascii="Arial" w:hAnsi="Arial" w:cs="Arial"/>
          <w:bCs/>
        </w:rPr>
      </w:pPr>
      <w:r w:rsidRPr="00EE5A23">
        <w:rPr>
          <w:rFonts w:ascii="Arial" w:hAnsi="Arial" w:cs="Arial"/>
          <w:bCs/>
        </w:rPr>
        <w:t xml:space="preserve">With respect to governance, we might expect devolution, regionalism and localism to continue to impact on public </w:t>
      </w:r>
      <w:r w:rsidR="00B5238A">
        <w:rPr>
          <w:rFonts w:ascii="Arial" w:hAnsi="Arial" w:cs="Arial"/>
          <w:bCs/>
        </w:rPr>
        <w:t xml:space="preserve">transport </w:t>
      </w:r>
      <w:r w:rsidRPr="00EE5A23">
        <w:rPr>
          <w:rFonts w:ascii="Arial" w:hAnsi="Arial" w:cs="Arial"/>
          <w:bCs/>
        </w:rPr>
        <w:t>provision, with new forms of combined authorities emerging. We might also expect the boundaries between competitive and negotiated contracts to be more blurred and continued experimentation with hybrid contractual arrangements.</w:t>
      </w:r>
      <w:r w:rsidR="00435C1F" w:rsidRPr="00EE5A23">
        <w:rPr>
          <w:rFonts w:ascii="Arial" w:hAnsi="Arial" w:cs="Arial"/>
          <w:bCs/>
        </w:rPr>
        <w:t xml:space="preserve">  Our assessment is that in effective mature markets the balance between operators and authorities is finely tensioned. In less effective, less mature markets, authorities are often ineffectual and inconsistent. In some mature markets, there are dangers of cartelisation, where the dominant operators have effectively capture</w:t>
      </w:r>
      <w:r w:rsidR="00B5238A">
        <w:rPr>
          <w:rFonts w:ascii="Arial" w:hAnsi="Arial" w:cs="Arial"/>
          <w:bCs/>
        </w:rPr>
        <w:t>d</w:t>
      </w:r>
      <w:r w:rsidR="00435C1F" w:rsidRPr="00EE5A23">
        <w:rPr>
          <w:rFonts w:ascii="Arial" w:hAnsi="Arial" w:cs="Arial"/>
          <w:bCs/>
        </w:rPr>
        <w:t xml:space="preserve"> the authority.</w:t>
      </w:r>
    </w:p>
    <w:p w14:paraId="5E074630" w14:textId="159444C7" w:rsidR="00435C1F" w:rsidRPr="00EE5A23" w:rsidRDefault="00435C1F" w:rsidP="00904F23">
      <w:pPr>
        <w:rPr>
          <w:rFonts w:ascii="Arial" w:hAnsi="Arial" w:cs="Arial"/>
          <w:b/>
          <w:bCs/>
        </w:rPr>
      </w:pPr>
      <w:r w:rsidRPr="00EE5A23">
        <w:rPr>
          <w:rFonts w:ascii="Arial" w:hAnsi="Arial" w:cs="Arial"/>
          <w:b/>
          <w:bCs/>
        </w:rPr>
        <w:t>4.</w:t>
      </w:r>
      <w:r w:rsidRPr="00EE5A23">
        <w:rPr>
          <w:rFonts w:ascii="Arial" w:hAnsi="Arial" w:cs="Arial"/>
          <w:b/>
          <w:bCs/>
        </w:rPr>
        <w:tab/>
        <w:t>Conclusions</w:t>
      </w:r>
    </w:p>
    <w:p w14:paraId="66C39C4E" w14:textId="77777777" w:rsidR="00435C1F" w:rsidRPr="00EE5A23" w:rsidRDefault="00435C1F" w:rsidP="00954A4F">
      <w:pPr>
        <w:rPr>
          <w:rFonts w:ascii="Arial" w:hAnsi="Arial" w:cs="Arial"/>
          <w:bCs/>
        </w:rPr>
      </w:pPr>
      <w:r w:rsidRPr="00EE5A23">
        <w:rPr>
          <w:rFonts w:ascii="Arial" w:hAnsi="Arial" w:cs="Arial"/>
          <w:bCs/>
        </w:rPr>
        <w:t>In our final section we shall provide some policy recommendations and research priorities. We will then suggest a workshop session for the next Thredbo conference in Kyoto, Japan, 2021.</w:t>
      </w:r>
    </w:p>
    <w:p w14:paraId="29BB79C6" w14:textId="77820F67" w:rsidR="00065DD7" w:rsidRPr="00EE5A23" w:rsidRDefault="00435C1F" w:rsidP="00954A4F">
      <w:pPr>
        <w:rPr>
          <w:rFonts w:ascii="Arial" w:hAnsi="Arial" w:cs="Arial"/>
          <w:bCs/>
        </w:rPr>
      </w:pPr>
      <w:r w:rsidRPr="00EE5A23">
        <w:rPr>
          <w:rFonts w:ascii="Arial" w:hAnsi="Arial" w:cs="Arial"/>
          <w:bCs/>
        </w:rPr>
        <w:t>4.1</w:t>
      </w:r>
      <w:r w:rsidRPr="00EE5A23">
        <w:rPr>
          <w:rFonts w:ascii="Arial" w:hAnsi="Arial" w:cs="Arial"/>
          <w:bCs/>
        </w:rPr>
        <w:tab/>
      </w:r>
      <w:r w:rsidR="00065DD7" w:rsidRPr="00EE5A23">
        <w:rPr>
          <w:rFonts w:ascii="Arial" w:hAnsi="Arial" w:cs="Arial"/>
          <w:bCs/>
        </w:rPr>
        <w:t>Policy Recommendations</w:t>
      </w:r>
    </w:p>
    <w:p w14:paraId="63D697D3" w14:textId="5B2D473C" w:rsidR="00B02C77" w:rsidRPr="00EE5A23" w:rsidRDefault="00065DD7" w:rsidP="00954A4F">
      <w:pPr>
        <w:rPr>
          <w:rFonts w:ascii="Arial" w:eastAsiaTheme="minorEastAsia" w:hAnsi="Arial" w:cs="Arial"/>
          <w:color w:val="000000" w:themeColor="text1"/>
          <w:kern w:val="24"/>
          <w:lang w:val="en-AU"/>
        </w:rPr>
      </w:pPr>
      <w:r w:rsidRPr="00EE5A23">
        <w:rPr>
          <w:rFonts w:ascii="Arial" w:eastAsiaTheme="minorEastAsia" w:hAnsi="Arial" w:cs="Arial"/>
          <w:color w:val="000000" w:themeColor="text1"/>
          <w:kern w:val="24"/>
          <w:lang w:val="en-AU"/>
        </w:rPr>
        <w:t xml:space="preserve">Workforce incentives </w:t>
      </w:r>
      <w:r w:rsidR="00B02C77" w:rsidRPr="00EE5A23">
        <w:rPr>
          <w:rFonts w:ascii="Arial" w:eastAsiaTheme="minorEastAsia" w:hAnsi="Arial" w:cs="Arial"/>
          <w:color w:val="000000" w:themeColor="text1"/>
          <w:kern w:val="24"/>
          <w:lang w:val="en-AU"/>
        </w:rPr>
        <w:t xml:space="preserve">have a role to play in contracting-out and could be considered </w:t>
      </w:r>
      <w:r w:rsidRPr="00EE5A23">
        <w:rPr>
          <w:rFonts w:ascii="Arial" w:eastAsiaTheme="minorEastAsia" w:hAnsi="Arial" w:cs="Arial"/>
          <w:color w:val="000000" w:themeColor="text1"/>
          <w:kern w:val="24"/>
          <w:lang w:val="en-AU"/>
        </w:rPr>
        <w:t>as an award criteria.</w:t>
      </w:r>
      <w:r w:rsidR="00B02C77" w:rsidRPr="00EE5A23">
        <w:rPr>
          <w:rFonts w:ascii="Arial" w:eastAsiaTheme="minorEastAsia" w:hAnsi="Arial" w:cs="Arial"/>
          <w:color w:val="000000" w:themeColor="text1"/>
          <w:kern w:val="24"/>
          <w:lang w:val="en-AU"/>
        </w:rPr>
        <w:t xml:space="preserve"> The a</w:t>
      </w:r>
      <w:r w:rsidRPr="00EE5A23">
        <w:rPr>
          <w:rFonts w:ascii="Arial" w:eastAsiaTheme="minorEastAsia" w:hAnsi="Arial" w:cs="Arial"/>
          <w:color w:val="000000" w:themeColor="text1"/>
          <w:kern w:val="24"/>
          <w:lang w:val="en-AU"/>
        </w:rPr>
        <w:t>vailability of (big) demand and revenue data</w:t>
      </w:r>
      <w:r w:rsidR="00B02C77" w:rsidRPr="00EE5A23">
        <w:rPr>
          <w:rFonts w:ascii="Arial" w:eastAsiaTheme="minorEastAsia" w:hAnsi="Arial" w:cs="Arial"/>
          <w:color w:val="000000" w:themeColor="text1"/>
          <w:kern w:val="24"/>
          <w:lang w:val="en-AU"/>
        </w:rPr>
        <w:t xml:space="preserve"> can help open up markets and this can be facilitated by n</w:t>
      </w:r>
      <w:r w:rsidRPr="00EE5A23">
        <w:rPr>
          <w:rFonts w:ascii="Arial" w:eastAsiaTheme="minorEastAsia" w:hAnsi="Arial" w:cs="Arial"/>
          <w:color w:val="000000" w:themeColor="text1"/>
          <w:kern w:val="24"/>
          <w:lang w:val="en-AU"/>
        </w:rPr>
        <w:t xml:space="preserve">ational </w:t>
      </w:r>
      <w:r w:rsidR="00B02C77" w:rsidRPr="00EE5A23">
        <w:rPr>
          <w:rFonts w:ascii="Arial" w:eastAsiaTheme="minorEastAsia" w:hAnsi="Arial" w:cs="Arial"/>
          <w:color w:val="000000" w:themeColor="text1"/>
          <w:kern w:val="24"/>
          <w:lang w:val="en-AU"/>
        </w:rPr>
        <w:t>(and international)</w:t>
      </w:r>
      <w:r w:rsidR="00435C1F" w:rsidRPr="00EE5A23">
        <w:rPr>
          <w:rFonts w:ascii="Arial" w:eastAsiaTheme="minorEastAsia" w:hAnsi="Arial" w:cs="Arial"/>
          <w:color w:val="000000" w:themeColor="text1"/>
          <w:kern w:val="24"/>
          <w:lang w:val="en-AU"/>
        </w:rPr>
        <w:t xml:space="preserve"> </w:t>
      </w:r>
      <w:r w:rsidR="00B02C77" w:rsidRPr="00EE5A23">
        <w:rPr>
          <w:rFonts w:ascii="Arial" w:eastAsiaTheme="minorEastAsia" w:hAnsi="Arial" w:cs="Arial"/>
          <w:color w:val="000000" w:themeColor="text1"/>
          <w:kern w:val="24"/>
          <w:lang w:val="en-AU"/>
        </w:rPr>
        <w:t>standard</w:t>
      </w:r>
      <w:r w:rsidRPr="00EE5A23">
        <w:rPr>
          <w:rFonts w:ascii="Arial" w:eastAsiaTheme="minorEastAsia" w:hAnsi="Arial" w:cs="Arial"/>
          <w:color w:val="000000" w:themeColor="text1"/>
          <w:kern w:val="24"/>
          <w:lang w:val="en-AU"/>
        </w:rPr>
        <w:t>s</w:t>
      </w:r>
      <w:r w:rsidR="00B5238A">
        <w:rPr>
          <w:rFonts w:ascii="Arial" w:eastAsiaTheme="minorEastAsia" w:hAnsi="Arial" w:cs="Arial"/>
          <w:color w:val="000000" w:themeColor="text1"/>
          <w:kern w:val="24"/>
          <w:lang w:val="en-AU"/>
        </w:rPr>
        <w:t xml:space="preserve"> for data formats and the like.</w:t>
      </w:r>
    </w:p>
    <w:p w14:paraId="258EE455" w14:textId="584E0401" w:rsidR="00065DD7" w:rsidRPr="00EE5A23" w:rsidRDefault="00B02C77" w:rsidP="00954A4F">
      <w:pPr>
        <w:rPr>
          <w:rFonts w:ascii="Arial" w:hAnsi="Arial" w:cs="Arial"/>
        </w:rPr>
      </w:pPr>
      <w:r w:rsidRPr="00EE5A23">
        <w:rPr>
          <w:rFonts w:ascii="Arial" w:eastAsiaTheme="minorEastAsia" w:hAnsi="Arial" w:cs="Arial"/>
          <w:color w:val="000000" w:themeColor="text1"/>
          <w:kern w:val="24"/>
          <w:lang w:val="en-AU"/>
        </w:rPr>
        <w:t xml:space="preserve">We see that gross cost contracts are becoming the default in many markets, whilst asset ownership (depots, clean vehicles) </w:t>
      </w:r>
      <w:r w:rsidR="00B5238A">
        <w:rPr>
          <w:rFonts w:ascii="Arial" w:eastAsiaTheme="minorEastAsia" w:hAnsi="Arial" w:cs="Arial"/>
          <w:color w:val="000000" w:themeColor="text1"/>
          <w:kern w:val="24"/>
          <w:lang w:val="en-AU"/>
        </w:rPr>
        <w:t xml:space="preserve">by public bodies </w:t>
      </w:r>
      <w:r w:rsidRPr="00EE5A23">
        <w:rPr>
          <w:rFonts w:ascii="Arial" w:eastAsiaTheme="minorEastAsia" w:hAnsi="Arial" w:cs="Arial"/>
          <w:color w:val="000000" w:themeColor="text1"/>
          <w:kern w:val="24"/>
          <w:lang w:val="en-AU"/>
        </w:rPr>
        <w:t xml:space="preserve">is increasing in importance. Although there is </w:t>
      </w:r>
      <w:r w:rsidR="00435C1F" w:rsidRPr="00EE5A23">
        <w:rPr>
          <w:rFonts w:ascii="Arial" w:eastAsiaTheme="minorEastAsia" w:hAnsi="Arial" w:cs="Arial"/>
          <w:color w:val="000000" w:themeColor="text1"/>
          <w:kern w:val="24"/>
          <w:lang w:val="en-AU"/>
        </w:rPr>
        <w:t xml:space="preserve">a global </w:t>
      </w:r>
      <w:r w:rsidRPr="00EE5A23">
        <w:rPr>
          <w:rFonts w:ascii="Arial" w:eastAsiaTheme="minorEastAsia" w:hAnsi="Arial" w:cs="Arial"/>
          <w:color w:val="000000" w:themeColor="text1"/>
          <w:kern w:val="24"/>
          <w:lang w:val="en-AU"/>
        </w:rPr>
        <w:t>move away from incentives, at the network level incentives to enhance integration should be pursued. This might involve formal partnerships between operators and authorities, as are being putatively developed in Great Britain</w:t>
      </w:r>
    </w:p>
    <w:p w14:paraId="2E0484E4" w14:textId="64732220" w:rsidR="00065DD7" w:rsidRPr="00EE5A23" w:rsidRDefault="00B02C77" w:rsidP="00954A4F">
      <w:pPr>
        <w:rPr>
          <w:rFonts w:ascii="Arial" w:hAnsi="Arial" w:cs="Arial"/>
        </w:rPr>
      </w:pPr>
      <w:r w:rsidRPr="00EE5A23">
        <w:rPr>
          <w:rFonts w:ascii="Arial" w:eastAsiaTheme="minorEastAsia" w:hAnsi="Arial" w:cs="Arial"/>
          <w:color w:val="000000" w:themeColor="text1"/>
          <w:kern w:val="24"/>
          <w:lang w:val="en-AU"/>
        </w:rPr>
        <w:t>Contracts may be expected to evolve in the light of market dynamics for both less and more mature markets. K</w:t>
      </w:r>
      <w:r w:rsidR="00065DD7" w:rsidRPr="00EE5A23">
        <w:rPr>
          <w:rFonts w:ascii="Arial" w:eastAsiaTheme="minorEastAsia" w:hAnsi="Arial" w:cs="Arial"/>
          <w:color w:val="000000" w:themeColor="text1"/>
          <w:kern w:val="24"/>
          <w:lang w:val="en-AU"/>
        </w:rPr>
        <w:t>nowledge compendia</w:t>
      </w:r>
      <w:r w:rsidRPr="00EE5A23">
        <w:rPr>
          <w:rFonts w:ascii="Arial" w:eastAsiaTheme="minorEastAsia" w:hAnsi="Arial" w:cs="Arial"/>
          <w:color w:val="000000" w:themeColor="text1"/>
          <w:kern w:val="24"/>
          <w:lang w:val="en-AU"/>
        </w:rPr>
        <w:t xml:space="preserve"> about these pathways should be developed, building on earlier work and case studies</w:t>
      </w:r>
      <w:r w:rsidR="00065DD7" w:rsidRPr="00EE5A23">
        <w:rPr>
          <w:rFonts w:ascii="Arial" w:eastAsiaTheme="minorEastAsia" w:hAnsi="Arial" w:cs="Arial"/>
          <w:color w:val="000000" w:themeColor="text1"/>
          <w:kern w:val="24"/>
          <w:lang w:val="en-AU"/>
        </w:rPr>
        <w:t>.</w:t>
      </w:r>
      <w:r w:rsidR="00435C1F" w:rsidRPr="00EE5A23">
        <w:rPr>
          <w:rFonts w:ascii="Arial" w:eastAsiaTheme="minorEastAsia" w:hAnsi="Arial" w:cs="Arial"/>
          <w:color w:val="000000" w:themeColor="text1"/>
          <w:kern w:val="24"/>
          <w:lang w:val="en-AU"/>
        </w:rPr>
        <w:t xml:space="preserve"> Past Thredbo conferences, the web site</w:t>
      </w:r>
      <w:r w:rsidR="00435C1F" w:rsidRPr="00EE5A23">
        <w:rPr>
          <w:rStyle w:val="FootnoteReference"/>
          <w:rFonts w:ascii="Arial" w:eastAsiaTheme="minorEastAsia" w:hAnsi="Arial" w:cs="Arial"/>
          <w:color w:val="000000" w:themeColor="text1"/>
          <w:kern w:val="24"/>
          <w:lang w:val="en-AU"/>
        </w:rPr>
        <w:footnoteReference w:id="2"/>
      </w:r>
      <w:r w:rsidR="00435C1F" w:rsidRPr="00EE5A23">
        <w:rPr>
          <w:rFonts w:ascii="Arial" w:eastAsiaTheme="minorEastAsia" w:hAnsi="Arial" w:cs="Arial"/>
          <w:color w:val="000000" w:themeColor="text1"/>
          <w:kern w:val="24"/>
          <w:lang w:val="en-AU"/>
        </w:rPr>
        <w:t xml:space="preserve"> and the published papers, latterly in Research in Transportation Economics, provide an immensely detailed source of information</w:t>
      </w:r>
      <w:r w:rsidR="00B5238A">
        <w:rPr>
          <w:rFonts w:ascii="Arial" w:eastAsiaTheme="minorEastAsia" w:hAnsi="Arial" w:cs="Arial"/>
          <w:color w:val="000000" w:themeColor="text1"/>
          <w:kern w:val="24"/>
          <w:lang w:val="en-AU"/>
        </w:rPr>
        <w:t>. F</w:t>
      </w:r>
      <w:r w:rsidR="00593AF1" w:rsidRPr="00EE5A23">
        <w:rPr>
          <w:rFonts w:ascii="Arial" w:eastAsiaTheme="minorEastAsia" w:hAnsi="Arial" w:cs="Arial"/>
          <w:color w:val="000000" w:themeColor="text1"/>
          <w:kern w:val="24"/>
          <w:lang w:val="en-AU"/>
        </w:rPr>
        <w:t xml:space="preserve">or </w:t>
      </w:r>
      <w:r w:rsidR="00B5238A">
        <w:rPr>
          <w:rFonts w:ascii="Arial" w:eastAsiaTheme="minorEastAsia" w:hAnsi="Arial" w:cs="Arial"/>
          <w:color w:val="000000" w:themeColor="text1"/>
          <w:kern w:val="24"/>
          <w:lang w:val="en-AU"/>
        </w:rPr>
        <w:t xml:space="preserve">an </w:t>
      </w:r>
      <w:r w:rsidR="00593AF1" w:rsidRPr="00EE5A23">
        <w:rPr>
          <w:rFonts w:ascii="Arial" w:eastAsiaTheme="minorEastAsia" w:hAnsi="Arial" w:cs="Arial"/>
          <w:color w:val="000000" w:themeColor="text1"/>
          <w:kern w:val="24"/>
          <w:lang w:val="en-AU"/>
        </w:rPr>
        <w:t xml:space="preserve">example </w:t>
      </w:r>
      <w:r w:rsidR="00B5238A">
        <w:rPr>
          <w:rFonts w:ascii="Arial" w:eastAsiaTheme="minorEastAsia" w:hAnsi="Arial" w:cs="Arial"/>
          <w:color w:val="000000" w:themeColor="text1"/>
          <w:kern w:val="24"/>
          <w:lang w:val="en-AU"/>
        </w:rPr>
        <w:t>see the</w:t>
      </w:r>
      <w:r w:rsidR="00593AF1" w:rsidRPr="00EE5A23">
        <w:rPr>
          <w:rFonts w:ascii="Arial" w:eastAsiaTheme="minorEastAsia" w:hAnsi="Arial" w:cs="Arial"/>
          <w:color w:val="000000" w:themeColor="text1"/>
          <w:kern w:val="24"/>
          <w:lang w:val="en-AU"/>
        </w:rPr>
        <w:t xml:space="preserve"> review of 20 years of bus contractin</w:t>
      </w:r>
      <w:r w:rsidR="00882598" w:rsidRPr="00EE5A23">
        <w:rPr>
          <w:rFonts w:ascii="Arial" w:eastAsiaTheme="minorEastAsia" w:hAnsi="Arial" w:cs="Arial"/>
          <w:color w:val="000000" w:themeColor="text1"/>
          <w:kern w:val="24"/>
          <w:lang w:val="en-AU"/>
        </w:rPr>
        <w:t>g by Hensher and Stanley (2010)</w:t>
      </w:r>
      <w:r w:rsidR="00B5238A">
        <w:rPr>
          <w:rFonts w:ascii="Arial" w:eastAsiaTheme="minorEastAsia" w:hAnsi="Arial" w:cs="Arial"/>
          <w:color w:val="000000" w:themeColor="text1"/>
          <w:kern w:val="24"/>
          <w:lang w:val="en-AU"/>
        </w:rPr>
        <w:t xml:space="preserve"> -</w:t>
      </w:r>
      <w:r w:rsidR="00593AF1" w:rsidRPr="00EE5A23">
        <w:rPr>
          <w:rFonts w:ascii="Arial" w:eastAsiaTheme="minorEastAsia" w:hAnsi="Arial" w:cs="Arial"/>
          <w:color w:val="000000" w:themeColor="text1"/>
          <w:kern w:val="24"/>
          <w:lang w:val="en-AU"/>
        </w:rPr>
        <w:t xml:space="preserve"> a 30 year</w:t>
      </w:r>
      <w:r w:rsidR="009952F8" w:rsidRPr="00EE5A23">
        <w:rPr>
          <w:rFonts w:ascii="Arial" w:eastAsiaTheme="minorEastAsia" w:hAnsi="Arial" w:cs="Arial"/>
          <w:color w:val="000000" w:themeColor="text1"/>
          <w:kern w:val="24"/>
          <w:lang w:val="en-AU"/>
        </w:rPr>
        <w:t>s</w:t>
      </w:r>
      <w:r w:rsidR="00593AF1" w:rsidRPr="00EE5A23">
        <w:rPr>
          <w:rFonts w:ascii="Arial" w:eastAsiaTheme="minorEastAsia" w:hAnsi="Arial" w:cs="Arial"/>
          <w:color w:val="000000" w:themeColor="text1"/>
          <w:kern w:val="24"/>
          <w:lang w:val="en-AU"/>
        </w:rPr>
        <w:t xml:space="preserve"> review is now due</w:t>
      </w:r>
      <w:r w:rsidR="00435C1F" w:rsidRPr="00EE5A23">
        <w:rPr>
          <w:rFonts w:ascii="Arial" w:eastAsiaTheme="minorEastAsia" w:hAnsi="Arial" w:cs="Arial"/>
          <w:color w:val="000000" w:themeColor="text1"/>
          <w:kern w:val="24"/>
          <w:lang w:val="en-AU"/>
        </w:rPr>
        <w:t>. Th</w:t>
      </w:r>
      <w:r w:rsidR="00B5238A">
        <w:rPr>
          <w:rFonts w:ascii="Arial" w:eastAsiaTheme="minorEastAsia" w:hAnsi="Arial" w:cs="Arial"/>
          <w:color w:val="000000" w:themeColor="text1"/>
          <w:kern w:val="24"/>
          <w:lang w:val="en-AU"/>
        </w:rPr>
        <w:t>e</w:t>
      </w:r>
      <w:r w:rsidR="00435C1F" w:rsidRPr="00EE5A23">
        <w:rPr>
          <w:rFonts w:ascii="Arial" w:eastAsiaTheme="minorEastAsia" w:hAnsi="Arial" w:cs="Arial"/>
          <w:color w:val="000000" w:themeColor="text1"/>
          <w:kern w:val="24"/>
          <w:lang w:val="en-AU"/>
        </w:rPr>
        <w:t>s</w:t>
      </w:r>
      <w:r w:rsidR="00B5238A">
        <w:rPr>
          <w:rFonts w:ascii="Arial" w:eastAsiaTheme="minorEastAsia" w:hAnsi="Arial" w:cs="Arial"/>
          <w:color w:val="000000" w:themeColor="text1"/>
          <w:kern w:val="24"/>
          <w:lang w:val="en-AU"/>
        </w:rPr>
        <w:t>e resources</w:t>
      </w:r>
      <w:r w:rsidR="00435C1F" w:rsidRPr="00EE5A23">
        <w:rPr>
          <w:rFonts w:ascii="Arial" w:eastAsiaTheme="minorEastAsia" w:hAnsi="Arial" w:cs="Arial"/>
          <w:color w:val="000000" w:themeColor="text1"/>
          <w:kern w:val="24"/>
          <w:lang w:val="en-AU"/>
        </w:rPr>
        <w:t xml:space="preserve"> may be comple</w:t>
      </w:r>
      <w:r w:rsidR="00593AF1" w:rsidRPr="00EE5A23">
        <w:rPr>
          <w:rFonts w:ascii="Arial" w:eastAsiaTheme="minorEastAsia" w:hAnsi="Arial" w:cs="Arial"/>
          <w:color w:val="000000" w:themeColor="text1"/>
          <w:kern w:val="24"/>
          <w:lang w:val="en-AU"/>
        </w:rPr>
        <w:t>ment</w:t>
      </w:r>
      <w:r w:rsidR="00435C1F" w:rsidRPr="00EE5A23">
        <w:rPr>
          <w:rFonts w:ascii="Arial" w:eastAsiaTheme="minorEastAsia" w:hAnsi="Arial" w:cs="Arial"/>
          <w:color w:val="000000" w:themeColor="text1"/>
          <w:kern w:val="24"/>
          <w:lang w:val="en-AU"/>
        </w:rPr>
        <w:t>ed by guidance provided by global bodies such as the I</w:t>
      </w:r>
      <w:r w:rsidR="00593AF1" w:rsidRPr="00EE5A23">
        <w:rPr>
          <w:rFonts w:ascii="Arial" w:eastAsiaTheme="minorEastAsia" w:hAnsi="Arial" w:cs="Arial"/>
          <w:color w:val="000000" w:themeColor="text1"/>
          <w:kern w:val="24"/>
          <w:lang w:val="en-AU"/>
        </w:rPr>
        <w:t>nternational Transport Forum, the International Union of Public Transport and compendia provided by not for profit bodies such as the Transit Center and Eno Center for Transportation (2017).</w:t>
      </w:r>
      <w:r w:rsidR="00882598" w:rsidRPr="00EE5A23">
        <w:rPr>
          <w:rFonts w:ascii="Arial" w:eastAsiaTheme="minorEastAsia" w:hAnsi="Arial" w:cs="Arial"/>
          <w:color w:val="000000" w:themeColor="text1"/>
          <w:kern w:val="24"/>
          <w:lang w:val="en-AU"/>
        </w:rPr>
        <w:t xml:space="preserve"> National and supranational guidance documents have been produced (</w:t>
      </w:r>
      <w:r w:rsidR="00C547D8" w:rsidRPr="00EE5A23">
        <w:rPr>
          <w:rFonts w:ascii="Arial" w:eastAsiaTheme="minorEastAsia" w:hAnsi="Arial" w:cs="Arial"/>
          <w:color w:val="000000" w:themeColor="text1"/>
          <w:kern w:val="24"/>
          <w:lang w:val="en-AU"/>
        </w:rPr>
        <w:t xml:space="preserve">e.g. </w:t>
      </w:r>
      <w:r w:rsidR="00882598" w:rsidRPr="00EE5A23">
        <w:rPr>
          <w:rFonts w:ascii="Arial" w:eastAsiaTheme="minorEastAsia" w:hAnsi="Arial" w:cs="Arial"/>
          <w:color w:val="000000" w:themeColor="text1"/>
          <w:kern w:val="24"/>
          <w:lang w:val="en-AU"/>
        </w:rPr>
        <w:t xml:space="preserve">Department for Transport, </w:t>
      </w:r>
      <w:r w:rsidR="00882598" w:rsidRPr="00EE5A23">
        <w:rPr>
          <w:rFonts w:ascii="Arial" w:eastAsiaTheme="minorEastAsia" w:hAnsi="Arial" w:cs="Arial"/>
          <w:color w:val="000000" w:themeColor="text1"/>
          <w:kern w:val="24"/>
          <w:lang w:val="en-AU"/>
        </w:rPr>
        <w:lastRenderedPageBreak/>
        <w:t>2013</w:t>
      </w:r>
      <w:r w:rsidR="00C547D8" w:rsidRPr="00EE5A23">
        <w:rPr>
          <w:rFonts w:ascii="Arial" w:eastAsiaTheme="minorEastAsia" w:hAnsi="Arial" w:cs="Arial"/>
          <w:color w:val="000000" w:themeColor="text1"/>
          <w:kern w:val="24"/>
          <w:lang w:val="en-AU"/>
        </w:rPr>
        <w:t>, van de Velde et al. 2008) and there may be merit in collating and comparing such documents.</w:t>
      </w:r>
    </w:p>
    <w:p w14:paraId="0B1D3C39" w14:textId="44982AB8" w:rsidR="00065DD7" w:rsidRPr="00EE5A23" w:rsidRDefault="00C547D8" w:rsidP="00954A4F">
      <w:pPr>
        <w:rPr>
          <w:rFonts w:ascii="Arial" w:hAnsi="Arial" w:cs="Arial"/>
        </w:rPr>
      </w:pPr>
      <w:r w:rsidRPr="00EE5A23">
        <w:rPr>
          <w:rFonts w:ascii="Arial" w:hAnsi="Arial" w:cs="Arial"/>
        </w:rPr>
        <w:t>4.2</w:t>
      </w:r>
      <w:r w:rsidRPr="00EE5A23">
        <w:rPr>
          <w:rFonts w:ascii="Arial" w:hAnsi="Arial" w:cs="Arial"/>
        </w:rPr>
        <w:tab/>
      </w:r>
      <w:r w:rsidR="004D0FF1" w:rsidRPr="00EE5A23">
        <w:rPr>
          <w:rFonts w:ascii="Arial" w:hAnsi="Arial" w:cs="Arial"/>
        </w:rPr>
        <w:t>Researc</w:t>
      </w:r>
      <w:r w:rsidR="00065DD7" w:rsidRPr="00EE5A23">
        <w:rPr>
          <w:rFonts w:ascii="Arial" w:hAnsi="Arial" w:cs="Arial"/>
        </w:rPr>
        <w:t>h Priorities</w:t>
      </w:r>
    </w:p>
    <w:p w14:paraId="0C869274" w14:textId="48CCDB02" w:rsidR="0094179B" w:rsidRPr="00EE5A23" w:rsidRDefault="004D0FF1" w:rsidP="00954A4F">
      <w:pPr>
        <w:rPr>
          <w:rFonts w:ascii="Arial" w:hAnsi="Arial" w:cs="Arial"/>
          <w:lang w:val="en-AU"/>
        </w:rPr>
      </w:pPr>
      <w:r w:rsidRPr="00EE5A23">
        <w:rPr>
          <w:rFonts w:ascii="Arial" w:hAnsi="Arial" w:cs="Arial"/>
          <w:lang w:val="en-AU"/>
        </w:rPr>
        <w:t>So</w:t>
      </w:r>
      <w:r w:rsidR="00C547D8" w:rsidRPr="00EE5A23">
        <w:rPr>
          <w:rFonts w:ascii="Arial" w:hAnsi="Arial" w:cs="Arial"/>
          <w:lang w:val="en-AU"/>
        </w:rPr>
        <w:t>m</w:t>
      </w:r>
      <w:r w:rsidRPr="00EE5A23">
        <w:rPr>
          <w:rFonts w:ascii="Arial" w:hAnsi="Arial" w:cs="Arial"/>
          <w:lang w:val="en-AU"/>
        </w:rPr>
        <w:t>e quick wins might be gained by e</w:t>
      </w:r>
      <w:r w:rsidR="00E3369B" w:rsidRPr="00EE5A23">
        <w:rPr>
          <w:rFonts w:ascii="Arial" w:hAnsi="Arial" w:cs="Arial"/>
          <w:lang w:val="en-AU"/>
        </w:rPr>
        <w:t>xtend</w:t>
      </w:r>
      <w:r w:rsidR="00C547D8" w:rsidRPr="00EE5A23">
        <w:rPr>
          <w:rFonts w:ascii="Arial" w:hAnsi="Arial" w:cs="Arial"/>
          <w:lang w:val="en-AU"/>
        </w:rPr>
        <w:t>ing</w:t>
      </w:r>
      <w:r w:rsidR="00E3369B" w:rsidRPr="00EE5A23">
        <w:rPr>
          <w:rFonts w:ascii="Arial" w:hAnsi="Arial" w:cs="Arial"/>
          <w:lang w:val="en-AU"/>
        </w:rPr>
        <w:t xml:space="preserve"> regional railway comparisons from F</w:t>
      </w:r>
      <w:r w:rsidRPr="00EE5A23">
        <w:rPr>
          <w:rFonts w:ascii="Arial" w:hAnsi="Arial" w:cs="Arial"/>
          <w:lang w:val="en-AU"/>
        </w:rPr>
        <w:t>rance</w:t>
      </w:r>
      <w:r w:rsidR="00E3369B" w:rsidRPr="00EE5A23">
        <w:rPr>
          <w:rFonts w:ascii="Arial" w:hAnsi="Arial" w:cs="Arial"/>
          <w:lang w:val="en-AU"/>
        </w:rPr>
        <w:t xml:space="preserve"> to </w:t>
      </w:r>
      <w:r w:rsidRPr="00EE5A23">
        <w:rPr>
          <w:rFonts w:ascii="Arial" w:hAnsi="Arial" w:cs="Arial"/>
          <w:lang w:val="en-AU"/>
        </w:rPr>
        <w:t xml:space="preserve">other countries </w:t>
      </w:r>
      <w:r w:rsidR="00C547D8" w:rsidRPr="00EE5A23">
        <w:rPr>
          <w:rFonts w:ascii="Arial" w:hAnsi="Arial" w:cs="Arial"/>
          <w:lang w:val="en-AU"/>
        </w:rPr>
        <w:t xml:space="preserve">with experience of contracting-out passenger rail services </w:t>
      </w:r>
      <w:r w:rsidRPr="00EE5A23">
        <w:rPr>
          <w:rFonts w:ascii="Arial" w:hAnsi="Arial" w:cs="Arial"/>
          <w:lang w:val="en-AU"/>
        </w:rPr>
        <w:t>including Germany, the</w:t>
      </w:r>
      <w:r w:rsidR="00E3369B" w:rsidRPr="00EE5A23">
        <w:rPr>
          <w:rFonts w:ascii="Arial" w:hAnsi="Arial" w:cs="Arial"/>
          <w:lang w:val="en-AU"/>
        </w:rPr>
        <w:t xml:space="preserve"> N</w:t>
      </w:r>
      <w:r w:rsidRPr="00EE5A23">
        <w:rPr>
          <w:rFonts w:ascii="Arial" w:hAnsi="Arial" w:cs="Arial"/>
          <w:lang w:val="en-AU"/>
        </w:rPr>
        <w:t xml:space="preserve">etherlands, </w:t>
      </w:r>
      <w:r w:rsidR="00E3369B" w:rsidRPr="00EE5A23">
        <w:rPr>
          <w:rFonts w:ascii="Arial" w:hAnsi="Arial" w:cs="Arial"/>
          <w:lang w:val="en-AU"/>
        </w:rPr>
        <w:t>Russia</w:t>
      </w:r>
      <w:r w:rsidRPr="00EE5A23">
        <w:rPr>
          <w:rFonts w:ascii="Arial" w:hAnsi="Arial" w:cs="Arial"/>
          <w:lang w:val="en-AU"/>
        </w:rPr>
        <w:t xml:space="preserve"> and the UK.</w:t>
      </w:r>
    </w:p>
    <w:p w14:paraId="3A6615AC" w14:textId="2B125591" w:rsidR="004D0FF1" w:rsidRPr="00EE5A23" w:rsidRDefault="004D0FF1" w:rsidP="00954A4F">
      <w:pPr>
        <w:rPr>
          <w:rFonts w:ascii="Arial" w:hAnsi="Arial" w:cs="Arial"/>
        </w:rPr>
      </w:pPr>
      <w:r w:rsidRPr="00EE5A23">
        <w:rPr>
          <w:rFonts w:ascii="Arial" w:hAnsi="Arial" w:cs="Arial"/>
          <w:lang w:val="en-AU"/>
        </w:rPr>
        <w:t>We see some important issues in examining the interfaces between n</w:t>
      </w:r>
      <w:r w:rsidR="00E3369B" w:rsidRPr="00EE5A23">
        <w:rPr>
          <w:rFonts w:ascii="Arial" w:hAnsi="Arial" w:cs="Arial"/>
          <w:lang w:val="en-AU"/>
        </w:rPr>
        <w:t xml:space="preserve">etwork design </w:t>
      </w:r>
      <w:r w:rsidR="003974A0" w:rsidRPr="00EE5A23">
        <w:rPr>
          <w:rFonts w:ascii="Arial" w:hAnsi="Arial" w:cs="Arial"/>
          <w:lang w:val="en-AU"/>
        </w:rPr>
        <w:t>and contract</w:t>
      </w:r>
      <w:r w:rsidR="00E3369B" w:rsidRPr="00EE5A23">
        <w:rPr>
          <w:rFonts w:ascii="Arial" w:hAnsi="Arial" w:cs="Arial"/>
          <w:lang w:val="en-AU"/>
        </w:rPr>
        <w:t xml:space="preserve"> design.</w:t>
      </w:r>
      <w:r w:rsidRPr="00EE5A23">
        <w:rPr>
          <w:rFonts w:ascii="Arial" w:hAnsi="Arial" w:cs="Arial"/>
          <w:lang w:val="en-AU"/>
        </w:rPr>
        <w:t xml:space="preserve"> This might involve operations research approaches to determine </w:t>
      </w:r>
      <w:r w:rsidR="00C547D8" w:rsidRPr="00EE5A23">
        <w:rPr>
          <w:rFonts w:ascii="Arial" w:hAnsi="Arial" w:cs="Arial"/>
          <w:lang w:val="en-AU"/>
        </w:rPr>
        <w:t>o</w:t>
      </w:r>
      <w:r w:rsidRPr="00EE5A23">
        <w:rPr>
          <w:rFonts w:ascii="Arial" w:hAnsi="Arial" w:cs="Arial"/>
          <w:lang w:val="en-AU"/>
        </w:rPr>
        <w:t xml:space="preserve">ptimal package numbers and size (depot, interchange based). For contract design, risk allocation remains a key issue. </w:t>
      </w:r>
      <w:r w:rsidR="00C57E9B" w:rsidRPr="00EE5A23">
        <w:rPr>
          <w:rFonts w:ascii="Arial" w:hAnsi="Arial" w:cs="Arial"/>
          <w:lang w:val="en-AU"/>
        </w:rPr>
        <w:t xml:space="preserve">Similarly, we see a link between electric/hybrid buses and supporting (depot) infrastructure becoming stronger as the authority will become more involved. </w:t>
      </w:r>
      <w:r w:rsidR="0056176B" w:rsidRPr="00EE5A23">
        <w:rPr>
          <w:rFonts w:ascii="Arial" w:hAnsi="Arial" w:cs="Arial"/>
          <w:lang w:val="en-AU"/>
        </w:rPr>
        <w:t xml:space="preserve">The </w:t>
      </w:r>
      <w:r w:rsidR="00C57E9B" w:rsidRPr="00EE5A23">
        <w:rPr>
          <w:rFonts w:ascii="Arial" w:hAnsi="Arial" w:cs="Arial"/>
          <w:lang w:val="en-AU"/>
        </w:rPr>
        <w:t xml:space="preserve">impact </w:t>
      </w:r>
      <w:r w:rsidR="0056176B" w:rsidRPr="00EE5A23">
        <w:rPr>
          <w:rFonts w:ascii="Arial" w:hAnsi="Arial" w:cs="Arial"/>
          <w:lang w:val="en-AU"/>
        </w:rPr>
        <w:t xml:space="preserve">this </w:t>
      </w:r>
      <w:r w:rsidR="00C57E9B" w:rsidRPr="00EE5A23">
        <w:rPr>
          <w:rFonts w:ascii="Arial" w:hAnsi="Arial" w:cs="Arial"/>
          <w:lang w:val="en-AU"/>
        </w:rPr>
        <w:t>will this have on industry structure and management</w:t>
      </w:r>
      <w:r w:rsidR="0056176B" w:rsidRPr="00EE5A23">
        <w:rPr>
          <w:rFonts w:ascii="Arial" w:hAnsi="Arial" w:cs="Arial"/>
          <w:lang w:val="en-AU"/>
        </w:rPr>
        <w:t xml:space="preserve"> has yet to be determined.</w:t>
      </w:r>
    </w:p>
    <w:p w14:paraId="0E3A9935" w14:textId="3CAF58A2" w:rsidR="009D3D29" w:rsidRPr="00EE5A23" w:rsidRDefault="009D3D29" w:rsidP="00954A4F">
      <w:pPr>
        <w:rPr>
          <w:rFonts w:ascii="Arial" w:hAnsi="Arial" w:cs="Arial"/>
          <w:lang w:val="en-AU"/>
        </w:rPr>
      </w:pPr>
      <w:r w:rsidRPr="00EE5A23">
        <w:rPr>
          <w:rFonts w:ascii="Arial" w:hAnsi="Arial" w:cs="Arial"/>
          <w:lang w:val="en-AU"/>
        </w:rPr>
        <w:t>Given the paucity of evidence, ex-post evaluations of incentive schemes are needed which would examine the relationship</w:t>
      </w:r>
      <w:r w:rsidR="00B5238A">
        <w:rPr>
          <w:rFonts w:ascii="Arial" w:hAnsi="Arial" w:cs="Arial"/>
          <w:lang w:val="en-AU"/>
        </w:rPr>
        <w:t>s</w:t>
      </w:r>
      <w:r w:rsidRPr="00EE5A23">
        <w:rPr>
          <w:rFonts w:ascii="Arial" w:hAnsi="Arial" w:cs="Arial"/>
          <w:lang w:val="en-AU"/>
        </w:rPr>
        <w:t xml:space="preserve"> between incentives and Key Performance Indicators</w:t>
      </w:r>
      <w:r w:rsidR="00B5238A">
        <w:rPr>
          <w:rFonts w:ascii="Arial" w:hAnsi="Arial" w:cs="Arial"/>
          <w:lang w:val="en-AU"/>
        </w:rPr>
        <w:t xml:space="preserve"> and highlight the dangers of perverse outcomes</w:t>
      </w:r>
      <w:r w:rsidRPr="00EE5A23">
        <w:rPr>
          <w:rFonts w:ascii="Arial" w:hAnsi="Arial" w:cs="Arial"/>
          <w:lang w:val="en-AU"/>
        </w:rPr>
        <w:t xml:space="preserve">. This would include more work on the relative costs of competitive tendering and negotiated contracts (including transactions). Further work on mixed contract environments, transition issues related to workforce readiness and skills upgrading, and, following on from Singapore, the development of </w:t>
      </w:r>
      <w:r w:rsidR="00B5238A">
        <w:rPr>
          <w:rFonts w:ascii="Arial" w:hAnsi="Arial" w:cs="Arial"/>
          <w:lang w:val="en-AU"/>
        </w:rPr>
        <w:t>S</w:t>
      </w:r>
      <w:r w:rsidRPr="00EE5A23">
        <w:rPr>
          <w:rFonts w:ascii="Arial" w:hAnsi="Arial" w:cs="Arial"/>
          <w:lang w:val="en-AU"/>
        </w:rPr>
        <w:t>andbox regulatory approaches to test new mobility concepts, effectiveness and community acceptance is needed. There is scope for more experimental trials and demonstration projects that are carefully monitored and evaluated.</w:t>
      </w:r>
    </w:p>
    <w:p w14:paraId="50D2FDBC" w14:textId="69376C17" w:rsidR="00C547D8" w:rsidRPr="00EE5A23" w:rsidRDefault="00C547D8" w:rsidP="00954A4F">
      <w:pPr>
        <w:rPr>
          <w:rFonts w:ascii="Arial" w:hAnsi="Arial" w:cs="Arial"/>
          <w:lang w:val="en-AU"/>
        </w:rPr>
      </w:pPr>
      <w:r w:rsidRPr="00EE5A23">
        <w:rPr>
          <w:rFonts w:ascii="Arial" w:hAnsi="Arial" w:cs="Arial"/>
          <w:lang w:val="en-AU"/>
        </w:rPr>
        <w:t>4.3</w:t>
      </w:r>
      <w:r w:rsidRPr="00EE5A23">
        <w:rPr>
          <w:rFonts w:ascii="Arial" w:hAnsi="Arial" w:cs="Arial"/>
          <w:lang w:val="en-AU"/>
        </w:rPr>
        <w:tab/>
        <w:t>Recommendations for Thredbo 17.</w:t>
      </w:r>
    </w:p>
    <w:p w14:paraId="75560608" w14:textId="54071F12" w:rsidR="001D7BB2" w:rsidRPr="00EE5A23" w:rsidRDefault="00C547D8" w:rsidP="00954A4F">
      <w:pPr>
        <w:rPr>
          <w:rFonts w:ascii="Arial" w:hAnsi="Arial" w:cs="Arial"/>
        </w:rPr>
      </w:pPr>
      <w:r w:rsidRPr="00EE5A23">
        <w:rPr>
          <w:rFonts w:ascii="Arial" w:hAnsi="Arial" w:cs="Arial"/>
          <w:lang w:val="en-AU"/>
        </w:rPr>
        <w:t>We very much hope that some of the research suggested above will r</w:t>
      </w:r>
      <w:r w:rsidR="001D7BB2" w:rsidRPr="00EE5A23">
        <w:rPr>
          <w:rFonts w:ascii="Arial" w:hAnsi="Arial" w:cs="Arial"/>
          <w:lang w:val="en-AU"/>
        </w:rPr>
        <w:t>eport back to Thredbo 17.</w:t>
      </w:r>
      <w:r w:rsidRPr="00EE5A23">
        <w:rPr>
          <w:rFonts w:ascii="Arial" w:hAnsi="Arial" w:cs="Arial"/>
          <w:lang w:val="en-AU"/>
        </w:rPr>
        <w:t xml:space="preserve">  Contracting-out will remain the flagstone topic of this conference. We believe that future directions will be driven by big data, emerging technologies, new business models and evolving governance arrangements. We see a key role as being the continued documentation and</w:t>
      </w:r>
      <w:r w:rsidR="0002157A" w:rsidRPr="00EE5A23">
        <w:rPr>
          <w:rFonts w:ascii="Arial" w:hAnsi="Arial" w:cs="Arial"/>
          <w:lang w:val="en-AU"/>
        </w:rPr>
        <w:t xml:space="preserve"> dissemination of best practice in th</w:t>
      </w:r>
      <w:r w:rsidR="00B5238A">
        <w:rPr>
          <w:rFonts w:ascii="Arial" w:hAnsi="Arial" w:cs="Arial"/>
          <w:lang w:val="en-AU"/>
        </w:rPr>
        <w:t>is</w:t>
      </w:r>
      <w:r w:rsidR="0002157A" w:rsidRPr="00EE5A23">
        <w:rPr>
          <w:rFonts w:ascii="Arial" w:hAnsi="Arial" w:cs="Arial"/>
          <w:lang w:val="en-AU"/>
        </w:rPr>
        <w:t xml:space="preserve"> application domain.</w:t>
      </w:r>
    </w:p>
    <w:p w14:paraId="190BD4C5" w14:textId="05F43053" w:rsidR="00A52F46" w:rsidRPr="00EE5A23" w:rsidRDefault="00A52F46" w:rsidP="00596FC7">
      <w:pPr>
        <w:rPr>
          <w:rFonts w:ascii="Arial" w:hAnsi="Arial" w:cs="Arial"/>
          <w:bCs/>
        </w:rPr>
      </w:pPr>
      <w:r w:rsidRPr="00EE5A23">
        <w:rPr>
          <w:rFonts w:ascii="Arial" w:hAnsi="Arial" w:cs="Arial"/>
          <w:bCs/>
        </w:rPr>
        <w:t>Acknowledgement</w:t>
      </w:r>
      <w:r w:rsidR="00DE4BC5">
        <w:rPr>
          <w:rFonts w:ascii="Arial" w:hAnsi="Arial" w:cs="Arial"/>
          <w:bCs/>
        </w:rPr>
        <w:t>s</w:t>
      </w:r>
    </w:p>
    <w:p w14:paraId="75EE45E1" w14:textId="43FC86BF" w:rsidR="00A52F46" w:rsidRPr="00EE5A23" w:rsidRDefault="00A52F46" w:rsidP="00596FC7">
      <w:pPr>
        <w:rPr>
          <w:rFonts w:ascii="Arial" w:hAnsi="Arial" w:cs="Arial"/>
          <w:bCs/>
        </w:rPr>
      </w:pPr>
      <w:r w:rsidRPr="00EE5A23">
        <w:rPr>
          <w:rFonts w:ascii="Arial" w:hAnsi="Arial" w:cs="Arial"/>
          <w:bCs/>
        </w:rPr>
        <w:t>We would like to thank the inputs from the Workshop participants:</w:t>
      </w:r>
      <w:r w:rsidR="00954A4F" w:rsidRPr="00EE5A23">
        <w:rPr>
          <w:rFonts w:ascii="Arial" w:hAnsi="Arial" w:cs="Arial"/>
          <w:bCs/>
        </w:rPr>
        <w:t xml:space="preserve"> </w:t>
      </w:r>
      <w:r w:rsidRPr="00EE5A23">
        <w:rPr>
          <w:rFonts w:ascii="Arial" w:hAnsi="Arial" w:cs="Arial"/>
          <w:bCs/>
          <w:lang w:val="en-AU"/>
        </w:rPr>
        <w:t xml:space="preserve">Michael Apps, Katherine Bell, Andrei Dementiev, Christian Desmaris, Patricia Galilea, Li Yah Ho, Zheng Li, Teik Soon Looi, Qiang Meng, Roger Pyddoke, Kimmo Sinisalo, Anson Stewart, Matt Threlkeld, Wijnand Veeneman, Ian Wallis and Philipp Wegelin.  </w:t>
      </w:r>
      <w:r w:rsidR="00095824">
        <w:rPr>
          <w:rFonts w:ascii="Arial" w:hAnsi="Arial" w:cs="Arial"/>
          <w:bCs/>
          <w:lang w:val="en-AU"/>
        </w:rPr>
        <w:t xml:space="preserve">Furthermore, </w:t>
      </w:r>
      <w:r w:rsidR="009D3D29" w:rsidRPr="00EE5A23">
        <w:rPr>
          <w:rFonts w:ascii="Arial" w:hAnsi="Arial" w:cs="Arial"/>
          <w:bCs/>
          <w:lang w:val="en-AU"/>
        </w:rPr>
        <w:t xml:space="preserve">Li Yah Ho, </w:t>
      </w:r>
      <w:r w:rsidR="002B72BC" w:rsidRPr="00EE5A23">
        <w:rPr>
          <w:rFonts w:ascii="Arial" w:hAnsi="Arial" w:cs="Arial"/>
          <w:bCs/>
        </w:rPr>
        <w:t xml:space="preserve">Roger Pyddoke, </w:t>
      </w:r>
      <w:r w:rsidR="009D3D29" w:rsidRPr="00EE5A23">
        <w:rPr>
          <w:rFonts w:ascii="Arial" w:hAnsi="Arial" w:cs="Arial"/>
          <w:bCs/>
          <w:lang w:val="en-SG"/>
        </w:rPr>
        <w:t xml:space="preserve">Teik Soon, </w:t>
      </w:r>
      <w:r w:rsidR="002B72BC" w:rsidRPr="00EE5A23">
        <w:rPr>
          <w:rFonts w:ascii="Arial" w:hAnsi="Arial" w:cs="Arial"/>
          <w:bCs/>
        </w:rPr>
        <w:t>Anson Stewart</w:t>
      </w:r>
      <w:r w:rsidR="00095824">
        <w:rPr>
          <w:rFonts w:ascii="Arial" w:hAnsi="Arial" w:cs="Arial"/>
          <w:bCs/>
        </w:rPr>
        <w:t>,</w:t>
      </w:r>
      <w:r w:rsidR="009D3D29" w:rsidRPr="00EE5A23">
        <w:rPr>
          <w:rFonts w:ascii="Arial" w:hAnsi="Arial" w:cs="Arial"/>
          <w:bCs/>
        </w:rPr>
        <w:t xml:space="preserve"> Phillip Wegelin</w:t>
      </w:r>
      <w:r w:rsidR="002B72BC" w:rsidRPr="00EE5A23">
        <w:rPr>
          <w:rFonts w:ascii="Arial" w:hAnsi="Arial" w:cs="Arial"/>
          <w:bCs/>
        </w:rPr>
        <w:t xml:space="preserve"> </w:t>
      </w:r>
      <w:r w:rsidR="00095824">
        <w:rPr>
          <w:rFonts w:ascii="Arial" w:hAnsi="Arial" w:cs="Arial"/>
          <w:bCs/>
        </w:rPr>
        <w:t xml:space="preserve">and David Hensher </w:t>
      </w:r>
      <w:r w:rsidR="002B72BC" w:rsidRPr="00EE5A23">
        <w:rPr>
          <w:rFonts w:ascii="Arial" w:hAnsi="Arial" w:cs="Arial"/>
          <w:bCs/>
        </w:rPr>
        <w:t>commented on an earlier version of this report.</w:t>
      </w:r>
      <w:r w:rsidR="009D3D29" w:rsidRPr="00EE5A23">
        <w:rPr>
          <w:rFonts w:ascii="Arial" w:hAnsi="Arial" w:cs="Arial"/>
          <w:bCs/>
        </w:rPr>
        <w:t xml:space="preserve"> Any remaining errors are, of course, our own.</w:t>
      </w:r>
    </w:p>
    <w:p w14:paraId="0E226BD4" w14:textId="77777777" w:rsidR="007964CF" w:rsidRDefault="007964CF">
      <w:pPr>
        <w:rPr>
          <w:rFonts w:ascii="Arial" w:hAnsi="Arial" w:cs="Arial"/>
          <w:bCs/>
        </w:rPr>
      </w:pPr>
      <w:r>
        <w:rPr>
          <w:rFonts w:ascii="Arial" w:hAnsi="Arial" w:cs="Arial"/>
          <w:bCs/>
        </w:rPr>
        <w:br w:type="page"/>
      </w:r>
    </w:p>
    <w:p w14:paraId="50FBD168" w14:textId="1822E7C7" w:rsidR="0006010D" w:rsidRPr="00EE5A23" w:rsidRDefault="0006010D" w:rsidP="00596FC7">
      <w:pPr>
        <w:rPr>
          <w:rFonts w:ascii="Arial" w:hAnsi="Arial" w:cs="Arial"/>
          <w:bCs/>
        </w:rPr>
      </w:pPr>
      <w:r w:rsidRPr="00EE5A23">
        <w:rPr>
          <w:rFonts w:ascii="Arial" w:hAnsi="Arial" w:cs="Arial"/>
          <w:bCs/>
        </w:rPr>
        <w:lastRenderedPageBreak/>
        <w:t>Workshop Papers (in the order presented)</w:t>
      </w:r>
    </w:p>
    <w:p w14:paraId="679D689B" w14:textId="3AFBF330" w:rsidR="0006010D" w:rsidRPr="00EE5A23" w:rsidRDefault="0006010D" w:rsidP="00596FC7">
      <w:pPr>
        <w:rPr>
          <w:rFonts w:ascii="Arial" w:hAnsi="Arial" w:cs="Arial"/>
          <w:bCs/>
        </w:rPr>
      </w:pPr>
      <w:r w:rsidRPr="00EE5A23">
        <w:rPr>
          <w:rFonts w:ascii="Arial" w:hAnsi="Arial" w:cs="Arial"/>
          <w:bCs/>
        </w:rPr>
        <w:t>Overviews</w:t>
      </w:r>
      <w:r w:rsidR="00136979">
        <w:rPr>
          <w:rFonts w:ascii="Arial" w:hAnsi="Arial" w:cs="Arial"/>
          <w:bCs/>
        </w:rPr>
        <w:t xml:space="preserve"> (presenters in bold)</w:t>
      </w:r>
    </w:p>
    <w:tbl>
      <w:tblPr>
        <w:tblW w:w="5000" w:type="pct"/>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62"/>
        <w:gridCol w:w="6148"/>
      </w:tblGrid>
      <w:tr w:rsidR="0006010D" w:rsidRPr="00EE5A23" w14:paraId="2794A5C0" w14:textId="77777777" w:rsidTr="009D3045">
        <w:tc>
          <w:tcPr>
            <w:tcW w:w="1483" w:type="pct"/>
            <w:shd w:val="clear" w:color="auto" w:fill="auto"/>
            <w:tcMar>
              <w:top w:w="57" w:type="dxa"/>
              <w:left w:w="57" w:type="dxa"/>
              <w:bottom w:w="57" w:type="dxa"/>
              <w:right w:w="57" w:type="dxa"/>
            </w:tcMar>
          </w:tcPr>
          <w:p w14:paraId="1CC2FCBE" w14:textId="77777777" w:rsidR="0006010D" w:rsidRPr="00740021" w:rsidRDefault="0006010D" w:rsidP="0006010D">
            <w:pPr>
              <w:spacing w:after="0" w:line="240" w:lineRule="auto"/>
              <w:rPr>
                <w:rFonts w:ascii="Arial" w:hAnsi="Arial" w:cs="Arial"/>
                <w:b/>
                <w:lang w:val="en-AU"/>
              </w:rPr>
            </w:pPr>
            <w:r w:rsidRPr="00740021">
              <w:rPr>
                <w:rFonts w:ascii="Arial" w:hAnsi="Arial" w:cs="Arial"/>
                <w:b/>
                <w:lang w:val="en-AU"/>
              </w:rPr>
              <w:t>Zheng Li</w:t>
            </w:r>
          </w:p>
          <w:p w14:paraId="7F66D737" w14:textId="77777777" w:rsidR="0006010D" w:rsidRPr="00EE5A23" w:rsidRDefault="0006010D" w:rsidP="0006010D">
            <w:pPr>
              <w:spacing w:after="0" w:line="240" w:lineRule="auto"/>
              <w:rPr>
                <w:rFonts w:ascii="Arial" w:hAnsi="Arial" w:cs="Arial"/>
                <w:bCs/>
                <w:lang w:val="en-AU"/>
              </w:rPr>
            </w:pPr>
          </w:p>
          <w:p w14:paraId="275B6326" w14:textId="77777777" w:rsidR="0006010D" w:rsidRPr="00EE5A23" w:rsidRDefault="0006010D" w:rsidP="0006010D">
            <w:pPr>
              <w:spacing w:after="0" w:line="240" w:lineRule="auto"/>
              <w:rPr>
                <w:rFonts w:ascii="Arial" w:hAnsi="Arial" w:cs="Arial"/>
                <w:bCs/>
                <w:lang w:val="en-AU"/>
              </w:rPr>
            </w:pPr>
          </w:p>
          <w:p w14:paraId="77F7808B" w14:textId="6EAD453D" w:rsidR="0006010D" w:rsidRPr="00EE5A23" w:rsidRDefault="00136979" w:rsidP="0006010D">
            <w:pPr>
              <w:spacing w:after="0" w:line="240" w:lineRule="auto"/>
              <w:rPr>
                <w:rFonts w:ascii="Arial" w:hAnsi="Arial" w:cs="Arial"/>
                <w:bCs/>
                <w:lang w:val="en-AU"/>
              </w:rPr>
            </w:pPr>
            <w:r>
              <w:rPr>
                <w:rFonts w:ascii="Arial" w:hAnsi="Arial" w:cs="Arial"/>
                <w:bCs/>
                <w:lang w:val="en-AU"/>
              </w:rPr>
              <w:t xml:space="preserve">Dian Sheng and </w:t>
            </w:r>
            <w:r w:rsidR="0006010D" w:rsidRPr="00740021">
              <w:rPr>
                <w:rFonts w:ascii="Arial" w:hAnsi="Arial" w:cs="Arial"/>
                <w:b/>
                <w:lang w:val="en-AU"/>
              </w:rPr>
              <w:t>Qiang Meng</w:t>
            </w:r>
          </w:p>
          <w:p w14:paraId="19BFAAF7" w14:textId="77777777" w:rsidR="0006010D" w:rsidRPr="00EE5A23" w:rsidRDefault="0006010D" w:rsidP="0006010D">
            <w:pPr>
              <w:spacing w:after="0" w:line="240" w:lineRule="auto"/>
              <w:rPr>
                <w:rFonts w:ascii="Arial" w:hAnsi="Arial" w:cs="Arial"/>
                <w:bCs/>
                <w:lang w:val="en-AU"/>
              </w:rPr>
            </w:pPr>
          </w:p>
          <w:p w14:paraId="690E7FB9" w14:textId="655C4A8E" w:rsidR="0006010D" w:rsidRPr="00740021" w:rsidRDefault="0006010D" w:rsidP="0006010D">
            <w:pPr>
              <w:spacing w:after="0" w:line="240" w:lineRule="auto"/>
              <w:rPr>
                <w:rFonts w:ascii="Arial" w:hAnsi="Arial" w:cs="Arial"/>
                <w:b/>
                <w:lang w:val="en-AU"/>
              </w:rPr>
            </w:pPr>
            <w:r w:rsidRPr="00740021">
              <w:rPr>
                <w:rFonts w:ascii="Arial" w:hAnsi="Arial" w:cs="Arial"/>
                <w:b/>
                <w:lang w:val="en-AU"/>
              </w:rPr>
              <w:t>Ian Wallis</w:t>
            </w:r>
          </w:p>
          <w:p w14:paraId="6C46CCAC" w14:textId="77777777" w:rsidR="0006010D" w:rsidRPr="00EE5A23" w:rsidRDefault="0006010D" w:rsidP="0006010D">
            <w:pPr>
              <w:spacing w:after="0" w:line="240" w:lineRule="auto"/>
              <w:rPr>
                <w:rFonts w:ascii="Arial" w:hAnsi="Arial" w:cs="Arial"/>
                <w:bCs/>
                <w:lang w:val="en-AU"/>
              </w:rPr>
            </w:pPr>
          </w:p>
        </w:tc>
        <w:tc>
          <w:tcPr>
            <w:tcW w:w="3186" w:type="pct"/>
            <w:shd w:val="clear" w:color="auto" w:fill="auto"/>
            <w:tcMar>
              <w:top w:w="57" w:type="dxa"/>
              <w:left w:w="57" w:type="dxa"/>
              <w:bottom w:w="57" w:type="dxa"/>
              <w:right w:w="57" w:type="dxa"/>
            </w:tcMar>
          </w:tcPr>
          <w:p w14:paraId="7326D4F9" w14:textId="77777777" w:rsidR="0006010D" w:rsidRPr="00EE5A23" w:rsidRDefault="0006010D" w:rsidP="0006010D">
            <w:pPr>
              <w:spacing w:after="0" w:line="240" w:lineRule="auto"/>
              <w:rPr>
                <w:rFonts w:ascii="Arial" w:hAnsi="Arial" w:cs="Arial"/>
                <w:bCs/>
                <w:lang w:val="en-AU"/>
              </w:rPr>
            </w:pPr>
            <w:r w:rsidRPr="00EE5A23">
              <w:rPr>
                <w:rFonts w:ascii="Arial" w:hAnsi="Arial" w:cs="Arial"/>
                <w:bCs/>
                <w:lang w:val="en-AU"/>
              </w:rPr>
              <w:t>Performance Contributors of Bus Rapid Transit Systems within the ITDP BRT Standard: An Ordered Choice Approach</w:t>
            </w:r>
          </w:p>
          <w:p w14:paraId="33C54347" w14:textId="77777777" w:rsidR="0006010D" w:rsidRPr="00EE5A23" w:rsidRDefault="0006010D" w:rsidP="0006010D">
            <w:pPr>
              <w:spacing w:after="0" w:line="240" w:lineRule="auto"/>
              <w:rPr>
                <w:rFonts w:ascii="Arial" w:hAnsi="Arial" w:cs="Arial"/>
                <w:bCs/>
                <w:lang w:val="en-AU"/>
              </w:rPr>
            </w:pPr>
          </w:p>
          <w:p w14:paraId="31B2C725" w14:textId="77777777" w:rsidR="0006010D" w:rsidRPr="00EE5A23" w:rsidRDefault="0006010D" w:rsidP="0006010D">
            <w:pPr>
              <w:spacing w:after="0" w:line="240" w:lineRule="auto"/>
              <w:rPr>
                <w:rFonts w:ascii="Arial" w:hAnsi="Arial" w:cs="Arial"/>
                <w:bCs/>
                <w:lang w:val="en-AU"/>
              </w:rPr>
            </w:pPr>
            <w:r w:rsidRPr="00EE5A23">
              <w:rPr>
                <w:rFonts w:ascii="Arial" w:hAnsi="Arial" w:cs="Arial"/>
                <w:bCs/>
                <w:lang w:val="en-AU"/>
              </w:rPr>
              <w:t>Public Bus Service Contracting: A critical review and future research opportunities</w:t>
            </w:r>
          </w:p>
          <w:p w14:paraId="5B587A91" w14:textId="77777777" w:rsidR="00BF12B6" w:rsidRPr="00EE5A23" w:rsidRDefault="00BF12B6" w:rsidP="0006010D">
            <w:pPr>
              <w:spacing w:after="0" w:line="240" w:lineRule="auto"/>
              <w:rPr>
                <w:rFonts w:ascii="Arial" w:hAnsi="Arial" w:cs="Arial"/>
                <w:bCs/>
                <w:lang w:val="en-AU"/>
              </w:rPr>
            </w:pPr>
          </w:p>
          <w:p w14:paraId="328EB3CE" w14:textId="15C5ABB2" w:rsidR="0006010D" w:rsidRPr="00EE5A23" w:rsidRDefault="0006010D" w:rsidP="0006010D">
            <w:pPr>
              <w:spacing w:after="0" w:line="240" w:lineRule="auto"/>
              <w:rPr>
                <w:rFonts w:ascii="Arial" w:hAnsi="Arial" w:cs="Arial"/>
                <w:bCs/>
                <w:i/>
                <w:lang w:val="en-AU"/>
              </w:rPr>
            </w:pPr>
            <w:r w:rsidRPr="00EE5A23">
              <w:rPr>
                <w:rFonts w:ascii="Arial" w:hAnsi="Arial" w:cs="Arial"/>
                <w:bCs/>
                <w:lang w:val="en-AU"/>
              </w:rPr>
              <w:t>Value for Money in Procurement of Urban Bus Services -- Competitive Tendering versus Negotiated Contracts: Recent New Zealand Experience</w:t>
            </w:r>
          </w:p>
        </w:tc>
      </w:tr>
    </w:tbl>
    <w:p w14:paraId="0CA78E45" w14:textId="77777777" w:rsidR="0006010D" w:rsidRPr="00EE5A23" w:rsidRDefault="0006010D" w:rsidP="0006010D">
      <w:pPr>
        <w:spacing w:after="0" w:line="240" w:lineRule="auto"/>
        <w:rPr>
          <w:rFonts w:ascii="Arial" w:hAnsi="Arial" w:cs="Arial"/>
          <w:bCs/>
        </w:rPr>
      </w:pPr>
    </w:p>
    <w:p w14:paraId="1309A68A" w14:textId="77777777" w:rsidR="0006010D" w:rsidRPr="00EE5A23" w:rsidRDefault="0006010D" w:rsidP="0006010D">
      <w:pPr>
        <w:spacing w:after="0" w:line="240" w:lineRule="auto"/>
        <w:rPr>
          <w:rFonts w:ascii="Arial" w:hAnsi="Arial" w:cs="Arial"/>
          <w:bCs/>
        </w:rPr>
      </w:pPr>
      <w:r w:rsidRPr="00EE5A23">
        <w:rPr>
          <w:rFonts w:ascii="Arial" w:hAnsi="Arial" w:cs="Arial"/>
          <w:bCs/>
        </w:rPr>
        <w:t>Bus Contracts and Incentives</w:t>
      </w:r>
    </w:p>
    <w:tbl>
      <w:tblPr>
        <w:tblW w:w="5000" w:type="pct"/>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62"/>
        <w:gridCol w:w="6148"/>
      </w:tblGrid>
      <w:tr w:rsidR="0006010D" w:rsidRPr="00EE5A23" w14:paraId="172BC225" w14:textId="77777777" w:rsidTr="009D3045">
        <w:tc>
          <w:tcPr>
            <w:tcW w:w="1483" w:type="pct"/>
            <w:shd w:val="clear" w:color="auto" w:fill="auto"/>
            <w:tcMar>
              <w:top w:w="57" w:type="dxa"/>
              <w:left w:w="57" w:type="dxa"/>
              <w:bottom w:w="57" w:type="dxa"/>
              <w:right w:w="57" w:type="dxa"/>
            </w:tcMar>
          </w:tcPr>
          <w:p w14:paraId="7446BBD2" w14:textId="1FBB91EC" w:rsidR="0006010D" w:rsidRPr="00EE5A23" w:rsidRDefault="00BA5711" w:rsidP="0006010D">
            <w:pPr>
              <w:spacing w:after="0" w:line="240" w:lineRule="auto"/>
              <w:rPr>
                <w:rFonts w:ascii="Arial" w:hAnsi="Arial" w:cs="Arial"/>
                <w:bCs/>
                <w:lang w:val="en-AU"/>
              </w:rPr>
            </w:pPr>
            <w:r w:rsidRPr="00BA5711">
              <w:rPr>
                <w:rFonts w:ascii="Arial" w:hAnsi="Arial" w:cs="Arial"/>
                <w:bCs/>
                <w:lang w:val="en-AU"/>
              </w:rPr>
              <w:t>Alejandra Chaparro</w:t>
            </w:r>
            <w:r>
              <w:rPr>
                <w:rFonts w:ascii="Arial" w:hAnsi="Arial" w:cs="Arial"/>
                <w:bCs/>
                <w:lang w:val="en-AU"/>
              </w:rPr>
              <w:t xml:space="preserve">, </w:t>
            </w:r>
            <w:r w:rsidR="006D5A10" w:rsidRPr="00740021">
              <w:rPr>
                <w:rFonts w:ascii="Arial" w:hAnsi="Arial" w:cs="Arial"/>
                <w:b/>
                <w:lang w:val="en-AU"/>
              </w:rPr>
              <w:t>Patricia Galilea</w:t>
            </w:r>
            <w:r>
              <w:rPr>
                <w:rFonts w:ascii="Arial" w:hAnsi="Arial" w:cs="Arial"/>
                <w:bCs/>
                <w:lang w:val="en-AU"/>
              </w:rPr>
              <w:t xml:space="preserve">, </w:t>
            </w:r>
            <w:r w:rsidRPr="00BA5711">
              <w:rPr>
                <w:rFonts w:ascii="Arial" w:hAnsi="Arial" w:cs="Arial"/>
                <w:bCs/>
                <w:lang w:val="en-AU"/>
              </w:rPr>
              <w:t>Juan Muñoz and Joaquín Poblete</w:t>
            </w:r>
          </w:p>
          <w:p w14:paraId="58A05043" w14:textId="77777777" w:rsidR="0006010D" w:rsidRPr="00EE5A23" w:rsidRDefault="0006010D" w:rsidP="0006010D">
            <w:pPr>
              <w:spacing w:after="0" w:line="240" w:lineRule="auto"/>
              <w:rPr>
                <w:rFonts w:ascii="Arial" w:hAnsi="Arial" w:cs="Arial"/>
                <w:bCs/>
                <w:lang w:val="en-AU"/>
              </w:rPr>
            </w:pPr>
          </w:p>
          <w:p w14:paraId="7BEE7A91" w14:textId="77777777" w:rsidR="0006010D" w:rsidRPr="00740021" w:rsidRDefault="0006010D" w:rsidP="0006010D">
            <w:pPr>
              <w:spacing w:after="0" w:line="240" w:lineRule="auto"/>
              <w:rPr>
                <w:rFonts w:ascii="Arial" w:hAnsi="Arial" w:cs="Arial"/>
                <w:b/>
                <w:lang w:val="en-AU"/>
              </w:rPr>
            </w:pPr>
            <w:r w:rsidRPr="00740021">
              <w:rPr>
                <w:rFonts w:ascii="Arial" w:hAnsi="Arial" w:cs="Arial"/>
                <w:b/>
                <w:lang w:val="en-AU"/>
              </w:rPr>
              <w:t>Roger Pyddoke</w:t>
            </w:r>
          </w:p>
          <w:p w14:paraId="06E0FC19" w14:textId="77777777" w:rsidR="0006010D" w:rsidRPr="00EE5A23" w:rsidRDefault="0006010D" w:rsidP="0006010D">
            <w:pPr>
              <w:spacing w:after="0" w:line="240" w:lineRule="auto"/>
              <w:rPr>
                <w:rFonts w:ascii="Arial" w:hAnsi="Arial" w:cs="Arial"/>
                <w:bCs/>
                <w:lang w:val="en-AU"/>
              </w:rPr>
            </w:pPr>
          </w:p>
          <w:p w14:paraId="00340275" w14:textId="77777777" w:rsidR="0006010D" w:rsidRPr="00EE5A23" w:rsidRDefault="0006010D" w:rsidP="0006010D">
            <w:pPr>
              <w:spacing w:after="0" w:line="240" w:lineRule="auto"/>
              <w:rPr>
                <w:rFonts w:ascii="Arial" w:hAnsi="Arial" w:cs="Arial"/>
                <w:bCs/>
                <w:lang w:val="en-AU"/>
              </w:rPr>
            </w:pPr>
          </w:p>
          <w:p w14:paraId="664EFEE5" w14:textId="77777777" w:rsidR="0006010D" w:rsidRPr="00740021" w:rsidRDefault="0006010D" w:rsidP="0006010D">
            <w:pPr>
              <w:spacing w:after="0" w:line="240" w:lineRule="auto"/>
              <w:rPr>
                <w:rFonts w:ascii="Arial" w:hAnsi="Arial" w:cs="Arial"/>
                <w:b/>
                <w:lang w:val="en-AU"/>
              </w:rPr>
            </w:pPr>
            <w:r w:rsidRPr="00740021">
              <w:rPr>
                <w:rFonts w:ascii="Arial" w:hAnsi="Arial" w:cs="Arial"/>
                <w:b/>
                <w:lang w:val="en-AU"/>
              </w:rPr>
              <w:t>Jackie Walters</w:t>
            </w:r>
          </w:p>
          <w:p w14:paraId="7F958077" w14:textId="77777777" w:rsidR="0006010D" w:rsidRPr="00EE5A23" w:rsidRDefault="0006010D" w:rsidP="0006010D">
            <w:pPr>
              <w:spacing w:after="0" w:line="240" w:lineRule="auto"/>
              <w:rPr>
                <w:rFonts w:ascii="Arial" w:hAnsi="Arial" w:cs="Arial"/>
                <w:bCs/>
                <w:lang w:val="en-AU"/>
              </w:rPr>
            </w:pPr>
          </w:p>
          <w:p w14:paraId="256E4553" w14:textId="77777777" w:rsidR="0006010D" w:rsidRPr="00EE5A23" w:rsidRDefault="0006010D" w:rsidP="0006010D">
            <w:pPr>
              <w:spacing w:after="0" w:line="240" w:lineRule="auto"/>
              <w:rPr>
                <w:rFonts w:ascii="Arial" w:hAnsi="Arial" w:cs="Arial"/>
                <w:bCs/>
                <w:lang w:val="en-AU"/>
              </w:rPr>
            </w:pPr>
          </w:p>
          <w:p w14:paraId="126650CE" w14:textId="4D2EEB77" w:rsidR="0006010D" w:rsidRPr="00EE5A23" w:rsidRDefault="0006010D" w:rsidP="0006010D">
            <w:pPr>
              <w:spacing w:after="0" w:line="240" w:lineRule="auto"/>
              <w:rPr>
                <w:rFonts w:ascii="Arial" w:hAnsi="Arial" w:cs="Arial"/>
                <w:bCs/>
                <w:lang w:val="en-AU"/>
              </w:rPr>
            </w:pPr>
            <w:r w:rsidRPr="00740021">
              <w:rPr>
                <w:rFonts w:ascii="Arial" w:hAnsi="Arial" w:cs="Arial"/>
                <w:b/>
                <w:lang w:val="en-AU"/>
              </w:rPr>
              <w:t>John Preston</w:t>
            </w:r>
            <w:r w:rsidR="00136979">
              <w:rPr>
                <w:rFonts w:ascii="Arial" w:hAnsi="Arial" w:cs="Arial"/>
                <w:bCs/>
                <w:lang w:val="en-AU"/>
              </w:rPr>
              <w:t xml:space="preserve"> and Evangelos Darivakis</w:t>
            </w:r>
          </w:p>
          <w:p w14:paraId="7A36A588" w14:textId="77777777" w:rsidR="0006010D" w:rsidRPr="00EE5A23" w:rsidRDefault="0006010D" w:rsidP="0006010D">
            <w:pPr>
              <w:spacing w:after="0" w:line="240" w:lineRule="auto"/>
              <w:rPr>
                <w:rFonts w:ascii="Arial" w:hAnsi="Arial" w:cs="Arial"/>
                <w:bCs/>
                <w:lang w:val="en-AU"/>
              </w:rPr>
            </w:pPr>
          </w:p>
        </w:tc>
        <w:tc>
          <w:tcPr>
            <w:tcW w:w="3186" w:type="pct"/>
            <w:shd w:val="clear" w:color="auto" w:fill="auto"/>
            <w:tcMar>
              <w:top w:w="57" w:type="dxa"/>
              <w:left w:w="57" w:type="dxa"/>
              <w:bottom w:w="57" w:type="dxa"/>
              <w:right w:w="57" w:type="dxa"/>
            </w:tcMar>
          </w:tcPr>
          <w:p w14:paraId="1D79432D" w14:textId="77777777" w:rsidR="0006010D" w:rsidRPr="00EE5A23" w:rsidRDefault="0006010D" w:rsidP="0006010D">
            <w:pPr>
              <w:spacing w:after="0" w:line="240" w:lineRule="auto"/>
              <w:rPr>
                <w:rFonts w:ascii="Arial" w:hAnsi="Arial" w:cs="Arial"/>
                <w:bCs/>
                <w:lang w:val="en-AU"/>
              </w:rPr>
            </w:pPr>
            <w:r w:rsidRPr="00EE5A23">
              <w:rPr>
                <w:rFonts w:ascii="Arial" w:hAnsi="Arial" w:cs="Arial"/>
                <w:bCs/>
                <w:lang w:val="en-AU"/>
              </w:rPr>
              <w:t>Application of incentives for Transantiago drivers to achieve an improvement in the quality of service.</w:t>
            </w:r>
          </w:p>
          <w:p w14:paraId="5012D70F" w14:textId="77777777" w:rsidR="0006010D" w:rsidRPr="00EE5A23" w:rsidRDefault="0006010D" w:rsidP="0006010D">
            <w:pPr>
              <w:spacing w:after="0" w:line="240" w:lineRule="auto"/>
              <w:rPr>
                <w:rFonts w:ascii="Arial" w:hAnsi="Arial" w:cs="Arial"/>
                <w:bCs/>
                <w:lang w:val="en-AU"/>
              </w:rPr>
            </w:pPr>
          </w:p>
          <w:p w14:paraId="3445AE0E" w14:textId="77777777" w:rsidR="00BA5711" w:rsidRDefault="00BA5711" w:rsidP="0006010D">
            <w:pPr>
              <w:spacing w:after="0" w:line="240" w:lineRule="auto"/>
              <w:rPr>
                <w:rFonts w:ascii="Arial" w:hAnsi="Arial" w:cs="Arial"/>
                <w:bCs/>
                <w:lang w:val="en-AU"/>
              </w:rPr>
            </w:pPr>
          </w:p>
          <w:p w14:paraId="7DD13FC0" w14:textId="79D9D177" w:rsidR="0006010D" w:rsidRPr="00EE5A23" w:rsidRDefault="0006010D" w:rsidP="0006010D">
            <w:pPr>
              <w:spacing w:after="0" w:line="240" w:lineRule="auto"/>
              <w:rPr>
                <w:rFonts w:ascii="Arial" w:hAnsi="Arial" w:cs="Arial"/>
                <w:bCs/>
                <w:lang w:val="en-AU"/>
              </w:rPr>
            </w:pPr>
            <w:r w:rsidRPr="00EE5A23">
              <w:rPr>
                <w:rFonts w:ascii="Arial" w:hAnsi="Arial" w:cs="Arial"/>
                <w:bCs/>
                <w:lang w:val="en-AU"/>
              </w:rPr>
              <w:t>Penalties as incentives for punctuality and regularity in tendered Swedish public transport</w:t>
            </w:r>
          </w:p>
          <w:p w14:paraId="5F8798C4" w14:textId="77777777" w:rsidR="0006010D" w:rsidRPr="00EE5A23" w:rsidRDefault="0006010D" w:rsidP="0006010D">
            <w:pPr>
              <w:spacing w:after="0" w:line="240" w:lineRule="auto"/>
              <w:rPr>
                <w:rFonts w:ascii="Arial" w:hAnsi="Arial" w:cs="Arial"/>
                <w:bCs/>
                <w:lang w:val="en-AU"/>
              </w:rPr>
            </w:pPr>
          </w:p>
          <w:p w14:paraId="6FFC8652" w14:textId="77777777" w:rsidR="0006010D" w:rsidRPr="00EE5A23" w:rsidRDefault="0006010D" w:rsidP="0006010D">
            <w:pPr>
              <w:spacing w:after="0" w:line="240" w:lineRule="auto"/>
              <w:rPr>
                <w:rFonts w:ascii="Arial" w:hAnsi="Arial" w:cs="Arial"/>
                <w:bCs/>
                <w:lang w:val="en-AU"/>
              </w:rPr>
            </w:pPr>
            <w:r w:rsidRPr="00EE5A23">
              <w:rPr>
                <w:rFonts w:ascii="Arial" w:hAnsi="Arial" w:cs="Arial"/>
                <w:bCs/>
                <w:lang w:val="en-AU"/>
              </w:rPr>
              <w:t>Understanding bidder behaviour: The case of the Mamelodi contract.</w:t>
            </w:r>
          </w:p>
          <w:p w14:paraId="45B9DFF0" w14:textId="77777777" w:rsidR="0006010D" w:rsidRPr="00EE5A23" w:rsidRDefault="0006010D" w:rsidP="0006010D">
            <w:pPr>
              <w:spacing w:after="0" w:line="240" w:lineRule="auto"/>
              <w:rPr>
                <w:rFonts w:ascii="Arial" w:hAnsi="Arial" w:cs="Arial"/>
                <w:bCs/>
                <w:lang w:val="en-AU"/>
              </w:rPr>
            </w:pPr>
          </w:p>
          <w:p w14:paraId="06D0E69D" w14:textId="77777777" w:rsidR="0006010D" w:rsidRPr="00EE5A23" w:rsidRDefault="0006010D" w:rsidP="0006010D">
            <w:pPr>
              <w:spacing w:after="0" w:line="240" w:lineRule="auto"/>
              <w:rPr>
                <w:rFonts w:ascii="Arial" w:hAnsi="Arial" w:cs="Arial"/>
                <w:bCs/>
                <w:i/>
                <w:lang w:val="en-AU"/>
              </w:rPr>
            </w:pPr>
            <w:r w:rsidRPr="00EE5A23">
              <w:rPr>
                <w:rFonts w:ascii="Arial" w:hAnsi="Arial" w:cs="Arial"/>
                <w:bCs/>
                <w:lang w:val="en-AU"/>
              </w:rPr>
              <w:t>Can Bus Quality Partnerships or Contracts Make a Difference?</w:t>
            </w:r>
          </w:p>
        </w:tc>
      </w:tr>
    </w:tbl>
    <w:p w14:paraId="04C3C642" w14:textId="77777777" w:rsidR="0006010D" w:rsidRPr="00EE5A23" w:rsidRDefault="0006010D" w:rsidP="00596FC7">
      <w:pPr>
        <w:rPr>
          <w:rFonts w:ascii="Arial" w:hAnsi="Arial" w:cs="Arial"/>
          <w:bCs/>
        </w:rPr>
      </w:pPr>
    </w:p>
    <w:p w14:paraId="65998A05" w14:textId="77777777" w:rsidR="00A52F46" w:rsidRPr="00EE5A23" w:rsidRDefault="0006010D" w:rsidP="00596FC7">
      <w:pPr>
        <w:rPr>
          <w:rFonts w:ascii="Arial" w:hAnsi="Arial" w:cs="Arial"/>
          <w:bCs/>
        </w:rPr>
      </w:pPr>
      <w:r w:rsidRPr="00EE5A23">
        <w:rPr>
          <w:rFonts w:ascii="Arial" w:hAnsi="Arial" w:cs="Arial"/>
          <w:bCs/>
        </w:rPr>
        <w:t>Public Transport Contracting and Regulation</w:t>
      </w:r>
    </w:p>
    <w:tbl>
      <w:tblPr>
        <w:tblW w:w="5000" w:type="pct"/>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62"/>
        <w:gridCol w:w="6148"/>
      </w:tblGrid>
      <w:tr w:rsidR="0006010D" w:rsidRPr="00EE5A23" w14:paraId="67BE5DF3" w14:textId="77777777" w:rsidTr="009D3045">
        <w:tc>
          <w:tcPr>
            <w:tcW w:w="1483" w:type="pct"/>
            <w:shd w:val="clear" w:color="auto" w:fill="auto"/>
            <w:tcMar>
              <w:top w:w="57" w:type="dxa"/>
              <w:left w:w="57" w:type="dxa"/>
              <w:bottom w:w="57" w:type="dxa"/>
              <w:right w:w="57" w:type="dxa"/>
            </w:tcMar>
          </w:tcPr>
          <w:p w14:paraId="4E50DCEC" w14:textId="3A4EB4F8" w:rsidR="0006010D" w:rsidRPr="00BA5711" w:rsidRDefault="00BA5711" w:rsidP="006D5A10">
            <w:pPr>
              <w:spacing w:after="0" w:line="240" w:lineRule="auto"/>
              <w:rPr>
                <w:rFonts w:ascii="Arial" w:hAnsi="Arial" w:cs="Arial"/>
                <w:bCs/>
                <w:lang w:val="en-AU"/>
              </w:rPr>
            </w:pPr>
            <w:r w:rsidRPr="00BA5711">
              <w:rPr>
                <w:rFonts w:ascii="Arial" w:hAnsi="Arial" w:cs="Arial"/>
                <w:bCs/>
                <w:lang w:val="en-AU"/>
              </w:rPr>
              <w:t>Gerald Hoekstra</w:t>
            </w:r>
            <w:r>
              <w:rPr>
                <w:rFonts w:ascii="Arial" w:hAnsi="Arial" w:cs="Arial"/>
                <w:bCs/>
                <w:lang w:val="en-AU"/>
              </w:rPr>
              <w:t xml:space="preserve">, </w:t>
            </w:r>
            <w:r w:rsidR="0006010D" w:rsidRPr="00740021">
              <w:rPr>
                <w:rFonts w:ascii="Arial" w:hAnsi="Arial" w:cs="Arial"/>
                <w:b/>
                <w:lang w:val="en-AU"/>
              </w:rPr>
              <w:t>Wijnand Veeneman</w:t>
            </w:r>
            <w:r>
              <w:rPr>
                <w:rFonts w:ascii="Arial" w:hAnsi="Arial" w:cs="Arial"/>
                <w:bCs/>
                <w:lang w:val="en-AU"/>
              </w:rPr>
              <w:t>, Nils van Oort and Rob Goverde.</w:t>
            </w:r>
          </w:p>
          <w:p w14:paraId="0F383449" w14:textId="77777777" w:rsidR="0006010D" w:rsidRPr="00EE5A23" w:rsidRDefault="0006010D" w:rsidP="006D5A10">
            <w:pPr>
              <w:spacing w:after="0" w:line="240" w:lineRule="auto"/>
              <w:rPr>
                <w:rFonts w:ascii="Arial" w:hAnsi="Arial" w:cs="Arial"/>
                <w:bCs/>
                <w:lang w:val="en-AU"/>
              </w:rPr>
            </w:pPr>
          </w:p>
          <w:p w14:paraId="342F3FE9" w14:textId="6E9022D8" w:rsidR="0006010D" w:rsidRPr="00740021" w:rsidRDefault="0006010D" w:rsidP="006D5A10">
            <w:pPr>
              <w:spacing w:after="0" w:line="240" w:lineRule="auto"/>
              <w:rPr>
                <w:rFonts w:ascii="Arial" w:hAnsi="Arial" w:cs="Arial"/>
                <w:b/>
                <w:lang w:val="en-AU"/>
              </w:rPr>
            </w:pPr>
            <w:r w:rsidRPr="00740021">
              <w:rPr>
                <w:rFonts w:ascii="Arial" w:hAnsi="Arial" w:cs="Arial"/>
                <w:b/>
                <w:lang w:val="en-AU"/>
              </w:rPr>
              <w:t>Wijnand Veeneman</w:t>
            </w:r>
          </w:p>
          <w:p w14:paraId="13B3A2B1" w14:textId="77777777" w:rsidR="006D5A10" w:rsidRPr="00EE5A23" w:rsidRDefault="006D5A10" w:rsidP="006D5A10">
            <w:pPr>
              <w:spacing w:after="0" w:line="240" w:lineRule="auto"/>
              <w:rPr>
                <w:rFonts w:ascii="Arial" w:hAnsi="Arial" w:cs="Arial"/>
                <w:bCs/>
                <w:lang w:val="en-AU"/>
              </w:rPr>
            </w:pPr>
          </w:p>
          <w:p w14:paraId="6D7519FE" w14:textId="77777777" w:rsidR="006D5A10" w:rsidRPr="00EE5A23" w:rsidRDefault="006D5A10" w:rsidP="006D5A10">
            <w:pPr>
              <w:spacing w:after="0" w:line="240" w:lineRule="auto"/>
              <w:rPr>
                <w:rFonts w:ascii="Arial" w:hAnsi="Arial" w:cs="Arial"/>
                <w:bCs/>
                <w:lang w:val="en-AU"/>
              </w:rPr>
            </w:pPr>
          </w:p>
          <w:p w14:paraId="4073203B" w14:textId="2FDE0F83" w:rsidR="0006010D" w:rsidRPr="00EE5A23" w:rsidRDefault="0006010D" w:rsidP="006D5A10">
            <w:pPr>
              <w:spacing w:after="0" w:line="240" w:lineRule="auto"/>
              <w:rPr>
                <w:rFonts w:ascii="Arial" w:hAnsi="Arial" w:cs="Arial"/>
                <w:bCs/>
                <w:lang w:val="en-AU"/>
              </w:rPr>
            </w:pPr>
            <w:r w:rsidRPr="00740021">
              <w:rPr>
                <w:rFonts w:ascii="Arial" w:hAnsi="Arial" w:cs="Arial"/>
                <w:b/>
                <w:lang w:val="en-AU"/>
              </w:rPr>
              <w:t>Andrei Dementiev</w:t>
            </w:r>
            <w:r w:rsidR="00BA5711">
              <w:rPr>
                <w:rFonts w:ascii="Arial" w:hAnsi="Arial" w:cs="Arial"/>
                <w:bCs/>
                <w:lang w:val="en-AU"/>
              </w:rPr>
              <w:t xml:space="preserve"> </w:t>
            </w:r>
            <w:r w:rsidR="00BA5711" w:rsidRPr="00BA5711">
              <w:rPr>
                <w:rFonts w:ascii="Arial" w:hAnsi="Arial" w:cs="Arial"/>
                <w:bCs/>
                <w:lang w:val="en-AU"/>
              </w:rPr>
              <w:t xml:space="preserve">and </w:t>
            </w:r>
            <w:bookmarkStart w:id="1" w:name="_Hlk36826216"/>
            <w:r w:rsidR="00BA5711" w:rsidRPr="00BA5711">
              <w:rPr>
                <w:rFonts w:ascii="Arial" w:hAnsi="Arial" w:cs="Arial"/>
                <w:bCs/>
                <w:lang w:val="en-AU"/>
              </w:rPr>
              <w:t>Hyen Jin Han</w:t>
            </w:r>
            <w:bookmarkEnd w:id="1"/>
          </w:p>
        </w:tc>
        <w:tc>
          <w:tcPr>
            <w:tcW w:w="3186" w:type="pct"/>
            <w:shd w:val="clear" w:color="auto" w:fill="auto"/>
            <w:tcMar>
              <w:top w:w="57" w:type="dxa"/>
              <w:left w:w="57" w:type="dxa"/>
              <w:bottom w:w="57" w:type="dxa"/>
              <w:right w:w="57" w:type="dxa"/>
            </w:tcMar>
          </w:tcPr>
          <w:p w14:paraId="1BA8541F" w14:textId="77777777" w:rsidR="0006010D" w:rsidRPr="00EE5A23" w:rsidRDefault="0006010D" w:rsidP="006D5A10">
            <w:pPr>
              <w:spacing w:after="0" w:line="240" w:lineRule="auto"/>
              <w:rPr>
                <w:rFonts w:ascii="Arial" w:hAnsi="Arial" w:cs="Arial"/>
                <w:bCs/>
                <w:lang w:val="en-AU"/>
              </w:rPr>
            </w:pPr>
            <w:r w:rsidRPr="00EE5A23">
              <w:rPr>
                <w:rFonts w:ascii="Arial" w:hAnsi="Arial" w:cs="Arial"/>
                <w:bCs/>
                <w:lang w:val="en-AU"/>
              </w:rPr>
              <w:t>The potential of multimodal concessions for service improvements; three cases from the Netherlands</w:t>
            </w:r>
          </w:p>
          <w:p w14:paraId="23AFF730" w14:textId="7723F6FB" w:rsidR="006D5A10" w:rsidRDefault="006D5A10" w:rsidP="006D5A10">
            <w:pPr>
              <w:spacing w:after="0" w:line="240" w:lineRule="auto"/>
              <w:rPr>
                <w:rFonts w:ascii="Arial" w:hAnsi="Arial" w:cs="Arial"/>
                <w:bCs/>
                <w:lang w:val="en-AU"/>
              </w:rPr>
            </w:pPr>
          </w:p>
          <w:p w14:paraId="39C6EFD9" w14:textId="77777777" w:rsidR="00BA5711" w:rsidRPr="00EE5A23" w:rsidRDefault="00BA5711" w:rsidP="006D5A10">
            <w:pPr>
              <w:spacing w:after="0" w:line="240" w:lineRule="auto"/>
              <w:rPr>
                <w:rFonts w:ascii="Arial" w:hAnsi="Arial" w:cs="Arial"/>
                <w:bCs/>
                <w:lang w:val="en-AU"/>
              </w:rPr>
            </w:pPr>
          </w:p>
          <w:p w14:paraId="30AAC2AE" w14:textId="77777777" w:rsidR="0006010D" w:rsidRPr="00EE5A23" w:rsidRDefault="0006010D" w:rsidP="006D5A10">
            <w:pPr>
              <w:spacing w:after="0" w:line="240" w:lineRule="auto"/>
              <w:rPr>
                <w:rFonts w:ascii="Arial" w:hAnsi="Arial" w:cs="Arial"/>
                <w:bCs/>
                <w:lang w:val="en-AU"/>
              </w:rPr>
            </w:pPr>
            <w:r w:rsidRPr="00EE5A23">
              <w:rPr>
                <w:rFonts w:ascii="Arial" w:hAnsi="Arial" w:cs="Arial"/>
                <w:bCs/>
                <w:lang w:val="en-AU"/>
              </w:rPr>
              <w:t>Developments in Public Transport Governance in the Netherlands; Even More Recent Developments</w:t>
            </w:r>
          </w:p>
          <w:p w14:paraId="21FB69AD" w14:textId="77777777" w:rsidR="006D5A10" w:rsidRPr="00EE5A23" w:rsidRDefault="006D5A10" w:rsidP="006D5A10">
            <w:pPr>
              <w:spacing w:after="0" w:line="240" w:lineRule="auto"/>
              <w:rPr>
                <w:rFonts w:ascii="Arial" w:hAnsi="Arial" w:cs="Arial"/>
                <w:bCs/>
                <w:lang w:val="en-AU"/>
              </w:rPr>
            </w:pPr>
          </w:p>
          <w:p w14:paraId="4511CADE" w14:textId="77777777" w:rsidR="0006010D" w:rsidRPr="00EE5A23" w:rsidRDefault="0006010D" w:rsidP="006D5A10">
            <w:pPr>
              <w:spacing w:after="0" w:line="240" w:lineRule="auto"/>
              <w:rPr>
                <w:rFonts w:ascii="Arial" w:hAnsi="Arial" w:cs="Arial"/>
                <w:bCs/>
                <w:lang w:val="en-AU"/>
              </w:rPr>
            </w:pPr>
            <w:r w:rsidRPr="00EE5A23">
              <w:rPr>
                <w:rFonts w:ascii="Arial" w:hAnsi="Arial" w:cs="Arial"/>
                <w:bCs/>
                <w:lang w:val="en-AU"/>
              </w:rPr>
              <w:t>A theory of regulatory cycles in public transport</w:t>
            </w:r>
          </w:p>
          <w:p w14:paraId="56A08941" w14:textId="77777777" w:rsidR="0006010D" w:rsidRPr="00EE5A23" w:rsidRDefault="0006010D" w:rsidP="006D5A10">
            <w:pPr>
              <w:spacing w:after="0" w:line="240" w:lineRule="auto"/>
              <w:rPr>
                <w:rFonts w:ascii="Arial" w:hAnsi="Arial" w:cs="Arial"/>
                <w:bCs/>
                <w:i/>
                <w:lang w:val="en-AU"/>
              </w:rPr>
            </w:pPr>
          </w:p>
        </w:tc>
      </w:tr>
    </w:tbl>
    <w:p w14:paraId="0D271D3B" w14:textId="77777777" w:rsidR="0006010D" w:rsidRPr="00EE5A23" w:rsidRDefault="0006010D" w:rsidP="00596FC7">
      <w:pPr>
        <w:rPr>
          <w:rFonts w:ascii="Arial" w:hAnsi="Arial" w:cs="Arial"/>
          <w:bCs/>
        </w:rPr>
      </w:pPr>
    </w:p>
    <w:p w14:paraId="30990DC4" w14:textId="77777777" w:rsidR="006D5A10" w:rsidRPr="00EE5A23" w:rsidRDefault="006D5A10" w:rsidP="00596FC7">
      <w:pPr>
        <w:rPr>
          <w:rFonts w:ascii="Arial" w:hAnsi="Arial" w:cs="Arial"/>
          <w:bCs/>
        </w:rPr>
      </w:pPr>
      <w:r w:rsidRPr="00EE5A23">
        <w:rPr>
          <w:rFonts w:ascii="Arial" w:hAnsi="Arial" w:cs="Arial"/>
          <w:bCs/>
        </w:rPr>
        <w:t>Railway Contracts</w:t>
      </w:r>
    </w:p>
    <w:tbl>
      <w:tblPr>
        <w:tblW w:w="5000" w:type="pct"/>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62"/>
        <w:gridCol w:w="6148"/>
      </w:tblGrid>
      <w:tr w:rsidR="006D5A10" w:rsidRPr="00EE5A23" w14:paraId="761FA69D" w14:textId="77777777" w:rsidTr="009D3045">
        <w:tc>
          <w:tcPr>
            <w:tcW w:w="1483" w:type="pct"/>
            <w:shd w:val="clear" w:color="auto" w:fill="auto"/>
            <w:tcMar>
              <w:top w:w="57" w:type="dxa"/>
              <w:left w:w="57" w:type="dxa"/>
              <w:bottom w:w="57" w:type="dxa"/>
              <w:right w:w="57" w:type="dxa"/>
            </w:tcMar>
          </w:tcPr>
          <w:p w14:paraId="7AB1EDEB" w14:textId="046D7B68" w:rsidR="006D5A10" w:rsidRPr="00BA5711" w:rsidRDefault="006D5A10" w:rsidP="006D5A10">
            <w:pPr>
              <w:spacing w:after="0" w:line="240" w:lineRule="auto"/>
              <w:rPr>
                <w:rFonts w:ascii="Arial" w:hAnsi="Arial" w:cs="Arial"/>
                <w:bCs/>
                <w:lang w:val="en-AU"/>
              </w:rPr>
            </w:pPr>
            <w:r w:rsidRPr="00740021">
              <w:rPr>
                <w:rFonts w:ascii="Arial" w:hAnsi="Arial" w:cs="Arial"/>
                <w:b/>
                <w:lang w:val="en-AU"/>
              </w:rPr>
              <w:t>Christian Desmaris</w:t>
            </w:r>
            <w:r w:rsidR="00BA5711">
              <w:t xml:space="preserve"> </w:t>
            </w:r>
            <w:r w:rsidR="00BA5711" w:rsidRPr="00740021">
              <w:rPr>
                <w:rFonts w:ascii="Arial" w:hAnsi="Arial" w:cs="Arial"/>
                <w:bCs/>
                <w:lang w:val="en-AU"/>
              </w:rPr>
              <w:t xml:space="preserve">and </w:t>
            </w:r>
            <w:bookmarkStart w:id="2" w:name="_Hlk36826427"/>
            <w:r w:rsidR="00BA5711" w:rsidRPr="00740021">
              <w:rPr>
                <w:rFonts w:ascii="Arial" w:hAnsi="Arial" w:cs="Arial"/>
                <w:bCs/>
                <w:lang w:val="en-AU"/>
              </w:rPr>
              <w:t>Guillaume Monchambert</w:t>
            </w:r>
            <w:bookmarkEnd w:id="2"/>
          </w:p>
          <w:p w14:paraId="170148C9" w14:textId="77777777" w:rsidR="006D5A10" w:rsidRPr="00EE5A23" w:rsidRDefault="006D5A10" w:rsidP="006D5A10">
            <w:pPr>
              <w:spacing w:after="0" w:line="240" w:lineRule="auto"/>
              <w:rPr>
                <w:rFonts w:ascii="Arial" w:hAnsi="Arial" w:cs="Arial"/>
                <w:bCs/>
                <w:lang w:val="en-AU"/>
              </w:rPr>
            </w:pPr>
          </w:p>
          <w:p w14:paraId="0E6E3289" w14:textId="6BAC845F" w:rsidR="006D5A10" w:rsidRPr="00740021" w:rsidRDefault="006D5A10" w:rsidP="006D5A10">
            <w:pPr>
              <w:spacing w:after="0" w:line="240" w:lineRule="auto"/>
              <w:rPr>
                <w:rFonts w:ascii="Arial" w:hAnsi="Arial" w:cs="Arial"/>
                <w:b/>
                <w:lang w:val="en-AU"/>
              </w:rPr>
            </w:pPr>
            <w:r w:rsidRPr="00740021">
              <w:rPr>
                <w:rFonts w:ascii="Arial" w:hAnsi="Arial" w:cs="Arial"/>
                <w:b/>
                <w:lang w:val="en-AU"/>
              </w:rPr>
              <w:t>John Preston</w:t>
            </w:r>
            <w:r w:rsidR="00136979">
              <w:rPr>
                <w:rFonts w:ascii="Arial" w:hAnsi="Arial" w:cs="Arial"/>
                <w:b/>
                <w:lang w:val="en-AU"/>
              </w:rPr>
              <w:t xml:space="preserve"> </w:t>
            </w:r>
            <w:r w:rsidR="00136979" w:rsidRPr="00740021">
              <w:rPr>
                <w:rFonts w:ascii="Arial" w:hAnsi="Arial" w:cs="Arial"/>
                <w:bCs/>
                <w:lang w:val="en-AU"/>
              </w:rPr>
              <w:t>and Charles Bickel</w:t>
            </w:r>
          </w:p>
        </w:tc>
        <w:tc>
          <w:tcPr>
            <w:tcW w:w="3186" w:type="pct"/>
            <w:shd w:val="clear" w:color="auto" w:fill="auto"/>
            <w:tcMar>
              <w:top w:w="57" w:type="dxa"/>
              <w:left w:w="57" w:type="dxa"/>
              <w:bottom w:w="57" w:type="dxa"/>
              <w:right w:w="57" w:type="dxa"/>
            </w:tcMar>
          </w:tcPr>
          <w:p w14:paraId="34957B46" w14:textId="77777777" w:rsidR="006D5A10" w:rsidRPr="00EE5A23" w:rsidRDefault="006D5A10" w:rsidP="006D5A10">
            <w:pPr>
              <w:spacing w:after="0" w:line="240" w:lineRule="auto"/>
              <w:rPr>
                <w:rFonts w:ascii="Arial" w:hAnsi="Arial" w:cs="Arial"/>
                <w:bCs/>
                <w:lang w:val="en-AU"/>
              </w:rPr>
            </w:pPr>
            <w:r w:rsidRPr="00EE5A23">
              <w:rPr>
                <w:rFonts w:ascii="Arial" w:hAnsi="Arial" w:cs="Arial"/>
                <w:bCs/>
                <w:lang w:val="en-AU"/>
              </w:rPr>
              <w:t>Regional passenger rail transport Efficiency: a test of measurement and explanation in the case of France</w:t>
            </w:r>
          </w:p>
          <w:p w14:paraId="65A70D89" w14:textId="77777777" w:rsidR="006D5A10" w:rsidRPr="00EE5A23" w:rsidRDefault="006D5A10" w:rsidP="006D5A10">
            <w:pPr>
              <w:spacing w:after="0" w:line="240" w:lineRule="auto"/>
              <w:rPr>
                <w:rFonts w:ascii="Arial" w:hAnsi="Arial" w:cs="Arial"/>
                <w:bCs/>
                <w:lang w:val="en-AU"/>
              </w:rPr>
            </w:pPr>
          </w:p>
          <w:p w14:paraId="54BF2A31" w14:textId="77777777" w:rsidR="006D5A10" w:rsidRPr="00EE5A23" w:rsidRDefault="006D5A10" w:rsidP="006D5A10">
            <w:pPr>
              <w:spacing w:after="0" w:line="240" w:lineRule="auto"/>
              <w:rPr>
                <w:rFonts w:ascii="Arial" w:hAnsi="Arial" w:cs="Arial"/>
                <w:bCs/>
                <w:lang w:val="en-AU"/>
              </w:rPr>
            </w:pPr>
            <w:r w:rsidRPr="00EE5A23">
              <w:rPr>
                <w:rFonts w:ascii="Arial" w:hAnsi="Arial" w:cs="Arial"/>
                <w:bCs/>
                <w:lang w:val="en-AU"/>
              </w:rPr>
              <w:t>And the Beat Goes On. The continued trials and tribulations of passenger rail franchising in Great Britain</w:t>
            </w:r>
          </w:p>
          <w:p w14:paraId="44C28972" w14:textId="77777777" w:rsidR="006D5A10" w:rsidRPr="00EE5A23" w:rsidRDefault="006D5A10" w:rsidP="006D5A10">
            <w:pPr>
              <w:spacing w:after="0" w:line="240" w:lineRule="auto"/>
              <w:rPr>
                <w:rFonts w:ascii="Arial" w:hAnsi="Arial" w:cs="Arial"/>
                <w:bCs/>
                <w:i/>
                <w:lang w:val="en-AU"/>
              </w:rPr>
            </w:pPr>
          </w:p>
        </w:tc>
      </w:tr>
    </w:tbl>
    <w:p w14:paraId="3747CAD3" w14:textId="77777777" w:rsidR="006D5A10" w:rsidRPr="00EE5A23" w:rsidRDefault="006D5A10" w:rsidP="00596FC7">
      <w:pPr>
        <w:rPr>
          <w:rFonts w:ascii="Arial" w:hAnsi="Arial" w:cs="Arial"/>
          <w:bCs/>
        </w:rPr>
      </w:pPr>
    </w:p>
    <w:p w14:paraId="583CC8CF" w14:textId="0663CB22" w:rsidR="00B5238A" w:rsidRDefault="00B5238A">
      <w:pPr>
        <w:rPr>
          <w:rFonts w:ascii="Arial" w:hAnsi="Arial" w:cs="Arial"/>
          <w:bCs/>
        </w:rPr>
      </w:pPr>
      <w:r>
        <w:rPr>
          <w:rFonts w:ascii="Arial" w:hAnsi="Arial" w:cs="Arial"/>
          <w:bCs/>
        </w:rPr>
        <w:br w:type="page"/>
      </w:r>
    </w:p>
    <w:p w14:paraId="2EF083F8" w14:textId="77777777" w:rsidR="00596FC7" w:rsidRPr="00B5238A" w:rsidRDefault="00596FC7" w:rsidP="00596FC7">
      <w:pPr>
        <w:rPr>
          <w:rFonts w:ascii="Arial" w:hAnsi="Arial" w:cs="Arial"/>
          <w:b/>
          <w:bCs/>
        </w:rPr>
      </w:pPr>
      <w:r w:rsidRPr="00B5238A">
        <w:rPr>
          <w:rFonts w:ascii="Arial" w:hAnsi="Arial" w:cs="Arial"/>
          <w:b/>
          <w:bCs/>
        </w:rPr>
        <w:lastRenderedPageBreak/>
        <w:t>References</w:t>
      </w:r>
    </w:p>
    <w:p w14:paraId="5C03819B" w14:textId="174F15BD" w:rsidR="00155021" w:rsidRPr="00EE5A23" w:rsidRDefault="00155021" w:rsidP="00596FC7">
      <w:pPr>
        <w:rPr>
          <w:rFonts w:ascii="Arial" w:hAnsi="Arial" w:cs="Arial"/>
          <w:bCs/>
        </w:rPr>
      </w:pPr>
      <w:r w:rsidRPr="00EE5A23">
        <w:rPr>
          <w:rFonts w:ascii="Arial" w:hAnsi="Arial" w:cs="Arial"/>
          <w:bCs/>
        </w:rPr>
        <w:t>Currie</w:t>
      </w:r>
      <w:r w:rsidR="003248C6" w:rsidRPr="00EE5A23">
        <w:rPr>
          <w:rFonts w:ascii="Arial" w:hAnsi="Arial" w:cs="Arial"/>
          <w:bCs/>
        </w:rPr>
        <w:t xml:space="preserve">, G. </w:t>
      </w:r>
      <w:r w:rsidRPr="00EE5A23">
        <w:rPr>
          <w:rFonts w:ascii="Arial" w:hAnsi="Arial" w:cs="Arial"/>
          <w:bCs/>
        </w:rPr>
        <w:t xml:space="preserve"> (2016)</w:t>
      </w:r>
      <w:r w:rsidR="00DC38B1" w:rsidRPr="00EE5A23">
        <w:rPr>
          <w:rFonts w:ascii="Arial" w:hAnsi="Arial" w:cs="Arial"/>
          <w:bCs/>
        </w:rPr>
        <w:t xml:space="preserve"> </w:t>
      </w:r>
      <w:r w:rsidR="00DC38B1" w:rsidRPr="00EE5A23">
        <w:rPr>
          <w:rFonts w:ascii="Arial" w:hAnsi="Arial" w:cs="Arial"/>
          <w:bCs/>
          <w:i/>
        </w:rPr>
        <w:t xml:space="preserve">Deregulation, Franchising, Outsourcing and Corporatisation in Local Public Transport. </w:t>
      </w:r>
      <w:r w:rsidR="00DC38B1" w:rsidRPr="00EE5A23">
        <w:rPr>
          <w:rFonts w:ascii="Arial" w:hAnsi="Arial" w:cs="Arial"/>
          <w:bCs/>
        </w:rPr>
        <w:t>International Transport Forum Discussion Paper 10. OECD, Paris.</w:t>
      </w:r>
    </w:p>
    <w:p w14:paraId="1AEE24E3" w14:textId="181B492E" w:rsidR="00882598" w:rsidRPr="00EE5A23" w:rsidRDefault="00882598" w:rsidP="00882598">
      <w:pPr>
        <w:rPr>
          <w:rFonts w:ascii="Arial" w:hAnsi="Arial" w:cs="Arial"/>
          <w:bCs/>
        </w:rPr>
      </w:pPr>
      <w:r w:rsidRPr="00EE5A23">
        <w:rPr>
          <w:rFonts w:ascii="Arial" w:hAnsi="Arial" w:cs="Arial"/>
          <w:bCs/>
        </w:rPr>
        <w:t xml:space="preserve">Department for Transport (2013) </w:t>
      </w:r>
      <w:r w:rsidRPr="00EE5A23">
        <w:rPr>
          <w:rFonts w:ascii="Arial" w:hAnsi="Arial" w:cs="Arial"/>
          <w:bCs/>
          <w:i/>
        </w:rPr>
        <w:t xml:space="preserve">Tendering Road Passenger Transport Contracts: Best Practice Guidance. </w:t>
      </w:r>
      <w:r w:rsidRPr="00EE5A23">
        <w:rPr>
          <w:rFonts w:ascii="Arial" w:hAnsi="Arial" w:cs="Arial"/>
          <w:bCs/>
        </w:rPr>
        <w:t>DfT, London. October.</w:t>
      </w:r>
    </w:p>
    <w:p w14:paraId="0F353E9E" w14:textId="3FD599C7" w:rsidR="00B14EF1" w:rsidRDefault="00B14EF1" w:rsidP="00882598">
      <w:pPr>
        <w:rPr>
          <w:rFonts w:ascii="Arial" w:hAnsi="Arial" w:cs="Arial"/>
          <w:bCs/>
        </w:rPr>
      </w:pPr>
      <w:r w:rsidRPr="00EE5A23">
        <w:rPr>
          <w:rFonts w:ascii="Arial" w:hAnsi="Arial" w:cs="Arial"/>
          <w:bCs/>
        </w:rPr>
        <w:t xml:space="preserve">Foster, C and </w:t>
      </w:r>
      <w:proofErr w:type="spellStart"/>
      <w:r w:rsidRPr="00EE5A23">
        <w:rPr>
          <w:rFonts w:ascii="Arial" w:hAnsi="Arial" w:cs="Arial"/>
          <w:bCs/>
        </w:rPr>
        <w:t>Golay</w:t>
      </w:r>
      <w:proofErr w:type="spellEnd"/>
      <w:r w:rsidRPr="00EE5A23">
        <w:rPr>
          <w:rFonts w:ascii="Arial" w:hAnsi="Arial" w:cs="Arial"/>
          <w:bCs/>
        </w:rPr>
        <w:t xml:space="preserve">, J. (1986) Some Curious Old Practices and their Relevance to Equilibrium in Bus Competition. </w:t>
      </w:r>
      <w:r w:rsidRPr="00EE5A23">
        <w:rPr>
          <w:rFonts w:ascii="Arial" w:hAnsi="Arial" w:cs="Arial"/>
          <w:bCs/>
          <w:i/>
        </w:rPr>
        <w:t>Journal of Transport Economics and Policy,</w:t>
      </w:r>
      <w:r w:rsidRPr="00EE5A23">
        <w:rPr>
          <w:rFonts w:ascii="Arial" w:hAnsi="Arial" w:cs="Arial"/>
          <w:bCs/>
        </w:rPr>
        <w:t xml:space="preserve"> 20, 191-216.</w:t>
      </w:r>
    </w:p>
    <w:p w14:paraId="1DC70FC3" w14:textId="14B0FCEB" w:rsidR="00EA587A" w:rsidRDefault="00EA587A" w:rsidP="00882598">
      <w:pPr>
        <w:rPr>
          <w:rFonts w:ascii="Arial" w:hAnsi="Arial" w:cs="Arial"/>
          <w:bCs/>
        </w:rPr>
      </w:pPr>
      <w:r>
        <w:rPr>
          <w:rFonts w:ascii="Arial" w:hAnsi="Arial" w:cs="Arial"/>
          <w:bCs/>
        </w:rPr>
        <w:t>Gwilliam</w:t>
      </w:r>
      <w:r w:rsidR="00136979">
        <w:rPr>
          <w:rFonts w:ascii="Arial" w:hAnsi="Arial" w:cs="Arial"/>
          <w:bCs/>
        </w:rPr>
        <w:t>, K. (2008)</w:t>
      </w:r>
      <w:r w:rsidR="00DE4BC5">
        <w:rPr>
          <w:rFonts w:ascii="Arial" w:hAnsi="Arial" w:cs="Arial"/>
          <w:bCs/>
        </w:rPr>
        <w:t xml:space="preserve"> </w:t>
      </w:r>
      <w:r w:rsidR="00DE4BC5" w:rsidRPr="00DE4BC5">
        <w:rPr>
          <w:rFonts w:ascii="Arial" w:hAnsi="Arial" w:cs="Arial"/>
          <w:bCs/>
        </w:rPr>
        <w:t xml:space="preserve">Bus transport: Is there a regulatory cycle? </w:t>
      </w:r>
      <w:r w:rsidR="00DE4BC5" w:rsidRPr="00740021">
        <w:rPr>
          <w:rFonts w:ascii="Arial" w:hAnsi="Arial" w:cs="Arial"/>
          <w:bCs/>
          <w:i/>
          <w:iCs/>
        </w:rPr>
        <w:t>Transportation Research Part A</w:t>
      </w:r>
      <w:r w:rsidR="00DE4BC5" w:rsidRPr="00DE4BC5">
        <w:rPr>
          <w:rFonts w:ascii="Arial" w:hAnsi="Arial" w:cs="Arial"/>
          <w:bCs/>
        </w:rPr>
        <w:t>, 42</w:t>
      </w:r>
      <w:r w:rsidR="00DE4BC5">
        <w:rPr>
          <w:rFonts w:ascii="Arial" w:hAnsi="Arial" w:cs="Arial"/>
          <w:bCs/>
        </w:rPr>
        <w:t xml:space="preserve">, </w:t>
      </w:r>
      <w:r w:rsidR="00DE4BC5" w:rsidRPr="00DE4BC5">
        <w:rPr>
          <w:rFonts w:ascii="Arial" w:hAnsi="Arial" w:cs="Arial"/>
          <w:bCs/>
        </w:rPr>
        <w:t>9, 1183-1194.</w:t>
      </w:r>
    </w:p>
    <w:p w14:paraId="2E6AD64F" w14:textId="00794362" w:rsidR="00775409" w:rsidRPr="00775409" w:rsidRDefault="00775409" w:rsidP="00882598">
      <w:pPr>
        <w:rPr>
          <w:rFonts w:ascii="Arial" w:hAnsi="Arial" w:cs="Arial"/>
          <w:bCs/>
        </w:rPr>
      </w:pPr>
      <w:r w:rsidRPr="00740021">
        <w:rPr>
          <w:rFonts w:ascii="Arial" w:hAnsi="Arial" w:cs="Arial"/>
        </w:rPr>
        <w:t xml:space="preserve">Hensher, D.A. and Brewer, A. (2001) </w:t>
      </w:r>
      <w:r w:rsidRPr="00740021">
        <w:rPr>
          <w:rFonts w:ascii="Arial" w:hAnsi="Arial" w:cs="Arial"/>
          <w:i/>
          <w:iCs/>
        </w:rPr>
        <w:t>Transport: An Economics and Management Perspective Management</w:t>
      </w:r>
      <w:r w:rsidR="004C0E5E">
        <w:rPr>
          <w:rFonts w:ascii="Arial" w:hAnsi="Arial" w:cs="Arial"/>
          <w:i/>
          <w:iCs/>
        </w:rPr>
        <w:t>.</w:t>
      </w:r>
      <w:r w:rsidRPr="00740021">
        <w:rPr>
          <w:rFonts w:ascii="Arial" w:hAnsi="Arial" w:cs="Arial"/>
        </w:rPr>
        <w:t xml:space="preserve"> Oxford University Press, Oxford.</w:t>
      </w:r>
    </w:p>
    <w:p w14:paraId="35B272DF" w14:textId="1E326576" w:rsidR="00593AF1" w:rsidRPr="00EE5A23" w:rsidRDefault="00593AF1" w:rsidP="00CD1B42">
      <w:pPr>
        <w:rPr>
          <w:rFonts w:ascii="Arial" w:hAnsi="Arial" w:cs="Arial"/>
          <w:bCs/>
        </w:rPr>
      </w:pPr>
      <w:r w:rsidRPr="00EE5A23">
        <w:rPr>
          <w:rFonts w:ascii="Arial" w:hAnsi="Arial" w:cs="Arial"/>
          <w:bCs/>
        </w:rPr>
        <w:t>Hensher, D. and Stanley, J. (2010) Contracting Regimes for Bud Services: Wha</w:t>
      </w:r>
      <w:r w:rsidR="00882598" w:rsidRPr="00EE5A23">
        <w:rPr>
          <w:rFonts w:ascii="Arial" w:hAnsi="Arial" w:cs="Arial"/>
          <w:bCs/>
        </w:rPr>
        <w:t>t</w:t>
      </w:r>
      <w:r w:rsidRPr="00EE5A23">
        <w:rPr>
          <w:rFonts w:ascii="Arial" w:hAnsi="Arial" w:cs="Arial"/>
          <w:bCs/>
        </w:rPr>
        <w:t xml:space="preserve"> have </w:t>
      </w:r>
      <w:r w:rsidR="00882598" w:rsidRPr="00EE5A23">
        <w:rPr>
          <w:rFonts w:ascii="Arial" w:hAnsi="Arial" w:cs="Arial"/>
          <w:bCs/>
        </w:rPr>
        <w:t xml:space="preserve">we learnt after 20 years? </w:t>
      </w:r>
      <w:r w:rsidR="00882598" w:rsidRPr="00EE5A23">
        <w:rPr>
          <w:rFonts w:ascii="Arial" w:hAnsi="Arial" w:cs="Arial"/>
          <w:bCs/>
          <w:i/>
        </w:rPr>
        <w:t>Research in Transportation Economics,</w:t>
      </w:r>
      <w:r w:rsidR="00882598" w:rsidRPr="00EE5A23">
        <w:rPr>
          <w:rFonts w:ascii="Arial" w:hAnsi="Arial" w:cs="Arial"/>
          <w:bCs/>
        </w:rPr>
        <w:t xml:space="preserve"> 1, 140-144.</w:t>
      </w:r>
    </w:p>
    <w:p w14:paraId="2ED87BDD" w14:textId="7598067C" w:rsidR="002A7B3F" w:rsidRPr="00EE5A23" w:rsidRDefault="002A7B3F" w:rsidP="00CD1B42">
      <w:pPr>
        <w:rPr>
          <w:rFonts w:ascii="Arial" w:hAnsi="Arial" w:cs="Arial"/>
          <w:bCs/>
        </w:rPr>
      </w:pPr>
      <w:r w:rsidRPr="00EE5A23">
        <w:rPr>
          <w:rFonts w:ascii="Arial" w:hAnsi="Arial" w:cs="Arial"/>
          <w:bCs/>
        </w:rPr>
        <w:t xml:space="preserve">Iossa, E. and Waterson, M. (2019) Maintaining Competition in Recurrent Procurement Contracts: A case study on the London bus market. </w:t>
      </w:r>
      <w:r w:rsidRPr="00EE5A23">
        <w:rPr>
          <w:rFonts w:ascii="Arial" w:hAnsi="Arial" w:cs="Arial"/>
          <w:bCs/>
          <w:i/>
        </w:rPr>
        <w:t xml:space="preserve">Transport Policy, </w:t>
      </w:r>
      <w:r w:rsidRPr="00EE5A23">
        <w:rPr>
          <w:rFonts w:ascii="Arial" w:hAnsi="Arial" w:cs="Arial"/>
          <w:bCs/>
        </w:rPr>
        <w:t>75, 141-149.</w:t>
      </w:r>
    </w:p>
    <w:p w14:paraId="6D5E39E4" w14:textId="2AFFB53C" w:rsidR="00DC38B1" w:rsidRPr="00EE5A23" w:rsidRDefault="00DC38B1" w:rsidP="00CD1B42">
      <w:pPr>
        <w:rPr>
          <w:rFonts w:ascii="Arial" w:hAnsi="Arial" w:cs="Arial"/>
          <w:bCs/>
        </w:rPr>
      </w:pPr>
      <w:r w:rsidRPr="00EE5A23">
        <w:rPr>
          <w:rFonts w:ascii="Arial" w:hAnsi="Arial" w:cs="Arial"/>
          <w:bCs/>
        </w:rPr>
        <w:t xml:space="preserve">KPMG (2016) </w:t>
      </w:r>
      <w:r w:rsidRPr="00EE5A23">
        <w:rPr>
          <w:rFonts w:ascii="Arial" w:hAnsi="Arial" w:cs="Arial"/>
          <w:bCs/>
          <w:i/>
        </w:rPr>
        <w:t xml:space="preserve">Local Bus Market Study. </w:t>
      </w:r>
      <w:r w:rsidRPr="00EE5A23">
        <w:rPr>
          <w:rFonts w:ascii="Arial" w:hAnsi="Arial" w:cs="Arial"/>
          <w:bCs/>
        </w:rPr>
        <w:t>Report to the Department for Transport, London.</w:t>
      </w:r>
    </w:p>
    <w:p w14:paraId="0D900036" w14:textId="5001BA8B" w:rsidR="00596FC7" w:rsidRPr="00EE5A23" w:rsidRDefault="00596FC7" w:rsidP="00596FC7">
      <w:pPr>
        <w:rPr>
          <w:rFonts w:ascii="Arial" w:hAnsi="Arial" w:cs="Arial"/>
          <w:bCs/>
        </w:rPr>
      </w:pPr>
      <w:r w:rsidRPr="00EE5A23">
        <w:rPr>
          <w:rFonts w:ascii="Arial" w:hAnsi="Arial" w:cs="Arial"/>
          <w:bCs/>
          <w:lang w:val="sv-SE"/>
        </w:rPr>
        <w:t>Merkert</w:t>
      </w:r>
      <w:r w:rsidR="00122E21" w:rsidRPr="00EE5A23">
        <w:rPr>
          <w:rFonts w:ascii="Arial" w:hAnsi="Arial" w:cs="Arial"/>
          <w:bCs/>
          <w:lang w:val="sv-SE"/>
        </w:rPr>
        <w:t xml:space="preserve">, R., Preston, J., </w:t>
      </w:r>
      <w:r w:rsidR="00122E21" w:rsidRPr="00EE5A23">
        <w:rPr>
          <w:rFonts w:ascii="Arial" w:hAnsi="Arial" w:cs="Arial"/>
          <w:spacing w:val="-2"/>
          <w:lang w:val="sv-SE"/>
        </w:rPr>
        <w:t xml:space="preserve">Melkersson. </w:t>
      </w:r>
      <w:r w:rsidR="00122E21" w:rsidRPr="00EE5A23">
        <w:rPr>
          <w:rFonts w:ascii="Arial" w:hAnsi="Arial" w:cs="Arial"/>
          <w:spacing w:val="-2"/>
        </w:rPr>
        <w:t xml:space="preserve">M. and Link, H. </w:t>
      </w:r>
      <w:r w:rsidRPr="00EE5A23">
        <w:rPr>
          <w:rFonts w:ascii="Arial" w:hAnsi="Arial" w:cs="Arial"/>
          <w:bCs/>
        </w:rPr>
        <w:t>(2018).</w:t>
      </w:r>
      <w:r w:rsidR="00122E21" w:rsidRPr="00EE5A23">
        <w:rPr>
          <w:rFonts w:ascii="Arial" w:hAnsi="Arial" w:cs="Arial"/>
          <w:bCs/>
        </w:rPr>
        <w:t xml:space="preserve"> </w:t>
      </w:r>
      <w:r w:rsidR="00122E21" w:rsidRPr="00EE5A23">
        <w:rPr>
          <w:rFonts w:ascii="Arial" w:hAnsi="Arial" w:cs="Arial"/>
          <w:spacing w:val="-2"/>
        </w:rPr>
        <w:t xml:space="preserve">Workshop Report 2: Competitive tendering and other forms of contracting-out: institutional and contract design and performance measurement. </w:t>
      </w:r>
      <w:r w:rsidR="00122E21" w:rsidRPr="00EE5A23">
        <w:rPr>
          <w:rFonts w:ascii="Arial" w:hAnsi="Arial" w:cs="Arial"/>
          <w:i/>
          <w:spacing w:val="-2"/>
        </w:rPr>
        <w:t>Research in Transportation Economics.</w:t>
      </w:r>
      <w:r w:rsidR="00122E21" w:rsidRPr="00EE5A23">
        <w:rPr>
          <w:rFonts w:ascii="Arial" w:hAnsi="Arial" w:cs="Arial"/>
          <w:spacing w:val="-2"/>
        </w:rPr>
        <w:t xml:space="preserve"> 69, 86-96.</w:t>
      </w:r>
    </w:p>
    <w:p w14:paraId="6864D67B" w14:textId="673C0D58" w:rsidR="00155021" w:rsidRPr="00EE5A23" w:rsidRDefault="00155021" w:rsidP="00155021">
      <w:pPr>
        <w:tabs>
          <w:tab w:val="left" w:pos="-720"/>
          <w:tab w:val="left" w:pos="0"/>
          <w:tab w:val="left" w:pos="720"/>
          <w:tab w:val="left" w:pos="1440"/>
          <w:tab w:val="left" w:pos="2160"/>
          <w:tab w:val="decimal" w:pos="2880"/>
          <w:tab w:val="decimal" w:pos="3600"/>
          <w:tab w:val="decimal" w:pos="4320"/>
          <w:tab w:val="decimal" w:pos="5040"/>
          <w:tab w:val="decimal" w:pos="5760"/>
        </w:tabs>
        <w:suppressAutoHyphens/>
        <w:spacing w:after="0" w:line="240" w:lineRule="auto"/>
        <w:jc w:val="both"/>
        <w:rPr>
          <w:rFonts w:ascii="Arial" w:hAnsi="Arial" w:cs="Arial"/>
          <w:spacing w:val="-2"/>
        </w:rPr>
      </w:pPr>
      <w:r w:rsidRPr="00EE5A23">
        <w:rPr>
          <w:rFonts w:ascii="Arial" w:hAnsi="Arial" w:cs="Arial"/>
          <w:spacing w:val="-2"/>
        </w:rPr>
        <w:t xml:space="preserve">Preston, J. and Shaw, A. (2000) Tendering and Competition in Public Transport. </w:t>
      </w:r>
      <w:r w:rsidRPr="00EE5A23">
        <w:rPr>
          <w:rFonts w:ascii="Arial" w:hAnsi="Arial" w:cs="Arial"/>
          <w:i/>
          <w:spacing w:val="-2"/>
        </w:rPr>
        <w:t>Transport Reviews</w:t>
      </w:r>
      <w:r w:rsidR="00122E21" w:rsidRPr="00EE5A23">
        <w:rPr>
          <w:rFonts w:ascii="Arial" w:hAnsi="Arial" w:cs="Arial"/>
          <w:spacing w:val="-2"/>
        </w:rPr>
        <w:t>, 20, 3, 323-329.</w:t>
      </w:r>
    </w:p>
    <w:p w14:paraId="7D457136" w14:textId="77777777" w:rsidR="00593AF1" w:rsidRPr="00EE5A23" w:rsidRDefault="00593AF1" w:rsidP="00155021">
      <w:pPr>
        <w:tabs>
          <w:tab w:val="left" w:pos="-720"/>
          <w:tab w:val="left" w:pos="0"/>
          <w:tab w:val="left" w:pos="720"/>
          <w:tab w:val="left" w:pos="1440"/>
          <w:tab w:val="left" w:pos="2160"/>
          <w:tab w:val="decimal" w:pos="2880"/>
          <w:tab w:val="decimal" w:pos="3600"/>
          <w:tab w:val="decimal" w:pos="4320"/>
          <w:tab w:val="decimal" w:pos="5040"/>
          <w:tab w:val="decimal" w:pos="5760"/>
        </w:tabs>
        <w:suppressAutoHyphens/>
        <w:spacing w:after="0" w:line="240" w:lineRule="auto"/>
        <w:jc w:val="both"/>
        <w:rPr>
          <w:rFonts w:ascii="Arial" w:hAnsi="Arial" w:cs="Arial"/>
          <w:spacing w:val="-2"/>
          <w:lang w:val="en-AU"/>
        </w:rPr>
      </w:pPr>
    </w:p>
    <w:p w14:paraId="05D8E235" w14:textId="0E780D24" w:rsidR="00593AF1" w:rsidRPr="00EE5A23" w:rsidRDefault="00593AF1" w:rsidP="00155021">
      <w:pPr>
        <w:tabs>
          <w:tab w:val="left" w:pos="-720"/>
          <w:tab w:val="left" w:pos="0"/>
          <w:tab w:val="left" w:pos="720"/>
          <w:tab w:val="left" w:pos="1440"/>
          <w:tab w:val="left" w:pos="2160"/>
          <w:tab w:val="decimal" w:pos="2880"/>
          <w:tab w:val="decimal" w:pos="3600"/>
          <w:tab w:val="decimal" w:pos="4320"/>
          <w:tab w:val="decimal" w:pos="5040"/>
          <w:tab w:val="decimal" w:pos="5760"/>
        </w:tabs>
        <w:suppressAutoHyphens/>
        <w:spacing w:after="0" w:line="240" w:lineRule="auto"/>
        <w:jc w:val="both"/>
        <w:rPr>
          <w:rFonts w:ascii="Arial" w:hAnsi="Arial" w:cs="Arial"/>
          <w:spacing w:val="-2"/>
          <w:lang w:val="en-AU"/>
        </w:rPr>
      </w:pPr>
      <w:r w:rsidRPr="00EE5A23">
        <w:rPr>
          <w:rFonts w:ascii="Arial" w:hAnsi="Arial" w:cs="Arial"/>
          <w:spacing w:val="-2"/>
          <w:lang w:val="en-AU"/>
        </w:rPr>
        <w:t xml:space="preserve">Transit Center and Eno Center for Transportation (2017). </w:t>
      </w:r>
      <w:r w:rsidRPr="00EE5A23">
        <w:rPr>
          <w:rFonts w:ascii="Arial" w:hAnsi="Arial" w:cs="Arial"/>
          <w:i/>
          <w:spacing w:val="-2"/>
          <w:lang w:val="en-AU"/>
        </w:rPr>
        <w:t xml:space="preserve">A Bid for Better Transit. Improving service with contracted operations. </w:t>
      </w:r>
      <w:r w:rsidRPr="00EE5A23">
        <w:rPr>
          <w:rFonts w:ascii="Arial" w:hAnsi="Arial" w:cs="Arial"/>
          <w:spacing w:val="-2"/>
          <w:lang w:val="en-AU"/>
        </w:rPr>
        <w:t>Transit Center, New York. September.</w:t>
      </w:r>
    </w:p>
    <w:p w14:paraId="17D8F522" w14:textId="77777777" w:rsidR="00593AF1" w:rsidRPr="00EE5A23" w:rsidRDefault="00593AF1" w:rsidP="00155021">
      <w:pPr>
        <w:tabs>
          <w:tab w:val="left" w:pos="-720"/>
          <w:tab w:val="left" w:pos="0"/>
          <w:tab w:val="left" w:pos="720"/>
          <w:tab w:val="left" w:pos="1440"/>
          <w:tab w:val="left" w:pos="2160"/>
          <w:tab w:val="decimal" w:pos="2880"/>
          <w:tab w:val="decimal" w:pos="3600"/>
          <w:tab w:val="decimal" w:pos="4320"/>
          <w:tab w:val="decimal" w:pos="5040"/>
          <w:tab w:val="decimal" w:pos="5760"/>
        </w:tabs>
        <w:suppressAutoHyphens/>
        <w:spacing w:after="0" w:line="240" w:lineRule="auto"/>
        <w:jc w:val="both"/>
        <w:rPr>
          <w:rFonts w:ascii="Arial" w:hAnsi="Arial" w:cs="Arial"/>
          <w:spacing w:val="-2"/>
        </w:rPr>
      </w:pPr>
    </w:p>
    <w:p w14:paraId="767A4141" w14:textId="67AB1CA5" w:rsidR="00B14EF1" w:rsidRPr="00EE5A23" w:rsidRDefault="00B14EF1" w:rsidP="00B14EF1">
      <w:pPr>
        <w:rPr>
          <w:rFonts w:ascii="Arial" w:hAnsi="Arial" w:cs="Arial"/>
          <w:bCs/>
        </w:rPr>
      </w:pPr>
      <w:r w:rsidRPr="00EE5A23">
        <w:rPr>
          <w:rFonts w:ascii="Arial" w:hAnsi="Arial" w:cs="Arial"/>
          <w:bCs/>
        </w:rPr>
        <w:t xml:space="preserve">Wallis, I.P. and Bray, D.J. (2014) The contracting of urban bus services – Recent Australian developments. </w:t>
      </w:r>
      <w:r w:rsidRPr="00EE5A23">
        <w:rPr>
          <w:rFonts w:ascii="Arial" w:hAnsi="Arial" w:cs="Arial"/>
          <w:bCs/>
          <w:i/>
        </w:rPr>
        <w:t>Research in Transportation Economics</w:t>
      </w:r>
      <w:r w:rsidRPr="00EE5A23">
        <w:rPr>
          <w:rFonts w:ascii="Arial" w:hAnsi="Arial" w:cs="Arial"/>
          <w:bCs/>
        </w:rPr>
        <w:t>, 48, 48-61.</w:t>
      </w:r>
    </w:p>
    <w:p w14:paraId="76AEF682" w14:textId="6B3235D9" w:rsidR="00C42054" w:rsidRPr="00EE5A23" w:rsidRDefault="00C42054" w:rsidP="00C42054">
      <w:pPr>
        <w:rPr>
          <w:rFonts w:ascii="Arial" w:hAnsi="Arial" w:cs="Arial"/>
          <w:bCs/>
        </w:rPr>
      </w:pPr>
      <w:r w:rsidRPr="00EE5A23">
        <w:rPr>
          <w:rFonts w:ascii="Arial" w:hAnsi="Arial" w:cs="Arial"/>
          <w:bCs/>
        </w:rPr>
        <w:t xml:space="preserve">van de Velde, D, Beck, A., van Elburg, J.-C and Terschüren, K-H. (2008) </w:t>
      </w:r>
      <w:r w:rsidRPr="00EE5A23">
        <w:rPr>
          <w:rFonts w:ascii="Arial" w:hAnsi="Arial" w:cs="Arial"/>
          <w:bCs/>
          <w:i/>
        </w:rPr>
        <w:t>Contracting in urban public transport</w:t>
      </w:r>
      <w:r w:rsidR="00C547D8" w:rsidRPr="00EE5A23">
        <w:rPr>
          <w:rFonts w:ascii="Arial" w:hAnsi="Arial" w:cs="Arial"/>
          <w:bCs/>
          <w:i/>
        </w:rPr>
        <w:t xml:space="preserve">. </w:t>
      </w:r>
      <w:r w:rsidR="00C547D8" w:rsidRPr="00EE5A23">
        <w:rPr>
          <w:rFonts w:ascii="Arial" w:hAnsi="Arial" w:cs="Arial"/>
          <w:bCs/>
        </w:rPr>
        <w:t>Report for the European Commission DG TREN. Inno-V, Amsterdam. January.</w:t>
      </w:r>
    </w:p>
    <w:p w14:paraId="7F8515BB" w14:textId="68BD334A" w:rsidR="00155021" w:rsidRPr="00EE5A23" w:rsidRDefault="000B7093" w:rsidP="000B7093">
      <w:pPr>
        <w:rPr>
          <w:rFonts w:ascii="Arial" w:hAnsi="Arial" w:cs="Arial"/>
          <w:bCs/>
        </w:rPr>
      </w:pPr>
      <w:r w:rsidRPr="00EE5A23">
        <w:rPr>
          <w:rFonts w:ascii="Arial" w:hAnsi="Arial" w:cs="Arial"/>
          <w:bCs/>
        </w:rPr>
        <w:t xml:space="preserve">Veeneman, W. (2010). Changing public transport governance in Dutch metropoles: To tender or not to tender. </w:t>
      </w:r>
      <w:r w:rsidRPr="00EE5A23">
        <w:rPr>
          <w:rFonts w:ascii="Arial" w:hAnsi="Arial" w:cs="Arial"/>
          <w:bCs/>
          <w:i/>
        </w:rPr>
        <w:t>Research in Transportation Economics,</w:t>
      </w:r>
      <w:r w:rsidRPr="00EE5A23">
        <w:rPr>
          <w:rFonts w:ascii="Arial" w:hAnsi="Arial" w:cs="Arial"/>
          <w:bCs/>
        </w:rPr>
        <w:t xml:space="preserve"> 29</w:t>
      </w:r>
      <w:r w:rsidR="00DE4BC5">
        <w:rPr>
          <w:rFonts w:ascii="Arial" w:hAnsi="Arial" w:cs="Arial"/>
          <w:bCs/>
        </w:rPr>
        <w:t>,</w:t>
      </w:r>
      <w:r w:rsidRPr="00EE5A23">
        <w:rPr>
          <w:rFonts w:ascii="Arial" w:hAnsi="Arial" w:cs="Arial"/>
          <w:bCs/>
        </w:rPr>
        <w:t>1, 195-203.</w:t>
      </w:r>
    </w:p>
    <w:p w14:paraId="1A602BBA" w14:textId="77777777" w:rsidR="00B14EF1" w:rsidRPr="00EE5A23" w:rsidRDefault="00B14EF1" w:rsidP="00596FC7">
      <w:pPr>
        <w:rPr>
          <w:rFonts w:ascii="Arial" w:hAnsi="Arial" w:cs="Arial"/>
          <w:bCs/>
        </w:rPr>
      </w:pPr>
    </w:p>
    <w:p w14:paraId="2F9F9A1A" w14:textId="77777777" w:rsidR="00596FC7" w:rsidRPr="00EE5A23" w:rsidRDefault="00596FC7">
      <w:pPr>
        <w:rPr>
          <w:rFonts w:ascii="Arial" w:hAnsi="Arial" w:cs="Arial"/>
          <w:bCs/>
        </w:rPr>
      </w:pPr>
    </w:p>
    <w:sectPr w:rsidR="00596FC7" w:rsidRPr="00EE5A23" w:rsidSect="007964CF">
      <w:headerReference w:type="default" r:id="rId12"/>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DAA7" w14:textId="77777777" w:rsidR="00B24CCC" w:rsidRDefault="00B24CCC" w:rsidP="008F134B">
      <w:pPr>
        <w:spacing w:after="0" w:line="240" w:lineRule="auto"/>
      </w:pPr>
      <w:r>
        <w:separator/>
      </w:r>
    </w:p>
  </w:endnote>
  <w:endnote w:type="continuationSeparator" w:id="0">
    <w:p w14:paraId="119A862A" w14:textId="77777777" w:rsidR="00B24CCC" w:rsidRDefault="00B24CCC" w:rsidP="008F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0E9B" w14:textId="4A997CCA" w:rsidR="007964CF" w:rsidRPr="007964CF" w:rsidRDefault="007964CF" w:rsidP="007964CF">
    <w:pPr>
      <w:pStyle w:val="Footer"/>
      <w:rPr>
        <w:lang w:val="en-AU"/>
      </w:rPr>
    </w:pPr>
    <w:r w:rsidRPr="007964CF">
      <w:rPr>
        <w:lang w:val="en-AU"/>
      </w:rPr>
      <w:t xml:space="preserve">Page </w:t>
    </w:r>
    <w:r w:rsidRPr="007964CF">
      <w:rPr>
        <w:lang w:val="en-AU"/>
      </w:rPr>
      <w:fldChar w:fldCharType="begin"/>
    </w:r>
    <w:r w:rsidRPr="007964CF">
      <w:rPr>
        <w:lang w:val="en-AU"/>
      </w:rPr>
      <w:instrText xml:space="preserve"> PAGE </w:instrText>
    </w:r>
    <w:r w:rsidRPr="007964CF">
      <w:rPr>
        <w:lang w:val="en-AU"/>
      </w:rPr>
      <w:fldChar w:fldCharType="separate"/>
    </w:r>
    <w:r w:rsidR="00097E72">
      <w:rPr>
        <w:noProof/>
        <w:lang w:val="en-AU"/>
      </w:rPr>
      <w:t>16</w:t>
    </w:r>
    <w:r w:rsidRPr="007964CF">
      <w:fldChar w:fldCharType="end"/>
    </w:r>
    <w:r w:rsidRPr="007964CF">
      <w:rPr>
        <w:lang w:val="en-AU"/>
      </w:rPr>
      <w:t xml:space="preserve"> of </w:t>
    </w:r>
    <w:r w:rsidRPr="007964CF">
      <w:rPr>
        <w:lang w:val="en-AU"/>
      </w:rPr>
      <w:fldChar w:fldCharType="begin"/>
    </w:r>
    <w:r w:rsidRPr="007964CF">
      <w:rPr>
        <w:lang w:val="en-AU"/>
      </w:rPr>
      <w:instrText xml:space="preserve"> NUMPAGES  </w:instrText>
    </w:r>
    <w:r w:rsidRPr="007964CF">
      <w:rPr>
        <w:lang w:val="en-AU"/>
      </w:rPr>
      <w:fldChar w:fldCharType="separate"/>
    </w:r>
    <w:r w:rsidR="00097E72">
      <w:rPr>
        <w:noProof/>
        <w:lang w:val="en-AU"/>
      </w:rPr>
      <w:t>16</w:t>
    </w:r>
    <w:r w:rsidRPr="007964CF">
      <w:fldChar w:fldCharType="end"/>
    </w:r>
  </w:p>
  <w:p w14:paraId="39EF1817" w14:textId="77777777" w:rsidR="007964CF" w:rsidRPr="007964CF" w:rsidRDefault="007964CF" w:rsidP="007964CF">
    <w:pPr>
      <w:pStyle w:val="Footer"/>
      <w:rPr>
        <w:lang w:val="en-AU"/>
      </w:rPr>
    </w:pPr>
  </w:p>
  <w:p w14:paraId="48BC7217" w14:textId="77777777" w:rsidR="007964CF" w:rsidRDefault="0079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1A31" w14:textId="7F164438" w:rsidR="00392BC3" w:rsidRPr="00392BC3" w:rsidRDefault="00392BC3" w:rsidP="007964CF">
    <w:pPr>
      <w:pStyle w:val="Footer"/>
      <w:jc w:val="right"/>
      <w:rPr>
        <w:lang w:val="en-AU"/>
      </w:rPr>
    </w:pPr>
    <w:r w:rsidRPr="00392BC3">
      <w:rPr>
        <w:lang w:val="en-AU"/>
      </w:rPr>
      <w:t xml:space="preserve">Page </w:t>
    </w:r>
    <w:r w:rsidRPr="00392BC3">
      <w:rPr>
        <w:lang w:val="en-AU"/>
      </w:rPr>
      <w:fldChar w:fldCharType="begin"/>
    </w:r>
    <w:r w:rsidRPr="00392BC3">
      <w:rPr>
        <w:lang w:val="en-AU"/>
      </w:rPr>
      <w:instrText xml:space="preserve"> PAGE </w:instrText>
    </w:r>
    <w:r w:rsidRPr="00392BC3">
      <w:rPr>
        <w:lang w:val="en-AU"/>
      </w:rPr>
      <w:fldChar w:fldCharType="separate"/>
    </w:r>
    <w:r w:rsidR="00097E72">
      <w:rPr>
        <w:noProof/>
        <w:lang w:val="en-AU"/>
      </w:rPr>
      <w:t>15</w:t>
    </w:r>
    <w:r w:rsidRPr="00392BC3">
      <w:fldChar w:fldCharType="end"/>
    </w:r>
    <w:r w:rsidRPr="00392BC3">
      <w:rPr>
        <w:lang w:val="en-AU"/>
      </w:rPr>
      <w:t xml:space="preserve"> of </w:t>
    </w:r>
    <w:r w:rsidRPr="00392BC3">
      <w:rPr>
        <w:lang w:val="en-AU"/>
      </w:rPr>
      <w:fldChar w:fldCharType="begin"/>
    </w:r>
    <w:r w:rsidRPr="00392BC3">
      <w:rPr>
        <w:lang w:val="en-AU"/>
      </w:rPr>
      <w:instrText xml:space="preserve"> NUMPAGES  </w:instrText>
    </w:r>
    <w:r w:rsidRPr="00392BC3">
      <w:rPr>
        <w:lang w:val="en-AU"/>
      </w:rPr>
      <w:fldChar w:fldCharType="separate"/>
    </w:r>
    <w:r w:rsidR="00097E72">
      <w:rPr>
        <w:noProof/>
        <w:lang w:val="en-AU"/>
      </w:rPr>
      <w:t>16</w:t>
    </w:r>
    <w:r w:rsidRPr="00392BC3">
      <w:fldChar w:fldCharType="end"/>
    </w:r>
  </w:p>
  <w:p w14:paraId="115CB8EC" w14:textId="77777777" w:rsidR="00392BC3" w:rsidRPr="00392BC3" w:rsidRDefault="00392BC3" w:rsidP="00392BC3">
    <w:pPr>
      <w:pStyle w:val="Footer"/>
      <w:rPr>
        <w:lang w:val="en-AU"/>
      </w:rPr>
    </w:pPr>
  </w:p>
  <w:p w14:paraId="3CC71B6E" w14:textId="77777777" w:rsidR="00E13E53" w:rsidRDefault="00E1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24A0" w14:textId="77777777" w:rsidR="00B24CCC" w:rsidRDefault="00B24CCC" w:rsidP="008F134B">
      <w:pPr>
        <w:spacing w:after="0" w:line="240" w:lineRule="auto"/>
      </w:pPr>
      <w:r>
        <w:separator/>
      </w:r>
    </w:p>
  </w:footnote>
  <w:footnote w:type="continuationSeparator" w:id="0">
    <w:p w14:paraId="55A0263A" w14:textId="77777777" w:rsidR="00B24CCC" w:rsidRDefault="00B24CCC" w:rsidP="008F134B">
      <w:pPr>
        <w:spacing w:after="0" w:line="240" w:lineRule="auto"/>
      </w:pPr>
      <w:r>
        <w:continuationSeparator/>
      </w:r>
    </w:p>
  </w:footnote>
  <w:footnote w:id="1">
    <w:p w14:paraId="11198F86" w14:textId="27AEB4F5" w:rsidR="00FF12E8" w:rsidRDefault="00FF12E8">
      <w:pPr>
        <w:pStyle w:val="FootnoteText"/>
      </w:pPr>
      <w:r>
        <w:rPr>
          <w:rStyle w:val="FootnoteReference"/>
        </w:rPr>
        <w:footnoteRef/>
      </w:r>
      <w:r>
        <w:t xml:space="preserve"> </w:t>
      </w:r>
      <w:hyperlink r:id="rId1" w:history="1">
        <w:r w:rsidRPr="00FF12E8">
          <w:rPr>
            <w:rStyle w:val="Hyperlink"/>
          </w:rPr>
          <w:t>https://www.transit.dot.gov/research-innovation/mobility-demand-mod-sandbox-program</w:t>
        </w:r>
      </w:hyperlink>
    </w:p>
  </w:footnote>
  <w:footnote w:id="2">
    <w:p w14:paraId="64416BCB" w14:textId="24A6DC17" w:rsidR="00435C1F" w:rsidRDefault="00435C1F">
      <w:pPr>
        <w:pStyle w:val="FootnoteText"/>
      </w:pPr>
      <w:r>
        <w:rPr>
          <w:rStyle w:val="FootnoteReference"/>
        </w:rPr>
        <w:footnoteRef/>
      </w:r>
      <w:r>
        <w:t xml:space="preserve"> </w:t>
      </w:r>
      <w:r w:rsidRPr="00435C1F">
        <w:t>https://thredbo-conference-series.org/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17EA" w14:textId="77777777" w:rsidR="00392BC3" w:rsidRPr="00392BC3" w:rsidRDefault="00392BC3" w:rsidP="00392BC3">
    <w:pPr>
      <w:pStyle w:val="Header"/>
      <w:pBdr>
        <w:bottom w:val="single" w:sz="4" w:space="2" w:color="auto"/>
      </w:pBdr>
      <w:rPr>
        <w:rFonts w:ascii="Arial" w:eastAsia="Times New Roman" w:hAnsi="Arial" w:cs="Arial"/>
        <w:bCs/>
        <w:lang w:eastAsia="en-AU"/>
      </w:rPr>
    </w:pPr>
    <w:r w:rsidRPr="00392BC3">
      <w:rPr>
        <w:rFonts w:ascii="Arial" w:eastAsia="Times New Roman" w:hAnsi="Arial" w:cs="Arial"/>
        <w:bCs/>
        <w:lang w:eastAsia="en-AU"/>
      </w:rPr>
      <w:t>Workshop 1. Models of Mainstream Public Transport Provision</w:t>
    </w:r>
  </w:p>
  <w:p w14:paraId="4C639736" w14:textId="325FD683" w:rsidR="00392BC3" w:rsidRDefault="00392BC3">
    <w:pPr>
      <w:pStyle w:val="Header"/>
    </w:pPr>
  </w:p>
  <w:p w14:paraId="61BC9546" w14:textId="77777777" w:rsidR="00392BC3" w:rsidRDefault="00392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594D"/>
    <w:multiLevelType w:val="singleLevel"/>
    <w:tmpl w:val="55D42FF0"/>
    <w:lvl w:ilvl="0">
      <w:start w:val="1"/>
      <w:numFmt w:val="decimal"/>
      <w:lvlText w:val="%1."/>
      <w:lvlJc w:val="left"/>
      <w:pPr>
        <w:tabs>
          <w:tab w:val="num" w:pos="360"/>
        </w:tabs>
        <w:ind w:left="360" w:hanging="360"/>
      </w:pPr>
      <w:rPr>
        <w:i w:val="0"/>
        <w:iCs w:val="0"/>
      </w:rPr>
    </w:lvl>
  </w:abstractNum>
  <w:abstractNum w:abstractNumId="1" w15:restartNumberingAfterBreak="0">
    <w:nsid w:val="1C8A7FFE"/>
    <w:multiLevelType w:val="hybridMultilevel"/>
    <w:tmpl w:val="F0801C94"/>
    <w:lvl w:ilvl="0" w:tplc="B21EC9F2">
      <w:start w:val="1"/>
      <w:numFmt w:val="bullet"/>
      <w:lvlText w:val="•"/>
      <w:lvlJc w:val="left"/>
      <w:pPr>
        <w:tabs>
          <w:tab w:val="num" w:pos="720"/>
        </w:tabs>
        <w:ind w:left="720" w:hanging="360"/>
      </w:pPr>
      <w:rPr>
        <w:rFonts w:ascii="Arial" w:hAnsi="Arial" w:hint="default"/>
      </w:rPr>
    </w:lvl>
    <w:lvl w:ilvl="1" w:tplc="EDC08F5A" w:tentative="1">
      <w:start w:val="1"/>
      <w:numFmt w:val="bullet"/>
      <w:lvlText w:val="•"/>
      <w:lvlJc w:val="left"/>
      <w:pPr>
        <w:tabs>
          <w:tab w:val="num" w:pos="1440"/>
        </w:tabs>
        <w:ind w:left="1440" w:hanging="360"/>
      </w:pPr>
      <w:rPr>
        <w:rFonts w:ascii="Arial" w:hAnsi="Arial" w:hint="default"/>
      </w:rPr>
    </w:lvl>
    <w:lvl w:ilvl="2" w:tplc="0D5489A0" w:tentative="1">
      <w:start w:val="1"/>
      <w:numFmt w:val="bullet"/>
      <w:lvlText w:val="•"/>
      <w:lvlJc w:val="left"/>
      <w:pPr>
        <w:tabs>
          <w:tab w:val="num" w:pos="2160"/>
        </w:tabs>
        <w:ind w:left="2160" w:hanging="360"/>
      </w:pPr>
      <w:rPr>
        <w:rFonts w:ascii="Arial" w:hAnsi="Arial" w:hint="default"/>
      </w:rPr>
    </w:lvl>
    <w:lvl w:ilvl="3" w:tplc="4C20B860" w:tentative="1">
      <w:start w:val="1"/>
      <w:numFmt w:val="bullet"/>
      <w:lvlText w:val="•"/>
      <w:lvlJc w:val="left"/>
      <w:pPr>
        <w:tabs>
          <w:tab w:val="num" w:pos="2880"/>
        </w:tabs>
        <w:ind w:left="2880" w:hanging="360"/>
      </w:pPr>
      <w:rPr>
        <w:rFonts w:ascii="Arial" w:hAnsi="Arial" w:hint="default"/>
      </w:rPr>
    </w:lvl>
    <w:lvl w:ilvl="4" w:tplc="BF06E7C4" w:tentative="1">
      <w:start w:val="1"/>
      <w:numFmt w:val="bullet"/>
      <w:lvlText w:val="•"/>
      <w:lvlJc w:val="left"/>
      <w:pPr>
        <w:tabs>
          <w:tab w:val="num" w:pos="3600"/>
        </w:tabs>
        <w:ind w:left="3600" w:hanging="360"/>
      </w:pPr>
      <w:rPr>
        <w:rFonts w:ascii="Arial" w:hAnsi="Arial" w:hint="default"/>
      </w:rPr>
    </w:lvl>
    <w:lvl w:ilvl="5" w:tplc="F8AEB348" w:tentative="1">
      <w:start w:val="1"/>
      <w:numFmt w:val="bullet"/>
      <w:lvlText w:val="•"/>
      <w:lvlJc w:val="left"/>
      <w:pPr>
        <w:tabs>
          <w:tab w:val="num" w:pos="4320"/>
        </w:tabs>
        <w:ind w:left="4320" w:hanging="360"/>
      </w:pPr>
      <w:rPr>
        <w:rFonts w:ascii="Arial" w:hAnsi="Arial" w:hint="default"/>
      </w:rPr>
    </w:lvl>
    <w:lvl w:ilvl="6" w:tplc="71600C3E" w:tentative="1">
      <w:start w:val="1"/>
      <w:numFmt w:val="bullet"/>
      <w:lvlText w:val="•"/>
      <w:lvlJc w:val="left"/>
      <w:pPr>
        <w:tabs>
          <w:tab w:val="num" w:pos="5040"/>
        </w:tabs>
        <w:ind w:left="5040" w:hanging="360"/>
      </w:pPr>
      <w:rPr>
        <w:rFonts w:ascii="Arial" w:hAnsi="Arial" w:hint="default"/>
      </w:rPr>
    </w:lvl>
    <w:lvl w:ilvl="7" w:tplc="1F36A0EC" w:tentative="1">
      <w:start w:val="1"/>
      <w:numFmt w:val="bullet"/>
      <w:lvlText w:val="•"/>
      <w:lvlJc w:val="left"/>
      <w:pPr>
        <w:tabs>
          <w:tab w:val="num" w:pos="5760"/>
        </w:tabs>
        <w:ind w:left="5760" w:hanging="360"/>
      </w:pPr>
      <w:rPr>
        <w:rFonts w:ascii="Arial" w:hAnsi="Arial" w:hint="default"/>
      </w:rPr>
    </w:lvl>
    <w:lvl w:ilvl="8" w:tplc="077A14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7F35F2"/>
    <w:multiLevelType w:val="hybridMultilevel"/>
    <w:tmpl w:val="66DC7CB8"/>
    <w:lvl w:ilvl="0" w:tplc="103C123C">
      <w:start w:val="1"/>
      <w:numFmt w:val="bullet"/>
      <w:lvlText w:val="-"/>
      <w:lvlJc w:val="left"/>
      <w:pPr>
        <w:tabs>
          <w:tab w:val="num" w:pos="720"/>
        </w:tabs>
        <w:ind w:left="720" w:hanging="360"/>
      </w:pPr>
      <w:rPr>
        <w:rFonts w:ascii="Arial" w:hAnsi="Arial" w:hint="default"/>
      </w:rPr>
    </w:lvl>
    <w:lvl w:ilvl="1" w:tplc="F480934E" w:tentative="1">
      <w:start w:val="1"/>
      <w:numFmt w:val="bullet"/>
      <w:lvlText w:val="-"/>
      <w:lvlJc w:val="left"/>
      <w:pPr>
        <w:tabs>
          <w:tab w:val="num" w:pos="1440"/>
        </w:tabs>
        <w:ind w:left="1440" w:hanging="360"/>
      </w:pPr>
      <w:rPr>
        <w:rFonts w:ascii="Arial" w:hAnsi="Arial" w:hint="default"/>
      </w:rPr>
    </w:lvl>
    <w:lvl w:ilvl="2" w:tplc="AE325C98" w:tentative="1">
      <w:start w:val="1"/>
      <w:numFmt w:val="bullet"/>
      <w:lvlText w:val="-"/>
      <w:lvlJc w:val="left"/>
      <w:pPr>
        <w:tabs>
          <w:tab w:val="num" w:pos="2160"/>
        </w:tabs>
        <w:ind w:left="2160" w:hanging="360"/>
      </w:pPr>
      <w:rPr>
        <w:rFonts w:ascii="Arial" w:hAnsi="Arial" w:hint="default"/>
      </w:rPr>
    </w:lvl>
    <w:lvl w:ilvl="3" w:tplc="BCDAAB5C" w:tentative="1">
      <w:start w:val="1"/>
      <w:numFmt w:val="bullet"/>
      <w:lvlText w:val="-"/>
      <w:lvlJc w:val="left"/>
      <w:pPr>
        <w:tabs>
          <w:tab w:val="num" w:pos="2880"/>
        </w:tabs>
        <w:ind w:left="2880" w:hanging="360"/>
      </w:pPr>
      <w:rPr>
        <w:rFonts w:ascii="Arial" w:hAnsi="Arial" w:hint="default"/>
      </w:rPr>
    </w:lvl>
    <w:lvl w:ilvl="4" w:tplc="53148DDC" w:tentative="1">
      <w:start w:val="1"/>
      <w:numFmt w:val="bullet"/>
      <w:lvlText w:val="-"/>
      <w:lvlJc w:val="left"/>
      <w:pPr>
        <w:tabs>
          <w:tab w:val="num" w:pos="3600"/>
        </w:tabs>
        <w:ind w:left="3600" w:hanging="360"/>
      </w:pPr>
      <w:rPr>
        <w:rFonts w:ascii="Arial" w:hAnsi="Arial" w:hint="default"/>
      </w:rPr>
    </w:lvl>
    <w:lvl w:ilvl="5" w:tplc="9EF21D5A" w:tentative="1">
      <w:start w:val="1"/>
      <w:numFmt w:val="bullet"/>
      <w:lvlText w:val="-"/>
      <w:lvlJc w:val="left"/>
      <w:pPr>
        <w:tabs>
          <w:tab w:val="num" w:pos="4320"/>
        </w:tabs>
        <w:ind w:left="4320" w:hanging="360"/>
      </w:pPr>
      <w:rPr>
        <w:rFonts w:ascii="Arial" w:hAnsi="Arial" w:hint="default"/>
      </w:rPr>
    </w:lvl>
    <w:lvl w:ilvl="6" w:tplc="53788BCA" w:tentative="1">
      <w:start w:val="1"/>
      <w:numFmt w:val="bullet"/>
      <w:lvlText w:val="-"/>
      <w:lvlJc w:val="left"/>
      <w:pPr>
        <w:tabs>
          <w:tab w:val="num" w:pos="5040"/>
        </w:tabs>
        <w:ind w:left="5040" w:hanging="360"/>
      </w:pPr>
      <w:rPr>
        <w:rFonts w:ascii="Arial" w:hAnsi="Arial" w:hint="default"/>
      </w:rPr>
    </w:lvl>
    <w:lvl w:ilvl="7" w:tplc="565C7048" w:tentative="1">
      <w:start w:val="1"/>
      <w:numFmt w:val="bullet"/>
      <w:lvlText w:val="-"/>
      <w:lvlJc w:val="left"/>
      <w:pPr>
        <w:tabs>
          <w:tab w:val="num" w:pos="5760"/>
        </w:tabs>
        <w:ind w:left="5760" w:hanging="360"/>
      </w:pPr>
      <w:rPr>
        <w:rFonts w:ascii="Arial" w:hAnsi="Arial" w:hint="default"/>
      </w:rPr>
    </w:lvl>
    <w:lvl w:ilvl="8" w:tplc="FE328F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4B42C4"/>
    <w:multiLevelType w:val="hybridMultilevel"/>
    <w:tmpl w:val="1ADE198A"/>
    <w:lvl w:ilvl="0" w:tplc="4CD02238">
      <w:start w:val="1"/>
      <w:numFmt w:val="bullet"/>
      <w:lvlText w:val="•"/>
      <w:lvlJc w:val="left"/>
      <w:pPr>
        <w:tabs>
          <w:tab w:val="num" w:pos="720"/>
        </w:tabs>
        <w:ind w:left="720" w:hanging="360"/>
      </w:pPr>
      <w:rPr>
        <w:rFonts w:ascii="Arial" w:hAnsi="Arial" w:hint="default"/>
      </w:rPr>
    </w:lvl>
    <w:lvl w:ilvl="1" w:tplc="4844AF08" w:tentative="1">
      <w:start w:val="1"/>
      <w:numFmt w:val="bullet"/>
      <w:lvlText w:val="•"/>
      <w:lvlJc w:val="left"/>
      <w:pPr>
        <w:tabs>
          <w:tab w:val="num" w:pos="1440"/>
        </w:tabs>
        <w:ind w:left="1440" w:hanging="360"/>
      </w:pPr>
      <w:rPr>
        <w:rFonts w:ascii="Arial" w:hAnsi="Arial" w:hint="default"/>
      </w:rPr>
    </w:lvl>
    <w:lvl w:ilvl="2" w:tplc="6A06DA4A" w:tentative="1">
      <w:start w:val="1"/>
      <w:numFmt w:val="bullet"/>
      <w:lvlText w:val="•"/>
      <w:lvlJc w:val="left"/>
      <w:pPr>
        <w:tabs>
          <w:tab w:val="num" w:pos="2160"/>
        </w:tabs>
        <w:ind w:left="2160" w:hanging="360"/>
      </w:pPr>
      <w:rPr>
        <w:rFonts w:ascii="Arial" w:hAnsi="Arial" w:hint="default"/>
      </w:rPr>
    </w:lvl>
    <w:lvl w:ilvl="3" w:tplc="E278A25E" w:tentative="1">
      <w:start w:val="1"/>
      <w:numFmt w:val="bullet"/>
      <w:lvlText w:val="•"/>
      <w:lvlJc w:val="left"/>
      <w:pPr>
        <w:tabs>
          <w:tab w:val="num" w:pos="2880"/>
        </w:tabs>
        <w:ind w:left="2880" w:hanging="360"/>
      </w:pPr>
      <w:rPr>
        <w:rFonts w:ascii="Arial" w:hAnsi="Arial" w:hint="default"/>
      </w:rPr>
    </w:lvl>
    <w:lvl w:ilvl="4" w:tplc="79CAD394" w:tentative="1">
      <w:start w:val="1"/>
      <w:numFmt w:val="bullet"/>
      <w:lvlText w:val="•"/>
      <w:lvlJc w:val="left"/>
      <w:pPr>
        <w:tabs>
          <w:tab w:val="num" w:pos="3600"/>
        </w:tabs>
        <w:ind w:left="3600" w:hanging="360"/>
      </w:pPr>
      <w:rPr>
        <w:rFonts w:ascii="Arial" w:hAnsi="Arial" w:hint="default"/>
      </w:rPr>
    </w:lvl>
    <w:lvl w:ilvl="5" w:tplc="82FA47AE" w:tentative="1">
      <w:start w:val="1"/>
      <w:numFmt w:val="bullet"/>
      <w:lvlText w:val="•"/>
      <w:lvlJc w:val="left"/>
      <w:pPr>
        <w:tabs>
          <w:tab w:val="num" w:pos="4320"/>
        </w:tabs>
        <w:ind w:left="4320" w:hanging="360"/>
      </w:pPr>
      <w:rPr>
        <w:rFonts w:ascii="Arial" w:hAnsi="Arial" w:hint="default"/>
      </w:rPr>
    </w:lvl>
    <w:lvl w:ilvl="6" w:tplc="5FD03816" w:tentative="1">
      <w:start w:val="1"/>
      <w:numFmt w:val="bullet"/>
      <w:lvlText w:val="•"/>
      <w:lvlJc w:val="left"/>
      <w:pPr>
        <w:tabs>
          <w:tab w:val="num" w:pos="5040"/>
        </w:tabs>
        <w:ind w:left="5040" w:hanging="360"/>
      </w:pPr>
      <w:rPr>
        <w:rFonts w:ascii="Arial" w:hAnsi="Arial" w:hint="default"/>
      </w:rPr>
    </w:lvl>
    <w:lvl w:ilvl="7" w:tplc="FDF4FCB2" w:tentative="1">
      <w:start w:val="1"/>
      <w:numFmt w:val="bullet"/>
      <w:lvlText w:val="•"/>
      <w:lvlJc w:val="left"/>
      <w:pPr>
        <w:tabs>
          <w:tab w:val="num" w:pos="5760"/>
        </w:tabs>
        <w:ind w:left="5760" w:hanging="360"/>
      </w:pPr>
      <w:rPr>
        <w:rFonts w:ascii="Arial" w:hAnsi="Arial" w:hint="default"/>
      </w:rPr>
    </w:lvl>
    <w:lvl w:ilvl="8" w:tplc="C054CD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F74C4B"/>
    <w:multiLevelType w:val="hybridMultilevel"/>
    <w:tmpl w:val="5BB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E3126"/>
    <w:multiLevelType w:val="hybridMultilevel"/>
    <w:tmpl w:val="5B5079CC"/>
    <w:lvl w:ilvl="0" w:tplc="E6B68FD2">
      <w:start w:val="1"/>
      <w:numFmt w:val="bullet"/>
      <w:lvlText w:val="-"/>
      <w:lvlJc w:val="left"/>
      <w:pPr>
        <w:tabs>
          <w:tab w:val="num" w:pos="720"/>
        </w:tabs>
        <w:ind w:left="720" w:hanging="360"/>
      </w:pPr>
      <w:rPr>
        <w:rFonts w:ascii="Arial" w:hAnsi="Arial" w:hint="default"/>
      </w:rPr>
    </w:lvl>
    <w:lvl w:ilvl="1" w:tplc="F754D8E0" w:tentative="1">
      <w:start w:val="1"/>
      <w:numFmt w:val="bullet"/>
      <w:lvlText w:val="-"/>
      <w:lvlJc w:val="left"/>
      <w:pPr>
        <w:tabs>
          <w:tab w:val="num" w:pos="1440"/>
        </w:tabs>
        <w:ind w:left="1440" w:hanging="360"/>
      </w:pPr>
      <w:rPr>
        <w:rFonts w:ascii="Arial" w:hAnsi="Arial" w:hint="default"/>
      </w:rPr>
    </w:lvl>
    <w:lvl w:ilvl="2" w:tplc="A5FE9F52" w:tentative="1">
      <w:start w:val="1"/>
      <w:numFmt w:val="bullet"/>
      <w:lvlText w:val="-"/>
      <w:lvlJc w:val="left"/>
      <w:pPr>
        <w:tabs>
          <w:tab w:val="num" w:pos="2160"/>
        </w:tabs>
        <w:ind w:left="2160" w:hanging="360"/>
      </w:pPr>
      <w:rPr>
        <w:rFonts w:ascii="Arial" w:hAnsi="Arial" w:hint="default"/>
      </w:rPr>
    </w:lvl>
    <w:lvl w:ilvl="3" w:tplc="7D84D478" w:tentative="1">
      <w:start w:val="1"/>
      <w:numFmt w:val="bullet"/>
      <w:lvlText w:val="-"/>
      <w:lvlJc w:val="left"/>
      <w:pPr>
        <w:tabs>
          <w:tab w:val="num" w:pos="2880"/>
        </w:tabs>
        <w:ind w:left="2880" w:hanging="360"/>
      </w:pPr>
      <w:rPr>
        <w:rFonts w:ascii="Arial" w:hAnsi="Arial" w:hint="default"/>
      </w:rPr>
    </w:lvl>
    <w:lvl w:ilvl="4" w:tplc="A1AE0900" w:tentative="1">
      <w:start w:val="1"/>
      <w:numFmt w:val="bullet"/>
      <w:lvlText w:val="-"/>
      <w:lvlJc w:val="left"/>
      <w:pPr>
        <w:tabs>
          <w:tab w:val="num" w:pos="3600"/>
        </w:tabs>
        <w:ind w:left="3600" w:hanging="360"/>
      </w:pPr>
      <w:rPr>
        <w:rFonts w:ascii="Arial" w:hAnsi="Arial" w:hint="default"/>
      </w:rPr>
    </w:lvl>
    <w:lvl w:ilvl="5" w:tplc="909C3604" w:tentative="1">
      <w:start w:val="1"/>
      <w:numFmt w:val="bullet"/>
      <w:lvlText w:val="-"/>
      <w:lvlJc w:val="left"/>
      <w:pPr>
        <w:tabs>
          <w:tab w:val="num" w:pos="4320"/>
        </w:tabs>
        <w:ind w:left="4320" w:hanging="360"/>
      </w:pPr>
      <w:rPr>
        <w:rFonts w:ascii="Arial" w:hAnsi="Arial" w:hint="default"/>
      </w:rPr>
    </w:lvl>
    <w:lvl w:ilvl="6" w:tplc="AA2AA1A0" w:tentative="1">
      <w:start w:val="1"/>
      <w:numFmt w:val="bullet"/>
      <w:lvlText w:val="-"/>
      <w:lvlJc w:val="left"/>
      <w:pPr>
        <w:tabs>
          <w:tab w:val="num" w:pos="5040"/>
        </w:tabs>
        <w:ind w:left="5040" w:hanging="360"/>
      </w:pPr>
      <w:rPr>
        <w:rFonts w:ascii="Arial" w:hAnsi="Arial" w:hint="default"/>
      </w:rPr>
    </w:lvl>
    <w:lvl w:ilvl="7" w:tplc="27A2CE4A" w:tentative="1">
      <w:start w:val="1"/>
      <w:numFmt w:val="bullet"/>
      <w:lvlText w:val="-"/>
      <w:lvlJc w:val="left"/>
      <w:pPr>
        <w:tabs>
          <w:tab w:val="num" w:pos="5760"/>
        </w:tabs>
        <w:ind w:left="5760" w:hanging="360"/>
      </w:pPr>
      <w:rPr>
        <w:rFonts w:ascii="Arial" w:hAnsi="Arial" w:hint="default"/>
      </w:rPr>
    </w:lvl>
    <w:lvl w:ilvl="8" w:tplc="6E3A13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52524D"/>
    <w:multiLevelType w:val="hybridMultilevel"/>
    <w:tmpl w:val="164255B2"/>
    <w:lvl w:ilvl="0" w:tplc="15802062">
      <w:start w:val="1"/>
      <w:numFmt w:val="decimal"/>
      <w:lvlText w:val="%1."/>
      <w:lvlJc w:val="left"/>
      <w:pPr>
        <w:tabs>
          <w:tab w:val="num" w:pos="720"/>
        </w:tabs>
        <w:ind w:left="720" w:hanging="360"/>
      </w:pPr>
    </w:lvl>
    <w:lvl w:ilvl="1" w:tplc="C0F4C57E" w:tentative="1">
      <w:start w:val="1"/>
      <w:numFmt w:val="decimal"/>
      <w:lvlText w:val="%2."/>
      <w:lvlJc w:val="left"/>
      <w:pPr>
        <w:tabs>
          <w:tab w:val="num" w:pos="1440"/>
        </w:tabs>
        <w:ind w:left="1440" w:hanging="360"/>
      </w:pPr>
    </w:lvl>
    <w:lvl w:ilvl="2" w:tplc="FF62F9A6" w:tentative="1">
      <w:start w:val="1"/>
      <w:numFmt w:val="decimal"/>
      <w:lvlText w:val="%3."/>
      <w:lvlJc w:val="left"/>
      <w:pPr>
        <w:tabs>
          <w:tab w:val="num" w:pos="2160"/>
        </w:tabs>
        <w:ind w:left="2160" w:hanging="360"/>
      </w:pPr>
    </w:lvl>
    <w:lvl w:ilvl="3" w:tplc="11BA72CA" w:tentative="1">
      <w:start w:val="1"/>
      <w:numFmt w:val="decimal"/>
      <w:lvlText w:val="%4."/>
      <w:lvlJc w:val="left"/>
      <w:pPr>
        <w:tabs>
          <w:tab w:val="num" w:pos="2880"/>
        </w:tabs>
        <w:ind w:left="2880" w:hanging="360"/>
      </w:pPr>
    </w:lvl>
    <w:lvl w:ilvl="4" w:tplc="1E807E64" w:tentative="1">
      <w:start w:val="1"/>
      <w:numFmt w:val="decimal"/>
      <w:lvlText w:val="%5."/>
      <w:lvlJc w:val="left"/>
      <w:pPr>
        <w:tabs>
          <w:tab w:val="num" w:pos="3600"/>
        </w:tabs>
        <w:ind w:left="3600" w:hanging="360"/>
      </w:pPr>
    </w:lvl>
    <w:lvl w:ilvl="5" w:tplc="1F7AF054" w:tentative="1">
      <w:start w:val="1"/>
      <w:numFmt w:val="decimal"/>
      <w:lvlText w:val="%6."/>
      <w:lvlJc w:val="left"/>
      <w:pPr>
        <w:tabs>
          <w:tab w:val="num" w:pos="4320"/>
        </w:tabs>
        <w:ind w:left="4320" w:hanging="360"/>
      </w:pPr>
    </w:lvl>
    <w:lvl w:ilvl="6" w:tplc="5574C512" w:tentative="1">
      <w:start w:val="1"/>
      <w:numFmt w:val="decimal"/>
      <w:lvlText w:val="%7."/>
      <w:lvlJc w:val="left"/>
      <w:pPr>
        <w:tabs>
          <w:tab w:val="num" w:pos="5040"/>
        </w:tabs>
        <w:ind w:left="5040" w:hanging="360"/>
      </w:pPr>
    </w:lvl>
    <w:lvl w:ilvl="7" w:tplc="EBE2E8C0" w:tentative="1">
      <w:start w:val="1"/>
      <w:numFmt w:val="decimal"/>
      <w:lvlText w:val="%8."/>
      <w:lvlJc w:val="left"/>
      <w:pPr>
        <w:tabs>
          <w:tab w:val="num" w:pos="5760"/>
        </w:tabs>
        <w:ind w:left="5760" w:hanging="360"/>
      </w:pPr>
    </w:lvl>
    <w:lvl w:ilvl="8" w:tplc="AC7EC850" w:tentative="1">
      <w:start w:val="1"/>
      <w:numFmt w:val="decimal"/>
      <w:lvlText w:val="%9."/>
      <w:lvlJc w:val="left"/>
      <w:pPr>
        <w:tabs>
          <w:tab w:val="num" w:pos="6480"/>
        </w:tabs>
        <w:ind w:left="6480" w:hanging="360"/>
      </w:pPr>
    </w:lvl>
  </w:abstractNum>
  <w:abstractNum w:abstractNumId="7" w15:restartNumberingAfterBreak="0">
    <w:nsid w:val="745C3E12"/>
    <w:multiLevelType w:val="hybridMultilevel"/>
    <w:tmpl w:val="FE4AE15E"/>
    <w:lvl w:ilvl="0" w:tplc="69484536">
      <w:start w:val="1"/>
      <w:numFmt w:val="bullet"/>
      <w:lvlText w:val="-"/>
      <w:lvlJc w:val="left"/>
      <w:pPr>
        <w:tabs>
          <w:tab w:val="num" w:pos="720"/>
        </w:tabs>
        <w:ind w:left="720" w:hanging="360"/>
      </w:pPr>
      <w:rPr>
        <w:rFonts w:ascii="Arial" w:hAnsi="Arial" w:hint="default"/>
      </w:rPr>
    </w:lvl>
    <w:lvl w:ilvl="1" w:tplc="A85A11EA" w:tentative="1">
      <w:start w:val="1"/>
      <w:numFmt w:val="bullet"/>
      <w:lvlText w:val="-"/>
      <w:lvlJc w:val="left"/>
      <w:pPr>
        <w:tabs>
          <w:tab w:val="num" w:pos="1440"/>
        </w:tabs>
        <w:ind w:left="1440" w:hanging="360"/>
      </w:pPr>
      <w:rPr>
        <w:rFonts w:ascii="Arial" w:hAnsi="Arial" w:hint="default"/>
      </w:rPr>
    </w:lvl>
    <w:lvl w:ilvl="2" w:tplc="88FEED38" w:tentative="1">
      <w:start w:val="1"/>
      <w:numFmt w:val="bullet"/>
      <w:lvlText w:val="-"/>
      <w:lvlJc w:val="left"/>
      <w:pPr>
        <w:tabs>
          <w:tab w:val="num" w:pos="2160"/>
        </w:tabs>
        <w:ind w:left="2160" w:hanging="360"/>
      </w:pPr>
      <w:rPr>
        <w:rFonts w:ascii="Arial" w:hAnsi="Arial" w:hint="default"/>
      </w:rPr>
    </w:lvl>
    <w:lvl w:ilvl="3" w:tplc="25A491F2" w:tentative="1">
      <w:start w:val="1"/>
      <w:numFmt w:val="bullet"/>
      <w:lvlText w:val="-"/>
      <w:lvlJc w:val="left"/>
      <w:pPr>
        <w:tabs>
          <w:tab w:val="num" w:pos="2880"/>
        </w:tabs>
        <w:ind w:left="2880" w:hanging="360"/>
      </w:pPr>
      <w:rPr>
        <w:rFonts w:ascii="Arial" w:hAnsi="Arial" w:hint="default"/>
      </w:rPr>
    </w:lvl>
    <w:lvl w:ilvl="4" w:tplc="928CA0B2" w:tentative="1">
      <w:start w:val="1"/>
      <w:numFmt w:val="bullet"/>
      <w:lvlText w:val="-"/>
      <w:lvlJc w:val="left"/>
      <w:pPr>
        <w:tabs>
          <w:tab w:val="num" w:pos="3600"/>
        </w:tabs>
        <w:ind w:left="3600" w:hanging="360"/>
      </w:pPr>
      <w:rPr>
        <w:rFonts w:ascii="Arial" w:hAnsi="Arial" w:hint="default"/>
      </w:rPr>
    </w:lvl>
    <w:lvl w:ilvl="5" w:tplc="43F442FA" w:tentative="1">
      <w:start w:val="1"/>
      <w:numFmt w:val="bullet"/>
      <w:lvlText w:val="-"/>
      <w:lvlJc w:val="left"/>
      <w:pPr>
        <w:tabs>
          <w:tab w:val="num" w:pos="4320"/>
        </w:tabs>
        <w:ind w:left="4320" w:hanging="360"/>
      </w:pPr>
      <w:rPr>
        <w:rFonts w:ascii="Arial" w:hAnsi="Arial" w:hint="default"/>
      </w:rPr>
    </w:lvl>
    <w:lvl w:ilvl="6" w:tplc="EF6E15E6" w:tentative="1">
      <w:start w:val="1"/>
      <w:numFmt w:val="bullet"/>
      <w:lvlText w:val="-"/>
      <w:lvlJc w:val="left"/>
      <w:pPr>
        <w:tabs>
          <w:tab w:val="num" w:pos="5040"/>
        </w:tabs>
        <w:ind w:left="5040" w:hanging="360"/>
      </w:pPr>
      <w:rPr>
        <w:rFonts w:ascii="Arial" w:hAnsi="Arial" w:hint="default"/>
      </w:rPr>
    </w:lvl>
    <w:lvl w:ilvl="7" w:tplc="9CAE5F3C" w:tentative="1">
      <w:start w:val="1"/>
      <w:numFmt w:val="bullet"/>
      <w:lvlText w:val="-"/>
      <w:lvlJc w:val="left"/>
      <w:pPr>
        <w:tabs>
          <w:tab w:val="num" w:pos="5760"/>
        </w:tabs>
        <w:ind w:left="5760" w:hanging="360"/>
      </w:pPr>
      <w:rPr>
        <w:rFonts w:ascii="Arial" w:hAnsi="Arial" w:hint="default"/>
      </w:rPr>
    </w:lvl>
    <w:lvl w:ilvl="8" w:tplc="00EA82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2444BF"/>
    <w:multiLevelType w:val="hybridMultilevel"/>
    <w:tmpl w:val="5036AFA0"/>
    <w:lvl w:ilvl="0" w:tplc="2EBC63EC">
      <w:start w:val="1"/>
      <w:numFmt w:val="bullet"/>
      <w:lvlText w:val="•"/>
      <w:lvlJc w:val="left"/>
      <w:pPr>
        <w:tabs>
          <w:tab w:val="num" w:pos="720"/>
        </w:tabs>
        <w:ind w:left="720" w:hanging="360"/>
      </w:pPr>
      <w:rPr>
        <w:rFonts w:ascii="Arial" w:hAnsi="Arial" w:hint="default"/>
      </w:rPr>
    </w:lvl>
    <w:lvl w:ilvl="1" w:tplc="C3C8533E" w:tentative="1">
      <w:start w:val="1"/>
      <w:numFmt w:val="bullet"/>
      <w:lvlText w:val="•"/>
      <w:lvlJc w:val="left"/>
      <w:pPr>
        <w:tabs>
          <w:tab w:val="num" w:pos="1440"/>
        </w:tabs>
        <w:ind w:left="1440" w:hanging="360"/>
      </w:pPr>
      <w:rPr>
        <w:rFonts w:ascii="Arial" w:hAnsi="Arial" w:hint="default"/>
      </w:rPr>
    </w:lvl>
    <w:lvl w:ilvl="2" w:tplc="FB3AAAA8" w:tentative="1">
      <w:start w:val="1"/>
      <w:numFmt w:val="bullet"/>
      <w:lvlText w:val="•"/>
      <w:lvlJc w:val="left"/>
      <w:pPr>
        <w:tabs>
          <w:tab w:val="num" w:pos="2160"/>
        </w:tabs>
        <w:ind w:left="2160" w:hanging="360"/>
      </w:pPr>
      <w:rPr>
        <w:rFonts w:ascii="Arial" w:hAnsi="Arial" w:hint="default"/>
      </w:rPr>
    </w:lvl>
    <w:lvl w:ilvl="3" w:tplc="7D1ABD76" w:tentative="1">
      <w:start w:val="1"/>
      <w:numFmt w:val="bullet"/>
      <w:lvlText w:val="•"/>
      <w:lvlJc w:val="left"/>
      <w:pPr>
        <w:tabs>
          <w:tab w:val="num" w:pos="2880"/>
        </w:tabs>
        <w:ind w:left="2880" w:hanging="360"/>
      </w:pPr>
      <w:rPr>
        <w:rFonts w:ascii="Arial" w:hAnsi="Arial" w:hint="default"/>
      </w:rPr>
    </w:lvl>
    <w:lvl w:ilvl="4" w:tplc="E44A6792" w:tentative="1">
      <w:start w:val="1"/>
      <w:numFmt w:val="bullet"/>
      <w:lvlText w:val="•"/>
      <w:lvlJc w:val="left"/>
      <w:pPr>
        <w:tabs>
          <w:tab w:val="num" w:pos="3600"/>
        </w:tabs>
        <w:ind w:left="3600" w:hanging="360"/>
      </w:pPr>
      <w:rPr>
        <w:rFonts w:ascii="Arial" w:hAnsi="Arial" w:hint="default"/>
      </w:rPr>
    </w:lvl>
    <w:lvl w:ilvl="5" w:tplc="BBE24234" w:tentative="1">
      <w:start w:val="1"/>
      <w:numFmt w:val="bullet"/>
      <w:lvlText w:val="•"/>
      <w:lvlJc w:val="left"/>
      <w:pPr>
        <w:tabs>
          <w:tab w:val="num" w:pos="4320"/>
        </w:tabs>
        <w:ind w:left="4320" w:hanging="360"/>
      </w:pPr>
      <w:rPr>
        <w:rFonts w:ascii="Arial" w:hAnsi="Arial" w:hint="default"/>
      </w:rPr>
    </w:lvl>
    <w:lvl w:ilvl="6" w:tplc="16F03952" w:tentative="1">
      <w:start w:val="1"/>
      <w:numFmt w:val="bullet"/>
      <w:lvlText w:val="•"/>
      <w:lvlJc w:val="left"/>
      <w:pPr>
        <w:tabs>
          <w:tab w:val="num" w:pos="5040"/>
        </w:tabs>
        <w:ind w:left="5040" w:hanging="360"/>
      </w:pPr>
      <w:rPr>
        <w:rFonts w:ascii="Arial" w:hAnsi="Arial" w:hint="default"/>
      </w:rPr>
    </w:lvl>
    <w:lvl w:ilvl="7" w:tplc="8E06064C" w:tentative="1">
      <w:start w:val="1"/>
      <w:numFmt w:val="bullet"/>
      <w:lvlText w:val="•"/>
      <w:lvlJc w:val="left"/>
      <w:pPr>
        <w:tabs>
          <w:tab w:val="num" w:pos="5760"/>
        </w:tabs>
        <w:ind w:left="5760" w:hanging="360"/>
      </w:pPr>
      <w:rPr>
        <w:rFonts w:ascii="Arial" w:hAnsi="Arial" w:hint="default"/>
      </w:rPr>
    </w:lvl>
    <w:lvl w:ilvl="8" w:tplc="E1F65A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21797F"/>
    <w:multiLevelType w:val="hybridMultilevel"/>
    <w:tmpl w:val="A2A29654"/>
    <w:lvl w:ilvl="0" w:tplc="BE240050">
      <w:start w:val="1"/>
      <w:numFmt w:val="bullet"/>
      <w:lvlText w:val="•"/>
      <w:lvlJc w:val="left"/>
      <w:pPr>
        <w:tabs>
          <w:tab w:val="num" w:pos="720"/>
        </w:tabs>
        <w:ind w:left="720" w:hanging="360"/>
      </w:pPr>
      <w:rPr>
        <w:rFonts w:ascii="Arial" w:hAnsi="Arial" w:hint="default"/>
      </w:rPr>
    </w:lvl>
    <w:lvl w:ilvl="1" w:tplc="4A90F0CC" w:tentative="1">
      <w:start w:val="1"/>
      <w:numFmt w:val="bullet"/>
      <w:lvlText w:val="•"/>
      <w:lvlJc w:val="left"/>
      <w:pPr>
        <w:tabs>
          <w:tab w:val="num" w:pos="1440"/>
        </w:tabs>
        <w:ind w:left="1440" w:hanging="360"/>
      </w:pPr>
      <w:rPr>
        <w:rFonts w:ascii="Arial" w:hAnsi="Arial" w:hint="default"/>
      </w:rPr>
    </w:lvl>
    <w:lvl w:ilvl="2" w:tplc="72746498" w:tentative="1">
      <w:start w:val="1"/>
      <w:numFmt w:val="bullet"/>
      <w:lvlText w:val="•"/>
      <w:lvlJc w:val="left"/>
      <w:pPr>
        <w:tabs>
          <w:tab w:val="num" w:pos="2160"/>
        </w:tabs>
        <w:ind w:left="2160" w:hanging="360"/>
      </w:pPr>
      <w:rPr>
        <w:rFonts w:ascii="Arial" w:hAnsi="Arial" w:hint="default"/>
      </w:rPr>
    </w:lvl>
    <w:lvl w:ilvl="3" w:tplc="BAF84CCE" w:tentative="1">
      <w:start w:val="1"/>
      <w:numFmt w:val="bullet"/>
      <w:lvlText w:val="•"/>
      <w:lvlJc w:val="left"/>
      <w:pPr>
        <w:tabs>
          <w:tab w:val="num" w:pos="2880"/>
        </w:tabs>
        <w:ind w:left="2880" w:hanging="360"/>
      </w:pPr>
      <w:rPr>
        <w:rFonts w:ascii="Arial" w:hAnsi="Arial" w:hint="default"/>
      </w:rPr>
    </w:lvl>
    <w:lvl w:ilvl="4" w:tplc="02A031B0" w:tentative="1">
      <w:start w:val="1"/>
      <w:numFmt w:val="bullet"/>
      <w:lvlText w:val="•"/>
      <w:lvlJc w:val="left"/>
      <w:pPr>
        <w:tabs>
          <w:tab w:val="num" w:pos="3600"/>
        </w:tabs>
        <w:ind w:left="3600" w:hanging="360"/>
      </w:pPr>
      <w:rPr>
        <w:rFonts w:ascii="Arial" w:hAnsi="Arial" w:hint="default"/>
      </w:rPr>
    </w:lvl>
    <w:lvl w:ilvl="5" w:tplc="A606D7BC" w:tentative="1">
      <w:start w:val="1"/>
      <w:numFmt w:val="bullet"/>
      <w:lvlText w:val="•"/>
      <w:lvlJc w:val="left"/>
      <w:pPr>
        <w:tabs>
          <w:tab w:val="num" w:pos="4320"/>
        </w:tabs>
        <w:ind w:left="4320" w:hanging="360"/>
      </w:pPr>
      <w:rPr>
        <w:rFonts w:ascii="Arial" w:hAnsi="Arial" w:hint="default"/>
      </w:rPr>
    </w:lvl>
    <w:lvl w:ilvl="6" w:tplc="D49875E4" w:tentative="1">
      <w:start w:val="1"/>
      <w:numFmt w:val="bullet"/>
      <w:lvlText w:val="•"/>
      <w:lvlJc w:val="left"/>
      <w:pPr>
        <w:tabs>
          <w:tab w:val="num" w:pos="5040"/>
        </w:tabs>
        <w:ind w:left="5040" w:hanging="360"/>
      </w:pPr>
      <w:rPr>
        <w:rFonts w:ascii="Arial" w:hAnsi="Arial" w:hint="default"/>
      </w:rPr>
    </w:lvl>
    <w:lvl w:ilvl="7" w:tplc="311662BC" w:tentative="1">
      <w:start w:val="1"/>
      <w:numFmt w:val="bullet"/>
      <w:lvlText w:val="•"/>
      <w:lvlJc w:val="left"/>
      <w:pPr>
        <w:tabs>
          <w:tab w:val="num" w:pos="5760"/>
        </w:tabs>
        <w:ind w:left="5760" w:hanging="360"/>
      </w:pPr>
      <w:rPr>
        <w:rFonts w:ascii="Arial" w:hAnsi="Arial" w:hint="default"/>
      </w:rPr>
    </w:lvl>
    <w:lvl w:ilvl="8" w:tplc="49FEEF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8"/>
  </w:num>
  <w:num w:numId="4">
    <w:abstractNumId w:val="9"/>
  </w:num>
  <w:num w:numId="5">
    <w:abstractNumId w:val="4"/>
  </w:num>
  <w:num w:numId="6">
    <w:abstractNumId w:val="3"/>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4B"/>
    <w:rsid w:val="0002157A"/>
    <w:rsid w:val="0006010D"/>
    <w:rsid w:val="00065DD7"/>
    <w:rsid w:val="000715E5"/>
    <w:rsid w:val="00094548"/>
    <w:rsid w:val="00095824"/>
    <w:rsid w:val="00097E72"/>
    <w:rsid w:val="000B6862"/>
    <w:rsid w:val="000B7093"/>
    <w:rsid w:val="00113303"/>
    <w:rsid w:val="00122E21"/>
    <w:rsid w:val="00136979"/>
    <w:rsid w:val="00155021"/>
    <w:rsid w:val="00172577"/>
    <w:rsid w:val="001D7BB2"/>
    <w:rsid w:val="002055C6"/>
    <w:rsid w:val="00231D18"/>
    <w:rsid w:val="00277735"/>
    <w:rsid w:val="00287D7E"/>
    <w:rsid w:val="00292F1B"/>
    <w:rsid w:val="002A7376"/>
    <w:rsid w:val="002A7B3F"/>
    <w:rsid w:val="002B72BC"/>
    <w:rsid w:val="002D680F"/>
    <w:rsid w:val="002F1575"/>
    <w:rsid w:val="003248C6"/>
    <w:rsid w:val="00325AB8"/>
    <w:rsid w:val="00365640"/>
    <w:rsid w:val="0037286C"/>
    <w:rsid w:val="00391388"/>
    <w:rsid w:val="0039144A"/>
    <w:rsid w:val="00392602"/>
    <w:rsid w:val="00392BC3"/>
    <w:rsid w:val="003974A0"/>
    <w:rsid w:val="003C7A8A"/>
    <w:rsid w:val="004260EA"/>
    <w:rsid w:val="00426FCE"/>
    <w:rsid w:val="00435C1F"/>
    <w:rsid w:val="00465DCA"/>
    <w:rsid w:val="00490F1A"/>
    <w:rsid w:val="004A7CCB"/>
    <w:rsid w:val="004C0E5E"/>
    <w:rsid w:val="004D0FF1"/>
    <w:rsid w:val="004E359D"/>
    <w:rsid w:val="0051503A"/>
    <w:rsid w:val="005417A1"/>
    <w:rsid w:val="0056176B"/>
    <w:rsid w:val="00574F5B"/>
    <w:rsid w:val="00593AF1"/>
    <w:rsid w:val="00596FC7"/>
    <w:rsid w:val="005A24A8"/>
    <w:rsid w:val="00643162"/>
    <w:rsid w:val="00694CAA"/>
    <w:rsid w:val="006D5A10"/>
    <w:rsid w:val="006E0DC0"/>
    <w:rsid w:val="0070233C"/>
    <w:rsid w:val="00715B91"/>
    <w:rsid w:val="007216F4"/>
    <w:rsid w:val="00740021"/>
    <w:rsid w:val="0077251E"/>
    <w:rsid w:val="00775409"/>
    <w:rsid w:val="00780A53"/>
    <w:rsid w:val="007964CF"/>
    <w:rsid w:val="007E0D06"/>
    <w:rsid w:val="007E2642"/>
    <w:rsid w:val="00811BA1"/>
    <w:rsid w:val="00871AEF"/>
    <w:rsid w:val="008756EC"/>
    <w:rsid w:val="00882598"/>
    <w:rsid w:val="008A5FD5"/>
    <w:rsid w:val="008F134B"/>
    <w:rsid w:val="008F20E0"/>
    <w:rsid w:val="00902064"/>
    <w:rsid w:val="00904F23"/>
    <w:rsid w:val="009336FF"/>
    <w:rsid w:val="00935C2F"/>
    <w:rsid w:val="0094179B"/>
    <w:rsid w:val="00954A4F"/>
    <w:rsid w:val="00962B42"/>
    <w:rsid w:val="00972AB1"/>
    <w:rsid w:val="009952F8"/>
    <w:rsid w:val="009B594D"/>
    <w:rsid w:val="009C777B"/>
    <w:rsid w:val="009D055D"/>
    <w:rsid w:val="009D2980"/>
    <w:rsid w:val="009D3D29"/>
    <w:rsid w:val="00A17F30"/>
    <w:rsid w:val="00A24EA2"/>
    <w:rsid w:val="00A30FFA"/>
    <w:rsid w:val="00A52F46"/>
    <w:rsid w:val="00A85CFB"/>
    <w:rsid w:val="00AA3F1A"/>
    <w:rsid w:val="00AA77FF"/>
    <w:rsid w:val="00AB606E"/>
    <w:rsid w:val="00B02C77"/>
    <w:rsid w:val="00B06892"/>
    <w:rsid w:val="00B14EF1"/>
    <w:rsid w:val="00B24CCC"/>
    <w:rsid w:val="00B5238A"/>
    <w:rsid w:val="00B64178"/>
    <w:rsid w:val="00BA5711"/>
    <w:rsid w:val="00BC7FE4"/>
    <w:rsid w:val="00BD7269"/>
    <w:rsid w:val="00BF12B6"/>
    <w:rsid w:val="00BF2BC8"/>
    <w:rsid w:val="00C42054"/>
    <w:rsid w:val="00C547D8"/>
    <w:rsid w:val="00C57E9B"/>
    <w:rsid w:val="00C63305"/>
    <w:rsid w:val="00C748B4"/>
    <w:rsid w:val="00C87F04"/>
    <w:rsid w:val="00CA7DF0"/>
    <w:rsid w:val="00CC05B3"/>
    <w:rsid w:val="00CD1B42"/>
    <w:rsid w:val="00D16D6B"/>
    <w:rsid w:val="00D36371"/>
    <w:rsid w:val="00D37010"/>
    <w:rsid w:val="00D545C9"/>
    <w:rsid w:val="00D61372"/>
    <w:rsid w:val="00DC38B1"/>
    <w:rsid w:val="00DE4BC5"/>
    <w:rsid w:val="00DF6D3E"/>
    <w:rsid w:val="00DF7CC8"/>
    <w:rsid w:val="00E021C3"/>
    <w:rsid w:val="00E13E53"/>
    <w:rsid w:val="00E3369B"/>
    <w:rsid w:val="00E467E3"/>
    <w:rsid w:val="00E81B61"/>
    <w:rsid w:val="00EA0B97"/>
    <w:rsid w:val="00EA587A"/>
    <w:rsid w:val="00EC41BA"/>
    <w:rsid w:val="00EE4EC2"/>
    <w:rsid w:val="00EE5A23"/>
    <w:rsid w:val="00F264E6"/>
    <w:rsid w:val="00F27249"/>
    <w:rsid w:val="00F56B41"/>
    <w:rsid w:val="00FC1727"/>
    <w:rsid w:val="00FD1801"/>
    <w:rsid w:val="00FF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4CA81"/>
  <w15:chartTrackingRefBased/>
  <w15:docId w15:val="{ABB0DE3A-70F2-4FE4-9604-106EE231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34B"/>
  </w:style>
  <w:style w:type="paragraph" w:styleId="Footer">
    <w:name w:val="footer"/>
    <w:basedOn w:val="Normal"/>
    <w:link w:val="FooterChar"/>
    <w:uiPriority w:val="99"/>
    <w:unhideWhenUsed/>
    <w:rsid w:val="008F1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34B"/>
  </w:style>
  <w:style w:type="character" w:styleId="CommentReference">
    <w:name w:val="annotation reference"/>
    <w:basedOn w:val="DefaultParagraphFont"/>
    <w:uiPriority w:val="99"/>
    <w:semiHidden/>
    <w:unhideWhenUsed/>
    <w:rsid w:val="00392602"/>
    <w:rPr>
      <w:sz w:val="16"/>
      <w:szCs w:val="16"/>
    </w:rPr>
  </w:style>
  <w:style w:type="paragraph" w:styleId="CommentText">
    <w:name w:val="annotation text"/>
    <w:basedOn w:val="Normal"/>
    <w:link w:val="CommentTextChar"/>
    <w:uiPriority w:val="99"/>
    <w:semiHidden/>
    <w:unhideWhenUsed/>
    <w:rsid w:val="00392602"/>
    <w:pPr>
      <w:spacing w:line="240" w:lineRule="auto"/>
    </w:pPr>
    <w:rPr>
      <w:sz w:val="20"/>
      <w:szCs w:val="20"/>
    </w:rPr>
  </w:style>
  <w:style w:type="character" w:customStyle="1" w:styleId="CommentTextChar">
    <w:name w:val="Comment Text Char"/>
    <w:basedOn w:val="DefaultParagraphFont"/>
    <w:link w:val="CommentText"/>
    <w:uiPriority w:val="99"/>
    <w:semiHidden/>
    <w:rsid w:val="00392602"/>
    <w:rPr>
      <w:sz w:val="20"/>
      <w:szCs w:val="20"/>
    </w:rPr>
  </w:style>
  <w:style w:type="paragraph" w:styleId="CommentSubject">
    <w:name w:val="annotation subject"/>
    <w:basedOn w:val="CommentText"/>
    <w:next w:val="CommentText"/>
    <w:link w:val="CommentSubjectChar"/>
    <w:uiPriority w:val="99"/>
    <w:semiHidden/>
    <w:unhideWhenUsed/>
    <w:rsid w:val="00392602"/>
    <w:rPr>
      <w:b/>
      <w:bCs/>
    </w:rPr>
  </w:style>
  <w:style w:type="character" w:customStyle="1" w:styleId="CommentSubjectChar">
    <w:name w:val="Comment Subject Char"/>
    <w:basedOn w:val="CommentTextChar"/>
    <w:link w:val="CommentSubject"/>
    <w:uiPriority w:val="99"/>
    <w:semiHidden/>
    <w:rsid w:val="00392602"/>
    <w:rPr>
      <w:b/>
      <w:bCs/>
      <w:sz w:val="20"/>
      <w:szCs w:val="20"/>
    </w:rPr>
  </w:style>
  <w:style w:type="paragraph" w:styleId="BalloonText">
    <w:name w:val="Balloon Text"/>
    <w:basedOn w:val="Normal"/>
    <w:link w:val="BalloonTextChar"/>
    <w:uiPriority w:val="99"/>
    <w:semiHidden/>
    <w:unhideWhenUsed/>
    <w:rsid w:val="00392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02"/>
    <w:rPr>
      <w:rFonts w:ascii="Segoe UI" w:hAnsi="Segoe UI" w:cs="Segoe UI"/>
      <w:sz w:val="18"/>
      <w:szCs w:val="18"/>
    </w:rPr>
  </w:style>
  <w:style w:type="paragraph" w:styleId="ListParagraph">
    <w:name w:val="List Paragraph"/>
    <w:basedOn w:val="Normal"/>
    <w:uiPriority w:val="34"/>
    <w:qFormat/>
    <w:rsid w:val="00065DD7"/>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17F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35C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C1F"/>
    <w:rPr>
      <w:sz w:val="20"/>
      <w:szCs w:val="20"/>
    </w:rPr>
  </w:style>
  <w:style w:type="character" w:styleId="FootnoteReference">
    <w:name w:val="footnote reference"/>
    <w:basedOn w:val="DefaultParagraphFont"/>
    <w:uiPriority w:val="99"/>
    <w:semiHidden/>
    <w:unhideWhenUsed/>
    <w:rsid w:val="00435C1F"/>
    <w:rPr>
      <w:vertAlign w:val="superscript"/>
    </w:rPr>
  </w:style>
  <w:style w:type="character" w:styleId="Hyperlink">
    <w:name w:val="Hyperlink"/>
    <w:basedOn w:val="DefaultParagraphFont"/>
    <w:uiPriority w:val="99"/>
    <w:unhideWhenUsed/>
    <w:rsid w:val="00FF12E8"/>
    <w:rPr>
      <w:color w:val="0563C1" w:themeColor="hyperlink"/>
      <w:u w:val="single"/>
    </w:rPr>
  </w:style>
  <w:style w:type="character" w:styleId="FollowedHyperlink">
    <w:name w:val="FollowedHyperlink"/>
    <w:basedOn w:val="DefaultParagraphFont"/>
    <w:uiPriority w:val="99"/>
    <w:semiHidden/>
    <w:unhideWhenUsed/>
    <w:rsid w:val="00FF12E8"/>
    <w:rPr>
      <w:color w:val="954F72" w:themeColor="followedHyperlink"/>
      <w:u w:val="single"/>
    </w:rPr>
  </w:style>
  <w:style w:type="table" w:styleId="TableGrid">
    <w:name w:val="Table Grid"/>
    <w:basedOn w:val="TableNormal"/>
    <w:uiPriority w:val="39"/>
    <w:rsid w:val="00B6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har"/>
    <w:rsid w:val="00BC7FE4"/>
    <w:pPr>
      <w:spacing w:after="0" w:line="240" w:lineRule="atLeast"/>
      <w:ind w:right="280"/>
      <w:jc w:val="both"/>
    </w:pPr>
    <w:rPr>
      <w:rFonts w:ascii="New Century Schoolbook" w:eastAsia="Times New Roman" w:hAnsi="New Century Schoolbook" w:cs="Times New Roman"/>
      <w:sz w:val="24"/>
      <w:szCs w:val="20"/>
      <w:lang w:val="en-AU"/>
    </w:rPr>
  </w:style>
  <w:style w:type="character" w:customStyle="1" w:styleId="normalChar">
    <w:name w:val="normal Char"/>
    <w:basedOn w:val="DefaultParagraphFont"/>
    <w:link w:val="Normal1"/>
    <w:locked/>
    <w:rsid w:val="00BC7FE4"/>
    <w:rPr>
      <w:rFonts w:ascii="New Century Schoolbook" w:eastAsia="Times New Roman" w:hAnsi="New Century Schoolbook"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02459">
      <w:bodyDiv w:val="1"/>
      <w:marLeft w:val="0"/>
      <w:marRight w:val="0"/>
      <w:marTop w:val="0"/>
      <w:marBottom w:val="0"/>
      <w:divBdr>
        <w:top w:val="none" w:sz="0" w:space="0" w:color="auto"/>
        <w:left w:val="none" w:sz="0" w:space="0" w:color="auto"/>
        <w:bottom w:val="none" w:sz="0" w:space="0" w:color="auto"/>
        <w:right w:val="none" w:sz="0" w:space="0" w:color="auto"/>
      </w:divBdr>
    </w:div>
    <w:div w:id="878321407">
      <w:bodyDiv w:val="1"/>
      <w:marLeft w:val="0"/>
      <w:marRight w:val="0"/>
      <w:marTop w:val="0"/>
      <w:marBottom w:val="0"/>
      <w:divBdr>
        <w:top w:val="none" w:sz="0" w:space="0" w:color="auto"/>
        <w:left w:val="none" w:sz="0" w:space="0" w:color="auto"/>
        <w:bottom w:val="none" w:sz="0" w:space="0" w:color="auto"/>
        <w:right w:val="none" w:sz="0" w:space="0" w:color="auto"/>
      </w:divBdr>
      <w:divsChild>
        <w:div w:id="1318264876">
          <w:marLeft w:val="360"/>
          <w:marRight w:val="0"/>
          <w:marTop w:val="200"/>
          <w:marBottom w:val="0"/>
          <w:divBdr>
            <w:top w:val="none" w:sz="0" w:space="0" w:color="auto"/>
            <w:left w:val="none" w:sz="0" w:space="0" w:color="auto"/>
            <w:bottom w:val="none" w:sz="0" w:space="0" w:color="auto"/>
            <w:right w:val="none" w:sz="0" w:space="0" w:color="auto"/>
          </w:divBdr>
        </w:div>
        <w:div w:id="1839345668">
          <w:marLeft w:val="360"/>
          <w:marRight w:val="0"/>
          <w:marTop w:val="200"/>
          <w:marBottom w:val="0"/>
          <w:divBdr>
            <w:top w:val="none" w:sz="0" w:space="0" w:color="auto"/>
            <w:left w:val="none" w:sz="0" w:space="0" w:color="auto"/>
            <w:bottom w:val="none" w:sz="0" w:space="0" w:color="auto"/>
            <w:right w:val="none" w:sz="0" w:space="0" w:color="auto"/>
          </w:divBdr>
        </w:div>
        <w:div w:id="478377020">
          <w:marLeft w:val="360"/>
          <w:marRight w:val="0"/>
          <w:marTop w:val="200"/>
          <w:marBottom w:val="0"/>
          <w:divBdr>
            <w:top w:val="none" w:sz="0" w:space="0" w:color="auto"/>
            <w:left w:val="none" w:sz="0" w:space="0" w:color="auto"/>
            <w:bottom w:val="none" w:sz="0" w:space="0" w:color="auto"/>
            <w:right w:val="none" w:sz="0" w:space="0" w:color="auto"/>
          </w:divBdr>
        </w:div>
        <w:div w:id="273052485">
          <w:marLeft w:val="360"/>
          <w:marRight w:val="0"/>
          <w:marTop w:val="200"/>
          <w:marBottom w:val="0"/>
          <w:divBdr>
            <w:top w:val="none" w:sz="0" w:space="0" w:color="auto"/>
            <w:left w:val="none" w:sz="0" w:space="0" w:color="auto"/>
            <w:bottom w:val="none" w:sz="0" w:space="0" w:color="auto"/>
            <w:right w:val="none" w:sz="0" w:space="0" w:color="auto"/>
          </w:divBdr>
        </w:div>
        <w:div w:id="520124699">
          <w:marLeft w:val="360"/>
          <w:marRight w:val="0"/>
          <w:marTop w:val="200"/>
          <w:marBottom w:val="0"/>
          <w:divBdr>
            <w:top w:val="none" w:sz="0" w:space="0" w:color="auto"/>
            <w:left w:val="none" w:sz="0" w:space="0" w:color="auto"/>
            <w:bottom w:val="none" w:sz="0" w:space="0" w:color="auto"/>
            <w:right w:val="none" w:sz="0" w:space="0" w:color="auto"/>
          </w:divBdr>
        </w:div>
        <w:div w:id="1592811950">
          <w:marLeft w:val="360"/>
          <w:marRight w:val="0"/>
          <w:marTop w:val="200"/>
          <w:marBottom w:val="0"/>
          <w:divBdr>
            <w:top w:val="none" w:sz="0" w:space="0" w:color="auto"/>
            <w:left w:val="none" w:sz="0" w:space="0" w:color="auto"/>
            <w:bottom w:val="none" w:sz="0" w:space="0" w:color="auto"/>
            <w:right w:val="none" w:sz="0" w:space="0" w:color="auto"/>
          </w:divBdr>
        </w:div>
        <w:div w:id="762527907">
          <w:marLeft w:val="360"/>
          <w:marRight w:val="0"/>
          <w:marTop w:val="200"/>
          <w:marBottom w:val="0"/>
          <w:divBdr>
            <w:top w:val="none" w:sz="0" w:space="0" w:color="auto"/>
            <w:left w:val="none" w:sz="0" w:space="0" w:color="auto"/>
            <w:bottom w:val="none" w:sz="0" w:space="0" w:color="auto"/>
            <w:right w:val="none" w:sz="0" w:space="0" w:color="auto"/>
          </w:divBdr>
        </w:div>
        <w:div w:id="1432627446">
          <w:marLeft w:val="360"/>
          <w:marRight w:val="0"/>
          <w:marTop w:val="200"/>
          <w:marBottom w:val="0"/>
          <w:divBdr>
            <w:top w:val="none" w:sz="0" w:space="0" w:color="auto"/>
            <w:left w:val="none" w:sz="0" w:space="0" w:color="auto"/>
            <w:bottom w:val="none" w:sz="0" w:space="0" w:color="auto"/>
            <w:right w:val="none" w:sz="0" w:space="0" w:color="auto"/>
          </w:divBdr>
        </w:div>
        <w:div w:id="941765927">
          <w:marLeft w:val="360"/>
          <w:marRight w:val="0"/>
          <w:marTop w:val="200"/>
          <w:marBottom w:val="0"/>
          <w:divBdr>
            <w:top w:val="none" w:sz="0" w:space="0" w:color="auto"/>
            <w:left w:val="none" w:sz="0" w:space="0" w:color="auto"/>
            <w:bottom w:val="none" w:sz="0" w:space="0" w:color="auto"/>
            <w:right w:val="none" w:sz="0" w:space="0" w:color="auto"/>
          </w:divBdr>
        </w:div>
      </w:divsChild>
    </w:div>
    <w:div w:id="1179468445">
      <w:bodyDiv w:val="1"/>
      <w:marLeft w:val="0"/>
      <w:marRight w:val="0"/>
      <w:marTop w:val="0"/>
      <w:marBottom w:val="0"/>
      <w:divBdr>
        <w:top w:val="none" w:sz="0" w:space="0" w:color="auto"/>
        <w:left w:val="none" w:sz="0" w:space="0" w:color="auto"/>
        <w:bottom w:val="none" w:sz="0" w:space="0" w:color="auto"/>
        <w:right w:val="none" w:sz="0" w:space="0" w:color="auto"/>
      </w:divBdr>
      <w:divsChild>
        <w:div w:id="1034690223">
          <w:marLeft w:val="720"/>
          <w:marRight w:val="0"/>
          <w:marTop w:val="115"/>
          <w:marBottom w:val="0"/>
          <w:divBdr>
            <w:top w:val="none" w:sz="0" w:space="0" w:color="auto"/>
            <w:left w:val="none" w:sz="0" w:space="0" w:color="auto"/>
            <w:bottom w:val="none" w:sz="0" w:space="0" w:color="auto"/>
            <w:right w:val="none" w:sz="0" w:space="0" w:color="auto"/>
          </w:divBdr>
        </w:div>
        <w:div w:id="1870292609">
          <w:marLeft w:val="720"/>
          <w:marRight w:val="0"/>
          <w:marTop w:val="115"/>
          <w:marBottom w:val="0"/>
          <w:divBdr>
            <w:top w:val="none" w:sz="0" w:space="0" w:color="auto"/>
            <w:left w:val="none" w:sz="0" w:space="0" w:color="auto"/>
            <w:bottom w:val="none" w:sz="0" w:space="0" w:color="auto"/>
            <w:right w:val="none" w:sz="0" w:space="0" w:color="auto"/>
          </w:divBdr>
        </w:div>
        <w:div w:id="420835358">
          <w:marLeft w:val="720"/>
          <w:marRight w:val="0"/>
          <w:marTop w:val="115"/>
          <w:marBottom w:val="0"/>
          <w:divBdr>
            <w:top w:val="none" w:sz="0" w:space="0" w:color="auto"/>
            <w:left w:val="none" w:sz="0" w:space="0" w:color="auto"/>
            <w:bottom w:val="none" w:sz="0" w:space="0" w:color="auto"/>
            <w:right w:val="none" w:sz="0" w:space="0" w:color="auto"/>
          </w:divBdr>
        </w:div>
      </w:divsChild>
    </w:div>
    <w:div w:id="1378697868">
      <w:bodyDiv w:val="1"/>
      <w:marLeft w:val="0"/>
      <w:marRight w:val="0"/>
      <w:marTop w:val="0"/>
      <w:marBottom w:val="0"/>
      <w:divBdr>
        <w:top w:val="none" w:sz="0" w:space="0" w:color="auto"/>
        <w:left w:val="none" w:sz="0" w:space="0" w:color="auto"/>
        <w:bottom w:val="none" w:sz="0" w:space="0" w:color="auto"/>
        <w:right w:val="none" w:sz="0" w:space="0" w:color="auto"/>
      </w:divBdr>
    </w:div>
    <w:div w:id="1417164229">
      <w:bodyDiv w:val="1"/>
      <w:marLeft w:val="0"/>
      <w:marRight w:val="0"/>
      <w:marTop w:val="0"/>
      <w:marBottom w:val="0"/>
      <w:divBdr>
        <w:top w:val="none" w:sz="0" w:space="0" w:color="auto"/>
        <w:left w:val="none" w:sz="0" w:space="0" w:color="auto"/>
        <w:bottom w:val="none" w:sz="0" w:space="0" w:color="auto"/>
        <w:right w:val="none" w:sz="0" w:space="0" w:color="auto"/>
      </w:divBdr>
      <w:divsChild>
        <w:div w:id="1273198596">
          <w:marLeft w:val="446"/>
          <w:marRight w:val="0"/>
          <w:marTop w:val="0"/>
          <w:marBottom w:val="0"/>
          <w:divBdr>
            <w:top w:val="none" w:sz="0" w:space="0" w:color="auto"/>
            <w:left w:val="none" w:sz="0" w:space="0" w:color="auto"/>
            <w:bottom w:val="none" w:sz="0" w:space="0" w:color="auto"/>
            <w:right w:val="none" w:sz="0" w:space="0" w:color="auto"/>
          </w:divBdr>
        </w:div>
      </w:divsChild>
    </w:div>
    <w:div w:id="1503011857">
      <w:bodyDiv w:val="1"/>
      <w:marLeft w:val="0"/>
      <w:marRight w:val="0"/>
      <w:marTop w:val="0"/>
      <w:marBottom w:val="0"/>
      <w:divBdr>
        <w:top w:val="none" w:sz="0" w:space="0" w:color="auto"/>
        <w:left w:val="none" w:sz="0" w:space="0" w:color="auto"/>
        <w:bottom w:val="none" w:sz="0" w:space="0" w:color="auto"/>
        <w:right w:val="none" w:sz="0" w:space="0" w:color="auto"/>
      </w:divBdr>
      <w:divsChild>
        <w:div w:id="1421677497">
          <w:marLeft w:val="259"/>
          <w:marRight w:val="0"/>
          <w:marTop w:val="60"/>
          <w:marBottom w:val="0"/>
          <w:divBdr>
            <w:top w:val="none" w:sz="0" w:space="0" w:color="auto"/>
            <w:left w:val="none" w:sz="0" w:space="0" w:color="auto"/>
            <w:bottom w:val="none" w:sz="0" w:space="0" w:color="auto"/>
            <w:right w:val="none" w:sz="0" w:space="0" w:color="auto"/>
          </w:divBdr>
        </w:div>
        <w:div w:id="1265383690">
          <w:marLeft w:val="259"/>
          <w:marRight w:val="0"/>
          <w:marTop w:val="60"/>
          <w:marBottom w:val="0"/>
          <w:divBdr>
            <w:top w:val="none" w:sz="0" w:space="0" w:color="auto"/>
            <w:left w:val="none" w:sz="0" w:space="0" w:color="auto"/>
            <w:bottom w:val="none" w:sz="0" w:space="0" w:color="auto"/>
            <w:right w:val="none" w:sz="0" w:space="0" w:color="auto"/>
          </w:divBdr>
        </w:div>
      </w:divsChild>
    </w:div>
    <w:div w:id="1769932573">
      <w:bodyDiv w:val="1"/>
      <w:marLeft w:val="0"/>
      <w:marRight w:val="0"/>
      <w:marTop w:val="0"/>
      <w:marBottom w:val="0"/>
      <w:divBdr>
        <w:top w:val="none" w:sz="0" w:space="0" w:color="auto"/>
        <w:left w:val="none" w:sz="0" w:space="0" w:color="auto"/>
        <w:bottom w:val="none" w:sz="0" w:space="0" w:color="auto"/>
        <w:right w:val="none" w:sz="0" w:space="0" w:color="auto"/>
      </w:divBdr>
      <w:divsChild>
        <w:div w:id="571357341">
          <w:marLeft w:val="446"/>
          <w:marRight w:val="0"/>
          <w:marTop w:val="0"/>
          <w:marBottom w:val="0"/>
          <w:divBdr>
            <w:top w:val="none" w:sz="0" w:space="0" w:color="auto"/>
            <w:left w:val="none" w:sz="0" w:space="0" w:color="auto"/>
            <w:bottom w:val="none" w:sz="0" w:space="0" w:color="auto"/>
            <w:right w:val="none" w:sz="0" w:space="0" w:color="auto"/>
          </w:divBdr>
        </w:div>
        <w:div w:id="26105984">
          <w:marLeft w:val="446"/>
          <w:marRight w:val="0"/>
          <w:marTop w:val="0"/>
          <w:marBottom w:val="0"/>
          <w:divBdr>
            <w:top w:val="none" w:sz="0" w:space="0" w:color="auto"/>
            <w:left w:val="none" w:sz="0" w:space="0" w:color="auto"/>
            <w:bottom w:val="none" w:sz="0" w:space="0" w:color="auto"/>
            <w:right w:val="none" w:sz="0" w:space="0" w:color="auto"/>
          </w:divBdr>
        </w:div>
        <w:div w:id="249853443">
          <w:marLeft w:val="446"/>
          <w:marRight w:val="0"/>
          <w:marTop w:val="0"/>
          <w:marBottom w:val="0"/>
          <w:divBdr>
            <w:top w:val="none" w:sz="0" w:space="0" w:color="auto"/>
            <w:left w:val="none" w:sz="0" w:space="0" w:color="auto"/>
            <w:bottom w:val="none" w:sz="0" w:space="0" w:color="auto"/>
            <w:right w:val="none" w:sz="0" w:space="0" w:color="auto"/>
          </w:divBdr>
        </w:div>
      </w:divsChild>
    </w:div>
    <w:div w:id="1951546202">
      <w:bodyDiv w:val="1"/>
      <w:marLeft w:val="0"/>
      <w:marRight w:val="0"/>
      <w:marTop w:val="0"/>
      <w:marBottom w:val="0"/>
      <w:divBdr>
        <w:top w:val="none" w:sz="0" w:space="0" w:color="auto"/>
        <w:left w:val="none" w:sz="0" w:space="0" w:color="auto"/>
        <w:bottom w:val="none" w:sz="0" w:space="0" w:color="auto"/>
        <w:right w:val="none" w:sz="0" w:space="0" w:color="auto"/>
      </w:divBdr>
      <w:divsChild>
        <w:div w:id="269439887">
          <w:marLeft w:val="360"/>
          <w:marRight w:val="0"/>
          <w:marTop w:val="200"/>
          <w:marBottom w:val="0"/>
          <w:divBdr>
            <w:top w:val="none" w:sz="0" w:space="0" w:color="auto"/>
            <w:left w:val="none" w:sz="0" w:space="0" w:color="auto"/>
            <w:bottom w:val="none" w:sz="0" w:space="0" w:color="auto"/>
            <w:right w:val="none" w:sz="0" w:space="0" w:color="auto"/>
          </w:divBdr>
        </w:div>
        <w:div w:id="1244491346">
          <w:marLeft w:val="360"/>
          <w:marRight w:val="0"/>
          <w:marTop w:val="200"/>
          <w:marBottom w:val="0"/>
          <w:divBdr>
            <w:top w:val="none" w:sz="0" w:space="0" w:color="auto"/>
            <w:left w:val="none" w:sz="0" w:space="0" w:color="auto"/>
            <w:bottom w:val="none" w:sz="0" w:space="0" w:color="auto"/>
            <w:right w:val="none" w:sz="0" w:space="0" w:color="auto"/>
          </w:divBdr>
        </w:div>
        <w:div w:id="1816333841">
          <w:marLeft w:val="360"/>
          <w:marRight w:val="0"/>
          <w:marTop w:val="200"/>
          <w:marBottom w:val="0"/>
          <w:divBdr>
            <w:top w:val="none" w:sz="0" w:space="0" w:color="auto"/>
            <w:left w:val="none" w:sz="0" w:space="0" w:color="auto"/>
            <w:bottom w:val="none" w:sz="0" w:space="0" w:color="auto"/>
            <w:right w:val="none" w:sz="0" w:space="0" w:color="auto"/>
          </w:divBdr>
        </w:div>
        <w:div w:id="1888880551">
          <w:marLeft w:val="360"/>
          <w:marRight w:val="0"/>
          <w:marTop w:val="200"/>
          <w:marBottom w:val="0"/>
          <w:divBdr>
            <w:top w:val="none" w:sz="0" w:space="0" w:color="auto"/>
            <w:left w:val="none" w:sz="0" w:space="0" w:color="auto"/>
            <w:bottom w:val="none" w:sz="0" w:space="0" w:color="auto"/>
            <w:right w:val="none" w:sz="0" w:space="0" w:color="auto"/>
          </w:divBdr>
        </w:div>
        <w:div w:id="1803502500">
          <w:marLeft w:val="360"/>
          <w:marRight w:val="0"/>
          <w:marTop w:val="200"/>
          <w:marBottom w:val="0"/>
          <w:divBdr>
            <w:top w:val="none" w:sz="0" w:space="0" w:color="auto"/>
            <w:left w:val="none" w:sz="0" w:space="0" w:color="auto"/>
            <w:bottom w:val="none" w:sz="0" w:space="0" w:color="auto"/>
            <w:right w:val="none" w:sz="0" w:space="0" w:color="auto"/>
          </w:divBdr>
        </w:div>
        <w:div w:id="770778437">
          <w:marLeft w:val="360"/>
          <w:marRight w:val="0"/>
          <w:marTop w:val="200"/>
          <w:marBottom w:val="0"/>
          <w:divBdr>
            <w:top w:val="none" w:sz="0" w:space="0" w:color="auto"/>
            <w:left w:val="none" w:sz="0" w:space="0" w:color="auto"/>
            <w:bottom w:val="none" w:sz="0" w:space="0" w:color="auto"/>
            <w:right w:val="none" w:sz="0" w:space="0" w:color="auto"/>
          </w:divBdr>
        </w:div>
        <w:div w:id="1379160439">
          <w:marLeft w:val="360"/>
          <w:marRight w:val="0"/>
          <w:marTop w:val="200"/>
          <w:marBottom w:val="0"/>
          <w:divBdr>
            <w:top w:val="none" w:sz="0" w:space="0" w:color="auto"/>
            <w:left w:val="none" w:sz="0" w:space="0" w:color="auto"/>
            <w:bottom w:val="none" w:sz="0" w:space="0" w:color="auto"/>
            <w:right w:val="none" w:sz="0" w:space="0" w:color="auto"/>
          </w:divBdr>
        </w:div>
        <w:div w:id="1768425024">
          <w:marLeft w:val="360"/>
          <w:marRight w:val="0"/>
          <w:marTop w:val="200"/>
          <w:marBottom w:val="0"/>
          <w:divBdr>
            <w:top w:val="none" w:sz="0" w:space="0" w:color="auto"/>
            <w:left w:val="none" w:sz="0" w:space="0" w:color="auto"/>
            <w:bottom w:val="none" w:sz="0" w:space="0" w:color="auto"/>
            <w:right w:val="none" w:sz="0" w:space="0" w:color="auto"/>
          </w:divBdr>
        </w:div>
        <w:div w:id="456026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it.dot.gov/research-innovation/mobility-demand-mod-sandbox-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7161-4FF9-4566-9ACD-304AFF45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J.M.</dc:creator>
  <cp:keywords/>
  <dc:description/>
  <cp:lastModifiedBy>Preston J.M.</cp:lastModifiedBy>
  <cp:revision>3</cp:revision>
  <cp:lastPrinted>2019-12-20T14:23:00Z</cp:lastPrinted>
  <dcterms:created xsi:type="dcterms:W3CDTF">2020-06-25T09:15:00Z</dcterms:created>
  <dcterms:modified xsi:type="dcterms:W3CDTF">2020-06-25T09:16:00Z</dcterms:modified>
</cp:coreProperties>
</file>