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2ADBE" w14:textId="3C4E73DD" w:rsidR="00FE3F1E" w:rsidRPr="00E63D6E" w:rsidRDefault="000526A3" w:rsidP="00FE3F1E">
      <w:pPr>
        <w:spacing w:line="480" w:lineRule="auto"/>
        <w:rPr>
          <w:rFonts w:ascii="Times New Roman" w:hAnsi="Times New Roman" w:cs="Times New Roman"/>
          <w:b/>
          <w:bCs/>
          <w:sz w:val="28"/>
          <w:szCs w:val="28"/>
        </w:rPr>
      </w:pPr>
      <w:bookmarkStart w:id="0" w:name="_Hlk65221219"/>
      <w:bookmarkStart w:id="1" w:name="_Hlk54879077"/>
      <w:r>
        <w:rPr>
          <w:rFonts w:ascii="Times New Roman" w:hAnsi="Times New Roman" w:cs="Times New Roman"/>
          <w:b/>
          <w:bCs/>
          <w:i/>
          <w:iCs/>
          <w:sz w:val="28"/>
          <w:szCs w:val="28"/>
        </w:rPr>
        <w:t>Pseudomonas</w:t>
      </w:r>
      <w:r w:rsidR="00FE3F1E" w:rsidRPr="00E63D6E">
        <w:rPr>
          <w:rFonts w:ascii="Times New Roman" w:hAnsi="Times New Roman" w:cs="Times New Roman"/>
          <w:b/>
          <w:bCs/>
          <w:i/>
          <w:iCs/>
          <w:sz w:val="28"/>
          <w:szCs w:val="28"/>
        </w:rPr>
        <w:t xml:space="preserve"> aeruginosa </w:t>
      </w:r>
      <w:r w:rsidR="00FE3F1E" w:rsidRPr="00E63D6E">
        <w:rPr>
          <w:rFonts w:ascii="Times New Roman" w:hAnsi="Times New Roman" w:cs="Times New Roman"/>
          <w:b/>
          <w:bCs/>
          <w:sz w:val="28"/>
          <w:szCs w:val="28"/>
        </w:rPr>
        <w:t xml:space="preserve">Biofilm Killing Beyond </w:t>
      </w:r>
      <w:r w:rsidR="008F457E">
        <w:rPr>
          <w:rFonts w:ascii="Times New Roman" w:hAnsi="Times New Roman" w:cs="Times New Roman"/>
          <w:b/>
          <w:bCs/>
          <w:sz w:val="28"/>
          <w:szCs w:val="28"/>
        </w:rPr>
        <w:t>The</w:t>
      </w:r>
      <w:r w:rsidR="00FE3F1E" w:rsidRPr="00E63D6E">
        <w:rPr>
          <w:rFonts w:ascii="Times New Roman" w:hAnsi="Times New Roman" w:cs="Times New Roman"/>
          <w:b/>
          <w:bCs/>
          <w:sz w:val="28"/>
          <w:szCs w:val="28"/>
        </w:rPr>
        <w:t xml:space="preserve"> Spacer </w:t>
      </w:r>
      <w:r w:rsidR="008F457E">
        <w:rPr>
          <w:rFonts w:ascii="Times New Roman" w:hAnsi="Times New Roman" w:cs="Times New Roman"/>
          <w:b/>
          <w:bCs/>
          <w:sz w:val="28"/>
          <w:szCs w:val="28"/>
        </w:rPr>
        <w:t>By</w:t>
      </w:r>
      <w:r w:rsidR="00FE3F1E" w:rsidRPr="00E63D6E">
        <w:rPr>
          <w:rFonts w:ascii="Times New Roman" w:hAnsi="Times New Roman" w:cs="Times New Roman"/>
          <w:b/>
          <w:bCs/>
          <w:sz w:val="28"/>
          <w:szCs w:val="28"/>
        </w:rPr>
        <w:t xml:space="preserve"> Antibiotic Loaded Calcium Sulfate Beads: An </w:t>
      </w:r>
      <w:r w:rsidR="00FE3F1E" w:rsidRPr="007054DC">
        <w:rPr>
          <w:rFonts w:ascii="Times New Roman" w:hAnsi="Times New Roman" w:cs="Times New Roman"/>
          <w:b/>
          <w:bCs/>
          <w:i/>
          <w:iCs/>
          <w:sz w:val="28"/>
          <w:szCs w:val="28"/>
        </w:rPr>
        <w:t>In Vitro</w:t>
      </w:r>
      <w:r w:rsidR="00FE3F1E" w:rsidRPr="00E63D6E">
        <w:rPr>
          <w:rFonts w:ascii="Times New Roman" w:hAnsi="Times New Roman" w:cs="Times New Roman"/>
          <w:b/>
          <w:bCs/>
          <w:sz w:val="28"/>
          <w:szCs w:val="28"/>
        </w:rPr>
        <w:t xml:space="preserve"> Study</w:t>
      </w:r>
    </w:p>
    <w:bookmarkEnd w:id="1"/>
    <w:p w14:paraId="5BF02B43" w14:textId="77777777" w:rsidR="00FE3F1E" w:rsidRPr="00E63D6E" w:rsidRDefault="00FE3F1E" w:rsidP="00FE3F1E">
      <w:pPr>
        <w:spacing w:line="480" w:lineRule="auto"/>
        <w:rPr>
          <w:rFonts w:ascii="Times New Roman" w:hAnsi="Times New Roman" w:cs="Times New Roman"/>
        </w:rPr>
      </w:pPr>
    </w:p>
    <w:p w14:paraId="27B88FFE" w14:textId="62FDC5C2" w:rsidR="006F3FDC" w:rsidRPr="006F3FDC" w:rsidRDefault="00FE3F1E" w:rsidP="006F3FDC">
      <w:pPr>
        <w:spacing w:line="480" w:lineRule="auto"/>
        <w:rPr>
          <w:rFonts w:ascii="Times New Roman" w:hAnsi="Times New Roman" w:cs="Times New Roman"/>
        </w:rPr>
      </w:pPr>
      <w:r w:rsidRPr="00F81AD3">
        <w:rPr>
          <w:rFonts w:ascii="Times New Roman" w:hAnsi="Times New Roman" w:cs="Times New Roman"/>
        </w:rPr>
        <w:t>Jacob R. Brooks</w:t>
      </w:r>
      <w:r w:rsidR="003A50EF">
        <w:rPr>
          <w:rFonts w:ascii="Times New Roman" w:hAnsi="Times New Roman" w:cs="Times New Roman"/>
        </w:rPr>
        <w:t>*</w:t>
      </w:r>
      <w:r w:rsidRPr="00F81AD3">
        <w:rPr>
          <w:rFonts w:ascii="Times New Roman" w:hAnsi="Times New Roman" w:cs="Times New Roman"/>
        </w:rPr>
        <w:t xml:space="preserve"> </w:t>
      </w:r>
      <w:r w:rsidRPr="00F81AD3">
        <w:rPr>
          <w:rFonts w:ascii="Times New Roman" w:hAnsi="Times New Roman" w:cs="Times New Roman"/>
          <w:vertAlign w:val="superscript"/>
        </w:rPr>
        <w:t>a</w:t>
      </w:r>
      <w:r w:rsidRPr="00F81AD3">
        <w:rPr>
          <w:rFonts w:ascii="Times New Roman" w:hAnsi="Times New Roman" w:cs="Times New Roman"/>
        </w:rPr>
        <w:t>, Devendra H. Dusane</w:t>
      </w:r>
      <w:r w:rsidR="003A50EF">
        <w:rPr>
          <w:rFonts w:ascii="Times New Roman" w:hAnsi="Times New Roman" w:cs="Times New Roman"/>
        </w:rPr>
        <w:t>*</w:t>
      </w:r>
      <w:r w:rsidRPr="00F81AD3">
        <w:rPr>
          <w:rFonts w:ascii="Times New Roman" w:hAnsi="Times New Roman" w:cs="Times New Roman"/>
        </w:rPr>
        <w:t xml:space="preserve"> </w:t>
      </w:r>
      <w:r w:rsidR="006F3FDC">
        <w:rPr>
          <w:rFonts w:ascii="Times New Roman" w:hAnsi="Times New Roman" w:cs="Times New Roman"/>
          <w:vertAlign w:val="superscript"/>
        </w:rPr>
        <w:t>a</w:t>
      </w:r>
      <w:r w:rsidRPr="00F81AD3">
        <w:rPr>
          <w:rFonts w:ascii="Times New Roman" w:hAnsi="Times New Roman" w:cs="Times New Roman"/>
        </w:rPr>
        <w:t xml:space="preserve">, Kelly Moore </w:t>
      </w:r>
      <w:r w:rsidRPr="00F81AD3">
        <w:rPr>
          <w:rFonts w:ascii="Times New Roman" w:hAnsi="Times New Roman" w:cs="Times New Roman"/>
          <w:vertAlign w:val="superscript"/>
        </w:rPr>
        <w:t>a</w:t>
      </w:r>
      <w:r w:rsidR="00F81AD3" w:rsidRPr="00F81AD3">
        <w:rPr>
          <w:rFonts w:ascii="Times New Roman" w:hAnsi="Times New Roman" w:cs="Times New Roman"/>
        </w:rPr>
        <w:t xml:space="preserve">, </w:t>
      </w:r>
      <w:r w:rsidR="00323E3B">
        <w:rPr>
          <w:rFonts w:ascii="Times New Roman" w:hAnsi="Times New Roman" w:cs="Times New Roman"/>
        </w:rPr>
        <w:t xml:space="preserve">Tripti Gupta </w:t>
      </w:r>
      <w:r w:rsidR="00323E3B">
        <w:rPr>
          <w:rFonts w:ascii="Times New Roman" w:hAnsi="Times New Roman" w:cs="Times New Roman"/>
          <w:vertAlign w:val="superscript"/>
        </w:rPr>
        <w:t>a</w:t>
      </w:r>
      <w:r w:rsidR="00323E3B">
        <w:rPr>
          <w:rFonts w:ascii="Times New Roman" w:hAnsi="Times New Roman" w:cs="Times New Roman"/>
        </w:rPr>
        <w:t xml:space="preserve">, </w:t>
      </w:r>
      <w:r w:rsidR="00F81AD3" w:rsidRPr="00F81AD3">
        <w:rPr>
          <w:rFonts w:ascii="Times New Roman" w:hAnsi="Times New Roman" w:cs="Times New Roman"/>
        </w:rPr>
        <w:t>C</w:t>
      </w:r>
      <w:r w:rsidRPr="00F81AD3">
        <w:rPr>
          <w:rFonts w:ascii="Times New Roman" w:hAnsi="Times New Roman" w:cs="Times New Roman"/>
        </w:rPr>
        <w:t>raig Delury</w:t>
      </w:r>
      <w:r w:rsidR="00F81AD3" w:rsidRPr="00F81AD3">
        <w:rPr>
          <w:rFonts w:ascii="Times New Roman" w:hAnsi="Times New Roman" w:cs="Times New Roman"/>
        </w:rPr>
        <w:t xml:space="preserve"> </w:t>
      </w:r>
      <w:r w:rsidR="006F3FDC">
        <w:rPr>
          <w:rFonts w:ascii="Times New Roman" w:hAnsi="Times New Roman" w:cs="Times New Roman"/>
          <w:vertAlign w:val="superscript"/>
        </w:rPr>
        <w:t>b</w:t>
      </w:r>
      <w:r w:rsidRPr="00F81AD3">
        <w:rPr>
          <w:rFonts w:ascii="Times New Roman" w:hAnsi="Times New Roman" w:cs="Times New Roman"/>
        </w:rPr>
        <w:t>,</w:t>
      </w:r>
      <w:r w:rsidR="00F81AD3" w:rsidRPr="00F81AD3">
        <w:rPr>
          <w:rFonts w:ascii="Times New Roman" w:hAnsi="Times New Roman" w:cs="Times New Roman"/>
          <w:position w:val="8"/>
        </w:rPr>
        <w:t xml:space="preserve"> </w:t>
      </w:r>
      <w:r w:rsidRPr="00F81AD3">
        <w:rPr>
          <w:rFonts w:ascii="Times New Roman" w:hAnsi="Times New Roman" w:cs="Times New Roman"/>
        </w:rPr>
        <w:t>Sean S. Aiken</w:t>
      </w:r>
      <w:r w:rsidR="00F81AD3" w:rsidRPr="00F81AD3">
        <w:rPr>
          <w:rFonts w:ascii="Times New Roman" w:hAnsi="Times New Roman" w:cs="Times New Roman"/>
        </w:rPr>
        <w:t xml:space="preserve"> </w:t>
      </w:r>
      <w:r w:rsidR="006F3FDC">
        <w:rPr>
          <w:rFonts w:ascii="Times New Roman" w:hAnsi="Times New Roman" w:cs="Times New Roman"/>
          <w:vertAlign w:val="superscript"/>
        </w:rPr>
        <w:t>b</w:t>
      </w:r>
      <w:r w:rsidRPr="00F81AD3">
        <w:rPr>
          <w:rFonts w:ascii="Times New Roman" w:hAnsi="Times New Roman" w:cs="Times New Roman"/>
        </w:rPr>
        <w:t>,</w:t>
      </w:r>
      <w:r w:rsidRPr="00F81AD3">
        <w:rPr>
          <w:rFonts w:ascii="Times New Roman" w:hAnsi="Times New Roman" w:cs="Times New Roman"/>
          <w:position w:val="8"/>
        </w:rPr>
        <w:t xml:space="preserve"> </w:t>
      </w:r>
      <w:r w:rsidRPr="00F81AD3">
        <w:rPr>
          <w:rFonts w:ascii="Times New Roman" w:hAnsi="Times New Roman" w:cs="Times New Roman"/>
        </w:rPr>
        <w:t>Phillip A. Laycock</w:t>
      </w:r>
      <w:r w:rsidR="00F81AD3" w:rsidRPr="00F81AD3">
        <w:rPr>
          <w:rFonts w:ascii="Times New Roman" w:hAnsi="Times New Roman" w:cs="Times New Roman"/>
        </w:rPr>
        <w:t xml:space="preserve"> </w:t>
      </w:r>
      <w:r w:rsidR="006F3FDC">
        <w:rPr>
          <w:rFonts w:ascii="Times New Roman" w:hAnsi="Times New Roman" w:cs="Times New Roman"/>
          <w:vertAlign w:val="superscript"/>
        </w:rPr>
        <w:t>b</w:t>
      </w:r>
      <w:r w:rsidRPr="00F81AD3">
        <w:rPr>
          <w:rFonts w:ascii="Times New Roman" w:hAnsi="Times New Roman" w:cs="Times New Roman"/>
        </w:rPr>
        <w:t>,</w:t>
      </w:r>
      <w:r w:rsidRPr="00F81AD3">
        <w:rPr>
          <w:rFonts w:ascii="Times New Roman" w:hAnsi="Times New Roman" w:cs="Times New Roman"/>
          <w:position w:val="8"/>
        </w:rPr>
        <w:t xml:space="preserve"> </w:t>
      </w:r>
      <w:r w:rsidRPr="00F81AD3">
        <w:rPr>
          <w:rFonts w:ascii="Times New Roman" w:hAnsi="Times New Roman" w:cs="Times New Roman"/>
        </w:rPr>
        <w:t>Anne Sullivan</w:t>
      </w:r>
      <w:r w:rsidR="00F81AD3" w:rsidRPr="00F81AD3">
        <w:rPr>
          <w:rFonts w:ascii="Times New Roman" w:hAnsi="Times New Roman" w:cs="Times New Roman"/>
        </w:rPr>
        <w:t xml:space="preserve"> </w:t>
      </w:r>
      <w:r w:rsidR="006F3FDC">
        <w:rPr>
          <w:rFonts w:ascii="Times New Roman" w:hAnsi="Times New Roman" w:cs="Times New Roman"/>
          <w:vertAlign w:val="superscript"/>
        </w:rPr>
        <w:t>c</w:t>
      </w:r>
      <w:r w:rsidRPr="00F81AD3">
        <w:rPr>
          <w:rFonts w:ascii="Times New Roman" w:hAnsi="Times New Roman" w:cs="Times New Roman"/>
        </w:rPr>
        <w:t>,</w:t>
      </w:r>
      <w:r w:rsidRPr="00F81AD3">
        <w:rPr>
          <w:rFonts w:ascii="Times New Roman" w:hAnsi="Times New Roman" w:cs="Times New Roman"/>
          <w:position w:val="8"/>
        </w:rPr>
        <w:t xml:space="preserve"> </w:t>
      </w:r>
      <w:r w:rsidRPr="00F81AD3">
        <w:rPr>
          <w:rFonts w:ascii="Times New Roman" w:hAnsi="Times New Roman" w:cs="Times New Roman"/>
        </w:rPr>
        <w:t>Jeffrey F. Granger</w:t>
      </w:r>
      <w:r w:rsidR="00F81AD3" w:rsidRPr="00F81AD3">
        <w:rPr>
          <w:rFonts w:ascii="Times New Roman" w:hAnsi="Times New Roman" w:cs="Times New Roman"/>
        </w:rPr>
        <w:t xml:space="preserve"> </w:t>
      </w:r>
      <w:r w:rsidR="006F3FDC">
        <w:rPr>
          <w:rFonts w:ascii="Times New Roman" w:hAnsi="Times New Roman" w:cs="Times New Roman"/>
          <w:vertAlign w:val="superscript"/>
        </w:rPr>
        <w:t>c</w:t>
      </w:r>
      <w:r w:rsidRPr="00F81AD3">
        <w:rPr>
          <w:rFonts w:ascii="Times New Roman" w:hAnsi="Times New Roman" w:cs="Times New Roman"/>
        </w:rPr>
        <w:t>,</w:t>
      </w:r>
      <w:r w:rsidRPr="009A7136">
        <w:rPr>
          <w:rFonts w:ascii="Times New Roman" w:hAnsi="Times New Roman" w:cs="Times New Roman"/>
        </w:rPr>
        <w:t xml:space="preserve"> </w:t>
      </w:r>
      <w:r w:rsidR="00654322">
        <w:rPr>
          <w:rFonts w:ascii="Times New Roman" w:hAnsi="Times New Roman" w:cs="Times New Roman"/>
        </w:rPr>
        <w:t xml:space="preserve">Matthew V. Dipane </w:t>
      </w:r>
      <w:r w:rsidR="00654322" w:rsidRPr="00B32824">
        <w:rPr>
          <w:rFonts w:ascii="Times New Roman" w:hAnsi="Times New Roman" w:cs="Times New Roman"/>
          <w:vertAlign w:val="superscript"/>
        </w:rPr>
        <w:t>d</w:t>
      </w:r>
      <w:r w:rsidR="00654322">
        <w:rPr>
          <w:rFonts w:ascii="Times New Roman" w:hAnsi="Times New Roman" w:cs="Times New Roman"/>
        </w:rPr>
        <w:t xml:space="preserve">, </w:t>
      </w:r>
      <w:r w:rsidR="009A7136">
        <w:rPr>
          <w:rFonts w:ascii="Times New Roman" w:hAnsi="Times New Roman" w:cs="Times New Roman"/>
        </w:rPr>
        <w:t>Ed</w:t>
      </w:r>
      <w:r w:rsidR="00654322">
        <w:rPr>
          <w:rFonts w:ascii="Times New Roman" w:hAnsi="Times New Roman" w:cs="Times New Roman"/>
        </w:rPr>
        <w:t>ward J.</w:t>
      </w:r>
      <w:r w:rsidR="009A7136">
        <w:rPr>
          <w:rFonts w:ascii="Times New Roman" w:hAnsi="Times New Roman" w:cs="Times New Roman"/>
        </w:rPr>
        <w:t xml:space="preserve"> McPherson</w:t>
      </w:r>
      <w:r w:rsidR="00654322">
        <w:rPr>
          <w:rFonts w:ascii="Times New Roman" w:hAnsi="Times New Roman" w:cs="Times New Roman"/>
        </w:rPr>
        <w:t xml:space="preserve"> </w:t>
      </w:r>
      <w:r w:rsidR="009A7136" w:rsidRPr="009A7136">
        <w:rPr>
          <w:rFonts w:ascii="Times New Roman" w:hAnsi="Times New Roman" w:cs="Times New Roman"/>
          <w:vertAlign w:val="superscript"/>
        </w:rPr>
        <w:t>d</w:t>
      </w:r>
      <w:r w:rsidR="009A7136">
        <w:rPr>
          <w:rFonts w:ascii="Times New Roman" w:hAnsi="Times New Roman" w:cs="Times New Roman"/>
        </w:rPr>
        <w:t xml:space="preserve"> </w:t>
      </w:r>
      <w:r w:rsidR="0024764E">
        <w:rPr>
          <w:rFonts w:ascii="Times New Roman" w:hAnsi="Times New Roman" w:cs="Times New Roman"/>
        </w:rPr>
        <w:t>a</w:t>
      </w:r>
      <w:r w:rsidRPr="00F81AD3">
        <w:rPr>
          <w:rFonts w:ascii="Times New Roman" w:hAnsi="Times New Roman" w:cs="Times New Roman"/>
        </w:rPr>
        <w:t>nd Paul Stoodle</w:t>
      </w:r>
      <w:r w:rsidR="00F81AD3">
        <w:rPr>
          <w:rFonts w:ascii="Times New Roman" w:hAnsi="Times New Roman" w:cs="Times New Roman"/>
        </w:rPr>
        <w:t xml:space="preserve">y </w:t>
      </w:r>
      <w:r w:rsidR="00F81AD3">
        <w:rPr>
          <w:rFonts w:ascii="Times New Roman" w:hAnsi="Times New Roman" w:cs="Times New Roman"/>
          <w:vertAlign w:val="superscript"/>
        </w:rPr>
        <w:t xml:space="preserve">a, </w:t>
      </w:r>
      <w:r w:rsidR="006F3FDC">
        <w:rPr>
          <w:rFonts w:ascii="Times New Roman" w:hAnsi="Times New Roman" w:cs="Times New Roman"/>
          <w:vertAlign w:val="superscript"/>
        </w:rPr>
        <w:t>c</w:t>
      </w:r>
      <w:r w:rsidR="00F81AD3">
        <w:rPr>
          <w:rFonts w:ascii="Times New Roman" w:hAnsi="Times New Roman" w:cs="Times New Roman"/>
          <w:vertAlign w:val="superscript"/>
        </w:rPr>
        <w:t xml:space="preserve">, </w:t>
      </w:r>
      <w:r w:rsidR="009A7136">
        <w:rPr>
          <w:rFonts w:ascii="Times New Roman" w:hAnsi="Times New Roman" w:cs="Times New Roman"/>
          <w:vertAlign w:val="superscript"/>
        </w:rPr>
        <w:t>e</w:t>
      </w:r>
      <w:r w:rsidR="00DD3CE9">
        <w:rPr>
          <w:rFonts w:ascii="Times New Roman" w:hAnsi="Times New Roman" w:cs="Times New Roman"/>
          <w:vertAlign w:val="superscript"/>
        </w:rPr>
        <w:t xml:space="preserve"> </w:t>
      </w:r>
      <w:r w:rsidR="00DD3CE9" w:rsidRPr="00991381">
        <w:rPr>
          <w:rFonts w:ascii="TimesNewRomanPSMT" w:eastAsia="Times New Roman" w:hAnsi="TimesNewRomanPSMT" w:cs="Times New Roman"/>
          <w:position w:val="8"/>
          <w:sz w:val="16"/>
          <w:szCs w:val="16"/>
        </w:rPr>
        <w:t>†</w:t>
      </w:r>
    </w:p>
    <w:p w14:paraId="6E78D744" w14:textId="77777777" w:rsidR="006F3FDC" w:rsidRPr="006F3FDC" w:rsidRDefault="006F3FDC" w:rsidP="006F3FDC">
      <w:pPr>
        <w:spacing w:line="480" w:lineRule="auto"/>
        <w:rPr>
          <w:rFonts w:ascii="Times New Roman" w:hAnsi="Times New Roman" w:cs="Times New Roman"/>
        </w:rPr>
      </w:pPr>
    </w:p>
    <w:p w14:paraId="2CE73D4C" w14:textId="77777777" w:rsidR="006F3FDC" w:rsidRPr="006F3FDC" w:rsidRDefault="006F3FDC" w:rsidP="006F3FDC">
      <w:pPr>
        <w:spacing w:line="480" w:lineRule="auto"/>
        <w:rPr>
          <w:rFonts w:ascii="Times New Roman" w:hAnsi="Times New Roman" w:cs="Times New Roman"/>
        </w:rPr>
      </w:pPr>
      <w:r>
        <w:rPr>
          <w:rFonts w:ascii="Times New Roman" w:hAnsi="Times New Roman" w:cs="Times New Roman"/>
          <w:position w:val="8"/>
          <w:vertAlign w:val="superscript"/>
        </w:rPr>
        <w:t>a</w:t>
      </w:r>
      <w:r w:rsidRPr="006F3FDC">
        <w:rPr>
          <w:rFonts w:ascii="Times New Roman" w:hAnsi="Times New Roman" w:cs="Times New Roman"/>
          <w:i/>
          <w:iCs/>
        </w:rPr>
        <w:t>Department of Microbial Infection and Immunity, The Ohio State University, Wexner Medical Center, Columbus, Ohio, USA</w:t>
      </w:r>
      <w:r w:rsidR="00A00CA5">
        <w:rPr>
          <w:rFonts w:ascii="Times New Roman" w:hAnsi="Times New Roman" w:cs="Times New Roman"/>
        </w:rPr>
        <w:t>.</w:t>
      </w:r>
    </w:p>
    <w:p w14:paraId="3E274E2C" w14:textId="77777777" w:rsidR="006F3FDC" w:rsidRPr="006F3FDC" w:rsidRDefault="006F3FDC" w:rsidP="006F3FDC">
      <w:pPr>
        <w:spacing w:line="480" w:lineRule="auto"/>
        <w:rPr>
          <w:rFonts w:ascii="Times New Roman" w:hAnsi="Times New Roman" w:cs="Times New Roman"/>
          <w:i/>
          <w:iCs/>
        </w:rPr>
      </w:pPr>
      <w:r>
        <w:rPr>
          <w:rFonts w:ascii="Times New Roman" w:hAnsi="Times New Roman" w:cs="Times New Roman"/>
          <w:position w:val="8"/>
          <w:vertAlign w:val="superscript"/>
        </w:rPr>
        <w:t>b</w:t>
      </w:r>
      <w:r w:rsidRPr="006F3FDC">
        <w:rPr>
          <w:rFonts w:ascii="Times New Roman" w:hAnsi="Times New Roman" w:cs="Times New Roman"/>
          <w:i/>
          <w:iCs/>
        </w:rPr>
        <w:t>Biocomposites Ltd., Keele Science Park, Keele, Staffordshire, ST5 5NL, UK</w:t>
      </w:r>
      <w:r w:rsidR="00A00CA5">
        <w:rPr>
          <w:rFonts w:ascii="Times New Roman" w:hAnsi="Times New Roman" w:cs="Times New Roman"/>
          <w:i/>
          <w:iCs/>
        </w:rPr>
        <w:t>.</w:t>
      </w:r>
    </w:p>
    <w:p w14:paraId="04EEC55B" w14:textId="77777777" w:rsidR="009A7136" w:rsidRDefault="006F3FDC" w:rsidP="006F3FDC">
      <w:pPr>
        <w:spacing w:line="480" w:lineRule="auto"/>
        <w:rPr>
          <w:rFonts w:ascii="Times New Roman" w:hAnsi="Times New Roman" w:cs="Times New Roman"/>
        </w:rPr>
      </w:pPr>
      <w:r>
        <w:rPr>
          <w:rFonts w:ascii="Times New Roman" w:hAnsi="Times New Roman" w:cs="Times New Roman"/>
          <w:i/>
          <w:iCs/>
          <w:position w:val="8"/>
          <w:vertAlign w:val="superscript"/>
        </w:rPr>
        <w:t>c</w:t>
      </w:r>
      <w:r w:rsidRPr="006F3FDC">
        <w:rPr>
          <w:rFonts w:ascii="Times New Roman" w:hAnsi="Times New Roman" w:cs="Times New Roman"/>
          <w:i/>
          <w:iCs/>
        </w:rPr>
        <w:t>Department of Orthopaedics, The Ohio State University, Wexner Medical Center, Columbus,</w:t>
      </w:r>
      <w:r w:rsidRPr="006F3FDC">
        <w:rPr>
          <w:rFonts w:ascii="Times New Roman" w:hAnsi="Times New Roman" w:cs="Times New Roman"/>
        </w:rPr>
        <w:t> </w:t>
      </w:r>
      <w:r w:rsidRPr="006F3FDC">
        <w:rPr>
          <w:rFonts w:ascii="Times New Roman" w:hAnsi="Times New Roman" w:cs="Times New Roman"/>
          <w:i/>
          <w:iCs/>
        </w:rPr>
        <w:t>Ohio, USA</w:t>
      </w:r>
      <w:r w:rsidR="00A00CA5">
        <w:rPr>
          <w:rFonts w:ascii="Times New Roman" w:hAnsi="Times New Roman" w:cs="Times New Roman"/>
          <w:i/>
          <w:iCs/>
        </w:rPr>
        <w:t>.</w:t>
      </w:r>
    </w:p>
    <w:p w14:paraId="5715DF97" w14:textId="77777777" w:rsidR="006F3FDC" w:rsidRPr="00B32824" w:rsidRDefault="009A7136" w:rsidP="009A7136">
      <w:pPr>
        <w:spacing w:line="480" w:lineRule="auto"/>
        <w:rPr>
          <w:rFonts w:ascii="Times New Roman" w:hAnsi="Times New Roman" w:cs="Times New Roman"/>
          <w:i/>
        </w:rPr>
      </w:pPr>
      <w:r w:rsidRPr="00654322">
        <w:rPr>
          <w:rFonts w:ascii="Times New Roman" w:hAnsi="Times New Roman" w:cs="Times New Roman"/>
          <w:vertAlign w:val="superscript"/>
        </w:rPr>
        <w:t>d</w:t>
      </w:r>
      <w:r w:rsidR="00654322" w:rsidRPr="00B32824">
        <w:rPr>
          <w:rFonts w:ascii="Times New Roman" w:hAnsi="Times New Roman" w:cs="Times New Roman"/>
          <w:i/>
        </w:rPr>
        <w:t>Department of Orthopaedic Surgery</w:t>
      </w:r>
      <w:r w:rsidRPr="00B32824">
        <w:rPr>
          <w:rFonts w:ascii="Times New Roman" w:hAnsi="Times New Roman" w:cs="Times New Roman"/>
          <w:i/>
        </w:rPr>
        <w:t>,</w:t>
      </w:r>
      <w:r w:rsidR="00654322" w:rsidRPr="00B32824">
        <w:rPr>
          <w:rFonts w:ascii="Times New Roman" w:hAnsi="Times New Roman" w:cs="Times New Roman"/>
          <w:i/>
        </w:rPr>
        <w:t xml:space="preserve"> David Geffen School of Medicine at</w:t>
      </w:r>
      <w:r w:rsidRPr="00B32824">
        <w:rPr>
          <w:rFonts w:ascii="Times New Roman" w:hAnsi="Times New Roman" w:cs="Times New Roman"/>
          <w:i/>
        </w:rPr>
        <w:t xml:space="preserve"> UCLA, Santa Monica, CA</w:t>
      </w:r>
      <w:r w:rsidR="00A00CA5" w:rsidRPr="00B32824">
        <w:rPr>
          <w:rFonts w:ascii="Times New Roman" w:hAnsi="Times New Roman" w:cs="Times New Roman"/>
          <w:i/>
        </w:rPr>
        <w:t>, USA</w:t>
      </w:r>
      <w:r w:rsidRPr="00B32824">
        <w:rPr>
          <w:rFonts w:ascii="Times New Roman" w:hAnsi="Times New Roman" w:cs="Times New Roman"/>
          <w:i/>
        </w:rPr>
        <w:t>.</w:t>
      </w:r>
    </w:p>
    <w:p w14:paraId="7D2F9226" w14:textId="77777777" w:rsidR="006F3FDC" w:rsidRPr="006F3FDC" w:rsidRDefault="009A7136" w:rsidP="006F3FDC">
      <w:pPr>
        <w:spacing w:line="480" w:lineRule="auto"/>
        <w:rPr>
          <w:rFonts w:ascii="Times New Roman" w:hAnsi="Times New Roman" w:cs="Times New Roman"/>
        </w:rPr>
      </w:pPr>
      <w:r>
        <w:rPr>
          <w:rFonts w:ascii="Times New Roman" w:hAnsi="Times New Roman" w:cs="Times New Roman"/>
          <w:vertAlign w:val="superscript"/>
        </w:rPr>
        <w:t>e</w:t>
      </w:r>
      <w:r w:rsidR="006F3FDC" w:rsidRPr="006F3FDC">
        <w:rPr>
          <w:rFonts w:ascii="Times New Roman" w:hAnsi="Times New Roman" w:cs="Times New Roman"/>
          <w:i/>
          <w:iCs/>
        </w:rPr>
        <w:t xml:space="preserve">National Centre for Advanced Tribology </w:t>
      </w:r>
      <w:r w:rsidRPr="006F3FDC">
        <w:rPr>
          <w:rFonts w:ascii="Times New Roman" w:hAnsi="Times New Roman" w:cs="Times New Roman"/>
          <w:i/>
          <w:iCs/>
        </w:rPr>
        <w:t>at Southampton</w:t>
      </w:r>
      <w:r>
        <w:rPr>
          <w:rFonts w:ascii="Times New Roman" w:hAnsi="Times New Roman" w:cs="Times New Roman"/>
          <w:i/>
          <w:iCs/>
        </w:rPr>
        <w:t xml:space="preserve"> (nCATS), National Biofilm Innovation Centre (NBIC)</w:t>
      </w:r>
      <w:r w:rsidR="006F3FDC" w:rsidRPr="006F3FDC">
        <w:rPr>
          <w:rFonts w:ascii="Times New Roman" w:hAnsi="Times New Roman" w:cs="Times New Roman"/>
          <w:i/>
          <w:iCs/>
        </w:rPr>
        <w:t>, Department of Mechanical</w:t>
      </w:r>
      <w:r w:rsidR="006F3FDC" w:rsidRPr="006F3FDC">
        <w:rPr>
          <w:rFonts w:ascii="Times New Roman" w:hAnsi="Times New Roman" w:cs="Times New Roman"/>
        </w:rPr>
        <w:t> </w:t>
      </w:r>
      <w:r w:rsidR="006F3FDC" w:rsidRPr="006F3FDC">
        <w:rPr>
          <w:rFonts w:ascii="Times New Roman" w:hAnsi="Times New Roman" w:cs="Times New Roman"/>
          <w:i/>
          <w:iCs/>
        </w:rPr>
        <w:t>Engineering, University of Southampton, Southampton, UK</w:t>
      </w:r>
      <w:r w:rsidR="00A00CA5">
        <w:rPr>
          <w:rFonts w:ascii="Times New Roman" w:hAnsi="Times New Roman" w:cs="Times New Roman"/>
          <w:i/>
          <w:iCs/>
        </w:rPr>
        <w:t>.</w:t>
      </w:r>
    </w:p>
    <w:p w14:paraId="2506A408" w14:textId="77777777" w:rsidR="003A50EF" w:rsidRDefault="003A50EF" w:rsidP="00FE3F1E">
      <w:pPr>
        <w:spacing w:line="480" w:lineRule="auto"/>
        <w:rPr>
          <w:rFonts w:ascii="Times New Roman" w:hAnsi="Times New Roman" w:cs="Times New Roman"/>
        </w:rPr>
      </w:pPr>
      <w:r>
        <w:rPr>
          <w:rFonts w:ascii="Times New Roman" w:hAnsi="Times New Roman" w:cs="Times New Roman"/>
        </w:rPr>
        <w:t>* Equal contribution.</w:t>
      </w:r>
    </w:p>
    <w:p w14:paraId="0ACF93DC" w14:textId="5BAFE4B0" w:rsidR="008F457E" w:rsidRDefault="008F457E" w:rsidP="008F457E">
      <w:pPr>
        <w:spacing w:line="480" w:lineRule="auto"/>
        <w:rPr>
          <w:rFonts w:ascii="Times New Roman" w:hAnsi="Times New Roman" w:cs="Times New Roman"/>
        </w:rPr>
      </w:pPr>
      <w:r>
        <w:rPr>
          <w:rFonts w:ascii="Times New Roman" w:hAnsi="Times New Roman" w:cs="Times New Roman"/>
          <w:b/>
          <w:bCs/>
        </w:rPr>
        <w:t xml:space="preserve">Keywords: </w:t>
      </w:r>
      <w:r>
        <w:rPr>
          <w:rFonts w:ascii="Times New Roman" w:hAnsi="Times New Roman" w:cs="Times New Roman"/>
        </w:rPr>
        <w:t xml:space="preserve">Biofilm; Antibiotic loaded calcium sulfate beads (ALCS-B); </w:t>
      </w:r>
      <w:r>
        <w:rPr>
          <w:rFonts w:ascii="Times New Roman" w:hAnsi="Times New Roman" w:cs="Times New Roman"/>
          <w:i/>
          <w:iCs/>
        </w:rPr>
        <w:t xml:space="preserve">Pseudomonas; </w:t>
      </w:r>
      <w:r>
        <w:rPr>
          <w:rFonts w:ascii="Times New Roman" w:hAnsi="Times New Roman" w:cs="Times New Roman"/>
        </w:rPr>
        <w:t>antibiotic loaded bone cement spacers; Periprosthetic joint infection</w:t>
      </w:r>
      <w:r w:rsidR="00B81FAB">
        <w:rPr>
          <w:rFonts w:ascii="Times New Roman" w:hAnsi="Times New Roman" w:cs="Times New Roman"/>
        </w:rPr>
        <w:t>; local antibiotics</w:t>
      </w:r>
    </w:p>
    <w:p w14:paraId="5868274D" w14:textId="77777777" w:rsidR="008F457E" w:rsidRPr="000832DF" w:rsidRDefault="008F457E" w:rsidP="008F457E">
      <w:pPr>
        <w:spacing w:line="480" w:lineRule="auto"/>
        <w:rPr>
          <w:rStyle w:val="LineNumber"/>
        </w:rPr>
      </w:pPr>
    </w:p>
    <w:p w14:paraId="2EB8A0A5" w14:textId="77777777" w:rsidR="008F457E" w:rsidRDefault="008F457E" w:rsidP="008F457E">
      <w:pPr>
        <w:spacing w:line="480" w:lineRule="auto"/>
        <w:rPr>
          <w:rFonts w:ascii="Times New Roman" w:hAnsi="Times New Roman" w:cs="Times New Roman"/>
          <w:b/>
          <w:bCs/>
        </w:rPr>
      </w:pPr>
      <w:r w:rsidRPr="00991381">
        <w:rPr>
          <w:rFonts w:ascii="TimesNewRomanPS" w:eastAsia="Times New Roman" w:hAnsi="TimesNewRomanPS" w:cs="Times New Roman"/>
          <w:b/>
          <w:bCs/>
        </w:rPr>
        <w:t xml:space="preserve">Correspondence: </w:t>
      </w:r>
      <w:r w:rsidRPr="00991381">
        <w:rPr>
          <w:rFonts w:ascii="TimesNewRomanPSMT" w:eastAsia="Times New Roman" w:hAnsi="TimesNewRomanPSMT" w:cs="Times New Roman"/>
          <w:position w:val="8"/>
          <w:sz w:val="16"/>
          <w:szCs w:val="16"/>
        </w:rPr>
        <w:t xml:space="preserve">† </w:t>
      </w:r>
      <w:r>
        <w:rPr>
          <w:rFonts w:ascii="TimesNewRomanPSMT" w:eastAsia="Times New Roman" w:hAnsi="TimesNewRomanPSMT" w:cs="Times New Roman"/>
        </w:rPr>
        <w:t>Paul Stoodley</w:t>
      </w:r>
      <w:r w:rsidRPr="00991381">
        <w:rPr>
          <w:rFonts w:ascii="TimesNewRomanPSMT" w:eastAsia="Times New Roman" w:hAnsi="TimesNewRomanPSMT" w:cs="Times New Roman"/>
        </w:rPr>
        <w:br/>
        <w:t>Department of Microbial Infection and Immunity,</w:t>
      </w:r>
      <w:r>
        <w:rPr>
          <w:rFonts w:ascii="TimesNewRomanPSMT" w:eastAsia="Times New Roman" w:hAnsi="TimesNewRomanPSMT" w:cs="Times New Roman"/>
        </w:rPr>
        <w:t xml:space="preserve"> Department of Orthopaedics</w:t>
      </w:r>
      <w:r w:rsidRPr="00991381">
        <w:rPr>
          <w:rFonts w:ascii="TimesNewRomanPSMT" w:eastAsia="Times New Roman" w:hAnsi="TimesNewRomanPSMT" w:cs="Times New Roman"/>
        </w:rPr>
        <w:br/>
      </w:r>
      <w:r w:rsidRPr="00991381">
        <w:rPr>
          <w:rFonts w:ascii="TimesNewRomanPSMT" w:eastAsia="Times New Roman" w:hAnsi="TimesNewRomanPSMT" w:cs="Times New Roman"/>
        </w:rPr>
        <w:lastRenderedPageBreak/>
        <w:t>The Ohio State University, 7</w:t>
      </w:r>
      <w:r>
        <w:rPr>
          <w:rFonts w:ascii="TimesNewRomanPSMT" w:eastAsia="Times New Roman" w:hAnsi="TimesNewRomanPSMT" w:cs="Times New Roman"/>
        </w:rPr>
        <w:t>16</w:t>
      </w:r>
      <w:r w:rsidRPr="00991381">
        <w:rPr>
          <w:rFonts w:ascii="TimesNewRomanPSMT" w:eastAsia="Times New Roman" w:hAnsi="TimesNewRomanPSMT" w:cs="Times New Roman"/>
        </w:rPr>
        <w:t xml:space="preserve"> Biomedical Research Tower, 460 West, 12th Avenue, Columbus OH 43210.</w:t>
      </w:r>
      <w:r w:rsidRPr="00991381">
        <w:rPr>
          <w:rFonts w:ascii="TimesNewRomanPSMT" w:eastAsia="Times New Roman" w:hAnsi="TimesNewRomanPSMT" w:cs="Times New Roman"/>
        </w:rPr>
        <w:br/>
        <w:t xml:space="preserve">Tel: +1 614 </w:t>
      </w:r>
      <w:r>
        <w:rPr>
          <w:rFonts w:ascii="TimesNewRomanPSMT" w:eastAsia="Times New Roman" w:hAnsi="TimesNewRomanPSMT" w:cs="Times New Roman"/>
        </w:rPr>
        <w:t>292</w:t>
      </w:r>
      <w:r w:rsidRPr="00991381">
        <w:rPr>
          <w:rFonts w:ascii="TimesNewRomanPSMT" w:eastAsia="Times New Roman" w:hAnsi="TimesNewRomanPSMT" w:cs="Times New Roman"/>
        </w:rPr>
        <w:t xml:space="preserve"> </w:t>
      </w:r>
      <w:r>
        <w:rPr>
          <w:rFonts w:ascii="TimesNewRomanPSMT" w:eastAsia="Times New Roman" w:hAnsi="TimesNewRomanPSMT" w:cs="Times New Roman"/>
        </w:rPr>
        <w:t>7826</w:t>
      </w:r>
      <w:r w:rsidRPr="00991381">
        <w:rPr>
          <w:rFonts w:ascii="TimesNewRomanPSMT" w:eastAsia="Times New Roman" w:hAnsi="TimesNewRomanPSMT" w:cs="Times New Roman"/>
        </w:rPr>
        <w:br/>
        <w:t xml:space="preserve">E-mail: </w:t>
      </w:r>
      <w:hyperlink r:id="rId11" w:history="1">
        <w:r w:rsidRPr="001A3C49">
          <w:rPr>
            <w:rStyle w:val="Hyperlink"/>
            <w:rFonts w:ascii="TimesNewRomanPSMT" w:eastAsia="Times New Roman" w:hAnsi="TimesNewRomanPSMT" w:cs="Times New Roman"/>
          </w:rPr>
          <w:t>Paul.Stoodley@osumc.edu</w:t>
        </w:r>
      </w:hyperlink>
    </w:p>
    <w:p w14:paraId="7BF7B474" w14:textId="77777777" w:rsidR="008F457E" w:rsidRDefault="008F457E" w:rsidP="008F457E">
      <w:pPr>
        <w:spacing w:line="480" w:lineRule="auto"/>
        <w:rPr>
          <w:rFonts w:ascii="Times New Roman" w:hAnsi="Times New Roman" w:cs="Times New Roman"/>
        </w:rPr>
      </w:pPr>
    </w:p>
    <w:p w14:paraId="68D2B029" w14:textId="3B04A207" w:rsidR="008F457E" w:rsidRDefault="008F457E" w:rsidP="008F457E">
      <w:pPr>
        <w:spacing w:line="480" w:lineRule="auto"/>
        <w:rPr>
          <w:rFonts w:ascii="Times New Roman" w:hAnsi="Times New Roman" w:cs="Times New Roman"/>
        </w:rPr>
      </w:pPr>
      <w:r>
        <w:rPr>
          <w:rFonts w:ascii="Times New Roman" w:hAnsi="Times New Roman" w:cs="Times New Roman"/>
          <w:b/>
          <w:bCs/>
        </w:rPr>
        <w:t xml:space="preserve">Abbreviations: </w:t>
      </w:r>
      <w:r>
        <w:rPr>
          <w:rFonts w:ascii="Times New Roman" w:hAnsi="Times New Roman" w:cs="Times New Roman"/>
        </w:rPr>
        <w:t xml:space="preserve">Periprosthetic Joint Infection: PJI; Total Joint Arthroplasty: TJA; Polymethyl methacrylate: PMMA; </w:t>
      </w:r>
      <w:r w:rsidR="000872B3">
        <w:rPr>
          <w:rFonts w:ascii="Times New Roman" w:hAnsi="Times New Roman" w:cs="Times New Roman"/>
        </w:rPr>
        <w:t xml:space="preserve">Antibiotic Loaded Bone Cement Spacer: ALBC-S; </w:t>
      </w:r>
      <w:r>
        <w:rPr>
          <w:rFonts w:ascii="Times New Roman" w:hAnsi="Times New Roman" w:cs="Times New Roman"/>
        </w:rPr>
        <w:t xml:space="preserve">Antibiotic Loaded Calcium Sulfate Beads: ALCS-B; </w:t>
      </w:r>
      <w:r>
        <w:rPr>
          <w:rFonts w:ascii="Times New Roman" w:hAnsi="Times New Roman" w:cs="Times New Roman"/>
          <w:i/>
          <w:iCs/>
        </w:rPr>
        <w:t xml:space="preserve">Pseudomonas aeruginosa </w:t>
      </w:r>
      <w:r>
        <w:rPr>
          <w:rFonts w:ascii="Times New Roman" w:hAnsi="Times New Roman" w:cs="Times New Roman"/>
        </w:rPr>
        <w:t xml:space="preserve">Xen41: PA-Xen41; Tryptic Soy Agar: TSA; Tryptic Soy Broth: TSB; Hydroxyapatite: HA; Ultra-High Molecular Weight Polyethylene: UHMWPE; 316L Stainless Steel: SS-316; Titanium: Ti; Vancomycin: VAN; Tobramycin: TOB; Unloaded Spacer: US; </w:t>
      </w:r>
      <w:r w:rsidR="0012372D">
        <w:rPr>
          <w:rFonts w:ascii="Times New Roman" w:hAnsi="Times New Roman" w:cs="Times New Roman"/>
        </w:rPr>
        <w:t>Loaded</w:t>
      </w:r>
      <w:r>
        <w:rPr>
          <w:rFonts w:ascii="Times New Roman" w:hAnsi="Times New Roman" w:cs="Times New Roman"/>
        </w:rPr>
        <w:t xml:space="preserve"> Spacer: LS; Loaded Spacer and </w:t>
      </w:r>
      <w:r w:rsidR="0012372D">
        <w:rPr>
          <w:rFonts w:ascii="Times New Roman" w:hAnsi="Times New Roman" w:cs="Times New Roman"/>
        </w:rPr>
        <w:t xml:space="preserve">Antibiotic </w:t>
      </w:r>
      <w:r>
        <w:rPr>
          <w:rFonts w:ascii="Times New Roman" w:hAnsi="Times New Roman" w:cs="Times New Roman"/>
        </w:rPr>
        <w:t xml:space="preserve">Loaded </w:t>
      </w:r>
      <w:r w:rsidR="0012372D">
        <w:rPr>
          <w:rFonts w:ascii="Times New Roman" w:hAnsi="Times New Roman" w:cs="Times New Roman"/>
        </w:rPr>
        <w:t xml:space="preserve">Calcium Sulfate </w:t>
      </w:r>
      <w:r>
        <w:rPr>
          <w:rFonts w:ascii="Times New Roman" w:hAnsi="Times New Roman" w:cs="Times New Roman"/>
        </w:rPr>
        <w:t>Beads: LS+</w:t>
      </w:r>
      <w:r w:rsidR="0012372D">
        <w:rPr>
          <w:rFonts w:ascii="Times New Roman" w:hAnsi="Times New Roman" w:cs="Times New Roman"/>
        </w:rPr>
        <w:t>ALCS-B</w:t>
      </w:r>
      <w:r>
        <w:rPr>
          <w:rFonts w:ascii="Times New Roman" w:hAnsi="Times New Roman" w:cs="Times New Roman"/>
        </w:rPr>
        <w:t xml:space="preserve">; Bioluminescent Imaging: BLI; </w:t>
      </w:r>
      <w:r w:rsidRPr="00524548">
        <w:rPr>
          <w:rFonts w:ascii="Times New Roman" w:hAnsi="Times New Roman" w:cs="Times New Roman"/>
          <w:i/>
          <w:iCs/>
        </w:rPr>
        <w:t>In Vitr</w:t>
      </w:r>
      <w:r>
        <w:rPr>
          <w:rFonts w:ascii="Times New Roman" w:hAnsi="Times New Roman" w:cs="Times New Roman"/>
        </w:rPr>
        <w:t xml:space="preserve">o Imaging System: IVIS; Colony Forming Units: CFU; Zone of Inhibition: ZOI </w:t>
      </w:r>
    </w:p>
    <w:p w14:paraId="75BD15FE" w14:textId="77777777" w:rsidR="008F457E" w:rsidRDefault="008F457E" w:rsidP="008F457E">
      <w:pPr>
        <w:spacing w:line="480" w:lineRule="auto"/>
        <w:rPr>
          <w:rFonts w:ascii="Times New Roman" w:hAnsi="Times New Roman" w:cs="Times New Roman"/>
        </w:rPr>
      </w:pPr>
    </w:p>
    <w:p w14:paraId="7201B033" w14:textId="77777777" w:rsidR="008F457E" w:rsidRPr="00FB1A21" w:rsidRDefault="008F457E" w:rsidP="008F457E">
      <w:pPr>
        <w:spacing w:line="480" w:lineRule="auto"/>
        <w:rPr>
          <w:rFonts w:ascii="Times New Roman" w:hAnsi="Times New Roman" w:cs="Times New Roman"/>
        </w:rPr>
      </w:pPr>
      <w:r w:rsidRPr="00FB1A21">
        <w:rPr>
          <w:rFonts w:ascii="Times New Roman" w:hAnsi="Times New Roman" w:cs="Times New Roman"/>
          <w:b/>
          <w:bCs/>
        </w:rPr>
        <w:t xml:space="preserve">Funding: </w:t>
      </w:r>
      <w:r w:rsidRPr="00FB1A21">
        <w:rPr>
          <w:rFonts w:ascii="Times New Roman" w:eastAsia="Times New Roman" w:hAnsi="Times New Roman" w:cs="Times New Roman"/>
          <w:color w:val="222222"/>
          <w:shd w:val="clear" w:color="auto" w:fill="FFFFFF"/>
        </w:rPr>
        <w:t xml:space="preserve">This research was funded by Biocomposites Ltd. </w:t>
      </w:r>
      <w:r>
        <w:rPr>
          <w:rFonts w:ascii="Times New Roman" w:eastAsia="Times New Roman" w:hAnsi="Times New Roman" w:cs="Times New Roman"/>
          <w:color w:val="222222"/>
          <w:shd w:val="clear" w:color="auto" w:fill="FFFFFF"/>
        </w:rPr>
        <w:t>(</w:t>
      </w:r>
      <w:r w:rsidRPr="00FB1A21">
        <w:rPr>
          <w:rFonts w:ascii="Times New Roman" w:eastAsia="Times New Roman" w:hAnsi="Times New Roman" w:cs="Times New Roman"/>
          <w:color w:val="222222"/>
          <w:shd w:val="clear" w:color="auto" w:fill="FFFFFF"/>
        </w:rPr>
        <w:t>Keele, Staffordshire, UK</w:t>
      </w:r>
      <w:r>
        <w:rPr>
          <w:rFonts w:ascii="Times New Roman" w:eastAsia="Times New Roman" w:hAnsi="Times New Roman" w:cs="Times New Roman"/>
          <w:color w:val="222222"/>
          <w:shd w:val="clear" w:color="auto" w:fill="FFFFFF"/>
        </w:rPr>
        <w:t>)</w:t>
      </w:r>
      <w:r w:rsidRPr="00FB1A21">
        <w:rPr>
          <w:rFonts w:ascii="Times New Roman" w:eastAsia="Times New Roman" w:hAnsi="Times New Roman" w:cs="Times New Roman"/>
          <w:color w:val="222222"/>
          <w:shd w:val="clear" w:color="auto" w:fill="FFFFFF"/>
        </w:rPr>
        <w:t>.</w:t>
      </w:r>
    </w:p>
    <w:p w14:paraId="45D18957" w14:textId="77777777" w:rsidR="008F457E" w:rsidRDefault="008F457E" w:rsidP="008F457E">
      <w:pPr>
        <w:spacing w:line="480" w:lineRule="auto"/>
        <w:rPr>
          <w:rFonts w:ascii="Times New Roman" w:eastAsia="Times New Roman" w:hAnsi="Times New Roman" w:cs="Times New Roman"/>
        </w:rPr>
      </w:pPr>
    </w:p>
    <w:p w14:paraId="128EAF57" w14:textId="77777777" w:rsidR="008F457E" w:rsidRDefault="008F457E" w:rsidP="008F457E">
      <w:pPr>
        <w:spacing w:line="480" w:lineRule="auto"/>
        <w:rPr>
          <w:rStyle w:val="LineNumber"/>
        </w:rPr>
      </w:pPr>
      <w:r w:rsidRPr="00BF3297">
        <w:rPr>
          <w:rStyle w:val="LineNumber"/>
          <w:b/>
          <w:bCs/>
        </w:rPr>
        <w:t>Acknowledgements:</w:t>
      </w:r>
      <w:r>
        <w:rPr>
          <w:rStyle w:val="LineNumber"/>
        </w:rPr>
        <w:t xml:space="preserve"> We thank Biocomposites Ltd. for materials used in the study. We </w:t>
      </w:r>
      <w:r w:rsidR="000529ED">
        <w:rPr>
          <w:rStyle w:val="LineNumber"/>
        </w:rPr>
        <w:t xml:space="preserve">also </w:t>
      </w:r>
      <w:r>
        <w:rPr>
          <w:rStyle w:val="LineNumber"/>
        </w:rPr>
        <w:t>acknowledge the support of</w:t>
      </w:r>
      <w:r w:rsidR="000529ED">
        <w:rPr>
          <w:rStyle w:val="LineNumber"/>
        </w:rPr>
        <w:t xml:space="preserve"> Maurice Manring in the process of editing and submitting the manuscript.</w:t>
      </w:r>
    </w:p>
    <w:p w14:paraId="06E96331" w14:textId="77777777" w:rsidR="008F457E" w:rsidRDefault="008F457E" w:rsidP="008F457E">
      <w:pPr>
        <w:spacing w:line="480" w:lineRule="auto"/>
        <w:rPr>
          <w:rFonts w:ascii="Times New Roman" w:hAnsi="Times New Roman" w:cs="Times New Roman"/>
          <w:b/>
          <w:bCs/>
        </w:rPr>
      </w:pPr>
    </w:p>
    <w:p w14:paraId="428F0653" w14:textId="77777777" w:rsidR="00665765" w:rsidRDefault="008F457E" w:rsidP="00665765">
      <w:pPr>
        <w:spacing w:line="480" w:lineRule="auto"/>
        <w:rPr>
          <w:rFonts w:ascii="Times New Roman" w:hAnsi="Times New Roman" w:cs="Times New Roman"/>
        </w:rPr>
      </w:pPr>
      <w:r>
        <w:rPr>
          <w:rFonts w:ascii="Times New Roman" w:hAnsi="Times New Roman" w:cs="Times New Roman"/>
          <w:b/>
          <w:bCs/>
        </w:rPr>
        <w:t>Competing Interests</w:t>
      </w:r>
      <w:r w:rsidRPr="00F86E91">
        <w:rPr>
          <w:rFonts w:ascii="Times New Roman" w:hAnsi="Times New Roman" w:cs="Times New Roman"/>
          <w:b/>
          <w:bCs/>
        </w:rPr>
        <w:t xml:space="preserve">: </w:t>
      </w:r>
      <w:r w:rsidRPr="00F86E91">
        <w:rPr>
          <w:rFonts w:ascii="Times New Roman" w:hAnsi="Times New Roman" w:cs="Times New Roman"/>
        </w:rPr>
        <w:t>PS receives research funding from Biocomposites</w:t>
      </w:r>
      <w:r>
        <w:rPr>
          <w:rFonts w:ascii="Times New Roman" w:hAnsi="Times New Roman" w:cs="Times New Roman"/>
        </w:rPr>
        <w:t xml:space="preserve"> Ltd.</w:t>
      </w:r>
      <w:r w:rsidRPr="00F86E91">
        <w:rPr>
          <w:rFonts w:ascii="Times New Roman" w:hAnsi="Times New Roman" w:cs="Times New Roman"/>
        </w:rPr>
        <w:t xml:space="preserve"> and consults for Biocomposites Ltd.</w:t>
      </w:r>
      <w:r>
        <w:rPr>
          <w:rFonts w:ascii="Times New Roman" w:hAnsi="Times New Roman" w:cs="Times New Roman"/>
        </w:rPr>
        <w:t xml:space="preserve"> and</w:t>
      </w:r>
      <w:r w:rsidRPr="00F86E91">
        <w:rPr>
          <w:rFonts w:ascii="Times New Roman" w:hAnsi="Times New Roman" w:cs="Times New Roman"/>
        </w:rPr>
        <w:t xml:space="preserve"> Zimmer-Biomet</w:t>
      </w:r>
      <w:r>
        <w:rPr>
          <w:rFonts w:ascii="Times New Roman" w:hAnsi="Times New Roman" w:cs="Times New Roman"/>
        </w:rPr>
        <w:t>. EJM consults for Austin Medical Ventures Inc., BoneSupport AB, and Zimmer-Biomet.</w:t>
      </w:r>
    </w:p>
    <w:p w14:paraId="03F2687C" w14:textId="5DAF9055" w:rsidR="00F56D43" w:rsidRDefault="000053D6" w:rsidP="00F56D43">
      <w:pPr>
        <w:spacing w:line="480" w:lineRule="auto"/>
        <w:rPr>
          <w:rFonts w:ascii="Times New Roman" w:hAnsi="Times New Roman" w:cs="Times New Roman"/>
          <w:b/>
          <w:bCs/>
        </w:rPr>
      </w:pPr>
      <w:r>
        <w:rPr>
          <w:rFonts w:ascii="Times New Roman" w:hAnsi="Times New Roman" w:cs="Times New Roman"/>
          <w:b/>
          <w:bCs/>
        </w:rPr>
        <w:lastRenderedPageBreak/>
        <w:t>Abstract</w:t>
      </w:r>
      <w:r w:rsidR="00196B74">
        <w:rPr>
          <w:rFonts w:ascii="Times New Roman" w:hAnsi="Times New Roman" w:cs="Times New Roman"/>
          <w:b/>
          <w:bCs/>
        </w:rPr>
        <w:t xml:space="preserve"> (29</w:t>
      </w:r>
      <w:r w:rsidR="00CD7712">
        <w:rPr>
          <w:rFonts w:ascii="Times New Roman" w:hAnsi="Times New Roman" w:cs="Times New Roman"/>
          <w:b/>
          <w:bCs/>
        </w:rPr>
        <w:t>5</w:t>
      </w:r>
      <w:r w:rsidR="00196B74">
        <w:rPr>
          <w:rFonts w:ascii="Times New Roman" w:hAnsi="Times New Roman" w:cs="Times New Roman"/>
          <w:b/>
          <w:bCs/>
        </w:rPr>
        <w:t xml:space="preserve"> words)</w:t>
      </w:r>
    </w:p>
    <w:p w14:paraId="7B4D2996" w14:textId="37A9967F" w:rsidR="00A21E06" w:rsidRPr="00196B74" w:rsidRDefault="002B1480" w:rsidP="00196B74">
      <w:pPr>
        <w:spacing w:line="480" w:lineRule="auto"/>
        <w:rPr>
          <w:rStyle w:val="LineNumber"/>
          <w:rFonts w:cs="Times New Roman"/>
          <w:b/>
          <w:bCs/>
        </w:rPr>
      </w:pPr>
      <w:r>
        <w:rPr>
          <w:rFonts w:ascii="Times New Roman" w:hAnsi="Times New Roman" w:cs="Times New Roman"/>
          <w:b/>
        </w:rPr>
        <w:t>I</w:t>
      </w:r>
      <w:r w:rsidRPr="002B1480">
        <w:rPr>
          <w:rFonts w:ascii="Times New Roman" w:hAnsi="Times New Roman" w:cs="Times New Roman"/>
          <w:b/>
        </w:rPr>
        <w:t>ntroduction.</w:t>
      </w:r>
      <w:r w:rsidRPr="002B1480">
        <w:rPr>
          <w:rFonts w:ascii="Times New Roman" w:hAnsi="Times New Roman" w:cs="Times New Roman"/>
        </w:rPr>
        <w:t xml:space="preserve"> Bacterial biofilms are a</w:t>
      </w:r>
      <w:r w:rsidR="00F8183A">
        <w:rPr>
          <w:rFonts w:ascii="Times New Roman" w:hAnsi="Times New Roman" w:cs="Times New Roman"/>
        </w:rPr>
        <w:t>n important</w:t>
      </w:r>
      <w:r w:rsidRPr="002B1480">
        <w:rPr>
          <w:rFonts w:ascii="Times New Roman" w:hAnsi="Times New Roman" w:cs="Times New Roman"/>
        </w:rPr>
        <w:t xml:space="preserve"> virulence factor in chronic periprosthetic joint infection (PJI) </w:t>
      </w:r>
      <w:r w:rsidR="00F8183A">
        <w:rPr>
          <w:rFonts w:ascii="Times New Roman" w:hAnsi="Times New Roman" w:cs="Times New Roman"/>
        </w:rPr>
        <w:t>and other orthopedic infection</w:t>
      </w:r>
      <w:r w:rsidR="00F8183A" w:rsidRPr="002B1480">
        <w:rPr>
          <w:rFonts w:ascii="Times New Roman" w:hAnsi="Times New Roman" w:cs="Times New Roman"/>
        </w:rPr>
        <w:t xml:space="preserve"> </w:t>
      </w:r>
      <w:r w:rsidRPr="002B1480">
        <w:rPr>
          <w:rFonts w:ascii="Times New Roman" w:hAnsi="Times New Roman" w:cs="Times New Roman"/>
        </w:rPr>
        <w:t xml:space="preserve">since they are highly tolerant to antibiotics and host immunity. Antibiotics are mixed into carriers such as bone cement and calcium sulfate bone void fillers to achieve sustained high concentrations of antibiotics required to more effectively </w:t>
      </w:r>
      <w:r w:rsidR="00341EC1">
        <w:rPr>
          <w:rFonts w:ascii="Times New Roman" w:hAnsi="Times New Roman" w:cs="Times New Roman"/>
        </w:rPr>
        <w:t>manage</w:t>
      </w:r>
      <w:r w:rsidRPr="002B1480">
        <w:rPr>
          <w:rFonts w:ascii="Times New Roman" w:hAnsi="Times New Roman" w:cs="Times New Roman"/>
        </w:rPr>
        <w:t xml:space="preserve"> biofilm infections through local release. The effect of antibiotic </w:t>
      </w:r>
      <w:r w:rsidR="00CF0F3D">
        <w:rPr>
          <w:rFonts w:ascii="Times New Roman" w:hAnsi="Times New Roman" w:cs="Times New Roman"/>
        </w:rPr>
        <w:t xml:space="preserve">diffusion from </w:t>
      </w:r>
      <w:r w:rsidRPr="002B1480">
        <w:rPr>
          <w:rFonts w:ascii="Times New Roman" w:hAnsi="Times New Roman" w:cs="Times New Roman"/>
        </w:rPr>
        <w:t xml:space="preserve">loaded calcium sulfate beads (ALCS-B) </w:t>
      </w:r>
      <w:r w:rsidR="00F8183A">
        <w:rPr>
          <w:rFonts w:ascii="Times New Roman" w:hAnsi="Times New Roman" w:cs="Times New Roman"/>
        </w:rPr>
        <w:t>in combination with</w:t>
      </w:r>
      <w:r w:rsidRPr="002B1480">
        <w:rPr>
          <w:rFonts w:ascii="Times New Roman" w:hAnsi="Times New Roman" w:cs="Times New Roman"/>
        </w:rPr>
        <w:t xml:space="preserve"> PMMA bone cement spacer</w:t>
      </w:r>
      <w:r w:rsidR="00F8183A">
        <w:rPr>
          <w:rFonts w:ascii="Times New Roman" w:hAnsi="Times New Roman" w:cs="Times New Roman"/>
        </w:rPr>
        <w:t xml:space="preserve">s </w:t>
      </w:r>
      <w:r w:rsidRPr="002B1480">
        <w:rPr>
          <w:rFonts w:ascii="Times New Roman" w:hAnsi="Times New Roman" w:cs="Times New Roman"/>
        </w:rPr>
        <w:t>on</w:t>
      </w:r>
      <w:r w:rsidR="00CF0F3D">
        <w:rPr>
          <w:rFonts w:ascii="Times New Roman" w:hAnsi="Times New Roman" w:cs="Times New Roman"/>
        </w:rPr>
        <w:t xml:space="preserve"> the spread and killing of</w:t>
      </w:r>
      <w:r w:rsidRPr="002B1480">
        <w:rPr>
          <w:rFonts w:ascii="Times New Roman" w:hAnsi="Times New Roman" w:cs="Times New Roman"/>
        </w:rPr>
        <w:t xml:space="preserve"> </w:t>
      </w:r>
      <w:r w:rsidRPr="0090747C">
        <w:rPr>
          <w:rFonts w:ascii="Times New Roman" w:hAnsi="Times New Roman" w:cs="Times New Roman"/>
          <w:i/>
          <w:iCs/>
        </w:rPr>
        <w:t>Pseudomonas aeruginosa</w:t>
      </w:r>
      <w:r w:rsidRPr="002B1480">
        <w:rPr>
          <w:rFonts w:ascii="Times New Roman" w:hAnsi="Times New Roman" w:cs="Times New Roman"/>
        </w:rPr>
        <w:t xml:space="preserve"> Xen41 </w:t>
      </w:r>
      <w:r w:rsidR="00CD7712">
        <w:rPr>
          <w:rFonts w:ascii="Times New Roman" w:hAnsi="Times New Roman" w:cs="Times New Roman"/>
        </w:rPr>
        <w:t xml:space="preserve">(PA-Xen41) </w:t>
      </w:r>
      <w:r w:rsidRPr="002B1480">
        <w:rPr>
          <w:rFonts w:ascii="Times New Roman" w:hAnsi="Times New Roman" w:cs="Times New Roman"/>
        </w:rPr>
        <w:t>biofilm was investigated using a “large agar plate” model</w:t>
      </w:r>
      <w:r w:rsidR="00CF0F3D">
        <w:rPr>
          <w:rFonts w:ascii="Times New Roman" w:hAnsi="Times New Roman" w:cs="Times New Roman"/>
        </w:rPr>
        <w:t xml:space="preserve"> scaled for clinical relevance</w:t>
      </w:r>
      <w:r w:rsidRPr="002B1480">
        <w:rPr>
          <w:rFonts w:ascii="Times New Roman" w:hAnsi="Times New Roman" w:cs="Times New Roman"/>
        </w:rPr>
        <w:t xml:space="preserve">. </w:t>
      </w:r>
      <w:r w:rsidRPr="002B1480">
        <w:rPr>
          <w:rFonts w:ascii="Times New Roman" w:hAnsi="Times New Roman" w:cs="Times New Roman"/>
          <w:b/>
        </w:rPr>
        <w:t>Methods.</w:t>
      </w:r>
      <w:r w:rsidRPr="002B1480">
        <w:rPr>
          <w:rFonts w:ascii="Times New Roman" w:hAnsi="Times New Roman" w:cs="Times New Roman"/>
        </w:rPr>
        <w:t xml:space="preserve"> Bioluminescent PA-Xen41 biofilms grown on discs of various orthopaedic materials were placed within a large agar plate containing a PMMA full-size mock “spacer” unloaded or loaded with vancomycin and tobramycin, with or without ALCS-B. </w:t>
      </w:r>
      <w:r w:rsidR="00F8183A">
        <w:rPr>
          <w:rFonts w:ascii="Times New Roman" w:hAnsi="Times New Roman" w:cs="Times New Roman"/>
        </w:rPr>
        <w:t>The amount of b</w:t>
      </w:r>
      <w:r w:rsidRPr="002B1480">
        <w:rPr>
          <w:rFonts w:ascii="Times New Roman" w:hAnsi="Times New Roman" w:cs="Times New Roman"/>
        </w:rPr>
        <w:t xml:space="preserve">iofilm spread and log reduction </w:t>
      </w:r>
      <w:r w:rsidR="00F8183A">
        <w:rPr>
          <w:rFonts w:ascii="Times New Roman" w:hAnsi="Times New Roman" w:cs="Times New Roman"/>
        </w:rPr>
        <w:t xml:space="preserve">on discs at varying distances from the spacer </w:t>
      </w:r>
      <w:r w:rsidRPr="002B1480">
        <w:rPr>
          <w:rFonts w:ascii="Times New Roman" w:hAnsi="Times New Roman" w:cs="Times New Roman"/>
        </w:rPr>
        <w:t xml:space="preserve">was assessed by bioluminescent imaging and viable cell counts. </w:t>
      </w:r>
      <w:r w:rsidRPr="002B1480">
        <w:rPr>
          <w:rFonts w:ascii="Times New Roman" w:hAnsi="Times New Roman" w:cs="Times New Roman"/>
          <w:b/>
        </w:rPr>
        <w:t>Results.</w:t>
      </w:r>
      <w:r w:rsidRPr="002B1480">
        <w:rPr>
          <w:rFonts w:ascii="Times New Roman" w:hAnsi="Times New Roman" w:cs="Times New Roman"/>
        </w:rPr>
        <w:t xml:space="preserve"> For the unloaded spacer control, PA-Xen41 spread from the biofilm to cover the entire plate. The loaded spacer generated a 3cm zone of inhibition and significantly reduced biofilm bacteria on the discs immediately adjacent</w:t>
      </w:r>
      <w:r w:rsidR="00F8183A">
        <w:rPr>
          <w:rFonts w:ascii="Times New Roman" w:hAnsi="Times New Roman" w:cs="Times New Roman"/>
        </w:rPr>
        <w:t xml:space="preserve"> to the spacer</w:t>
      </w:r>
      <w:r w:rsidRPr="002B1480">
        <w:rPr>
          <w:rFonts w:ascii="Times New Roman" w:hAnsi="Times New Roman" w:cs="Times New Roman"/>
        </w:rPr>
        <w:t xml:space="preserve">, but low or zero reductions on those further away. The combination of ALCS-B and a loaded </w:t>
      </w:r>
      <w:r w:rsidR="00196B74">
        <w:rPr>
          <w:rFonts w:ascii="Times New Roman" w:hAnsi="Times New Roman" w:cs="Times New Roman"/>
        </w:rPr>
        <w:t xml:space="preserve">PMMA </w:t>
      </w:r>
      <w:r w:rsidRPr="002B1480">
        <w:rPr>
          <w:rFonts w:ascii="Times New Roman" w:hAnsi="Times New Roman" w:cs="Times New Roman"/>
        </w:rPr>
        <w:t>spacer greatly reduced bacterial spread and resulted in significantly greater biofilm reductions</w:t>
      </w:r>
      <w:r w:rsidR="00196B74">
        <w:rPr>
          <w:rFonts w:ascii="Times New Roman" w:hAnsi="Times New Roman" w:cs="Times New Roman"/>
        </w:rPr>
        <w:t xml:space="preserve"> on discs at all distances from</w:t>
      </w:r>
      <w:r w:rsidR="000872B3">
        <w:rPr>
          <w:rFonts w:ascii="Times New Roman" w:hAnsi="Times New Roman" w:cs="Times New Roman"/>
        </w:rPr>
        <w:t xml:space="preserve"> </w:t>
      </w:r>
      <w:r w:rsidR="00196B74">
        <w:rPr>
          <w:rFonts w:ascii="Times New Roman" w:hAnsi="Times New Roman" w:cs="Times New Roman"/>
        </w:rPr>
        <w:t>the spacer</w:t>
      </w:r>
      <w:r w:rsidRPr="002B1480">
        <w:rPr>
          <w:rFonts w:ascii="Times New Roman" w:hAnsi="Times New Roman" w:cs="Times New Roman"/>
        </w:rPr>
        <w:t>.</w:t>
      </w:r>
      <w:r w:rsidRPr="002B1480">
        <w:rPr>
          <w:rFonts w:ascii="Times New Roman" w:hAnsi="Times New Roman" w:cs="Times New Roman"/>
          <w:b/>
        </w:rPr>
        <w:t xml:space="preserve"> Discussion. </w:t>
      </w:r>
      <w:r w:rsidR="00CF0F3D" w:rsidRPr="00CF0F3D">
        <w:rPr>
          <w:rFonts w:ascii="Times New Roman" w:hAnsi="Times New Roman" w:cs="Times New Roman"/>
          <w:bCs/>
        </w:rPr>
        <w:t>The addition of</w:t>
      </w:r>
      <w:r w:rsidR="00CF0F3D">
        <w:rPr>
          <w:rFonts w:ascii="Times New Roman" w:hAnsi="Times New Roman" w:cs="Times New Roman"/>
          <w:b/>
        </w:rPr>
        <w:t xml:space="preserve"> </w:t>
      </w:r>
      <w:r w:rsidRPr="002B1480">
        <w:rPr>
          <w:rFonts w:ascii="Times New Roman" w:hAnsi="Times New Roman" w:cs="Times New Roman"/>
        </w:rPr>
        <w:t xml:space="preserve">ALCS-B </w:t>
      </w:r>
      <w:r w:rsidR="00CF0F3D">
        <w:rPr>
          <w:rFonts w:ascii="Times New Roman" w:hAnsi="Times New Roman" w:cs="Times New Roman"/>
        </w:rPr>
        <w:t>to</w:t>
      </w:r>
      <w:r w:rsidRPr="002B1480">
        <w:rPr>
          <w:rFonts w:ascii="Times New Roman" w:hAnsi="Times New Roman" w:cs="Times New Roman"/>
        </w:rPr>
        <w:t xml:space="preserve"> an antibiotic loaded spacer </w:t>
      </w:r>
      <w:r w:rsidR="00CF0F3D">
        <w:rPr>
          <w:rFonts w:ascii="Times New Roman" w:hAnsi="Times New Roman" w:cs="Times New Roman"/>
        </w:rPr>
        <w:t xml:space="preserve">mimic </w:t>
      </w:r>
      <w:r w:rsidRPr="002B1480">
        <w:rPr>
          <w:rFonts w:ascii="Times New Roman" w:hAnsi="Times New Roman" w:cs="Times New Roman"/>
        </w:rPr>
        <w:t>increase</w:t>
      </w:r>
      <w:r w:rsidR="00CF0F3D">
        <w:rPr>
          <w:rFonts w:ascii="Times New Roman" w:hAnsi="Times New Roman" w:cs="Times New Roman"/>
        </w:rPr>
        <w:t>d</w:t>
      </w:r>
      <w:r w:rsidRPr="002B1480">
        <w:rPr>
          <w:rFonts w:ascii="Times New Roman" w:hAnsi="Times New Roman" w:cs="Times New Roman"/>
        </w:rPr>
        <w:t xml:space="preserve"> the area of antibiotic coverage </w:t>
      </w:r>
      <w:r w:rsidR="00CF0F3D">
        <w:rPr>
          <w:rFonts w:ascii="Times New Roman" w:hAnsi="Times New Roman" w:cs="Times New Roman"/>
        </w:rPr>
        <w:t>and efficacy against biofilm</w:t>
      </w:r>
      <w:r w:rsidR="00CD7712">
        <w:rPr>
          <w:rFonts w:ascii="Times New Roman" w:hAnsi="Times New Roman" w:cs="Times New Roman"/>
        </w:rPr>
        <w:t>,</w:t>
      </w:r>
      <w:r w:rsidR="00CF0F3D">
        <w:rPr>
          <w:rFonts w:ascii="Times New Roman" w:hAnsi="Times New Roman" w:cs="Times New Roman"/>
        </w:rPr>
        <w:t xml:space="preserve"> suggesting that</w:t>
      </w:r>
      <w:r w:rsidR="00CF0F3D" w:rsidRPr="002B1480">
        <w:rPr>
          <w:rFonts w:ascii="Times New Roman" w:hAnsi="Times New Roman" w:cs="Times New Roman"/>
        </w:rPr>
        <w:t xml:space="preserve"> </w:t>
      </w:r>
      <w:r w:rsidR="00CF0F3D">
        <w:rPr>
          <w:rFonts w:ascii="Times New Roman" w:hAnsi="Times New Roman" w:cs="Times New Roman"/>
        </w:rPr>
        <w:t xml:space="preserve">a combination of these depots </w:t>
      </w:r>
      <w:r w:rsidRPr="002B1480">
        <w:rPr>
          <w:rFonts w:ascii="Times New Roman" w:hAnsi="Times New Roman" w:cs="Times New Roman"/>
        </w:rPr>
        <w:t xml:space="preserve">may provide </w:t>
      </w:r>
      <w:r w:rsidR="00CF0F3D">
        <w:rPr>
          <w:rFonts w:ascii="Times New Roman" w:hAnsi="Times New Roman" w:cs="Times New Roman"/>
        </w:rPr>
        <w:t xml:space="preserve">greater physical antibiotic coverage and </w:t>
      </w:r>
      <w:r w:rsidRPr="002B1480">
        <w:rPr>
          <w:rFonts w:ascii="Times New Roman" w:hAnsi="Times New Roman" w:cs="Times New Roman"/>
        </w:rPr>
        <w:t>more effective dead space management</w:t>
      </w:r>
      <w:r w:rsidR="00CF0F3D">
        <w:rPr>
          <w:rFonts w:ascii="Times New Roman" w:hAnsi="Times New Roman" w:cs="Times New Roman"/>
        </w:rPr>
        <w:t>, particularly</w:t>
      </w:r>
      <w:r w:rsidRPr="002B1480">
        <w:rPr>
          <w:rFonts w:ascii="Times New Roman" w:hAnsi="Times New Roman" w:cs="Times New Roman"/>
        </w:rPr>
        <w:t xml:space="preserve"> </w:t>
      </w:r>
      <w:r w:rsidR="00196B74">
        <w:rPr>
          <w:rFonts w:ascii="Times New Roman" w:hAnsi="Times New Roman" w:cs="Times New Roman"/>
        </w:rPr>
        <w:t xml:space="preserve">in zones </w:t>
      </w:r>
      <w:r w:rsidR="00CF0F3D">
        <w:rPr>
          <w:rFonts w:ascii="Times New Roman" w:hAnsi="Times New Roman" w:cs="Times New Roman"/>
        </w:rPr>
        <w:t xml:space="preserve">where the spread of antibiotic is limited by diffusion </w:t>
      </w:r>
      <w:r w:rsidR="00CD7712">
        <w:rPr>
          <w:rFonts w:ascii="Times New Roman" w:hAnsi="Times New Roman" w:cs="Times New Roman"/>
        </w:rPr>
        <w:t>(</w:t>
      </w:r>
      <w:r w:rsidR="00CF0F3D">
        <w:rPr>
          <w:rFonts w:ascii="Times New Roman" w:hAnsi="Times New Roman" w:cs="Times New Roman"/>
        </w:rPr>
        <w:t xml:space="preserve">zones </w:t>
      </w:r>
      <w:r w:rsidR="00196B74">
        <w:rPr>
          <w:rFonts w:ascii="Times New Roman" w:hAnsi="Times New Roman" w:cs="Times New Roman"/>
        </w:rPr>
        <w:t>with little or no fluid motion</w:t>
      </w:r>
      <w:r w:rsidR="00CD7712">
        <w:rPr>
          <w:rFonts w:ascii="Times New Roman" w:hAnsi="Times New Roman" w:cs="Times New Roman"/>
        </w:rPr>
        <w:t>)</w:t>
      </w:r>
      <w:r w:rsidR="00CF0F3D">
        <w:rPr>
          <w:rFonts w:ascii="Times New Roman" w:hAnsi="Times New Roman" w:cs="Times New Roman"/>
        </w:rPr>
        <w:t>.</w:t>
      </w:r>
    </w:p>
    <w:p w14:paraId="5A4151AE" w14:textId="77777777" w:rsidR="00EF3AF1" w:rsidRDefault="00EF3AF1" w:rsidP="00FE3F1E">
      <w:pPr>
        <w:spacing w:line="480" w:lineRule="auto"/>
        <w:rPr>
          <w:rStyle w:val="LineNumber"/>
          <w:b/>
          <w:bCs/>
        </w:rPr>
      </w:pPr>
      <w:r>
        <w:rPr>
          <w:rStyle w:val="LineNumber"/>
          <w:b/>
          <w:bCs/>
        </w:rPr>
        <w:lastRenderedPageBreak/>
        <w:t>Introduction</w:t>
      </w:r>
    </w:p>
    <w:p w14:paraId="16E77986" w14:textId="77777777" w:rsidR="00BF5391" w:rsidRDefault="00BF5391" w:rsidP="008803F7">
      <w:pPr>
        <w:spacing w:line="480" w:lineRule="auto"/>
        <w:ind w:firstLine="720"/>
        <w:rPr>
          <w:rStyle w:val="LineNumber"/>
        </w:rPr>
      </w:pPr>
      <w:r>
        <w:rPr>
          <w:rStyle w:val="LineNumber"/>
        </w:rPr>
        <w:t xml:space="preserve">Periprosthetic joint infection (PJI) is a </w:t>
      </w:r>
      <w:r w:rsidR="00915E6C">
        <w:rPr>
          <w:rStyle w:val="LineNumber"/>
        </w:rPr>
        <w:t>complex</w:t>
      </w:r>
      <w:r>
        <w:rPr>
          <w:rStyle w:val="LineNumber"/>
        </w:rPr>
        <w:t xml:space="preserve"> </w:t>
      </w:r>
      <w:r w:rsidR="00744603">
        <w:rPr>
          <w:rStyle w:val="LineNumber"/>
        </w:rPr>
        <w:t>problem in</w:t>
      </w:r>
      <w:r>
        <w:rPr>
          <w:rStyle w:val="LineNumber"/>
        </w:rPr>
        <w:t xml:space="preserve"> total joint arthroplasty</w:t>
      </w:r>
      <w:r w:rsidR="0011221C">
        <w:rPr>
          <w:rStyle w:val="LineNumber"/>
        </w:rPr>
        <w:t xml:space="preserve"> (TJA)</w:t>
      </w:r>
      <w:r>
        <w:rPr>
          <w:rStyle w:val="LineNumber"/>
        </w:rPr>
        <w:t xml:space="preserve"> and </w:t>
      </w:r>
      <w:r w:rsidR="004A7A51">
        <w:rPr>
          <w:rStyle w:val="LineNumber"/>
        </w:rPr>
        <w:t>occur</w:t>
      </w:r>
      <w:r w:rsidR="006E66EE">
        <w:rPr>
          <w:rStyle w:val="LineNumber"/>
        </w:rPr>
        <w:t>s</w:t>
      </w:r>
      <w:r>
        <w:rPr>
          <w:rStyle w:val="LineNumber"/>
        </w:rPr>
        <w:t xml:space="preserve"> in </w:t>
      </w:r>
      <w:r w:rsidR="00275ABA">
        <w:rPr>
          <w:rStyle w:val="LineNumber"/>
        </w:rPr>
        <w:t>2</w:t>
      </w:r>
      <w:r w:rsidR="00FE2722">
        <w:rPr>
          <w:rStyle w:val="LineNumber"/>
        </w:rPr>
        <w:t>-</w:t>
      </w:r>
      <w:r>
        <w:rPr>
          <w:rStyle w:val="LineNumber"/>
        </w:rPr>
        <w:t xml:space="preserve">2.4% of all total hip and knee replacement </w:t>
      </w:r>
      <w:r w:rsidR="006E66EE">
        <w:rPr>
          <w:rStyle w:val="LineNumber"/>
        </w:rPr>
        <w:t>procedures</w:t>
      </w:r>
      <w:r w:rsidR="0016567D">
        <w:rPr>
          <w:rStyle w:val="LineNumber"/>
        </w:rPr>
        <w:t xml:space="preserve"> [</w:t>
      </w:r>
      <w:r w:rsidR="00D27747" w:rsidRPr="00322AAF">
        <w:rPr>
          <w:rStyle w:val="LineNumber"/>
          <w:vertAlign w:val="superscript"/>
        </w:rPr>
        <w:fldChar w:fldCharType="begin" w:fldLock="1"/>
      </w:r>
      <w:r w:rsidR="008F457E" w:rsidRPr="00322AAF">
        <w:rPr>
          <w:rStyle w:val="LineNumber"/>
          <w:vertAlign w:val="superscript"/>
        </w:rPr>
        <w:instrText>ADDIN CSL_CITATION {"citationItems":[{"id":"ITEM-1","itemData":{"DOI":"10.1016/j.arth.2012.02.022","ISSN":"15328406","abstract":"This study characterizes the patient and clinical factors influencing the economic burden of periprosthetic joint infection (PJI) in the United States. The 2001-2009 Nationwide Inpatient Sample was used to identify total hip and knee arthroplasties using International Classification of Diseases, Ninth Revision, procedure codes. The relative incidence of PJI ranged between 2.0% and 2.4% of total hip arthroplasties and total knee arthroplasties and increased over time. The mean cost to treat hip PJIs was $5965 greater than the mean cost for knee PJIs. The annual cost of infected revisions to US hospitals increased from $320 million to $566 million during the study period and was projected to exceed $1.62 billion by 2020. As the demand for joint arthroplasty is expected to increase substantially over the coming decade, so too will the economic burden of prosthetic infections. © 2012.","author":[{"dropping-particle":"","family":"Kurtz","given":"Steven M.","non-dropping-particle":"","parse-names":false,"suffix":""},{"dropping-particle":"","family":"Lau","given":"Edmund","non-dropping-particle":"","parse-names":false,"suffix":""},{"dropping-particle":"","family":"Watson","given":"Heather","non-dropping-particle":"","parse-names":false,"suffix":""},{"dropping-particle":"","family":"Schmier","given":"Jordana K.","non-dropping-particle":"","parse-names":false,"suffix":""},{"dropping-particle":"","family":"Parvizi","given":"Javad","non-dropping-particle":"","parse-names":false,"suffix":""}],"container-title":"Journal of Arthroplasty","id":"ITEM-1","issue":"8","issued":{"date-parts":[["2012"]]},"page":"61-65","title":"Economic burden of periprosthetic joint infection in the united states","type":"article-journal","volume":"27"},"uris":["http://www.mendeley.com/documents/?uuid=a4906ffd-4e5a-3d06-a982-1bf05c11dcd1"]},{"id":"ITEM-2","itemData":{"DOI":"10.2106/JBJS.M.01363","ISSN":"15351386","abstract":"Background: Currently, most hospitals in the United States are obliged to report infections that occur following total joint arthroplasty to the Centers for Disease Control and Prevention through the National Healthcare Safety Network surveillance. The objective of this study was to identify the risk factors of surgical site infections that were reported to the Centers for Disease Control and Prevention from a single institution. Methods: For this study, 6111 primary and revision total joint arthroplasties performed from April 2010 to June 2012 were identified. Surgical site infection cases captured by infection surveillance staff on the basis of the Centers for Disease Control and Prevention definition were identified. Surgical site infection cases with index surgery performed at another institution were excluded. All cases were followed up for one year for development of surgical site infection. The model for predictors of surgical site infection was created by logistic regression and was validated by bootstrap resampling. Results: Of all performed total joint arthroplasties, surgical site infection developed in eighty cases (1.31% [95% confidence interval, 1.02% to 1.59%]). The highest rate of surgical site infection was observed in revision total knee arthroplasty (4.57% [95% confidence interval, 2.31% to 6.83%]) followed by revision total hip arthroplasty (1.94% [95% confidence interval, 0.75% to 3.13%]). Among the variables examined, the predictive factors of surgical site infection were higher Charlson Comorbidity Index (odds ratio for a Charlson Comorbidity Index of ‡2, 2.29 [95% confidence interval, 1.32 to 3.94] and odds ratio for a Charlson Comorbidity Index of 1, 2.09 [95% confidence interval, 1.06 to 4.10]), male sex (odds ratio, 1.79 [95% confidence interval, 1.11 to 2.89]), and revision total knee arthroplasty (odds ratio, 3.13 [95% confidence interval, 1.17 to 8.34]), and a higher level of preoperative hemoglobin (odds ratio, 0.85 per point [95% confidence interval, 0.73 to 0.98 per point]) was protective against surgical site infection. The C-statistic of the model was 0.709 without correction and 0.678 after bootstrap correction, indicating that the model has fair predictive power. Conclusions: Low preoperative hemoglobin level is one of the risk factors for surgical site infection and preoperative correction of hemoglobin may reduce the likelihood of postoperative surgical site infection. Level of Evidence: Prognostic Level IV. See In…","author":[{"dropping-particle":"","family":"Rasouli","given":"Mohammad R.","non-dropping-particle":"","parse-names":false,"suffix":""},{"dropping-particle":"","family":"Restrepo","given":"Camilo","non-dropping-particle":"","parse-names":false,"suffix":""},{"dropping-particle":"","family":"Maltenfort","given":"Mitchell G.","non-dropping-particle":"","parse-names":false,"suffix":""},{"dropping-particle":"","family":"Purtill","given":"James J.","non-dropping-particle":"","parse-names":false,"suffix":""},{"dropping-particle":"","family":"Parvizi","given":"Javad","non-dropping-particle":"","parse-names":false,"suffix":""}],"container-title":"Journal of Bone and Joint Surgery","id":"ITEM-2","issue":"18","issued":{"date-parts":[["2014"]]},"page":"1570-1575","title":"Risk factors for surgical site infection following total joint arthroplasty","type":"article-journal","volume":"96"},"uris":["http://www.mendeley.com/documents/?uuid=8f975f16-0226-43b4-babc-79bea89b4b46"]}],"mendeley":{"formattedCitation":"&lt;sup&gt;1,2&lt;/sup&gt;","plainTextFormattedCitation":"1,2","previouslyFormattedCitation":"&lt;sup&gt;1,2&lt;/sup&gt;"},"properties":{"noteIndex":0},"schema":"https://github.com/citation-style-language/schema/raw/master/csl-citation.json"}</w:instrText>
      </w:r>
      <w:r w:rsidR="00D27747" w:rsidRPr="00322AAF">
        <w:rPr>
          <w:rStyle w:val="LineNumber"/>
          <w:vertAlign w:val="superscript"/>
        </w:rPr>
        <w:fldChar w:fldCharType="separate"/>
      </w:r>
      <w:r w:rsidR="00D27747" w:rsidRPr="00322AAF">
        <w:rPr>
          <w:rStyle w:val="LineNumber"/>
          <w:noProof/>
          <w:vertAlign w:val="superscript"/>
        </w:rPr>
        <w:t>1,2</w:t>
      </w:r>
      <w:r w:rsidR="00D27747" w:rsidRPr="00322AAF">
        <w:rPr>
          <w:rStyle w:val="LineNumber"/>
          <w:vertAlign w:val="superscript"/>
        </w:rPr>
        <w:fldChar w:fldCharType="end"/>
      </w:r>
      <w:r w:rsidR="0016567D">
        <w:rPr>
          <w:rStyle w:val="LineNumber"/>
        </w:rPr>
        <w:t>]</w:t>
      </w:r>
      <w:r>
        <w:rPr>
          <w:rStyle w:val="LineNumber"/>
        </w:rPr>
        <w:t>.</w:t>
      </w:r>
      <w:r w:rsidR="00275ABA">
        <w:rPr>
          <w:rStyle w:val="LineNumber"/>
        </w:rPr>
        <w:t xml:space="preserve"> </w:t>
      </w:r>
      <w:r w:rsidR="00C5548E">
        <w:rPr>
          <w:rStyle w:val="LineNumber"/>
        </w:rPr>
        <w:t>While infrequent, PJI has a dramatic effect on the patient’s health, often resulting in joint dysfunction, morbidity, and mortality</w:t>
      </w:r>
      <w:r w:rsidR="0016567D">
        <w:rPr>
          <w:rStyle w:val="LineNumber"/>
        </w:rPr>
        <w:t xml:space="preserve"> [</w:t>
      </w:r>
      <w:r w:rsidR="008803F7" w:rsidRPr="00322AAF">
        <w:rPr>
          <w:rStyle w:val="LineNumber"/>
          <w:vertAlign w:val="superscript"/>
        </w:rPr>
        <w:fldChar w:fldCharType="begin" w:fldLock="1"/>
      </w:r>
      <w:r w:rsidR="008F457E" w:rsidRPr="00322AAF">
        <w:rPr>
          <w:rStyle w:val="LineNumber"/>
          <w:vertAlign w:val="superscript"/>
        </w:rPr>
        <w:instrText>ADDIN CSL_CITATION {"citationItems":[{"id":"ITEM-1","itemData":{"ISSN":"03506134","PMID":"25842772","abstract":"Periprosthetic joint infections (PJI) in orthopedic surgery are considered to be very serious and dangerous complications of total joint arthroplasty. PJI becomes a long-lasting medical problem and a heavy burden on patient and his family. Patients with such a complication are a significant financial burden for the health care system. Recognizing this issue, investing in scientific research and simultaneously developing technologies in medicine are efforts taken to increase successfulness in preventing and treating PJI. Each year the number of total joint arthroplasties increases which entails a rise in the number of complications among which infections are the leading ones. Sometimes, in the worst case scenarios, infections can endanger patients' lives. New procedural algorithms and new diagnostic possibilities help us make accurate and early diagnoses of postoperative PJI with a great degree of certainty. These diagnostic methods include laboratory tests, imaging, histopathology and microbiological analyses. Treatment options depend on many factors which include the onset of symptoms, patients'general physical condition and type of pathogen. The approach to treating PJI is complex and it requires a multidisciplinary approach in order to ensure the most successful treatment possible. For adequate and successful treatment we need to take into account antibiotic therapy, one-stage or two-stage revision, Girdlestone operation, athrodesis and amputation. In this review we will try to sum up all relevant findings and suggest further steps in management of PJI.","author":[{"dropping-particle":"","family":"Vrgoc","given":"Goran","non-dropping-particle":"","parse-names":false,"suffix":""},{"dropping-particle":"","family":"Japjec","given":"Mladen","non-dropping-particle":"","parse-names":false,"suffix":""},{"dropping-particle":"","family":"Gulan","given":"Gordan","non-dropping-particle":"","parse-names":false,"suffix":""},{"dropping-particle":"","family":"Ravlić-Gulan","given":"Jagoda","non-dropping-particle":"","parse-names":false,"suffix":""},{"dropping-particle":"","family":"Marinović","given":"Marin","non-dropping-particle":"","parse-names":false,"suffix":""},{"dropping-particle":"","family":"Bandalović","given":"Ante","non-dropping-particle":"","parse-names":false,"suffix":""}],"container-title":"Collegium antropologicum","id":"ITEM-1","issue":"4","issued":{"date-parts":[["2014"]]},"page":"1259-1264","title":"Periprosthetic infections after total hip and knee arthroplasty--a review","type":"article-journal","volume":"38"},"uris":["http://www.mendeley.com/documents/?uuid=834e5cf1-0c7a-4026-86d2-bd19079d193c"]}],"mendeley":{"formattedCitation":"&lt;sup&gt;3&lt;/sup&gt;","plainTextFormattedCitation":"3","previouslyFormattedCitation":"&lt;sup&gt;3&lt;/sup&gt;"},"properties":{"noteIndex":0},"schema":"https://github.com/citation-style-language/schema/raw/master/csl-citation.json"}</w:instrText>
      </w:r>
      <w:r w:rsidR="008803F7" w:rsidRPr="00322AAF">
        <w:rPr>
          <w:rStyle w:val="LineNumber"/>
          <w:vertAlign w:val="superscript"/>
        </w:rPr>
        <w:fldChar w:fldCharType="separate"/>
      </w:r>
      <w:r w:rsidR="008803F7" w:rsidRPr="00322AAF">
        <w:rPr>
          <w:rStyle w:val="LineNumber"/>
          <w:noProof/>
          <w:vertAlign w:val="superscript"/>
        </w:rPr>
        <w:t>3</w:t>
      </w:r>
      <w:r w:rsidR="008803F7" w:rsidRPr="00322AAF">
        <w:rPr>
          <w:rStyle w:val="LineNumber"/>
          <w:vertAlign w:val="superscript"/>
        </w:rPr>
        <w:fldChar w:fldCharType="end"/>
      </w:r>
      <w:r w:rsidR="00562FA3" w:rsidRPr="00322AAF">
        <w:rPr>
          <w:rStyle w:val="LineNumber"/>
          <w:vertAlign w:val="superscript"/>
        </w:rPr>
        <w:t>,</w:t>
      </w:r>
      <w:r w:rsidR="005601AC" w:rsidRPr="00322AAF">
        <w:rPr>
          <w:rStyle w:val="LineNumber"/>
          <w:vertAlign w:val="superscript"/>
        </w:rPr>
        <w:fldChar w:fldCharType="begin" w:fldLock="1"/>
      </w:r>
      <w:r w:rsidR="004A212E" w:rsidRPr="00322AAF">
        <w:rPr>
          <w:rStyle w:val="LineNumber"/>
          <w:vertAlign w:val="superscript"/>
        </w:rPr>
        <w:instrText>ADDIN CSL_CITATION {"citationItems":[{"id":"ITEM-1","itemData":{"DOI":"10.1016/j.arth.2017.09.021","ISSN":"15328406","abstract":"Background: Periprosthetic joint infection (PJI) after primary total knee arthroplasty (TKA) is a devastating complication. The short-term morbidity profile of revision TKA performed for PJI relative to non-PJI revisions is poorly characterized. The purpose of this study is to determine 30-day postoperative outcomes after revision TKA for PJI, relative to primary TKA and aseptic revision TKA. Methods: The American College of Surgeons National Surgical Quality Improvement Program from 2005 to 2015 was queried for primary and revision TKA cases. Revision TKA cases were categorized into PJI and non-PJI cohorts. Differences in 30-day outcomes including postoperative complications, readmissions, operative time, and length of stay were compared using bivariate and multivariate analyses. Results: In total, 175,761 TKAs were included in this study, with 162,981 (92.7%) primary TKAs and 12,780 (7.3%) revision TKAs, of which 2196 (17.2%) revisions were performed for PJI. When compared to aseptic revision TKA, multivariate analysis demonstrated that PJI revisions had a significantly higher risk of major early postoperative complications including death (adjusted odds ratio [OR] 3.25) and sepsis (OR 8.73). In addition, nonhome discharge (OR 1.75), readmissions (OR 1.67), and length of stay (+2.1 days) were all greater relative to non-PJI revisions. Conclusion: Utilizing a large, prospectively collected, national database, we found that revision TKA for PJI has a greater risk of short-term morbidity and mortality and requires a higher utilization of healthcare resources. These results have implications for patient counseling and alternative payment models that may eventually include revision TKA.","author":[{"dropping-particle":"","family":"Boddapati","given":"Venkat","non-dropping-particle":"","parse-names":false,"suffix":""},{"dropping-particle":"","family":"Fu","given":"Michael C.","non-dropping-particle":"","parse-names":false,"suffix":""},{"dropping-particle":"","family":"Mayman","given":"David J.","non-dropping-particle":"","parse-names":false,"suffix":""},{"dropping-particle":"","family":"Su","given":"Edwin P.","non-dropping-particle":"","parse-names":false,"suffix":""},{"dropping-particle":"","family":"Sculco","given":"Peter K.","non-dropping-particle":"","parse-names":false,"suffix":""},{"dropping-particle":"","family":"McLawhorn","given":"Alexander S.","non-dropping-particle":"","parse-names":false,"suffix":""}],"container-title":"Journal of Arthroplasty","id":"ITEM-1","issue":"2","issued":{"date-parts":[["2018"]]},"page":"521-526","publisher":"Elsevier Ltd","title":"Revision Total Knee Arthroplasty for Periprosthetic Joint Infection Is Associated With Increased Postoperative Morbidity and Mortality Relative to Noninfectious Revisions","type":"article-journal","volume":"33"},"uris":["http://www.mendeley.com/documents/?uuid=d31ccc64-217e-4986-a544-aaf2d74b34ab"]}],"mendeley":{"formattedCitation":"&lt;sup&gt;4&lt;/sup&gt;","plainTextFormattedCitation":"4","previouslyFormattedCitation":"&lt;sup&gt;4&lt;/sup&gt;"},"properties":{"noteIndex":0},"schema":"https://github.com/citation-style-language/schema/raw/master/csl-citation.json"}</w:instrText>
      </w:r>
      <w:r w:rsidR="005601AC" w:rsidRPr="00322AAF">
        <w:rPr>
          <w:rStyle w:val="LineNumber"/>
          <w:vertAlign w:val="superscript"/>
        </w:rPr>
        <w:fldChar w:fldCharType="separate"/>
      </w:r>
      <w:r w:rsidR="008803F7" w:rsidRPr="00322AAF">
        <w:rPr>
          <w:rStyle w:val="LineNumber"/>
          <w:noProof/>
          <w:vertAlign w:val="superscript"/>
        </w:rPr>
        <w:t>4</w:t>
      </w:r>
      <w:r w:rsidR="005601AC" w:rsidRPr="00322AAF">
        <w:rPr>
          <w:rStyle w:val="LineNumber"/>
          <w:vertAlign w:val="superscript"/>
        </w:rPr>
        <w:fldChar w:fldCharType="end"/>
      </w:r>
      <w:r w:rsidR="00562FA3" w:rsidRPr="00322AAF">
        <w:rPr>
          <w:rStyle w:val="LineNumber"/>
          <w:vertAlign w:val="superscript"/>
        </w:rPr>
        <w:t>,</w:t>
      </w:r>
      <w:r w:rsidR="005601AC" w:rsidRPr="00322AAF">
        <w:rPr>
          <w:rStyle w:val="LineNumber"/>
          <w:vertAlign w:val="superscript"/>
        </w:rPr>
        <w:fldChar w:fldCharType="begin" w:fldLock="1"/>
      </w:r>
      <w:r w:rsidR="008F457E" w:rsidRPr="00322AAF">
        <w:rPr>
          <w:rStyle w:val="LineNumber"/>
          <w:vertAlign w:val="superscript"/>
        </w:rPr>
        <w:instrText>ADDIN CSL_CITATION {"citationItems":[{"id":"ITEM-1","itemData":{"DOI":"10.2106/JBJS.L.00789","ISSN":"15351386","abstract":"Background: Periprosthetic joint infection continues to potentially complicate an otherwise successful joint replacement. The treatment of this infection often requires multiple surgical procedures associated with increased complications and morbidity. This study examined the relationship between periprosthetic joint infection and mortality and aimed to determine the effect of periprosthetic joint infection on mortality and any predictors of mortality in patients with periprosthetic joint infection. Methods: Four hundred and thirty-six patients with at least one surgical intervention secondary to confirmed periprosthetic joint infection were compared with 2342 patients undergoing revision arthroplasty for aseptic failure. The incidence of mortality at thirty days, ninety days, one year, two years, and five years after surgery was assessed. Multivariate analysis was used to assess periprosthetic joint infection as an independent predictor of mortality. In the periprosthetic joint infection population, variables investigated as potential risk factors for mortality were evaluated. Results: Mortality was significantly greater (p &gt; 0.001) in patients with periprosthetic joint infection compared with those undergoing aseptic revision arthroplasty at ninety days (3.7% versus 0.8%), one year (10.6% versus 2.0%), two years (13.6% versus 3.9%), and five years (25.9% versus 12.9%). After controlling for age, sex, ethnicity, number of procedures, involved joint, body mass index, and Charlson Comorbidity Index, revision arthroplasty for periprosthetic joint infection was associated with a fivefold increase in mortality compared with revision arthroplasty for aseptic failures. In the periprosthetic joint infection population, independent predictors of mortality included increasing age, higher Charlson Comorbidity Index, history of stroke, polymicrobial infections, and cardiac disease. Conclusions: Although it is well known that periprosthetic joint infection is a devastating complication that severely limits joint function and is consistently difficult to eradicate, surgeons must also be cognizant of the systemic impact of periprosthetic joint infection and its major influence on fatal outcome in patients. Level of Evidence: Prognostic Level II. See Instructions for Authors for a complete description of levels of evidence.COPYRIGHT © 2013 BY THE JOURNAL OF BONE AND JOINT SURGERY.","author":[{"dropping-particle":"","family":"Zmistowski","given":"Benjamin","non-dropping-particle":"","parse-names":false,"suffix":""},{"dropping-particle":"","family":"Karam","given":"Joseph A.","non-dropping-particle":"","parse-names":false,"suffix":""},{"dropping-particle":"","family":"Durinka","given":"Joel B.","non-dropping-particle":"","parse-names":false,"suffix":""},{"dropping-particle":"","family":"Casper","given":"David S.","non-dropping-particle":"","parse-names":false,"suffix":""},{"dropping-particle":"","family":"Parvizi","given":"Javad","non-dropping-particle":"","parse-names":false,"suffix":""}],"container-title":"Journal of Bone and Joint Surgery","id":"ITEM-1","issue":"24","issued":{"date-parts":[["2013"]]},"page":"2177-2184","title":"Periprosthetic joint infection increases the risk of one-year mortality","type":"article-journal","volume":"95"},"uris":["http://www.mendeley.com/documents/?uuid=7d61792c-142e-4311-be1a-860271c6165c"]}],"mendeley":{"formattedCitation":"&lt;sup&gt;5&lt;/sup&gt;","plainTextFormattedCitation":"5","previouslyFormattedCitation":"&lt;sup&gt;5&lt;/sup&gt;"},"properties":{"noteIndex":0},"schema":"https://github.com/citation-style-language/schema/raw/master/csl-citation.json"}</w:instrText>
      </w:r>
      <w:r w:rsidR="005601AC" w:rsidRPr="00322AAF">
        <w:rPr>
          <w:rStyle w:val="LineNumber"/>
          <w:vertAlign w:val="superscript"/>
        </w:rPr>
        <w:fldChar w:fldCharType="separate"/>
      </w:r>
      <w:r w:rsidR="008803F7" w:rsidRPr="00322AAF">
        <w:rPr>
          <w:rStyle w:val="LineNumber"/>
          <w:noProof/>
          <w:vertAlign w:val="superscript"/>
        </w:rPr>
        <w:t>5</w:t>
      </w:r>
      <w:r w:rsidR="005601AC" w:rsidRPr="00322AAF">
        <w:rPr>
          <w:rStyle w:val="LineNumber"/>
          <w:vertAlign w:val="superscript"/>
        </w:rPr>
        <w:fldChar w:fldCharType="end"/>
      </w:r>
      <w:r w:rsidR="0016567D">
        <w:rPr>
          <w:rStyle w:val="LineNumber"/>
        </w:rPr>
        <w:t>]</w:t>
      </w:r>
      <w:r w:rsidR="00562FA3" w:rsidRPr="008F457E">
        <w:rPr>
          <w:rStyle w:val="LineNumber"/>
        </w:rPr>
        <w:t>.</w:t>
      </w:r>
      <w:r w:rsidR="00562FA3">
        <w:rPr>
          <w:rStyle w:val="LineNumber"/>
        </w:rPr>
        <w:t xml:space="preserve"> </w:t>
      </w:r>
      <w:r w:rsidR="00B86E25">
        <w:rPr>
          <w:rStyle w:val="LineNumber"/>
        </w:rPr>
        <w:t>T</w:t>
      </w:r>
      <w:r w:rsidR="00562FA3">
        <w:rPr>
          <w:rStyle w:val="LineNumber"/>
        </w:rPr>
        <w:t>he</w:t>
      </w:r>
      <w:r w:rsidR="00275ABA">
        <w:rPr>
          <w:rStyle w:val="LineNumber"/>
        </w:rPr>
        <w:t xml:space="preserve"> financial burden</w:t>
      </w:r>
      <w:r w:rsidR="00562FA3">
        <w:rPr>
          <w:rStyle w:val="LineNumber"/>
        </w:rPr>
        <w:t xml:space="preserve"> placed on patients and the healthcare system is staggering</w:t>
      </w:r>
      <w:r w:rsidR="0016567D">
        <w:rPr>
          <w:rStyle w:val="LineNumber"/>
        </w:rPr>
        <w:t xml:space="preserve"> [</w:t>
      </w:r>
      <w:r w:rsidR="005601AC" w:rsidRPr="00322AAF">
        <w:rPr>
          <w:rStyle w:val="LineNumber"/>
          <w:vertAlign w:val="superscript"/>
        </w:rPr>
        <w:fldChar w:fldCharType="begin" w:fldLock="1"/>
      </w:r>
      <w:r w:rsidR="008F457E" w:rsidRPr="00322AAF">
        <w:rPr>
          <w:rStyle w:val="LineNumber"/>
          <w:vertAlign w:val="superscript"/>
        </w:rPr>
        <w:instrText>ADDIN CSL_CITATION {"citationItems":[{"id":"ITEM-1","itemData":{"DOI":"10.1016/j.arth.2012.02.022","ISSN":"15328406","abstract":"This study characterizes the patient and clinical factors influencing the economic burden of periprosthetic joint infection (PJI) in the United States. The 2001-2009 Nationwide Inpatient Sample was used to identify total hip and knee arthroplasties using International Classification of Diseases, Ninth Revision, procedure codes. The relative incidence of PJI ranged between 2.0% and 2.4% of total hip arthroplasties and total knee arthroplasties and increased over time. The mean cost to treat hip PJIs was $5965 greater than the mean cost for knee PJIs. The annual cost of infected revisions to US hospitals increased from $320 million to $566 million during the study period and was projected to exceed $1.62 billion by 2020. As the demand for joint arthroplasty is expected to increase substantially over the coming decade, so too will the economic burden of prosthetic infections. © 2012.","author":[{"dropping-particle":"","family":"Kurtz","given":"Steven M.","non-dropping-particle":"","parse-names":false,"suffix":""},{"dropping-particle":"","family":"Lau","given":"Edmund","non-dropping-particle":"","parse-names":false,"suffix":""},{"dropping-particle":"","family":"Watson","given":"Heather","non-dropping-particle":"","parse-names":false,"suffix":""},{"dropping-particle":"","family":"Schmier","given":"Jordana K.","non-dropping-particle":"","parse-names":false,"suffix":""},{"dropping-particle":"","family":"Parvizi","given":"Javad","non-dropping-particle":"","parse-names":false,"suffix":""}],"container-title":"Journal of Arthroplasty","id":"ITEM-1","issue":"8","issued":{"date-parts":[["2012"]]},"page":"61-65","title":"Economic burden of periprosthetic joint infection in the united states","type":"article-journal","volume":"27"},"uris":["http://www.mendeley.com/documents/?uuid=a4906ffd-4e5a-3d06-a982-1bf05c11dcd1"]}],"mendeley":{"formattedCitation":"&lt;sup&gt;1&lt;/sup&gt;","plainTextFormattedCitation":"1","previouslyFormattedCitation":"&lt;sup&gt;1&lt;/sup&gt;"},"properties":{"noteIndex":0},"schema":"https://github.com/citation-style-language/schema/raw/master/csl-citation.json"}</w:instrText>
      </w:r>
      <w:r w:rsidR="005601AC" w:rsidRPr="00322AAF">
        <w:rPr>
          <w:rStyle w:val="LineNumber"/>
          <w:vertAlign w:val="superscript"/>
        </w:rPr>
        <w:fldChar w:fldCharType="separate"/>
      </w:r>
      <w:r w:rsidR="005601AC" w:rsidRPr="00322AAF">
        <w:rPr>
          <w:rStyle w:val="LineNumber"/>
          <w:noProof/>
          <w:vertAlign w:val="superscript"/>
        </w:rPr>
        <w:t>1</w:t>
      </w:r>
      <w:r w:rsidR="005601AC" w:rsidRPr="00322AAF">
        <w:rPr>
          <w:rStyle w:val="LineNumber"/>
          <w:vertAlign w:val="superscript"/>
        </w:rPr>
        <w:fldChar w:fldCharType="end"/>
      </w:r>
      <w:r w:rsidR="00915E6C" w:rsidRPr="00322AAF">
        <w:rPr>
          <w:rStyle w:val="LineNumber"/>
          <w:vertAlign w:val="superscript"/>
        </w:rPr>
        <w:t>,</w:t>
      </w:r>
      <w:r w:rsidR="005601AC" w:rsidRPr="00322AAF">
        <w:rPr>
          <w:rStyle w:val="LineNumber"/>
          <w:vertAlign w:val="superscript"/>
        </w:rPr>
        <w:fldChar w:fldCharType="begin" w:fldLock="1"/>
      </w:r>
      <w:r w:rsidR="004A212E" w:rsidRPr="00322AAF">
        <w:rPr>
          <w:rStyle w:val="LineNumber"/>
          <w:vertAlign w:val="superscript"/>
        </w:rPr>
        <w:instrText>ADDIN CSL_CITATION {"citationItems":[{"id":"ITEM-1","itemData":{"DOI":"10.1016/j.arth.2015.03.035","ISSN":"15328406","abstract":"Periprosthetic joint infection (PJI) represents substantial clinical and economic burdens. This study evaluated patient and procedure characteristics and resource utilization associated with revision arthroplasty for PJI. The Nationwide Inpatient Sample (Q4 2005-2010) was analyzed for 235,857 revision THA (RTHA) and 301,718 revision TKA (RTKA) procedures. PJI was the most common indication for RTKA, and the third most common reason for RTHA. PJI was most commonly associated with major severity of illness (SOI) in RTHA, and with moderate SOI in RTKA. RTHA and RTKA for PJI had the longest length of stay. Costs were higher for RTHA/RTKA for PJI than for any other diagnosis except periprosthetic fracture. Epidemiologic differences exist in the rank, severity and populations for RTHA and RTKA for PJI.","author":[{"dropping-particle":"","family":"Kamath","given":"Atul F.","non-dropping-particle":"","parse-names":false,"suffix":""},{"dropping-particle":"","family":"Ong","given":"Kevin L.","non-dropping-particle":"","parse-names":false,"suffix":""},{"dropping-particle":"","family":"Lau","given":"Edmund","non-dropping-particle":"","parse-names":false,"suffix":""},{"dropping-particle":"","family":"Chan","given":"Vanessa","non-dropping-particle":"","parse-names":false,"suffix":""},{"dropping-particle":"","family":"Vail","given":"Thomas P.","non-dropping-particle":"","parse-names":false,"suffix":""},{"dropping-particle":"","family":"Rubash","given":"Harry E.","non-dropping-particle":"","parse-names":false,"suffix":""},{"dropping-particle":"","family":"Berry","given":"Daniel J.","non-dropping-particle":"","parse-names":false,"suffix":""},{"dropping-particle":"","family":"Bozic","given":"Kevin J.","non-dropping-particle":"","parse-names":false,"suffix":""}],"container-title":"Journal of Arthroplasty","id":"ITEM-1","issue":"9","issued":{"date-parts":[["2015"]]},"page":"1492-1497","publisher":"Elsevier Inc.","title":"Quantifying the Burden of Revision Total Joint Arthroplasty for Periprosthetic Infection","type":"article-journal","volume":"30"},"uris":["http://www.mendeley.com/documents/?uuid=cd9a004b-0c52-4edd-a68b-7851b0d95faa"]}],"mendeley":{"formattedCitation":"&lt;sup&gt;6&lt;/sup&gt;","plainTextFormattedCitation":"6","previouslyFormattedCitation":"&lt;sup&gt;6&lt;/sup&gt;"},"properties":{"noteIndex":0},"schema":"https://github.com/citation-style-language/schema/raw/master/csl-citation.json"}</w:instrText>
      </w:r>
      <w:r w:rsidR="005601AC" w:rsidRPr="00322AAF">
        <w:rPr>
          <w:rStyle w:val="LineNumber"/>
          <w:vertAlign w:val="superscript"/>
        </w:rPr>
        <w:fldChar w:fldCharType="separate"/>
      </w:r>
      <w:r w:rsidR="008803F7" w:rsidRPr="00322AAF">
        <w:rPr>
          <w:rStyle w:val="LineNumber"/>
          <w:noProof/>
          <w:vertAlign w:val="superscript"/>
        </w:rPr>
        <w:t>6</w:t>
      </w:r>
      <w:r w:rsidR="005601AC" w:rsidRPr="00322AAF">
        <w:rPr>
          <w:rStyle w:val="LineNumber"/>
          <w:vertAlign w:val="superscript"/>
        </w:rPr>
        <w:fldChar w:fldCharType="end"/>
      </w:r>
      <w:r w:rsidR="0016567D">
        <w:rPr>
          <w:rStyle w:val="LineNumber"/>
        </w:rPr>
        <w:t>]</w:t>
      </w:r>
      <w:r w:rsidR="00275ABA">
        <w:rPr>
          <w:rStyle w:val="LineNumber"/>
        </w:rPr>
        <w:t>.</w:t>
      </w:r>
      <w:r w:rsidR="0011221C">
        <w:rPr>
          <w:rStyle w:val="LineNumber"/>
        </w:rPr>
        <w:t xml:space="preserve"> </w:t>
      </w:r>
      <w:r w:rsidR="00B86E25">
        <w:rPr>
          <w:rStyle w:val="LineNumber"/>
        </w:rPr>
        <w:t>A</w:t>
      </w:r>
      <w:r w:rsidR="00562FA3">
        <w:rPr>
          <w:rStyle w:val="LineNumber"/>
        </w:rPr>
        <w:t xml:space="preserve"> </w:t>
      </w:r>
      <w:r w:rsidR="0011221C">
        <w:rPr>
          <w:rStyle w:val="LineNumber"/>
        </w:rPr>
        <w:t xml:space="preserve">major </w:t>
      </w:r>
      <w:r w:rsidR="008803F7">
        <w:rPr>
          <w:rStyle w:val="LineNumber"/>
        </w:rPr>
        <w:t xml:space="preserve">complicating factor in treating PJI is </w:t>
      </w:r>
      <w:r w:rsidR="00562FA3">
        <w:rPr>
          <w:rStyle w:val="LineNumber"/>
        </w:rPr>
        <w:t>microbiota-produced</w:t>
      </w:r>
      <w:r w:rsidR="008803F7">
        <w:rPr>
          <w:rStyle w:val="LineNumber"/>
        </w:rPr>
        <w:t xml:space="preserve"> biofilms</w:t>
      </w:r>
      <w:r w:rsidR="0016567D">
        <w:rPr>
          <w:rStyle w:val="LineNumber"/>
        </w:rPr>
        <w:t xml:space="preserve"> [</w:t>
      </w:r>
      <w:r w:rsidR="005601AC" w:rsidRPr="00322AAF">
        <w:rPr>
          <w:rStyle w:val="LineNumber"/>
          <w:vertAlign w:val="superscript"/>
        </w:rPr>
        <w:fldChar w:fldCharType="begin" w:fldLock="1"/>
      </w:r>
      <w:r w:rsidR="008F457E" w:rsidRPr="00322AAF">
        <w:rPr>
          <w:rStyle w:val="LineNumber"/>
          <w:vertAlign w:val="superscript"/>
        </w:rPr>
        <w:instrText>ADDIN CSL_CITATION {"citationItems":[{"id":"ITEM-1","itemData":{"DOI":"10.3109/17453674.2014.966290","author":[{"dropping-particle":"","family":"Gbejuade","given":"Herbert O","non-dropping-particle":"","parse-names":false,"suffix":""},{"dropping-particle":"","family":"Lovering","given":"Andrew M","non-dropping-particle":"","parse-names":false,"suffix":""},{"dropping-particle":"","family":"Webb","given":"Jason C","non-dropping-particle":"","parse-names":false,"suffix":""}],"container-title":"Acta Orthopaedica","id":"ITEM-1","issue":"2","issued":{"date-parts":[["2015"]]},"note":"PMID: 25238433","page":"147-158","publisher":"Taylor &amp; Francis","title":"The role of microbial biofilms in prosthetic joint infections","type":"article-journal","volume":"86"},"uris":["http://www.mendeley.com/documents/?uuid=33c23595-3761-3cfc-a80e-028017dc998c"]},{"id":"ITEM-2","itemData":{"DOI":"10.2217/fmb.14.64","ISSN":"17460921","abstract":"As the number of total joint arthroplasty and internal fixation procedures continues to rise, the threat of infection following surgery has significant clinical implications. These infections may have highly morbid consequences to patients, who often endure additional surgeries and lengthy exposures to systemic antibiotics, neither of which are guaranteed to resolve the infection. Of particular concern is the threat of bacterial biofilm development, since biofilm-mediated infections are difficult to diagnose and effective treatments are lacking. Developing therapeutic strategies have targeted mechanisms of biofilm formation and the means by which these bacteria communicate with each other to take on specialized roles such as persister cells within the biofilm. In addition, prevention of infection through novel coatings for prostheses and the local delivery of high concentrations of antibiotics by absorbable carriers has shown promise in laboratory and animal studies. Biofilm development, especially in an arthoplasty environment, and future diagnostic and treatment options are discussed.","author":[{"dropping-particle":"","family":"McConoughey","given":"Stephen J.","non-dropping-particle":"","parse-names":false,"suffix":""},{"dropping-particle":"","family":"Howlin","given":"Rob","non-dropping-particle":"","parse-names":false,"suffix":""},{"dropping-particle":"","family":"Granger","given":"Jeff F.","non-dropping-particle":"","parse-names":false,"suffix":""},{"dropping-particle":"","family":"Manring","given":"Maurice M.","non-dropping-particle":"","parse-names":false,"suffix":""},{"dropping-particle":"","family":"Calhoun","given":"Jason H.","non-dropping-particle":"","parse-names":false,"suffix":""},{"dropping-particle":"","family":"Shirtliff","given":"Mark","non-dropping-particle":"","parse-names":false,"suffix":""},{"dropping-particle":"","family":"Kathju","given":"Sandeep","non-dropping-particle":"","parse-names":false,"suffix":""},{"dropping-particle":"","family":"Stoodley","given":"Paul","non-dropping-particle":"","parse-names":false,"suffix":""}],"container-title":"Future Microbiology","id":"ITEM-2","issue":"8","issued":{"date-parts":[["2014"]]},"page":"987-1007","title":"Biofilms in periprosthetic orthopedic infections","type":"article-journal","volume":"9"},"uris":["http://www.mendeley.com/documents/?uuid=be6f951b-5111-4927-913b-a796149dc187"]}],"mendeley":{"formattedCitation":"&lt;sup&gt;7,8&lt;/sup&gt;","plainTextFormattedCitation":"7,8","previouslyFormattedCitation":"&lt;sup&gt;7,8&lt;/sup&gt;"},"properties":{"noteIndex":0},"schema":"https://github.com/citation-style-language/schema/raw/master/csl-citation.json"}</w:instrText>
      </w:r>
      <w:r w:rsidR="005601AC" w:rsidRPr="00322AAF">
        <w:rPr>
          <w:rStyle w:val="LineNumber"/>
          <w:vertAlign w:val="superscript"/>
        </w:rPr>
        <w:fldChar w:fldCharType="separate"/>
      </w:r>
      <w:r w:rsidR="005601AC" w:rsidRPr="00322AAF">
        <w:rPr>
          <w:rStyle w:val="LineNumber"/>
          <w:noProof/>
          <w:vertAlign w:val="superscript"/>
        </w:rPr>
        <w:t>7,8</w:t>
      </w:r>
      <w:r w:rsidR="005601AC" w:rsidRPr="00322AAF">
        <w:rPr>
          <w:rStyle w:val="LineNumber"/>
          <w:vertAlign w:val="superscript"/>
        </w:rPr>
        <w:fldChar w:fldCharType="end"/>
      </w:r>
      <w:r w:rsidR="0016567D">
        <w:rPr>
          <w:rStyle w:val="LineNumber"/>
        </w:rPr>
        <w:t>]</w:t>
      </w:r>
      <w:r w:rsidR="0011221C" w:rsidRPr="008F457E">
        <w:rPr>
          <w:rStyle w:val="LineNumber"/>
        </w:rPr>
        <w:t>.</w:t>
      </w:r>
      <w:r w:rsidR="0011221C">
        <w:rPr>
          <w:rStyle w:val="LineNumber"/>
        </w:rPr>
        <w:t xml:space="preserve"> </w:t>
      </w:r>
      <w:r w:rsidR="00B86E25">
        <w:rPr>
          <w:rStyle w:val="LineNumber"/>
        </w:rPr>
        <w:t>B</w:t>
      </w:r>
      <w:r w:rsidR="0011221C">
        <w:rPr>
          <w:rStyle w:val="LineNumber"/>
        </w:rPr>
        <w:t xml:space="preserve">iofilms are pathogenic communities </w:t>
      </w:r>
      <w:r w:rsidR="003B680A">
        <w:rPr>
          <w:rStyle w:val="LineNumber"/>
        </w:rPr>
        <w:t>that adhere</w:t>
      </w:r>
      <w:r w:rsidR="0011221C">
        <w:rPr>
          <w:rStyle w:val="LineNumber"/>
        </w:rPr>
        <w:t xml:space="preserve"> to living </w:t>
      </w:r>
      <w:r w:rsidR="00566F88">
        <w:rPr>
          <w:rStyle w:val="LineNumber"/>
        </w:rPr>
        <w:t>and</w:t>
      </w:r>
      <w:r w:rsidR="0011221C">
        <w:rPr>
          <w:rStyle w:val="LineNumber"/>
        </w:rPr>
        <w:t xml:space="preserve"> nonliving surfaces </w:t>
      </w:r>
      <w:r w:rsidR="00B86E25">
        <w:rPr>
          <w:rStyle w:val="LineNumber"/>
        </w:rPr>
        <w:t xml:space="preserve">and </w:t>
      </w:r>
      <w:r w:rsidR="003B680A">
        <w:rPr>
          <w:rStyle w:val="LineNumber"/>
        </w:rPr>
        <w:t>exhibit</w:t>
      </w:r>
      <w:r w:rsidR="00B86E25">
        <w:rPr>
          <w:rStyle w:val="LineNumber"/>
        </w:rPr>
        <w:t xml:space="preserve"> greatly</w:t>
      </w:r>
      <w:r w:rsidR="003B680A">
        <w:rPr>
          <w:rStyle w:val="LineNumber"/>
        </w:rPr>
        <w:t xml:space="preserve"> increased antibiotic tolerance</w:t>
      </w:r>
      <w:r w:rsidR="00B86E25">
        <w:rPr>
          <w:rStyle w:val="LineNumber"/>
        </w:rPr>
        <w:t xml:space="preserve"> and resistance against host immunity</w:t>
      </w:r>
      <w:r w:rsidR="003B680A">
        <w:rPr>
          <w:rStyle w:val="LineNumber"/>
        </w:rPr>
        <w:t xml:space="preserve">. </w:t>
      </w:r>
      <w:r w:rsidR="006A587F">
        <w:rPr>
          <w:rStyle w:val="LineNumber"/>
        </w:rPr>
        <w:t>T</w:t>
      </w:r>
      <w:r w:rsidR="00566F88">
        <w:rPr>
          <w:rStyle w:val="LineNumber"/>
        </w:rPr>
        <w:t xml:space="preserve">he </w:t>
      </w:r>
      <w:r w:rsidR="003B680A">
        <w:rPr>
          <w:rStyle w:val="LineNumber"/>
        </w:rPr>
        <w:t xml:space="preserve">establishment of biofilms is assisted by the </w:t>
      </w:r>
      <w:r w:rsidR="00566F88">
        <w:rPr>
          <w:rStyle w:val="LineNumber"/>
        </w:rPr>
        <w:t xml:space="preserve">presence of foreign </w:t>
      </w:r>
      <w:r w:rsidR="003B680A">
        <w:rPr>
          <w:rStyle w:val="LineNumber"/>
        </w:rPr>
        <w:t xml:space="preserve">materials of orthopedic </w:t>
      </w:r>
      <w:r w:rsidR="004A55EC">
        <w:rPr>
          <w:rStyle w:val="LineNumber"/>
        </w:rPr>
        <w:t xml:space="preserve">implant </w:t>
      </w:r>
      <w:r w:rsidR="006A587F">
        <w:rPr>
          <w:rStyle w:val="LineNumber"/>
        </w:rPr>
        <w:t>components, such as</w:t>
      </w:r>
      <w:r w:rsidR="003B680A">
        <w:rPr>
          <w:rStyle w:val="LineNumber"/>
        </w:rPr>
        <w:t xml:space="preserve"> various </w:t>
      </w:r>
      <w:r w:rsidR="006A587F">
        <w:rPr>
          <w:rStyle w:val="LineNumber"/>
        </w:rPr>
        <w:t xml:space="preserve">metals and </w:t>
      </w:r>
      <w:r w:rsidR="003B680A">
        <w:rPr>
          <w:rStyle w:val="LineNumber"/>
        </w:rPr>
        <w:t>polymers</w:t>
      </w:r>
      <w:r w:rsidR="0016567D">
        <w:rPr>
          <w:rStyle w:val="LineNumber"/>
        </w:rPr>
        <w:t xml:space="preserve"> [</w:t>
      </w:r>
      <w:r w:rsidR="005601AC" w:rsidRPr="00322AAF">
        <w:rPr>
          <w:rStyle w:val="LineNumber"/>
          <w:vertAlign w:val="superscript"/>
        </w:rPr>
        <w:fldChar w:fldCharType="begin" w:fldLock="1"/>
      </w:r>
      <w:r w:rsidR="008F457E" w:rsidRPr="00322AAF">
        <w:rPr>
          <w:rStyle w:val="LineNumber"/>
          <w:vertAlign w:val="superscript"/>
        </w:rPr>
        <w:instrText>ADDIN CSL_CITATION {"citationItems":[{"id":"ITEM-1","itemData":{"DOI":"10.1111/joim.12233","ISSN":"13652796","abstract":"Orthopaedic implants are highly susceptible to infection. The aims of treatment of infection associated with internal fixation devices are fracture consolidation and prevention of chronic osteomyelitis. Complete biofilm eradication is not the primary goal, as remaining adherent microorganisms can be removed with the device after fracture consolidation. By contrast, in periprosthetic joint infection (PJI), biofilm elimination is required. Surgical treatment of PJI includes debridement with retention, one- or two-stage exchange and removal without reimplantation. In addition, prolonged antibiotic treatment, preferably with an agent that is effective against biofilm bacteria, is required. Rifampicin is an example of an antibiotic with these properties against staphylococci. However, to avoid the emergence of resistance, rifampicin must always be combined with another antimicrobial agent. With this novel treatment approach, orthopaedic implant-associated infection is likely to be eradicated in up to 80-90% of patients. Because most antibiotics have a limited effect against biofilm infections, novel prophylactic and therapeutic options are needed. Surface coating with antimicrobial peptides that reduce bacterial attachment and biofilm formation can potentially prevent implant-associated infection. In addition, quorum-sensing inhibitors are a novel therapeutic option against biofilm infections. © 2014 The Association for the Publication of the Journal of Internal Medicine.","author":[{"dropping-particle":"","family":"Zimmerli","given":"W.","non-dropping-particle":"","parse-names":false,"suffix":""}],"container-title":"Journal of Internal Medicine","id":"ITEM-1","issue":"2","issued":{"date-parts":[["2014"]]},"page":"111-119","title":"Clinical presentation and treatment of orthopaedic implant-associated infection","type":"article-journal","volume":"276"},"uris":["http://www.mendeley.com/documents/?uuid=4eb29852-7d3b-44ed-8fc8-724314b8bb8a"]},{"id":"ITEM-2","itemData":{"DOI":"10.1111/apm.12923","ISSN":"16000463","abstract":"While the detrimental effects of periprosthetic joint infections (PJIs) are well known, the process of biofilm formation on orthopaedic hardware is unclear. Previous work has shown that encasement of explant hardware in agar can aid in identifying biofilms. This study tested the utility of agar ‘candle dip’ method in detecting and mapping the location of biofilm on infected orthopedic components. Explant components from 15 patients were rinsed, briefly submerged in agar to create a surface coating, and incubated. Larger components were coated by pipetting agar over them. After incubation, colony outgrowth on the component surface was documented (candle dip status). Data were compared with clinical laboratory results (clinical culture status) and the PJI diagnosis using Musculoskeletal Infection Society criteria (MSIS status). All six patients classified as MSIS and clinical culture positive were also positive with the candle dip technique. Of the nine candle dip negative cases, four were positive and five were negative for both MSIS and clinical culture status. Candle dip may be negative in few cases due to the residual antibiotic eluting from the spacers, limiting the growth of bacterial biofilms on the components. The candle dip method shows promise for biofilm mapping but requires additional testing to evaluate the clinical diagnostic potential.","author":[{"dropping-particle":"","family":"Moley","given":"James P.","non-dropping-particle":"","parse-names":false,"suffix":""},{"dropping-particle":"","family":"McGrath","given":"Mary S.","non-dropping-particle":"","parse-names":false,"suffix":""},{"dropping-particle":"","family":"Granger","given":"Jeffrey F.","non-dropping-particle":"","parse-names":false,"suffix":""},{"dropping-particle":"","family":"Sullivan","given":"Anne C.","non-dropping-particle":"","parse-names":false,"suffix":""},{"dropping-particle":"","family":"Stoodley","given":"Paul","non-dropping-particle":"","parse-names":false,"suffix":""},{"dropping-particle":"","family":"Dusane","given":"Devendra H.","non-dropping-particle":"","parse-names":false,"suffix":""}],"container-title":"APMIS","id":"ITEM-2","issue":"3","issued":{"date-parts":[["2019"]]},"page":"123-130","title":"Mapping bacterial biofilms on recovered orthopaedic implants by a novel agar candle dip method","type":"article-journal","volume":"127"},"uris":["http://www.mendeley.com/documents/?uuid=9be75094-ae8b-47c6-bf5c-e0b901b705c3"]}],"mendeley":{"formattedCitation":"&lt;sup&gt;9,10&lt;/sup&gt;","plainTextFormattedCitation":"9,10","previouslyFormattedCitation":"&lt;sup&gt;9,10&lt;/sup&gt;"},"properties":{"noteIndex":0},"schema":"https://github.com/citation-style-language/schema/raw/master/csl-citation.json"}</w:instrText>
      </w:r>
      <w:r w:rsidR="005601AC" w:rsidRPr="00322AAF">
        <w:rPr>
          <w:rStyle w:val="LineNumber"/>
          <w:vertAlign w:val="superscript"/>
        </w:rPr>
        <w:fldChar w:fldCharType="separate"/>
      </w:r>
      <w:r w:rsidR="005601AC" w:rsidRPr="00322AAF">
        <w:rPr>
          <w:rStyle w:val="LineNumber"/>
          <w:noProof/>
          <w:vertAlign w:val="superscript"/>
        </w:rPr>
        <w:t>9,10</w:t>
      </w:r>
      <w:r w:rsidR="005601AC" w:rsidRPr="00322AAF">
        <w:rPr>
          <w:rStyle w:val="LineNumber"/>
          <w:vertAlign w:val="superscript"/>
        </w:rPr>
        <w:fldChar w:fldCharType="end"/>
      </w:r>
      <w:r w:rsidR="0016567D">
        <w:rPr>
          <w:rStyle w:val="LineNumber"/>
        </w:rPr>
        <w:t>]</w:t>
      </w:r>
      <w:r w:rsidR="003B680A">
        <w:rPr>
          <w:rStyle w:val="LineNumber"/>
        </w:rPr>
        <w:t>.</w:t>
      </w:r>
    </w:p>
    <w:p w14:paraId="492DC014" w14:textId="4030B5FF" w:rsidR="008E2339" w:rsidRDefault="003B680A" w:rsidP="00D90B6E">
      <w:pPr>
        <w:spacing w:line="480" w:lineRule="auto"/>
        <w:ind w:firstLine="720"/>
        <w:rPr>
          <w:rStyle w:val="LineNumber"/>
        </w:rPr>
      </w:pPr>
      <w:r>
        <w:rPr>
          <w:rStyle w:val="LineNumber"/>
          <w:i/>
          <w:iCs/>
        </w:rPr>
        <w:t xml:space="preserve">Pseudomonas aeruginosa </w:t>
      </w:r>
      <w:r>
        <w:rPr>
          <w:rStyle w:val="LineNumber"/>
        </w:rPr>
        <w:t xml:space="preserve">is </w:t>
      </w:r>
      <w:r w:rsidR="000A265E">
        <w:rPr>
          <w:rStyle w:val="LineNumber"/>
        </w:rPr>
        <w:t>a</w:t>
      </w:r>
      <w:r w:rsidR="006A587F">
        <w:rPr>
          <w:rStyle w:val="LineNumber"/>
        </w:rPr>
        <w:t xml:space="preserve"> </w:t>
      </w:r>
      <w:r w:rsidR="00E948E4">
        <w:rPr>
          <w:rStyle w:val="LineNumber"/>
        </w:rPr>
        <w:t>G</w:t>
      </w:r>
      <w:r w:rsidR="006A587F">
        <w:rPr>
          <w:rStyle w:val="LineNumber"/>
        </w:rPr>
        <w:t>ram-negative</w:t>
      </w:r>
      <w:r w:rsidR="000A265E">
        <w:rPr>
          <w:rStyle w:val="LineNumber"/>
        </w:rPr>
        <w:t xml:space="preserve"> opportunistic nosocomial pathogen</w:t>
      </w:r>
      <w:r w:rsidR="006F7581">
        <w:rPr>
          <w:rStyle w:val="LineNumber"/>
        </w:rPr>
        <w:t xml:space="preserve"> and is cultured </w:t>
      </w:r>
      <w:r w:rsidR="00D66EE1">
        <w:rPr>
          <w:rStyle w:val="LineNumber"/>
        </w:rPr>
        <w:t xml:space="preserve">up to 20% of the time </w:t>
      </w:r>
      <w:r w:rsidR="006F7581">
        <w:rPr>
          <w:rStyle w:val="LineNumber"/>
        </w:rPr>
        <w:t>in chronic</w:t>
      </w:r>
      <w:r w:rsidR="00D66EE1">
        <w:rPr>
          <w:rStyle w:val="LineNumber"/>
        </w:rPr>
        <w:t xml:space="preserve"> </w:t>
      </w:r>
      <w:r w:rsidR="00AB405C">
        <w:rPr>
          <w:rStyle w:val="LineNumber"/>
        </w:rPr>
        <w:t>Gram</w:t>
      </w:r>
      <w:r w:rsidR="00D66EE1">
        <w:rPr>
          <w:rStyle w:val="LineNumber"/>
        </w:rPr>
        <w:t>-negative</w:t>
      </w:r>
      <w:r w:rsidR="006F7581">
        <w:rPr>
          <w:rStyle w:val="LineNumber"/>
        </w:rPr>
        <w:t xml:space="preserve"> PJI</w:t>
      </w:r>
      <w:r w:rsidR="0016567D">
        <w:rPr>
          <w:rStyle w:val="LineNumber"/>
        </w:rPr>
        <w:t xml:space="preserve"> [</w:t>
      </w:r>
      <w:r w:rsidR="005601AC" w:rsidRPr="00322AAF">
        <w:rPr>
          <w:rStyle w:val="LineNumber"/>
          <w:rFonts w:cs="Times New Roman"/>
          <w:vertAlign w:val="superscript"/>
        </w:rPr>
        <w:fldChar w:fldCharType="begin" w:fldLock="1"/>
      </w:r>
      <w:r w:rsidR="008F457E" w:rsidRPr="00322AAF">
        <w:rPr>
          <w:rStyle w:val="LineNumber"/>
          <w:rFonts w:cs="Times New Roman"/>
          <w:vertAlign w:val="superscript"/>
        </w:rPr>
        <w:instrText>ADDIN CSL_CITATION {"citationItems":[{"id":"ITEM-1","itemData":{"DOI":"10.2217/fmb.14.64","ISSN":"17460921","abstract":"As the number of total joint arthroplasty and internal fixation procedures continues to rise, the threat of infection following surgery has significant clinical implications. These infections may have highly morbid consequences to patients, who often endure additional surgeries and lengthy exposures to systemic antibiotics, neither of which are guaranteed to resolve the infection. Of particular concern is the threat of bacterial biofilm development, since biofilm-mediated infections are difficult to diagnose and effective treatments are lacking. Developing therapeutic strategies have targeted mechanisms of biofilm formation and the means by which these bacteria communicate with each other to take on specialized roles such as persister cells within the biofilm. In addition, prevention of infection through novel coatings for prostheses and the local delivery of high concentrations of antibiotics by absorbable carriers has shown promise in laboratory and animal studies. Biofilm development, especially in an arthoplasty environment, and future diagnostic and treatment options are discussed.","author":[{"dropping-particle":"","family":"McConoughey","given":"Stephen J.","non-dropping-particle":"","parse-names":false,"suffix":""},{"dropping-particle":"","family":"Howlin","given":"Rob","non-dropping-particle":"","parse-names":false,"suffix":""},{"dropping-particle":"","family":"Granger","given":"Jeff F.","non-dropping-particle":"","parse-names":false,"suffix":""},{"dropping-particle":"","family":"Manring","given":"Maurice M.","non-dropping-particle":"","parse-names":false,"suffix":""},{"dropping-particle":"","family":"Calhoun","given":"Jason H.","non-dropping-particle":"","parse-names":false,"suffix":""},{"dropping-particle":"","family":"Shirtliff","given":"Mark","non-dropping-particle":"","parse-names":false,"suffix":""},{"dropping-particle":"","family":"Kathju","given":"Sandeep","non-dropping-particle":"","parse-names":false,"suffix":""},{"dropping-particle":"","family":"Stoodley","given":"Paul","non-dropping-particle":"","parse-names":false,"suffix":""}],"container-title":"Future Microbiology","id":"ITEM-1","issue":"8","issued":{"date-parts":[["2014"]]},"page":"987-1007","title":"Biofilms in periprosthetic orthopedic infections","type":"article-journal","volume":"9"},"uris":["http://www.mendeley.com/documents/?uuid=be6f951b-5111-4927-913b-a796149dc187"]},{"id":"ITEM-2","itemData":{"DOI":"10.1016/j.arth.2011.03.044","ISSN":"15328406","abstract":"Traditionally, periprosthetic joint infections (PJIs) due to gram-negative organisms are considered more difficult to manage; however, little literature exists with regard to outcome of PJI caused by gram-negative organisms. We identified 277 patients with 282 culture-positive PJI receiving surgical treatment. Thirty-one joints were treated for gram-negative PJI. The gramnegative group was then compared with the gram-positive and polymicrobial PJI. A single debridement and retention of prosthesis were successful in 70% (7/10) of isolated gram negative compared with 33.3% (13/39) of methicillin-sensitive gram positive, 48.9% (23/47) of methicillin-resistant gram positive, and 57.1% (4/7) of polymicrobial. Of those patients undergoing a planned 2-stage exchange, a successful reimplantation was performed in 52% (12/23) of gram-negative, 51% (52/103) of methicillin-resistant gram-positive, 69% (65/94) of methicillin-sensitive gram-positive, and 0% (0/8) of polymicrobial PJI cases. These results indicate that PJI due to gram-negative pathogens, although less common, is difficult to treat and is associated with limited success. © 2011 Elsevier Inc.","author":[{"dropping-particle":"","family":"Zmistowski","given":"Benjamin","non-dropping-particle":"","parse-names":false,"suffix":""},{"dropping-particle":"","family":"Fedorka","given":"Catherine J.","non-dropping-particle":"","parse-names":false,"suffix":""},{"dropping-particle":"","family":"Sheehan","given":"Eoin","non-dropping-particle":"","parse-names":false,"suffix":""},{"dropping-particle":"","family":"Deirmengian","given":"Gregory","non-dropping-particle":"","parse-names":false,"suffix":""},{"dropping-particle":"","family":"Austin","given":"Matthew S.","non-dropping-particle":"","parse-names":false,"suffix":""},{"dropping-particle":"","family":"Parvizi","given":"Javad","non-dropping-particle":"","parse-names":false,"suffix":""}],"container-title":"Journal of Arthroplasty","id":"ITEM-2","issue":"6","issued":{"date-parts":[["2011"]]},"page":"104-108","publisher":"Elsevier Inc.","title":"Prosthetic joint infection caused by gram-negative organisms","type":"article-journal","volume":"26"},"uris":["http://www.mendeley.com/documents/?uuid=56c3181b-61fd-4e53-a7b8-8be9d66664aa"]}],"mendeley":{"formattedCitation":"&lt;sup&gt;8,11&lt;/sup&gt;","plainTextFormattedCitation":"8,11","previouslyFormattedCitation":"&lt;sup&gt;8,11&lt;/sup&gt;"},"properties":{"noteIndex":0},"schema":"https://github.com/citation-style-language/schema/raw/master/csl-citation.json"}</w:instrText>
      </w:r>
      <w:r w:rsidR="005601AC" w:rsidRPr="00322AAF">
        <w:rPr>
          <w:rStyle w:val="LineNumber"/>
          <w:rFonts w:cs="Times New Roman"/>
          <w:vertAlign w:val="superscript"/>
        </w:rPr>
        <w:fldChar w:fldCharType="separate"/>
      </w:r>
      <w:r w:rsidR="005601AC" w:rsidRPr="00322AAF">
        <w:rPr>
          <w:rStyle w:val="LineNumber"/>
          <w:rFonts w:cs="Times New Roman"/>
          <w:noProof/>
          <w:vertAlign w:val="superscript"/>
        </w:rPr>
        <w:t>8,11</w:t>
      </w:r>
      <w:r w:rsidR="005601AC" w:rsidRPr="00322AAF">
        <w:rPr>
          <w:rStyle w:val="LineNumber"/>
          <w:rFonts w:cs="Times New Roman"/>
          <w:vertAlign w:val="superscript"/>
        </w:rPr>
        <w:fldChar w:fldCharType="end"/>
      </w:r>
      <w:r w:rsidR="00D66EE1" w:rsidRPr="00322AAF">
        <w:rPr>
          <w:rStyle w:val="LineNumber"/>
          <w:rFonts w:cs="Times New Roman"/>
          <w:vertAlign w:val="superscript"/>
        </w:rPr>
        <w:t>,</w:t>
      </w:r>
      <w:r w:rsidR="00D66EE1" w:rsidRPr="00322AAF">
        <w:rPr>
          <w:rStyle w:val="LineNumber"/>
          <w:rFonts w:cs="Times New Roman"/>
          <w:vertAlign w:val="superscript"/>
        </w:rPr>
        <w:fldChar w:fldCharType="begin" w:fldLock="1"/>
      </w:r>
      <w:r w:rsidR="00D66EE1" w:rsidRPr="00322AAF">
        <w:rPr>
          <w:rStyle w:val="LineNumber"/>
          <w:rFonts w:cs="Times New Roman"/>
          <w:vertAlign w:val="superscript"/>
        </w:rPr>
        <w:instrText>ADDIN CSL_CITATION {"citationItems":[{"id":"ITEM-1","itemData":{"DOI":"10.1111/1469-0691.12649","ISSN":"14690691","PMID":"24766536","abstract":"We aim to evaluate the epidemiology and outcome of gram-negative prosthetic joint infection (GN-PJI) treated with debridement, antibiotics and implant retention (DAIR), identify factors predictive of failure, and determine the impact of ciprofloxacin use on prognosis. We performed a retrospective, multicentre, observational study of GN-PJI diagnosed from 2003 through to 2010 in 16 Spanish hospitals. We define failure as persistence or reappearance of the inflammatory joint signs during follow-up, leading to unplanned surgery or repeat debridement &gt;30 days from the index surgery related death, or suppressive antimicrobial therapy. Parameters predicting failure were analysed with a Cox regression model. A total of 242 patients (33% men; median age 76 years, interquartile range (IQR) 68-81) with 242 episodes of GN-PJI were studied. The implants included 150 (62%) hip, 85 (35%) knee, five (2%) shoulder and two (1%) elbow prostheses. There were 189 (78%) acute infections. Causative microorganisms were Enterobacteriaceae in 78%, Pseudomonas spp. in 20%, and other gram-negative bacilli in 2%. Overall, 19% of isolates were ciprofloxacin resistant. DAIR was used in 174 (72%) cases, with an overall success rate of 68%, which increased to 79% after a median of 25 months' follow-up in ciprofloxacin-susceptible GN-PJIs treated with ciprofloxacin. Ciprofloxacin treatment exhibited an independent protective effect (adjusted hazard ratio (aHR) 0.23; 95% CI, 0.13-0.40; p &lt;0.001), whereas chronic renal impairment predicted failure (aHR, 2.56; 95% CI, 1.14-5.77; p 0.0232). Our results confirm a 79% success rate in ciprofloxacin-susceptible GN-PJI treated with debridement, ciprofloxacin and implant retention. New therapeutic strategies are needed for ciprofloxacin-resistant PJI.","author":[{"dropping-particle":"","family":"Rodríguez-Pardo","given":"D.","non-dropping-particle":"","parse-names":false,"suffix":""},{"dropping-particle":"","family":"Pigrau","given":"C.","non-dropping-particle":"","parse-names":false,"suffix":""},{"dropping-particle":"","family":"Lora-Tamayo","given":"J.","non-dropping-particle":"","parse-names":false,"suffix":""},{"dropping-particle":"","family":"Soriano","given":"A.","non-dropping-particle":"","parse-names":false,"suffix":""},{"dropping-particle":"","family":"Toro","given":"M. D.","non-dropping-particle":"del","parse-names":false,"suffix":""},{"dropping-particle":"","family":"Cobo","given":"J.","non-dropping-particle":"","parse-names":false,"suffix":""},{"dropping-particle":"","family":"Palomino","given":"J.","non-dropping-particle":"","parse-names":false,"suffix":""},{"dropping-particle":"","family":"Euba","given":"G.","non-dropping-particle":"","parse-names":false,"suffix":""},{"dropping-particle":"","family":"Riera","given":"M.","non-dropping-particle":"","parse-names":false,"suffix":""},{"dropping-particle":"","family":"Sánchez-Somolinos","given":"M.","non-dropping-particle":"","parse-names":false,"suffix":""},{"dropping-particle":"","family":"Benito","given":"N.","non-dropping-particle":"","parse-names":false,"suffix":""},{"dropping-particle":"","family":"Fernández-Sampedro","given":"M.","non-dropping-particle":"","parse-names":false,"suffix":""},{"dropping-particle":"","family":"Sorli","given":"L.","non-dropping-particle":"","parse-names":false,"suffix":""},{"dropping-particle":"","family":"Guio","given":"L.","non-dropping-particle":"","parse-names":false,"suffix":""},{"dropping-particle":"","family":"Iribarren","given":"J. A.","non-dropping-particle":"","parse-names":false,"suffix":""},{"dropping-particle":"","family":"Baraia-Etxaburu","given":"J. M.","non-dropping-particle":"","parse-names":false,"suffix":""},{"dropping-particle":"","family":"Ramos","given":"A.","non-dropping-particle":"","parse-names":false,"suffix":""},{"dropping-particle":"","family":"Bahamonde","given":"A.","non-dropping-particle":"","parse-names":false,"suffix":""},{"dropping-particle":"","family":"Flores-Sánchez","given":"X.","non-dropping-particle":"","parse-names":false,"suffix":""},{"dropping-particle":"","family":"Corona","given":"P. S.","non-dropping-particle":"","parse-names":false,"suffix":""},{"dropping-particle":"","family":"Ariza","given":"J.","non-dropping-particle":"","parse-names":false,"suffix":""},{"dropping-particle":"","family":"Amat","given":"Carles","non-dropping-particle":"","parse-names":false,"suffix":""},{"dropping-particle":"","family":"Larrosa","given":"M. Nieves","non-dropping-particle":"","parse-names":false,"suffix":""},{"dropping-particle":"","family":"Puig","given":"Mireia","non-dropping-particle":"","parse-names":false,"suffix":""},{"dropping-particle":"","family":"Murillo","given":"Oscar","non-dropping-particle":"","parse-names":false,"suffix":""},{"dropping-particle":"","family":"Cabo","given":"Xavier","non-dropping-particle":"","parse-names":false,"suffix":""},{"dropping-particle":"","family":"Goenaga","given":"Miguel Ángel","non-dropping-particle":"","parse-names":false,"suffix":""},{"dropping-particle":"","family":"Elola","given":"Maitane","non-dropping-particle":"","parse-names":false,"suffix":""},{"dropping-particle":"","family":"la Herrán","given":"Gaspar","non-dropping-particle":"De","parse-names":false,"suffix":""},{"dropping-particle":"","family":"Garcia-Arenzana","given":"José Ma","non-dropping-particle":"","parse-names":false,"suffix":""},{"dropping-particle":"","family":"García-Ramiro","given":"Sebastián","non-dropping-particle":"","parse-names":false,"suffix":""},{"dropping-particle":"","family":"Martínez-Pastor","given":"Juan Carlos","non-dropping-particle":"","parse-names":false,"suffix":""},{"dropping-particle":"","family":"Tornero","given":"Eduard","non-dropping-particle":"","parse-names":false,"suffix":""},{"dropping-particle":"","family":"García-Lechuz","given":"Juan Manuel","non-dropping-particle":"","parse-names":false,"suffix":""},{"dropping-particle":"","family":"Marín","given":"Mercedes","non-dropping-particle":"","parse-names":false,"suffix":""},{"dropping-particle":"","family":"Villanueva","given":"Manuel","non-dropping-particle":"","parse-names":false,"suffix":""},{"dropping-particle":"","family":"López","given":"Inigo","non-dropping-particle":"","parse-names":false,"suffix":""},{"dropping-particle":"","family":"Cisterna","given":"Ramón","non-dropping-particle":"","parse-names":false,"suffix":""},{"dropping-particle":"","family":"Santamaría","given":"Juan Miguel","non-dropping-particle":"","parse-names":false,"suffix":""},{"dropping-particle":"","family":"Gómez","given":"María José","non-dropping-particle":"","parse-names":false,"suffix":""},{"dropping-particle":"","family":"Puente","given":"Andrés","non-dropping-particle":"","parse-names":false,"suffix":""},{"dropping-particle":"","family":"Cano","given":"Pedro","non-dropping-particle":"","parse-names":false,"suffix":""},{"dropping-particle":"","family":"Horcajada","given":"Juan Pablo","non-dropping-particle":"","parse-names":false,"suffix":""},{"dropping-particle":"","family":"González-Mínguez","given":"Paula","non-dropping-particle":"","parse-names":false,"suffix":""},{"dropping-particle":"","family":"Portillo","given":"Eugenia","non-dropping-particle":"","parse-names":false,"suffix":""},{"dropping-particle":"","family":"Puig","given":"Lluis","non-dropping-particle":"","parse-names":false,"suffix":""},{"dropping-particle":"","family":"Franco","given":"María","non-dropping-particle":"","parse-names":false,"suffix":""},{"dropping-particle":"","family":"Jordán","given":"Marcos","non-dropping-particle":"","parse-names":false,"suffix":""},{"dropping-particle":"","family":"Coll","given":"Pere","non-dropping-particle":"","parse-names":false,"suffix":""},{"dropping-particle":"","family":"Amador-Mellado","given":"Juan","non-dropping-particle":"","parse-names":false,"suffix":""},{"dropping-particle":"","family":"Fuster-Foz","given":"Carlos","non-dropping-particle":"","parse-names":false,"suffix":""},{"dropping-particle":"","family":"García-Paíno","given":"Luis","non-dropping-particle":"","parse-names":false,"suffix":""},{"dropping-particle":"","family":"Nieto","given":"Isabel","non-dropping-particle":"","parse-names":false,"suffix":""},{"dropping-particle":"","family":"Muniain","given":"Miguel Ángel","non-dropping-particle":"","parse-names":false,"suffix":""},{"dropping-particle":"","family":"Suárez","given":"Ana Isabel","non-dropping-particle":"","parse-names":false,"suffix":""},{"dropping-particle":"","family":"Praena","given":"Julia","non-dropping-particle":"","parse-names":false,"suffix":""},{"dropping-particle":"","family":"Gómez","given":"María José","non-dropping-particle":"","parse-names":false,"suffix":""},{"dropping-particle":"","family":"Puente","given":"Andrés","non-dropping-particle":"","parse-names":false,"suffix":""},{"dropping-particle":"","family":"Maseguer","given":"María Antonia","non-dropping-particle":"","parse-names":false,"suffix":""},{"dropping-particle":"","family":"Garagorri","given":"Eduardo","non-dropping-particle":"","parse-names":false,"suffix":""},{"dropping-particle":"","family":"Pintado","given":"Vicente","non-dropping-particle":"","parse-names":false,"suffix":""},{"dropping-particle":"","family":"Marinescu","given":"Carmen","non-dropping-particle":"","parse-names":false,"suffix":""},{"dropping-particle":"","family":"Ramírez","given":"Antonio","non-dropping-particle":"","parse-names":false,"suffix":""},{"dropping-particle":"","family":"Montaner","given":"Francisco","non-dropping-particle":"","parse-names":false,"suffix":""},{"dropping-particle":"","family":"Múñez","given":"Elena","non-dropping-particle":"","parse-names":false,"suffix":""},{"dropping-particle":"","family":"Álvarez","given":"Teresa","non-dropping-particle":"","parse-names":false,"suffix":""},{"dropping-particle":"","family":"García","given":"Rodrigo","non-dropping-particle":"","parse-names":false,"suffix":""},{"dropping-particle":"","family":"Puente","given":"Elena","non-dropping-particle":"","parse-names":false,"suffix":""},{"dropping-particle":"","family":"Salas","given":"Carlos","non-dropping-particle":"","parse-names":false,"suffix":""},{"dropping-particle":"","family":"Fariñas","given":"María Carmen","non-dropping-particle":"","parse-names":false,"suffix":""},{"dropping-particle":"","family":"Pérez","given":"Josu Merino","non-dropping-particle":"","parse-names":false,"suffix":""},{"dropping-particle":"","family":"Achabal","given":"Begoña Vilar","non-dropping-particle":"","parse-names":false,"suffix":""},{"dropping-particle":"","family":"Montejo Baranda","given":"José Miguel","non-dropping-particle":"","parse-names":false,"suffix":""}],"container-title":"Clinical Microbiology and Infection","id":"ITEM-1","issue":"11","issued":{"date-parts":[["2014"]]},"page":"911-919","title":"Gram-negative prosthetic joint infection: Outcome of a debridement, antibiotics and implant retention approach. A large multicentre study","type":"article-journal","volume":"20"},"uris":["http://www.mendeley.com/documents/?uuid=41d71c38-271e-48dd-b863-2cb82cfa8783"]}],"mendeley":{"formattedCitation":"&lt;sup&gt;12&lt;/sup&gt;","plainTextFormattedCitation":"12","previouslyFormattedCitation":"&lt;sup&gt;12&lt;/sup&gt;"},"properties":{"noteIndex":0},"schema":"https://github.com/citation-style-language/schema/raw/master/csl-citation.json"}</w:instrText>
      </w:r>
      <w:r w:rsidR="00D66EE1" w:rsidRPr="00322AAF">
        <w:rPr>
          <w:rStyle w:val="LineNumber"/>
          <w:rFonts w:cs="Times New Roman"/>
          <w:vertAlign w:val="superscript"/>
        </w:rPr>
        <w:fldChar w:fldCharType="separate"/>
      </w:r>
      <w:r w:rsidR="00D66EE1" w:rsidRPr="00322AAF">
        <w:rPr>
          <w:rStyle w:val="LineNumber"/>
          <w:rFonts w:cs="Times New Roman"/>
          <w:noProof/>
          <w:vertAlign w:val="superscript"/>
        </w:rPr>
        <w:t>12</w:t>
      </w:r>
      <w:r w:rsidR="00D66EE1" w:rsidRPr="00322AAF">
        <w:rPr>
          <w:rStyle w:val="LineNumber"/>
          <w:rFonts w:cs="Times New Roman"/>
          <w:vertAlign w:val="superscript"/>
        </w:rPr>
        <w:fldChar w:fldCharType="end"/>
      </w:r>
      <w:r w:rsidR="0016567D">
        <w:rPr>
          <w:rStyle w:val="LineNumber"/>
        </w:rPr>
        <w:t>]</w:t>
      </w:r>
      <w:r>
        <w:rPr>
          <w:rStyle w:val="LineNumber"/>
        </w:rPr>
        <w:t>.</w:t>
      </w:r>
      <w:r w:rsidR="00CC4DBC">
        <w:rPr>
          <w:rStyle w:val="LineNumber"/>
        </w:rPr>
        <w:t xml:space="preserve"> In previous </w:t>
      </w:r>
      <w:r w:rsidR="00CC4DBC" w:rsidRPr="007054DC">
        <w:rPr>
          <w:rStyle w:val="LineNumber"/>
          <w:i/>
          <w:iCs/>
        </w:rPr>
        <w:t>in vitro</w:t>
      </w:r>
      <w:r w:rsidR="00CC4DBC">
        <w:rPr>
          <w:rStyle w:val="LineNumber"/>
        </w:rPr>
        <w:t xml:space="preserve"> studies, </w:t>
      </w:r>
      <w:r w:rsidR="00CC4DBC">
        <w:rPr>
          <w:rStyle w:val="LineNumber"/>
          <w:i/>
          <w:iCs/>
        </w:rPr>
        <w:t xml:space="preserve">P. aeruginosa </w:t>
      </w:r>
      <w:r w:rsidR="00CC4DBC">
        <w:rPr>
          <w:rStyle w:val="LineNumber"/>
        </w:rPr>
        <w:t>has shown the ability to display tolerance and resistance to antibiotics</w:t>
      </w:r>
      <w:r w:rsidR="000A265E">
        <w:rPr>
          <w:rStyle w:val="LineNumber"/>
        </w:rPr>
        <w:t xml:space="preserve"> commonly used to treat PJIs</w:t>
      </w:r>
      <w:r w:rsidR="001A55E4">
        <w:rPr>
          <w:rStyle w:val="LineNumber"/>
        </w:rPr>
        <w:t xml:space="preserve"> </w:t>
      </w:r>
      <w:r w:rsidR="0016567D">
        <w:rPr>
          <w:rStyle w:val="LineNumber"/>
        </w:rPr>
        <w:t>[</w:t>
      </w:r>
      <w:r w:rsidR="005601AC" w:rsidRPr="00322AAF">
        <w:rPr>
          <w:rStyle w:val="LineNumber"/>
          <w:vertAlign w:val="superscript"/>
        </w:rPr>
        <w:fldChar w:fldCharType="begin" w:fldLock="1"/>
      </w:r>
      <w:r w:rsidR="00D66EE1" w:rsidRPr="00322AAF">
        <w:rPr>
          <w:rStyle w:val="LineNumber"/>
          <w:vertAlign w:val="superscript"/>
        </w:rPr>
        <w:instrText>ADDIN CSL_CITATION {"citationItems":[{"id":"ITEM-1","itemData":{"DOI":"10.3390/MA12244052","ISSN":"19961944","abstract":"© 2019 by the authors. Background: Pseudomonas aeruginosa (PA) and Staphylococcus aureus (SA) are the major causative agents of acute and chronic infections. Antibiotic-loaded calcium sulfate beads (ALCSB) are used in the management of musculoskeletal infections such as periprosthetic joint infections (PJI). Methods: To determine whether the number and spatial distribution of ALCSB are important factors to totally eradicate biofilms, ALCSBs containing vancomycin and tobramycin were placed on 24 h agar lawn biofilms as a single bead in the center, or as 16 beads placed as four clusters of four, a ring around the edge and as a group in the center or 19 beads evenly across the plate. Bioluminescence was used to assess spatial metabolic activity in real time. Replica plating was used to assess viability. Results: For both strains antibiotics released from the beads completely killed biofilm bacteria in a zone immediately adjacent to each bead. However, for PA extended incubation revealed the emergence of resistant colony phenotypes between the zone of eradication and the background lawn. The rate of biofilm clearing was greater when the beads were distributed evenly over the plate. Conclusions: Both number and distribution pattern of ALCSB are important to ensure adequate coverage of antibiotics required to eradicate biofilms.","author":[{"dropping-particle":"","family":"Dusane","given":"D.H.","non-dropping-particle":"","parse-names":false,"suffix":""},{"dropping-particle":"","family":"Brooks","given":"J.R.","non-dropping-particle":"","parse-names":false,"suffix":""},{"dropping-particle":"","family":"Sindeldecker","given":"D.","non-dropping-particle":"","parse-names":false,"suffix":""},{"dropping-particle":"","family":"Peters","given":"C.W.","non-dropping-particle":"","parse-names":false,"suffix":""},{"dropping-particle":"","family":"Li","given":"A.","non-dropping-particle":"","parse-names":false,"suffix":""},{"dropping-particle":"","family":"Farrar","given":"N.R.","non-dropping-particle":"","parse-names":false,"suffix":""},{"dropping-particle":"","family":"Diamond","given":"S.M.","non-dropping-particle":"","parse-names":false,"suffix":""},{"dropping-particle":"","family":"Knecht","given":"C.S.","non-dropping-particle":"","parse-names":false,"suffix":""},{"dropping-particle":"","family":"Plaut","given":"R.D.","non-dropping-particle":"","parse-names":false,"suffix":""},{"dropping-particle":"","family":"Delury","given":"C.","non-dropping-particle":"","parse-names":false,"suffix":""},{"dropping-particle":"","family":"Aiken","given":"S.S.","non-dropping-particle":"","parse-names":false,"suffix":""},{"dropping-particle":"","family":"Laycock","given":"P.A.","non-dropping-particle":"","parse-names":false,"suffix":""},{"dropping-particle":"","family":"Sullivan","given":"A.","non-dropping-particle":"","parse-names":false,"suffix":""},{"dropping-particle":"","family":"Granger","given":"J.F.","non-dropping-particle":"","parse-names":false,"suffix":""},{"dropping-particle":"","family":"Stoodley","given":"P.","non-dropping-particle":"","parse-names":false,"suffix":""}],"container-title":"Materials","id":"ITEM-1","issue":"24","issued":{"date-parts":[["2019"]]},"title":"Complete killing of agar lawn biofilms by systematic spacing of antibiotic-loaded calcium sulfate beads","type":"article-journal","volume":"12"},"uris":["http://www.mendeley.com/documents/?uuid=987bbac4-e903-3338-94eb-ecda7906e449"]}],"mendeley":{"formattedCitation":"&lt;sup&gt;13&lt;/sup&gt;","plainTextFormattedCitation":"13","previouslyFormattedCitation":"&lt;sup&gt;13&lt;/sup&gt;"},"properties":{"noteIndex":0},"schema":"https://github.com/citation-style-language/schema/raw/master/csl-citation.json"}</w:instrText>
      </w:r>
      <w:r w:rsidR="005601AC" w:rsidRPr="00322AAF">
        <w:rPr>
          <w:rStyle w:val="LineNumber"/>
          <w:vertAlign w:val="superscript"/>
        </w:rPr>
        <w:fldChar w:fldCharType="separate"/>
      </w:r>
      <w:r w:rsidR="00D66EE1" w:rsidRPr="00322AAF">
        <w:rPr>
          <w:rStyle w:val="LineNumber"/>
          <w:noProof/>
          <w:vertAlign w:val="superscript"/>
        </w:rPr>
        <w:t>13</w:t>
      </w:r>
      <w:r w:rsidR="005601AC" w:rsidRPr="00322AAF">
        <w:rPr>
          <w:rStyle w:val="LineNumber"/>
          <w:vertAlign w:val="superscript"/>
        </w:rPr>
        <w:fldChar w:fldCharType="end"/>
      </w:r>
      <w:r w:rsidR="0016567D">
        <w:rPr>
          <w:rStyle w:val="LineNumber"/>
        </w:rPr>
        <w:t>]</w:t>
      </w:r>
      <w:r w:rsidR="00CC4DBC" w:rsidRPr="0016567D">
        <w:rPr>
          <w:rStyle w:val="LineNumber"/>
        </w:rPr>
        <w:t>.</w:t>
      </w:r>
      <w:r w:rsidR="00CC4DBC">
        <w:rPr>
          <w:rStyle w:val="LineNumber"/>
        </w:rPr>
        <w:t xml:space="preserve"> </w:t>
      </w:r>
      <w:r w:rsidR="00207804">
        <w:rPr>
          <w:rStyle w:val="LineNumber"/>
        </w:rPr>
        <w:t xml:space="preserve">Although the </w:t>
      </w:r>
      <w:r w:rsidR="006A587F">
        <w:rPr>
          <w:rStyle w:val="LineNumber"/>
        </w:rPr>
        <w:t>G</w:t>
      </w:r>
      <w:r w:rsidR="001A55E4">
        <w:rPr>
          <w:rStyle w:val="LineNumber"/>
        </w:rPr>
        <w:t>ram-positive</w:t>
      </w:r>
      <w:r w:rsidR="00207804">
        <w:rPr>
          <w:rStyle w:val="LineNumber"/>
        </w:rPr>
        <w:t xml:space="preserve"> Staphylococci are the most commonly isolated pathogen</w:t>
      </w:r>
      <w:r w:rsidR="001A55E4">
        <w:rPr>
          <w:rStyle w:val="LineNumber"/>
        </w:rPr>
        <w:t>s</w:t>
      </w:r>
      <w:r w:rsidR="00207804">
        <w:rPr>
          <w:rStyle w:val="LineNumber"/>
        </w:rPr>
        <w:t xml:space="preserve"> from PJI</w:t>
      </w:r>
      <w:r w:rsidR="005D7115">
        <w:rPr>
          <w:rStyle w:val="LineNumber"/>
        </w:rPr>
        <w:t>,</w:t>
      </w:r>
      <w:r w:rsidR="00207804">
        <w:rPr>
          <w:rStyle w:val="LineNumber"/>
        </w:rPr>
        <w:t xml:space="preserve"> </w:t>
      </w:r>
      <w:r w:rsidR="00857576" w:rsidRPr="00857576">
        <w:rPr>
          <w:rStyle w:val="LineNumber"/>
        </w:rPr>
        <w:t xml:space="preserve">the infecting organism (or organisms) </w:t>
      </w:r>
      <w:r w:rsidR="00134188">
        <w:rPr>
          <w:rStyle w:val="LineNumber"/>
        </w:rPr>
        <w:t>may</w:t>
      </w:r>
      <w:r w:rsidR="008A0F85">
        <w:rPr>
          <w:rStyle w:val="LineNumber"/>
        </w:rPr>
        <w:t xml:space="preserve"> </w:t>
      </w:r>
      <w:r w:rsidR="00857576" w:rsidRPr="00857576">
        <w:rPr>
          <w:rStyle w:val="LineNumber"/>
        </w:rPr>
        <w:t>not</w:t>
      </w:r>
      <w:r w:rsidR="00156894">
        <w:rPr>
          <w:rStyle w:val="LineNumber"/>
        </w:rPr>
        <w:t xml:space="preserve"> be</w:t>
      </w:r>
      <w:r w:rsidR="00857576" w:rsidRPr="00857576">
        <w:rPr>
          <w:rStyle w:val="LineNumber"/>
        </w:rPr>
        <w:t xml:space="preserve"> </w:t>
      </w:r>
      <w:r w:rsidR="006A587F">
        <w:rPr>
          <w:rStyle w:val="LineNumber"/>
        </w:rPr>
        <w:t>cultured</w:t>
      </w:r>
      <w:r w:rsidR="00D66EE1">
        <w:rPr>
          <w:rStyle w:val="LineNumber"/>
        </w:rPr>
        <w:t xml:space="preserve"> </w:t>
      </w:r>
      <w:r w:rsidR="009B7706">
        <w:rPr>
          <w:rStyle w:val="LineNumber"/>
        </w:rPr>
        <w:t xml:space="preserve">as much as </w:t>
      </w:r>
      <w:r w:rsidR="00D66EE1">
        <w:rPr>
          <w:rStyle w:val="LineNumber"/>
        </w:rPr>
        <w:t>up to 25% of the time</w:t>
      </w:r>
      <w:r w:rsidR="0016567D">
        <w:rPr>
          <w:rStyle w:val="LineNumber"/>
        </w:rPr>
        <w:t xml:space="preserve"> [</w:t>
      </w:r>
      <w:r w:rsidR="00400A7F" w:rsidRPr="00322AAF">
        <w:rPr>
          <w:rStyle w:val="LineNumber"/>
          <w:vertAlign w:val="superscript"/>
        </w:rPr>
        <w:fldChar w:fldCharType="begin" w:fldLock="1"/>
      </w:r>
      <w:r w:rsidR="000E498B">
        <w:rPr>
          <w:rStyle w:val="LineNumber"/>
          <w:vertAlign w:val="superscript"/>
        </w:rPr>
        <w:instrText>ADDIN CSL_CITATION {"citationItems":[{"id":"ITEM-1","itemData":{"DOI":"10.1016/S0140-6736(14)61798-0","ISSN":"1474547X","abstract":"Summary Periprosthetic joint infections are a devastating complication after arthroplasty and are associated with substantial patient morbidity. More than 25% of revisions are attributed to these infections, which are expected to increase. The increased prevalence of obesity, diabetes, and other comorbidities are some of the reasons for this increase. Recognition of the challenge of surgical site infections in general, and periprosthetic joint infections particularly, has prompted implementation of enhanced prevention measures preoperatively (glycaemic control, skin decontamination, decolonisation, etc), intraoperatively (ultraclean operative environment, blood conservation, etc), and postoperatively (refined anticoagulation, improved wound dressings, etc). Additionally, indications for surgical management have been refined. In this Review, we assess risk factors, preventive measures, diagnoses, clinical features, and treatment options for prosthetic joint infection. An international consensus meeting about such infections identified the best practices and further research needs. Orthopaedics could benefit from enhanced preventive, diagnostic, and treatment methods.","author":[{"dropping-particle":"","family":"Kapadia","given":"Bhaveen H.","non-dropping-particle":"","parse-names":false,"suffix":""},{"dropping-particle":"","family":"Berg","given":"Richard A.","non-dropping-particle":"","parse-names":false,"suffix":""},{"dropping-particle":"","family":"Daley","given":"Jacqueline A.","non-dropping-particle":"","parse-names":false,"suffix":""},{"dropping-particle":"","family":"Fritz","given":"Jan","non-dropping-particle":"","parse-names":false,"suffix":""},{"dropping-particle":"","family":"Bhave","given":"Anil","non-dropping-particle":"","parse-names":false,"suffix":""},{"dropping-particle":"","family":"Mont","given":"Michael A.","non-dropping-particle":"","parse-names":false,"suffix":""}],"container-title":"The Lancet","id":"ITEM-1","issue":"10016","issued":{"date-parts":[["2016"]]},"page":"386-394","title":"Periprosthetic joint infection","type":"article-journal","volume":"387"},"uris":["http://www.mendeley.com/documents/?uuid=358905c6-df1d-404b-8b25-e2c5828d0532"]},{"id":"ITEM-2","itemData":{"DOI":"10.1007/s11999-008-0209-4","ISSN":"15281132","abstract":"Periprosthetic joint infection is one of the most challenging complications of joint arthroplasty. We identified current risk factors of periprosthetic joint infection after modern joint arthroplasty, and determined the incidence and timing of periprosthetic joint infection. We reviewed prospectively collected data from our database on 9245 patients undergoing primary hip or knee arthroplasty between January 2001 and April 2006. Periprosthetic joint infections developed in 63 patients (0.7%). Sixty-five percent of periprosthetic joint infections developed within the first year of the index arthroplasty. The infecting organism was isolated in 57 of 63 cases (91%). The most common organisms identified were Staphylococcus aureus and Staphylococcus epidermidis. We identified the following independent predictors for periprosthetic joint infection: higher American Society of Anesthesiologists score, morbid obesity, bilateral arthroplasty, knee arthroplasty, allogenic transfusion, postoperative atrial fibrillation, myocardial infarction, urinary tract infection, and longer hospitalization. This study confirmed some previously implicated factors and identified new variables that predispose patients to periprosthetic joint infection. Level of Evidence: Level II, prognostic study. See the Guidelines for Authors for a complete description of levels of evidence. © 2008 The Association of Bone and Joint Surgeons.","author":[{"dropping-particle":"","family":"Pulido","given":"Luis","non-dropping-particle":"","parse-names":false,"suffix":""},{"dropping-particle":"","family":"Ghanem","given":"Elie","non-dropping-particle":"","parse-names":false,"suffix":""},{"dropping-particle":"","family":"Joshi","given":"Ashish","non-dropping-particle":"","parse-names":false,"suffix":""},{"dropping-particle":"","family":"Purtill","given":"James J.","non-dropping-particle":"","parse-names":false,"suffix":""},{"dropping-particle":"","family":"Parvizi","given":"Javad","non-dropping-particle":"","parse-names":false,"suffix":""}],"container-title":"Clinical Orthopaedics and Related Research","id":"ITEM-2","issue":"7","issued":{"date-parts":[["2008"]]},"page":"1710-1715","title":"Periprosthetic joint infection: The incidence, timing, and predisposing factors","type":"article-journal","volume":"466"},"uris":["http://www.mendeley.com/documents/?uuid=252213ed-c65b-4c03-b1fd-b545e708c899"]},{"id":"ITEM-3","itemData":{"DOI":"10.1016/j.arth.2012.10.022","ISSN":"08835403","PMID":"23523496","abstract":"Negative culture result is frequently encountered in periprosthetic joint infection, but its clinical feature has not been well studied. In this study, clinical characteristics and treatment outcome were compared in two patient groups: (1) 40 periprosthetic joint infections with negative culture results (culture-negative group) and (2) 135 patients with positive culture results (culture-positive group). In comparison of two groups, the culture-negative group showed significantly higher incidence of prior antibiotic use (p=. 0.005), higher incidence of prior resection surgery (p&lt;. 0.001) and lower ESR (p=. 0.02) than the culture-positive group. The success rate of infection control was higher in the culture-negative group (p=. 0.006), which suggests that culture negativity may not necessarily be a negative prognostic factor for periprosthetic joint infection. © 2013.","author":[{"dropping-particle":"","family":"Choi","given":"Ho Rim","non-dropping-particle":"","parse-names":false,"suffix":""},{"dropping-particle":"","family":"Kwon","given":"Young Min","non-dropping-particle":"","parse-names":false,"suffix":""},{"dropping-particle":"","family":"Freiberg","given":"Andrew A.","non-dropping-particle":"","parse-names":false,"suffix":""},{"dropping-particle":"","family":"Nelson","given":"Sandra B.","non-dropping-particle":"","parse-names":false,"suffix":""},{"dropping-particle":"","family":"Malchau","given":"Henrik","non-dropping-particle":"","parse-names":false,"suffix":""}],"container-title":"Journal of Arthroplasty","id":"ITEM-3","issued":{"date-parts":[["2013"]]},"page":"899-903","title":"Periprosthetic joint infection with negative culture results: Clinical characteristics and treatment outcome","type":"article-journal","volume":"28"},"uris":["http://www.mendeley.com/documents/?uuid=635e6543-0fc3-46a8-86c9-f90e6012e9d0"]}],"mendeley":{"formattedCitation":"&lt;sup&gt;14–16&lt;/sup&gt;","plainTextFormattedCitation":"14–16","previouslyFormattedCitation":"&lt;sup&gt;14–16&lt;/sup&gt;"},"properties":{"noteIndex":0},"schema":"https://github.com/citation-style-language/schema/raw/master/csl-citation.json"}</w:instrText>
      </w:r>
      <w:r w:rsidR="00400A7F" w:rsidRPr="00322AAF">
        <w:rPr>
          <w:rStyle w:val="LineNumber"/>
          <w:vertAlign w:val="superscript"/>
        </w:rPr>
        <w:fldChar w:fldCharType="separate"/>
      </w:r>
      <w:r w:rsidR="003E39D8" w:rsidRPr="003E39D8">
        <w:rPr>
          <w:rStyle w:val="LineNumber"/>
          <w:noProof/>
          <w:vertAlign w:val="superscript"/>
        </w:rPr>
        <w:t>14–16</w:t>
      </w:r>
      <w:r w:rsidR="00400A7F" w:rsidRPr="00322AAF">
        <w:rPr>
          <w:rStyle w:val="LineNumber"/>
          <w:vertAlign w:val="superscript"/>
        </w:rPr>
        <w:fldChar w:fldCharType="end"/>
      </w:r>
      <w:r w:rsidR="00D66EE1" w:rsidRPr="00D66EE1">
        <w:rPr>
          <w:rStyle w:val="LineNumber"/>
        </w:rPr>
        <w:t>]</w:t>
      </w:r>
      <w:r w:rsidR="00156894">
        <w:rPr>
          <w:rStyle w:val="LineNumber"/>
        </w:rPr>
        <w:t xml:space="preserve"> or treatment is started before culture data are available</w:t>
      </w:r>
      <w:r w:rsidR="0016567D">
        <w:rPr>
          <w:rStyle w:val="LineNumber"/>
        </w:rPr>
        <w:t>.</w:t>
      </w:r>
      <w:r w:rsidR="008C6D05">
        <w:rPr>
          <w:rStyle w:val="LineNumber"/>
        </w:rPr>
        <w:t xml:space="preserve"> Thus</w:t>
      </w:r>
      <w:r w:rsidR="00CC4DBC">
        <w:rPr>
          <w:rStyle w:val="LineNumber"/>
        </w:rPr>
        <w:t xml:space="preserve">, in treating </w:t>
      </w:r>
      <w:r w:rsidR="009B7500">
        <w:rPr>
          <w:rStyle w:val="LineNumber"/>
        </w:rPr>
        <w:t>PJI</w:t>
      </w:r>
      <w:r w:rsidR="008C6D05">
        <w:rPr>
          <w:rStyle w:val="LineNumber"/>
        </w:rPr>
        <w:t xml:space="preserve">, </w:t>
      </w:r>
      <w:r w:rsidR="00CC4DBC">
        <w:rPr>
          <w:rStyle w:val="LineNumber"/>
        </w:rPr>
        <w:t>combinations of antibiotics are</w:t>
      </w:r>
      <w:r w:rsidR="008C6D05">
        <w:rPr>
          <w:rStyle w:val="LineNumber"/>
        </w:rPr>
        <w:t xml:space="preserve"> commonly</w:t>
      </w:r>
      <w:r w:rsidR="00CC4DBC">
        <w:rPr>
          <w:rStyle w:val="LineNumber"/>
        </w:rPr>
        <w:t xml:space="preserve"> used to provide broad-spectrum coverage</w:t>
      </w:r>
      <w:r w:rsidR="0016567D">
        <w:rPr>
          <w:rStyle w:val="LineNumber"/>
        </w:rPr>
        <w:t xml:space="preserve"> [</w:t>
      </w:r>
      <w:r w:rsidR="00B95D60" w:rsidRPr="00F34C37">
        <w:rPr>
          <w:rStyle w:val="LineNumber"/>
          <w:vertAlign w:val="superscript"/>
        </w:rPr>
        <w:fldChar w:fldCharType="begin" w:fldLock="1"/>
      </w:r>
      <w:r w:rsidR="00D66EE1" w:rsidRPr="00F34C37">
        <w:rPr>
          <w:rStyle w:val="LineNumber"/>
          <w:vertAlign w:val="superscript"/>
        </w:rPr>
        <w:instrText>ADDIN CSL_CITATION {"citationItems":[{"id":"ITEM-1","itemData":{"DOI":"10.1111/apm.12673","ISSN":"16000463","abstract":"Bacterial biofilms are associated with a wide range of infections, from those related to exogenous devices, such as catheters or prosthetic joints, to chronic tissue infections such as those occurring in the lungs of cystic fibrosis patients. Biofilms are recalcitrant to antibiotic treatment due to multiple tolerance mechanisms (phenotypic resistance). This causes persistence of biofilm infections in spite of antibiotic exposure which predisposes to antibiotic resistance development (genetic resistance). Understanding the interplay between phenotypic and genetic resistance mechanisms acting on biofilms, as well as appreciating the diversity of environmental conditions of biofilm infections which influence the effect of antibiotics are required in order to optimize the antibiotic treatment of biofilm infections. Here, we review the current knowledge on phenotypic and genetic resistance in biofilms and describe the potential strategies for the antibiotic treatment of biofilm infections. Of note is the optimization of PK/PD parameters in biofilms, high-dose topical treatments, combined and sequential/alternate therapies or the use antibiotic adjuvants.","author":[{"dropping-particle":"","family":"Ciofu","given":"Oana","non-dropping-particle":"","parse-names":false,"suffix":""},{"dropping-particle":"","family":"Rojo-Molinero","given":"Estrella","non-dropping-particle":"","parse-names":false,"suffix":""},{"dropping-particle":"","family":"Macià","given":"María D.","non-dropping-particle":"","parse-names":false,"suffix":""},{"dropping-particle":"","family":"Oliver","given":"Antonio","non-dropping-particle":"","parse-names":false,"suffix":""}],"container-title":"APMIS","id":"ITEM-1","issue":"4","issued":{"date-parts":[["2017"]]},"page":"304-319","title":"Antibiotic treatment of biofilm infections","type":"article-journal","volume":"125"},"uris":["http://www.mendeley.com/documents/?uuid=c9cbd73d-59f5-40de-9d20-2a842abbcc4c"]}],"mendeley":{"formattedCitation":"&lt;sup&gt;17&lt;/sup&gt;","plainTextFormattedCitation":"17","previouslyFormattedCitation":"&lt;sup&gt;17&lt;/sup&gt;"},"properties":{"noteIndex":0},"schema":"https://github.com/citation-style-language/schema/raw/master/csl-citation.json"}</w:instrText>
      </w:r>
      <w:r w:rsidR="00B95D60" w:rsidRPr="00F34C37">
        <w:rPr>
          <w:rStyle w:val="LineNumber"/>
          <w:vertAlign w:val="superscript"/>
        </w:rPr>
        <w:fldChar w:fldCharType="separate"/>
      </w:r>
      <w:r w:rsidR="00D66EE1" w:rsidRPr="00F34C37">
        <w:rPr>
          <w:rStyle w:val="LineNumber"/>
          <w:noProof/>
          <w:vertAlign w:val="superscript"/>
        </w:rPr>
        <w:t>17</w:t>
      </w:r>
      <w:r w:rsidR="00B95D60" w:rsidRPr="00F34C37">
        <w:rPr>
          <w:rStyle w:val="LineNumber"/>
          <w:vertAlign w:val="superscript"/>
        </w:rPr>
        <w:fldChar w:fldCharType="end"/>
      </w:r>
      <w:r w:rsidR="0016567D">
        <w:rPr>
          <w:rStyle w:val="LineNumber"/>
        </w:rPr>
        <w:t>]</w:t>
      </w:r>
      <w:r w:rsidR="00CC4DBC">
        <w:rPr>
          <w:rStyle w:val="LineNumber"/>
        </w:rPr>
        <w:t>.</w:t>
      </w:r>
      <w:r w:rsidR="0016567D">
        <w:rPr>
          <w:rStyle w:val="LineNumber"/>
        </w:rPr>
        <w:t xml:space="preserve"> </w:t>
      </w:r>
      <w:r w:rsidR="008C6D05">
        <w:rPr>
          <w:rStyle w:val="LineNumber"/>
        </w:rPr>
        <w:t xml:space="preserve">Vancomycin and/or aminoglycosides (most commonly </w:t>
      </w:r>
      <w:r w:rsidR="003E0596">
        <w:rPr>
          <w:rStyle w:val="LineNumber"/>
        </w:rPr>
        <w:t xml:space="preserve">gentamicin </w:t>
      </w:r>
      <w:r w:rsidR="008C6D05">
        <w:rPr>
          <w:rStyle w:val="LineNumber"/>
        </w:rPr>
        <w:t>or tobramycin) can be mixed</w:t>
      </w:r>
      <w:r w:rsidR="008A42F8">
        <w:rPr>
          <w:rStyle w:val="LineNumber"/>
        </w:rPr>
        <w:t xml:space="preserve"> into</w:t>
      </w:r>
      <w:r w:rsidR="00CC4DBC">
        <w:rPr>
          <w:rStyle w:val="LineNumber"/>
        </w:rPr>
        <w:t xml:space="preserve"> polymethyl methacrylate (PMMA) </w:t>
      </w:r>
      <w:r w:rsidR="008C6D05">
        <w:rPr>
          <w:rStyle w:val="LineNumber"/>
        </w:rPr>
        <w:t>bone cement</w:t>
      </w:r>
      <w:r w:rsidR="00CC4DBC">
        <w:rPr>
          <w:rStyle w:val="LineNumber"/>
        </w:rPr>
        <w:t xml:space="preserve"> and</w:t>
      </w:r>
      <w:r w:rsidR="008C6D05" w:rsidRPr="008C6D05">
        <w:rPr>
          <w:rStyle w:val="LineNumber"/>
        </w:rPr>
        <w:t xml:space="preserve"> </w:t>
      </w:r>
      <w:r w:rsidR="008C6D05">
        <w:rPr>
          <w:rStyle w:val="LineNumber"/>
        </w:rPr>
        <w:t>mineral based absorbable bone fillers such as</w:t>
      </w:r>
      <w:r w:rsidR="00CC4DBC">
        <w:rPr>
          <w:rStyle w:val="LineNumber"/>
        </w:rPr>
        <w:t xml:space="preserve"> calcium sulfate</w:t>
      </w:r>
      <w:r w:rsidR="008C6D05">
        <w:rPr>
          <w:rStyle w:val="LineNumber"/>
        </w:rPr>
        <w:t xml:space="preserve"> </w:t>
      </w:r>
      <w:r w:rsidR="007D699E">
        <w:rPr>
          <w:rStyle w:val="LineNumber"/>
        </w:rPr>
        <w:t xml:space="preserve">dihydrate </w:t>
      </w:r>
      <w:r w:rsidR="008C6D05">
        <w:rPr>
          <w:rStyle w:val="LineNumber"/>
        </w:rPr>
        <w:t>(</w:t>
      </w:r>
      <w:r w:rsidR="008C6D05" w:rsidRPr="00E15015">
        <w:rPr>
          <w:rFonts w:ascii="Times New Roman" w:hAnsi="Times New Roman" w:cs="Times New Roman"/>
        </w:rPr>
        <w:t>CaSO</w:t>
      </w:r>
      <w:r w:rsidR="008C6D05" w:rsidRPr="00E15015">
        <w:rPr>
          <w:rFonts w:ascii="Times New Roman" w:hAnsi="Times New Roman" w:cs="Times New Roman"/>
          <w:vertAlign w:val="subscript"/>
        </w:rPr>
        <w:t xml:space="preserve">4 </w:t>
      </w:r>
      <w:r w:rsidR="008C6D05" w:rsidRPr="00E15015">
        <w:rPr>
          <w:rFonts w:ascii="Times New Roman" w:hAnsi="Times New Roman" w:cs="Times New Roman"/>
        </w:rPr>
        <w:t xml:space="preserve">• </w:t>
      </w:r>
      <w:r w:rsidR="007D699E">
        <w:rPr>
          <w:rFonts w:ascii="Times New Roman" w:hAnsi="Times New Roman" w:cs="Times New Roman"/>
        </w:rPr>
        <w:t>2</w:t>
      </w:r>
      <w:r w:rsidR="007D699E" w:rsidRPr="00E15015">
        <w:rPr>
          <w:rFonts w:ascii="Times New Roman" w:hAnsi="Times New Roman" w:cs="Times New Roman"/>
        </w:rPr>
        <w:t xml:space="preserve"> </w:t>
      </w:r>
      <w:r w:rsidR="008C6D05" w:rsidRPr="00E15015">
        <w:rPr>
          <w:rFonts w:ascii="Times New Roman" w:hAnsi="Times New Roman" w:cs="Times New Roman"/>
        </w:rPr>
        <w:t>H</w:t>
      </w:r>
      <w:r w:rsidR="008C6D05" w:rsidRPr="00E15015">
        <w:rPr>
          <w:rFonts w:ascii="Times New Roman" w:hAnsi="Times New Roman" w:cs="Times New Roman"/>
          <w:vertAlign w:val="subscript"/>
        </w:rPr>
        <w:t>2</w:t>
      </w:r>
      <w:r w:rsidR="008C6D05" w:rsidRPr="00E15015">
        <w:rPr>
          <w:rFonts w:ascii="Times New Roman" w:hAnsi="Times New Roman" w:cs="Times New Roman"/>
        </w:rPr>
        <w:t>O</w:t>
      </w:r>
      <w:r w:rsidR="008C6D05">
        <w:rPr>
          <w:rFonts w:ascii="Times New Roman" w:hAnsi="Times New Roman" w:cs="Times New Roman"/>
        </w:rPr>
        <w:t>)</w:t>
      </w:r>
      <w:r w:rsidR="00CC4DBC">
        <w:rPr>
          <w:rStyle w:val="LineNumber"/>
        </w:rPr>
        <w:t xml:space="preserve"> </w:t>
      </w:r>
      <w:r w:rsidR="001A55E4">
        <w:rPr>
          <w:rStyle w:val="LineNumber"/>
        </w:rPr>
        <w:t>to be</w:t>
      </w:r>
      <w:r w:rsidR="008C6D05">
        <w:rPr>
          <w:rStyle w:val="LineNumber"/>
        </w:rPr>
        <w:t xml:space="preserve"> administered as spacers</w:t>
      </w:r>
      <w:r w:rsidR="0016567D">
        <w:rPr>
          <w:rStyle w:val="LineNumber"/>
        </w:rPr>
        <w:t xml:space="preserve"> [</w:t>
      </w:r>
      <w:r w:rsidR="00B95D60" w:rsidRPr="0016567D">
        <w:rPr>
          <w:rStyle w:val="LineNumber"/>
        </w:rPr>
        <w:fldChar w:fldCharType="begin" w:fldLock="1"/>
      </w:r>
      <w:r w:rsidR="00F34C37">
        <w:rPr>
          <w:rStyle w:val="LineNumber"/>
        </w:rPr>
        <w:instrText>ADDIN CSL_CITATION {"citationItems":[{"id":"ITEM-1","itemData":{"DOI":"10.1016/j.arth.2013.12.004","ISSN":"15328406","abstract":"Antibiotic-laden bone cement (ALBC) is used in primary arthroplasties throughout Europe. In North America, ALBC is only FDA approved for revision arthroplasty after periprosthetic joint infection (PJI). No article has evaluated whether infecting microbial profile and resistance has changed with the introduction of ALBC. We hypothesized that prophylactic use of ALBC in primary total knee arthroplasty (TKA) has not had a significant impact on infecting pathogens, and antibiotic resistance profiles. A retrospective cohort analysis was conducted of all PJI patients undergoing primary TKA and total hip arthroplasty (THA) between January 2000 and January 2009. No significant change in the patterns of infecting PJI pathogens, and no notable increase in percentage resistance was found among organisms grown from patients with PJI that had received prophylactic antibiotic-loaded cement in their primary joint arthroplasty. Early findings suggest that routine prophylactic use of ALBC has not led to changes in infecting pathogen profile, nor has led to the emergence of antimicrobial resistance at our institution. © 2014 Elsevier Inc.","author":[{"dropping-particle":"","family":"Hansen","given":"Erik N.","non-dropping-particle":"","parse-names":false,"suffix":""},{"dropping-particle":"","family":"Adeli","given":"Bahar","non-dropping-particle":"","parse-names":false,"suffix":""},{"dropping-particle":"","family":"Kenyon","given":"Robert","non-dropping-particle":"","parse-names":false,"suffix":""},{"dropping-particle":"","family":"Parvizi","given":"Javad","non-dropping-particle":"","parse-names":false,"suffix":""}],"container-title":"Journal of Arthroplasty","id":"ITEM-1","issue":"6","issued":{"date-parts":[["2014"]]},"page":"1123-1127","publisher":"Elsevier Inc.","title":"Routine use of antibiotic laden bone cement for primary total knee arthroplasty: Impact on infecting microbial patterns and resistance profiles","type":"article-journal","volume":"29"},"uris":["http://www.mendeley.com/documents/?uuid=5fda67bb-77f4-4dfc-930a-e14b528a6f32"]}],"mendeley":{"formattedCitation":"&lt;sup&gt;18&lt;/sup&gt;","plainTextFormattedCitation":"18","previouslyFormattedCitation":"&lt;sup&gt;18&lt;/sup&gt;"},"properties":{"noteIndex":0},"schema":"https://github.com/citation-style-language/schema/raw/master/csl-citation.json"}</w:instrText>
      </w:r>
      <w:r w:rsidR="00B95D60" w:rsidRPr="0016567D">
        <w:rPr>
          <w:rStyle w:val="LineNumber"/>
        </w:rPr>
        <w:fldChar w:fldCharType="separate"/>
      </w:r>
      <w:r w:rsidR="00D66EE1" w:rsidRPr="00D66EE1">
        <w:rPr>
          <w:rStyle w:val="LineNumber"/>
          <w:noProof/>
          <w:vertAlign w:val="superscript"/>
        </w:rPr>
        <w:t>18</w:t>
      </w:r>
      <w:r w:rsidR="00B95D60" w:rsidRPr="0016567D">
        <w:rPr>
          <w:rStyle w:val="LineNumber"/>
        </w:rPr>
        <w:fldChar w:fldCharType="end"/>
      </w:r>
      <w:r w:rsidR="0016567D">
        <w:rPr>
          <w:rStyle w:val="LineNumber"/>
        </w:rPr>
        <w:t>]</w:t>
      </w:r>
      <w:r w:rsidR="008C6D05">
        <w:rPr>
          <w:rStyle w:val="LineNumber"/>
        </w:rPr>
        <w:t xml:space="preserve"> and beads</w:t>
      </w:r>
      <w:r w:rsidR="0016567D">
        <w:rPr>
          <w:rStyle w:val="LineNumber"/>
        </w:rPr>
        <w:t xml:space="preserve"> [</w:t>
      </w:r>
      <w:r w:rsidR="00B95D60" w:rsidRPr="0016567D">
        <w:rPr>
          <w:rStyle w:val="LineNumber"/>
        </w:rPr>
        <w:fldChar w:fldCharType="begin" w:fldLock="1"/>
      </w:r>
      <w:r w:rsidR="00D66EE1">
        <w:rPr>
          <w:rStyle w:val="LineNumber"/>
        </w:rPr>
        <w:instrText>ADDIN CSL_CITATION {"citationItems":[{"id":"ITEM-1","itemData":{"DOI":"10.15438/rr.v3i1.27","ISSN":"2331-2262","abstract":"This study reviews the clinical results using commercially pure, synthetic antibiotic-loaded Calcium Sulfate dissolvable beads (Stimulan, Biocomposites, Ltd., Keele, UK) in 250 cases of aseptic and septic revision total hip and total knee arthroplasty. A set protocol of Vancomycin and Tobramycin antibiotic was used in all cases. The rate of wound drainage in this series was 3.2%. Wound drainage was generally seen in cases using higher bead volumes. The incidence of heterotopic bone formation was 1.2%. There were nine failures in this study, six of which were due to infection. We feel that commercially pure, synthetic antibiotic-loaded dissolvable beads are an acceptable delivery tool for local antibiotic delivery in aseptic and septic revision joint arthroplasty of the hip and knee. Further studies are needed to examine the potential of improving outcomes of periprosthetic joint infection with this particular local antibiotic delivery system.Key words: Stimulan, Calcium Sulfate, Antibiotic Beads, Periprosthetic Infection, Revision Arthroplasty. Level of Evidence: AAOS Therapeutic Study Level IV.","author":[{"dropping-particle":"","family":"McPherson, MD FACS","given":"Edward","non-dropping-particle":"","parse-names":false,"suffix":""},{"dropping-particle":"","family":"Dipane, BA","given":"Matthew","non-dropping-particle":"","parse-names":false,"suffix":""},{"dropping-particle":"","family":"Sherif, MD","given":"Sherif","non-dropping-particle":"","parse-names":false,"suffix":""}],"container-title":"Reconstructive Review","id":"ITEM-1","issue":"1","issued":{"date-parts":[["2013"]]},"page":"32-43","title":"Dissolvable Antibiotic Beads in Treatment of Periprosthetic Joint Infection and Revision Arthroplasty - The Use of Synthetic Pure Calcium Sulfate (Stimulan®) Impregnated with Vancomycin &amp; Tobramycin","type":"article-journal","volume":"3"},"uris":["http://www.mendeley.com/documents/?uuid=8107a052-9441-4710-a359-6e68b754c10e"]}],"mendeley":{"formattedCitation":"&lt;sup&gt;19&lt;/sup&gt;","plainTextFormattedCitation":"19","previouslyFormattedCitation":"&lt;sup&gt;19&lt;/sup&gt;"},"properties":{"noteIndex":0},"schema":"https://github.com/citation-style-language/schema/raw/master/csl-citation.json"}</w:instrText>
      </w:r>
      <w:r w:rsidR="00B95D60" w:rsidRPr="0016567D">
        <w:rPr>
          <w:rStyle w:val="LineNumber"/>
        </w:rPr>
        <w:fldChar w:fldCharType="separate"/>
      </w:r>
      <w:r w:rsidR="00D66EE1" w:rsidRPr="00D66EE1">
        <w:rPr>
          <w:rStyle w:val="LineNumber"/>
          <w:noProof/>
          <w:vertAlign w:val="superscript"/>
        </w:rPr>
        <w:t>19</w:t>
      </w:r>
      <w:r w:rsidR="00B95D60" w:rsidRPr="0016567D">
        <w:rPr>
          <w:rStyle w:val="LineNumber"/>
        </w:rPr>
        <w:fldChar w:fldCharType="end"/>
      </w:r>
      <w:r w:rsidR="0016567D">
        <w:rPr>
          <w:rStyle w:val="LineNumber"/>
        </w:rPr>
        <w:t>]</w:t>
      </w:r>
      <w:r w:rsidR="00B95D60" w:rsidRPr="0016567D">
        <w:rPr>
          <w:rStyle w:val="LineNumber"/>
        </w:rPr>
        <w:t xml:space="preserve"> </w:t>
      </w:r>
      <w:r w:rsidR="008C6D05">
        <w:rPr>
          <w:rStyle w:val="LineNumber"/>
        </w:rPr>
        <w:t>in the joint space</w:t>
      </w:r>
      <w:r w:rsidR="006F7581">
        <w:rPr>
          <w:rStyle w:val="LineNumber"/>
        </w:rPr>
        <w:t xml:space="preserve"> and medullary canals</w:t>
      </w:r>
      <w:r w:rsidR="007D699E">
        <w:rPr>
          <w:rStyle w:val="LineNumber"/>
        </w:rPr>
        <w:t xml:space="preserve">. These depot forms </w:t>
      </w:r>
      <w:r w:rsidR="008C6D05">
        <w:rPr>
          <w:rStyle w:val="LineNumber"/>
        </w:rPr>
        <w:t xml:space="preserve">release the high concentrations of antibiotic required to more effectively prevent or </w:t>
      </w:r>
      <w:r w:rsidR="00341EC1">
        <w:rPr>
          <w:rStyle w:val="LineNumber"/>
        </w:rPr>
        <w:t>manage</w:t>
      </w:r>
      <w:r w:rsidR="006F7581">
        <w:rPr>
          <w:rStyle w:val="LineNumber"/>
        </w:rPr>
        <w:t xml:space="preserve"> </w:t>
      </w:r>
      <w:r w:rsidR="008C6D05">
        <w:rPr>
          <w:rStyle w:val="LineNumber"/>
        </w:rPr>
        <w:t xml:space="preserve">biofilms </w:t>
      </w:r>
      <w:r w:rsidR="006F7581">
        <w:rPr>
          <w:rStyle w:val="LineNumber"/>
        </w:rPr>
        <w:t xml:space="preserve">that </w:t>
      </w:r>
      <w:r w:rsidR="008C6D05">
        <w:rPr>
          <w:rStyle w:val="LineNumber"/>
        </w:rPr>
        <w:t xml:space="preserve">cannot be achieved </w:t>
      </w:r>
      <w:r w:rsidR="006A587F">
        <w:rPr>
          <w:rStyle w:val="LineNumber"/>
        </w:rPr>
        <w:t xml:space="preserve">by </w:t>
      </w:r>
      <w:r w:rsidR="006F7581">
        <w:rPr>
          <w:rStyle w:val="LineNumber"/>
        </w:rPr>
        <w:t>systemic administration</w:t>
      </w:r>
      <w:r w:rsidR="0016567D">
        <w:rPr>
          <w:rStyle w:val="LineNumber"/>
        </w:rPr>
        <w:t xml:space="preserve"> [</w:t>
      </w:r>
      <w:r w:rsidR="006F7581" w:rsidRPr="0016567D">
        <w:rPr>
          <w:rStyle w:val="LineNumber"/>
        </w:rPr>
        <w:fldChar w:fldCharType="begin" w:fldLock="1"/>
      </w:r>
      <w:r w:rsidR="00D66EE1">
        <w:rPr>
          <w:rStyle w:val="LineNumber"/>
        </w:rPr>
        <w:instrText>ADDIN CSL_CITATION {"citationItems":[{"id":"ITEM-1","itemData":{"DOI":"10.1002/jor.24291","ISSN":"1554527X","abstract":"Staphylococcus aureus biofilms have a high tolerance to antibiotics, making the treatment of periprosthetic joint infection (PJI) challenging. From a clinical perspective, bacteria from surgical specimens are cultured in a planktonic state to determine antibiotic sensitivity. However, S. aureus exists primarily as established biofilms in PJI. To address this dichotomy, we developed a prospective registry of total knee and hip arthroplasty PJI S. aureus isolates to quantify the activity of clinically important antibiotics against isolates grown as biofilms. S. aureus planktonic minimum inhibitory concentration (MIC) and minimum bactericidal concentration (MBC) were assessed using clinical laboratory standard index assays for 10 antibiotics (cefazolin, clindamycin, vancomycin, rifampin, linezolid, nafcillin, gentamicin, trimethoprim/sulfamethoxazole, doxycycline, and daptomycin). Mature biofilms of each strain were grown in vitro, after which biofilm MIC (MBIC) and biofilm MBC (MBBC) were determined. Overall, isolates grown as biofilms displayed larger variations in antibiotic MICs as compared to planktonic MIC values. Only rifampin, doxycycline, and daptomycin had measurable biofilm MIC values across all S. aureus isolates tested. Biofilm MBC observations complemented biofilm MIC observations; rifampin, doxycycline, and daptomycin were the only antibiotics with measurable biofilm MBC values. 90% of S. aureus biofilms could be killed by rifampin, 50% by doxycycline, and only 15% by daptomycin. Biofilm formation increased bacterial antibiotic tolerance nonspecifically across all antibiotics, in both MSSA and MRSA samples. Rifampin and doxycycline were the most effective antibiotics at killing established S. aureus biofilms. © 2019 Orthopaedic Research Society. Published by Wiley Periodicals, Inc. J Orthop Res 37:1604–1609, 2019.","author":[{"dropping-particle":"","family":"Mandell","given":"Jonathan B.","non-dropping-particle":"","parse-names":false,"suffix":""},{"dropping-particle":"","family":"Orr","given":"Sara","non-dropping-particle":"","parse-names":false,"suffix":""},{"dropping-particle":"","family":"Koch","given":"John","non-dropping-particle":"","parse-names":false,"suffix":""},{"dropping-particle":"","family":"Nourie","given":"Blake","non-dropping-particle":"","parse-names":false,"suffix":""},{"dropping-particle":"","family":"Ma","given":"Dongzhu","non-dropping-particle":"","parse-names":false,"suffix":""},{"dropping-particle":"","family":"Bonar","given":"Daniel D.","non-dropping-particle":"","parse-names":false,"suffix":""},{"dropping-particle":"","family":"Shah","given":"Neel","non-dropping-particle":"","parse-names":false,"suffix":""},{"dropping-particle":"","family":"Urish","given":"Kenneth L.","non-dropping-particle":"","parse-names":false,"suffix":""}],"container-title":"Journal of Orthopaedic Research","id":"ITEM-1","issue":"7","issued":{"date-parts":[["2019"]]},"page":"1604-1609","title":"Large variations in clinical antibiotic activity against Staphylococcus aureus biofilms of periprosthetic joint infection isolates","type":"article-journal","volume":"37"},"uris":["http://www.mendeley.com/documents/?uuid=6b3924b4-dda9-4137-85a5-446972cd6918"]}],"mendeley":{"formattedCitation":"&lt;sup&gt;20&lt;/sup&gt;","plainTextFormattedCitation":"20","previouslyFormattedCitation":"&lt;sup&gt;20&lt;/sup&gt;"},"properties":{"noteIndex":0},"schema":"https://github.com/citation-style-language/schema/raw/master/csl-citation.json"}</w:instrText>
      </w:r>
      <w:r w:rsidR="006F7581" w:rsidRPr="0016567D">
        <w:rPr>
          <w:rStyle w:val="LineNumber"/>
        </w:rPr>
        <w:fldChar w:fldCharType="separate"/>
      </w:r>
      <w:r w:rsidR="00D66EE1" w:rsidRPr="00D66EE1">
        <w:rPr>
          <w:rStyle w:val="LineNumber"/>
          <w:noProof/>
          <w:vertAlign w:val="superscript"/>
        </w:rPr>
        <w:t>20</w:t>
      </w:r>
      <w:r w:rsidR="006F7581" w:rsidRPr="0016567D">
        <w:rPr>
          <w:rStyle w:val="LineNumber"/>
        </w:rPr>
        <w:fldChar w:fldCharType="end"/>
      </w:r>
      <w:r w:rsidR="0016567D">
        <w:rPr>
          <w:rStyle w:val="LineNumber"/>
        </w:rPr>
        <w:t>]</w:t>
      </w:r>
      <w:r w:rsidR="00CC4DBC">
        <w:rPr>
          <w:rStyle w:val="LineNumber"/>
        </w:rPr>
        <w:t xml:space="preserve">. </w:t>
      </w:r>
      <w:r w:rsidR="004A212E" w:rsidRPr="0090747C">
        <w:rPr>
          <w:rStyle w:val="LineNumber"/>
        </w:rPr>
        <w:t xml:space="preserve">There is promising, yet inconclusive clinical data </w:t>
      </w:r>
      <w:r w:rsidR="004B3E80" w:rsidRPr="0090747C">
        <w:rPr>
          <w:rStyle w:val="LineNumber"/>
        </w:rPr>
        <w:lastRenderedPageBreak/>
        <w:t>suggesting</w:t>
      </w:r>
      <w:r w:rsidR="004A212E" w:rsidRPr="0090747C">
        <w:rPr>
          <w:rStyle w:val="LineNumber"/>
        </w:rPr>
        <w:t xml:space="preserve"> that ALCS</w:t>
      </w:r>
      <w:r w:rsidR="001A55E4" w:rsidRPr="0090747C">
        <w:rPr>
          <w:rStyle w:val="LineNumber"/>
        </w:rPr>
        <w:t>-</w:t>
      </w:r>
      <w:r w:rsidR="004A212E" w:rsidRPr="0090747C">
        <w:rPr>
          <w:rStyle w:val="LineNumber"/>
        </w:rPr>
        <w:t xml:space="preserve">B used as an adjuvant in revision </w:t>
      </w:r>
      <w:r w:rsidR="004B3E80" w:rsidRPr="0090747C">
        <w:rPr>
          <w:rStyle w:val="LineNumber"/>
        </w:rPr>
        <w:t xml:space="preserve">arthroplasty </w:t>
      </w:r>
      <w:r w:rsidR="004A212E" w:rsidRPr="0090747C">
        <w:rPr>
          <w:rStyle w:val="LineNumber"/>
        </w:rPr>
        <w:t>result in more favorable outcomes</w:t>
      </w:r>
      <w:r w:rsidR="0016567D" w:rsidRPr="0090747C">
        <w:rPr>
          <w:rStyle w:val="LineNumber"/>
        </w:rPr>
        <w:t xml:space="preserve"> [</w:t>
      </w:r>
      <w:r w:rsidR="001A451F" w:rsidRPr="0090747C">
        <w:rPr>
          <w:rStyle w:val="LineNumber"/>
        </w:rPr>
        <w:fldChar w:fldCharType="begin" w:fldLock="1"/>
      </w:r>
      <w:r w:rsidR="003D6530">
        <w:rPr>
          <w:rStyle w:val="LineNumber"/>
        </w:rPr>
        <w:instrText>ADDIN CSL_CITATION {"citationItems":[{"id":"ITEM-1","itemData":{"DOI":"10.7150/jbji.41743","ISSN":"2206-3552","abstract":"Purpose: To assess the use of calcium sulphate (CS) beads in the management of knee and hip periprosthetic joint infections (PJI) in terms of outcomes, complications and re-infection rates. Methods: A search of NICE healthcare database advanced search (HDAS) was conducted from its year of inception to October 2019 with the keywords: \"Calcium Sulphate Beads\" or \"Calcium Sulfate Beads\" or \"Antibiotics beads\" or \"Stimulan\" and \"Arthroplasty\" or \"Hip Replacement\" or \"Knee Replacement\" and \"Periprothetic joint infection\" or \"Debridement, Antibiotics and implant retention\" or \"Revision\". A quality assessment was performed using the NIH study Quality Assessment Tool for case series. Results: Out of relevant 74 articles, 5 articles met the inclusion criteria. Variable outcomes and success rates have been reported in most of the patients. A small number of wound discharges and heterotrophic ossification (HO) were reported, which are occasionally symptomatic. Hypercalcemia is identified as a potential risk with the use of CS beads especially with doses over 40 cc per operation. The influence of CS beads on reinfection rate is reported in 4 out of 5 articles. Due to the case-mix and heterogenicity of the patients involved and the causative microorganism reported as well as varied procedures are undertaken including one and two stages revision and Debridement, Antibiotics and implant retention (DAIR), the influence of CS beads varied from high success to poor outcome. The poor outcome is higher if the primary procedure for the management of hip and knee PJI is DAIR rather than full revision. Conclusions: The use of CS beads in the treatment of PJI is a useful technique in delivering high doses of antibiotics locally. A favourable outcome is reported when antibiotics loaded CS is used as an adjuvant to revision procedure for PJI in hip and knee arthroplasty compared to its use as an adjuvant to DAIR procedure. There has been an increase in complications when higher volumes of beads are used, especially in subcutaneous structures and in high-risk patients. Another possible theoretical and unreported complication of CS beads is accelerating the wear rate in the artificial joint due to the possibility of causing abrasion to the bearing surfaces. The current evidence is not enough to indicate the superiority of antibiotic-loaded CS beads as an adjuvant for the treatment of PJI in Hip and Knee arthroplasty.","author":[{"dropping-particle":"","family":"Abosala","given":"Abdulbaset","non-dropping-particle":"","parse-names":false,"suffix":""},{"dropping-particle":"","family":"Ali","given":"Mohammed","non-dropping-particle":"","parse-names":false,"suffix":""}],"container-title":"Journal of Bone and Joint Infection","id":"ITEM-1","issue":"1","issued":{"date-parts":[["2020"]]},"page":"43-49","title":"The Use of Calcium Sulphate beads in Periprosthetic Joint Infection, a systematic review","type":"article-journal","volume":"5"},"uris":["http://www.mendeley.com/documents/?uuid=d35533a0-abf0-4ad5-955f-5d8d6d8bc3fa"]}],"mendeley":{"formattedCitation":"&lt;sup&gt;21&lt;/sup&gt;","plainTextFormattedCitation":"21","previouslyFormattedCitation":"&lt;sup&gt;21&lt;/sup&gt;"},"properties":{"noteIndex":0},"schema":"https://github.com/citation-style-language/schema/raw/master/csl-citation.json"}</w:instrText>
      </w:r>
      <w:r w:rsidR="001A451F" w:rsidRPr="0090747C">
        <w:rPr>
          <w:rStyle w:val="LineNumber"/>
        </w:rPr>
        <w:fldChar w:fldCharType="separate"/>
      </w:r>
      <w:r w:rsidR="00CD7712" w:rsidRPr="00CD7712">
        <w:rPr>
          <w:rStyle w:val="LineNumber"/>
          <w:noProof/>
          <w:vertAlign w:val="superscript"/>
        </w:rPr>
        <w:t>21</w:t>
      </w:r>
      <w:r w:rsidR="001A451F" w:rsidRPr="0090747C">
        <w:rPr>
          <w:rStyle w:val="LineNumber"/>
        </w:rPr>
        <w:fldChar w:fldCharType="end"/>
      </w:r>
      <w:r w:rsidR="0016567D" w:rsidRPr="0090747C">
        <w:rPr>
          <w:rStyle w:val="LineNumber"/>
        </w:rPr>
        <w:t>]</w:t>
      </w:r>
      <w:r w:rsidR="00776688" w:rsidRPr="0090747C">
        <w:rPr>
          <w:rStyle w:val="LineNumber"/>
        </w:rPr>
        <w:t>.</w:t>
      </w:r>
      <w:r w:rsidR="001A451F" w:rsidRPr="0090747C">
        <w:rPr>
          <w:rStyle w:val="LineNumber"/>
        </w:rPr>
        <w:t xml:space="preserve"> </w:t>
      </w:r>
      <w:r w:rsidR="00776688" w:rsidRPr="0090747C">
        <w:rPr>
          <w:rStyle w:val="LineNumber"/>
        </w:rPr>
        <w:t>H</w:t>
      </w:r>
      <w:r w:rsidR="004A212E" w:rsidRPr="0090747C">
        <w:rPr>
          <w:rStyle w:val="LineNumber"/>
        </w:rPr>
        <w:t>owever</w:t>
      </w:r>
      <w:r w:rsidR="00776688" w:rsidRPr="0090747C">
        <w:rPr>
          <w:rStyle w:val="LineNumber"/>
        </w:rPr>
        <w:t>,</w:t>
      </w:r>
      <w:r w:rsidR="004A212E" w:rsidRPr="0090747C">
        <w:rPr>
          <w:rStyle w:val="LineNumber"/>
        </w:rPr>
        <w:t xml:space="preserve"> it is not known how ALCS</w:t>
      </w:r>
      <w:r w:rsidR="001A55E4" w:rsidRPr="0090747C">
        <w:rPr>
          <w:rStyle w:val="LineNumber"/>
        </w:rPr>
        <w:t>-</w:t>
      </w:r>
      <w:r w:rsidR="004A212E" w:rsidRPr="0090747C">
        <w:rPr>
          <w:rStyle w:val="LineNumber"/>
        </w:rPr>
        <w:t>B used in co</w:t>
      </w:r>
      <w:r w:rsidR="009D0A0F" w:rsidRPr="0090747C">
        <w:rPr>
          <w:rStyle w:val="LineNumber"/>
        </w:rPr>
        <w:t xml:space="preserve">mbination with </w:t>
      </w:r>
      <w:r w:rsidR="00776688" w:rsidRPr="0090747C">
        <w:rPr>
          <w:rStyle w:val="LineNumber"/>
        </w:rPr>
        <w:t>antibiotic</w:t>
      </w:r>
      <w:r w:rsidR="007D699E" w:rsidRPr="0090747C">
        <w:rPr>
          <w:rStyle w:val="LineNumber"/>
        </w:rPr>
        <w:t xml:space="preserve"> loaded </w:t>
      </w:r>
      <w:r w:rsidR="009D0A0F" w:rsidRPr="0090747C">
        <w:rPr>
          <w:rStyle w:val="LineNumber"/>
        </w:rPr>
        <w:t>PMMA</w:t>
      </w:r>
      <w:r w:rsidR="004E6285" w:rsidRPr="0090747C">
        <w:rPr>
          <w:rStyle w:val="LineNumber"/>
        </w:rPr>
        <w:t xml:space="preserve"> may</w:t>
      </w:r>
      <w:r w:rsidR="004A212E" w:rsidRPr="0090747C">
        <w:rPr>
          <w:rStyle w:val="LineNumber"/>
        </w:rPr>
        <w:t xml:space="preserve"> </w:t>
      </w:r>
      <w:r w:rsidR="00776688" w:rsidRPr="0090747C">
        <w:rPr>
          <w:rStyle w:val="LineNumber"/>
        </w:rPr>
        <w:t>impact</w:t>
      </w:r>
      <w:r w:rsidR="004A212E" w:rsidRPr="0090747C">
        <w:rPr>
          <w:rStyle w:val="LineNumber"/>
        </w:rPr>
        <w:t xml:space="preserve"> the </w:t>
      </w:r>
      <w:r w:rsidR="00D90B6E">
        <w:rPr>
          <w:rStyle w:val="LineNumber"/>
        </w:rPr>
        <w:t>area</w:t>
      </w:r>
      <w:r w:rsidR="00D90B6E" w:rsidRPr="0090747C">
        <w:rPr>
          <w:rStyle w:val="LineNumber"/>
        </w:rPr>
        <w:t xml:space="preserve"> </w:t>
      </w:r>
      <w:r w:rsidR="004A212E" w:rsidRPr="0090747C">
        <w:rPr>
          <w:rStyle w:val="LineNumber"/>
        </w:rPr>
        <w:t xml:space="preserve">of antimicrobial potency against biofilms, particularly in </w:t>
      </w:r>
      <w:r w:rsidR="004E6285" w:rsidRPr="0090747C">
        <w:rPr>
          <w:rStyle w:val="LineNumber"/>
        </w:rPr>
        <w:t xml:space="preserve">those </w:t>
      </w:r>
      <w:r w:rsidR="004A212E" w:rsidRPr="0090747C">
        <w:rPr>
          <w:rStyle w:val="LineNumber"/>
        </w:rPr>
        <w:t xml:space="preserve">areas </w:t>
      </w:r>
      <w:r w:rsidR="00E27B0D" w:rsidRPr="0090747C">
        <w:rPr>
          <w:rStyle w:val="LineNumber"/>
        </w:rPr>
        <w:t xml:space="preserve">such as dead zone </w:t>
      </w:r>
      <w:r w:rsidR="009D0A0F" w:rsidRPr="0090747C">
        <w:rPr>
          <w:rStyle w:val="LineNumber"/>
        </w:rPr>
        <w:t>where there is little fluid flow</w:t>
      </w:r>
      <w:r w:rsidR="00CD7712">
        <w:rPr>
          <w:rStyle w:val="LineNumber"/>
        </w:rPr>
        <w:t>,</w:t>
      </w:r>
      <w:r w:rsidR="009D0A0F" w:rsidRPr="0090747C">
        <w:rPr>
          <w:rStyle w:val="LineNumber"/>
        </w:rPr>
        <w:t xml:space="preserve"> and </w:t>
      </w:r>
      <w:r w:rsidR="004A212E" w:rsidRPr="0090747C">
        <w:rPr>
          <w:rStyle w:val="LineNumber"/>
        </w:rPr>
        <w:t xml:space="preserve">the </w:t>
      </w:r>
      <w:r w:rsidR="00D469E5" w:rsidRPr="0090747C">
        <w:rPr>
          <w:rStyle w:val="LineNumber"/>
        </w:rPr>
        <w:t>spread</w:t>
      </w:r>
      <w:r w:rsidR="004A212E" w:rsidRPr="0090747C">
        <w:rPr>
          <w:rStyle w:val="LineNumber"/>
        </w:rPr>
        <w:t xml:space="preserve"> of the antibiotic </w:t>
      </w:r>
      <w:r w:rsidR="00D90B6E">
        <w:rPr>
          <w:rStyle w:val="LineNumber"/>
        </w:rPr>
        <w:t xml:space="preserve">is limited </w:t>
      </w:r>
      <w:r w:rsidR="00220CA1" w:rsidRPr="0090747C">
        <w:rPr>
          <w:rStyle w:val="LineNumber"/>
        </w:rPr>
        <w:t>by diffusion</w:t>
      </w:r>
      <w:r w:rsidR="004A212E" w:rsidRPr="0090747C">
        <w:rPr>
          <w:rStyle w:val="LineNumber"/>
        </w:rPr>
        <w:t>.</w:t>
      </w:r>
    </w:p>
    <w:p w14:paraId="554E55AB" w14:textId="0FCC9B07" w:rsidR="001460E9" w:rsidRPr="002D7F83" w:rsidRDefault="001A4085" w:rsidP="008E2001">
      <w:pPr>
        <w:spacing w:line="480" w:lineRule="auto"/>
        <w:ind w:firstLine="720"/>
        <w:rPr>
          <w:rStyle w:val="LineNumber"/>
          <w:rFonts w:asciiTheme="minorHAnsi" w:hAnsiTheme="minorHAnsi"/>
        </w:rPr>
      </w:pPr>
      <w:r>
        <w:rPr>
          <w:rStyle w:val="LineNumber"/>
        </w:rPr>
        <w:t>P</w:t>
      </w:r>
      <w:r w:rsidR="008E2339">
        <w:rPr>
          <w:rStyle w:val="LineNumber"/>
        </w:rPr>
        <w:t>revious studies</w:t>
      </w:r>
      <w:r w:rsidR="004A212E">
        <w:rPr>
          <w:rStyle w:val="LineNumber"/>
        </w:rPr>
        <w:t xml:space="preserve"> using</w:t>
      </w:r>
      <w:r w:rsidR="008E2339">
        <w:rPr>
          <w:rStyle w:val="LineNumber"/>
        </w:rPr>
        <w:t xml:space="preserve"> </w:t>
      </w:r>
      <w:r w:rsidR="008E2339" w:rsidRPr="007054DC">
        <w:rPr>
          <w:rStyle w:val="LineNumber"/>
          <w:i/>
          <w:iCs/>
        </w:rPr>
        <w:t>in vitro</w:t>
      </w:r>
      <w:r w:rsidR="008E2339">
        <w:rPr>
          <w:rStyle w:val="LineNumber"/>
        </w:rPr>
        <w:t xml:space="preserve"> biofilms of the bioluminescent </w:t>
      </w:r>
      <w:r w:rsidR="008E2339">
        <w:rPr>
          <w:rStyle w:val="LineNumber"/>
          <w:i/>
          <w:iCs/>
        </w:rPr>
        <w:t xml:space="preserve">P. aeruginosa </w:t>
      </w:r>
      <w:r w:rsidR="008E2339">
        <w:rPr>
          <w:rStyle w:val="LineNumber"/>
        </w:rPr>
        <w:t>Xen41</w:t>
      </w:r>
      <w:r w:rsidR="00B95D60">
        <w:rPr>
          <w:rStyle w:val="LineNumber"/>
        </w:rPr>
        <w:t xml:space="preserve"> (PA-Xen41)</w:t>
      </w:r>
      <w:r w:rsidR="004A212E">
        <w:rPr>
          <w:rStyle w:val="LineNumber"/>
          <w:i/>
          <w:iCs/>
        </w:rPr>
        <w:t xml:space="preserve">, </w:t>
      </w:r>
      <w:r w:rsidR="004A212E">
        <w:rPr>
          <w:rStyle w:val="LineNumber"/>
        </w:rPr>
        <w:t xml:space="preserve">showed that the </w:t>
      </w:r>
      <w:r w:rsidR="00C8634E">
        <w:rPr>
          <w:rStyle w:val="LineNumber"/>
        </w:rPr>
        <w:t xml:space="preserve">number and spacing of </w:t>
      </w:r>
      <w:r w:rsidR="00151C17">
        <w:rPr>
          <w:rStyle w:val="LineNumber"/>
        </w:rPr>
        <w:t>ALCS-B</w:t>
      </w:r>
      <w:r w:rsidR="00C8634E">
        <w:rPr>
          <w:rStyle w:val="LineNumber"/>
        </w:rPr>
        <w:t xml:space="preserve"> </w:t>
      </w:r>
      <w:r w:rsidR="00151C17">
        <w:rPr>
          <w:rStyle w:val="LineNumber"/>
        </w:rPr>
        <w:t>was</w:t>
      </w:r>
      <w:r w:rsidR="00C8634E">
        <w:rPr>
          <w:rStyle w:val="LineNumber"/>
        </w:rPr>
        <w:t xml:space="preserve"> important in </w:t>
      </w:r>
      <w:r w:rsidR="00151C17">
        <w:rPr>
          <w:rStyle w:val="LineNumber"/>
        </w:rPr>
        <w:t>the rate and extent of killing of an agar lawn biofilm</w:t>
      </w:r>
      <w:r w:rsidR="0016567D">
        <w:rPr>
          <w:rStyle w:val="LineNumber"/>
        </w:rPr>
        <w:t xml:space="preserve"> [</w:t>
      </w:r>
      <w:r w:rsidR="004D577C" w:rsidRPr="0016567D">
        <w:rPr>
          <w:rStyle w:val="LineNumber"/>
        </w:rPr>
        <w:fldChar w:fldCharType="begin" w:fldLock="1"/>
      </w:r>
      <w:r w:rsidR="00D66EE1">
        <w:rPr>
          <w:rStyle w:val="LineNumber"/>
        </w:rPr>
        <w:instrText>ADDIN CSL_CITATION {"citationItems":[{"id":"ITEM-1","itemData":{"DOI":"10.3390/MA12244052","ISSN":"19961944","abstract":"© 2019 by the authors. Background: Pseudomonas aeruginosa (PA) and Staphylococcus aureus (SA) are the major causative agents of acute and chronic infections. Antibiotic-loaded calcium sulfate beads (ALCSB) are used in the management of musculoskeletal infections such as periprosthetic joint infections (PJI). Methods: To determine whether the number and spatial distribution of ALCSB are important factors to totally eradicate biofilms, ALCSBs containing vancomycin and tobramycin were placed on 24 h agar lawn biofilms as a single bead in the center, or as 16 beads placed as four clusters of four, a ring around the edge and as a group in the center or 19 beads evenly across the plate. Bioluminescence was used to assess spatial metabolic activity in real time. Replica plating was used to assess viability. Results: For both strains antibiotics released from the beads completely killed biofilm bacteria in a zone immediately adjacent to each bead. However, for PA extended incubation revealed the emergence of resistant colony phenotypes between the zone of eradication and the background lawn. The rate of biofilm clearing was greater when the beads were distributed evenly over the plate. Conclusions: Both number and distribution pattern of ALCSB are important to ensure adequate coverage of antibiotics required to eradicate biofilms.","author":[{"dropping-particle":"","family":"Dusane","given":"D.H.","non-dropping-particle":"","parse-names":false,"suffix":""},{"dropping-particle":"","family":"Brooks","given":"J.R.","non-dropping-particle":"","parse-names":false,"suffix":""},{"dropping-particle":"","family":"Sindeldecker","given":"D.","non-dropping-particle":"","parse-names":false,"suffix":""},{"dropping-particle":"","family":"Peters","given":"C.W.","non-dropping-particle":"","parse-names":false,"suffix":""},{"dropping-particle":"","family":"Li","given":"A.","non-dropping-particle":"","parse-names":false,"suffix":""},{"dropping-particle":"","family":"Farrar","given":"N.R.","non-dropping-particle":"","parse-names":false,"suffix":""},{"dropping-particle":"","family":"Diamond","given":"S.M.","non-dropping-particle":"","parse-names":false,"suffix":""},{"dropping-particle":"","family":"Knecht","given":"C.S.","non-dropping-particle":"","parse-names":false,"suffix":""},{"dropping-particle":"","family":"Plaut","given":"R.D.","non-dropping-particle":"","parse-names":false,"suffix":""},{"dropping-particle":"","family":"Delury","given":"C.","non-dropping-particle":"","parse-names":false,"suffix":""},{"dropping-particle":"","family":"Aiken","given":"S.S.","non-dropping-particle":"","parse-names":false,"suffix":""},{"dropping-particle":"","family":"Laycock","given":"P.A.","non-dropping-particle":"","parse-names":false,"suffix":""},{"dropping-particle":"","family":"Sullivan","given":"A.","non-dropping-particle":"","parse-names":false,"suffix":""},{"dropping-particle":"","family":"Granger","given":"J.F.","non-dropping-particle":"","parse-names":false,"suffix":""},{"dropping-particle":"","family":"Stoodley","given":"P.","non-dropping-particle":"","parse-names":false,"suffix":""}],"container-title":"Materials","id":"ITEM-1","issue":"24","issued":{"date-parts":[["2019"]]},"title":"Complete killing of agar lawn biofilms by systematic spacing of antibiotic-loaded calcium sulfate beads","type":"article-journal","volume":"12"},"uris":["http://www.mendeley.com/documents/?uuid=987bbac4-e903-3338-94eb-ecda7906e449"]}],"mendeley":{"formattedCitation":"&lt;sup&gt;13&lt;/sup&gt;","plainTextFormattedCitation":"13","previouslyFormattedCitation":"&lt;sup&gt;13&lt;/sup&gt;"},"properties":{"noteIndex":0},"schema":"https://github.com/citation-style-language/schema/raw/master/csl-citation.json"}</w:instrText>
      </w:r>
      <w:r w:rsidR="004D577C" w:rsidRPr="0016567D">
        <w:rPr>
          <w:rStyle w:val="LineNumber"/>
        </w:rPr>
        <w:fldChar w:fldCharType="separate"/>
      </w:r>
      <w:r w:rsidR="00D66EE1" w:rsidRPr="00D66EE1">
        <w:rPr>
          <w:rStyle w:val="LineNumber"/>
          <w:noProof/>
          <w:vertAlign w:val="superscript"/>
        </w:rPr>
        <w:t>13</w:t>
      </w:r>
      <w:r w:rsidR="004D577C" w:rsidRPr="0016567D">
        <w:rPr>
          <w:rStyle w:val="LineNumber"/>
        </w:rPr>
        <w:fldChar w:fldCharType="end"/>
      </w:r>
      <w:r w:rsidR="0016567D">
        <w:rPr>
          <w:rStyle w:val="LineNumber"/>
        </w:rPr>
        <w:t>]</w:t>
      </w:r>
      <w:r w:rsidR="00C8634E">
        <w:rPr>
          <w:rStyle w:val="LineNumber"/>
        </w:rPr>
        <w:t>.</w:t>
      </w:r>
      <w:r w:rsidR="001460E9" w:rsidRPr="001460E9">
        <w:t xml:space="preserve"> </w:t>
      </w:r>
      <w:r w:rsidR="00D90B6E" w:rsidRPr="007D3E8B">
        <w:rPr>
          <w:rFonts w:ascii="Times New Roman" w:hAnsi="Times New Roman" w:cs="Times New Roman"/>
        </w:rPr>
        <w:t>Further, we have previously shown in a similar model that the antibiotic loading concentration in ALCS-B did not significantly change the effective area of antibiotic activity over the observed time frame</w:t>
      </w:r>
      <w:r w:rsidR="00CD7712" w:rsidRPr="007D3E8B">
        <w:rPr>
          <w:rFonts w:ascii="Times New Roman" w:hAnsi="Times New Roman" w:cs="Times New Roman"/>
        </w:rPr>
        <w:t>,</w:t>
      </w:r>
      <w:r w:rsidR="00D90B6E" w:rsidRPr="007D3E8B">
        <w:t xml:space="preserve"> </w:t>
      </w:r>
      <w:r w:rsidR="00D90B6E" w:rsidRPr="007D3E8B">
        <w:rPr>
          <w:rFonts w:ascii="Times New Roman" w:hAnsi="Times New Roman" w:cs="Times New Roman"/>
        </w:rPr>
        <w:t>from which we concluded that the area of antibiotic potency was limited primarily by diffusion, not the loading potency [</w:t>
      </w:r>
      <w:r w:rsidR="00CD7712" w:rsidRPr="007D3E8B">
        <w:rPr>
          <w:rFonts w:ascii="Times New Roman" w:hAnsi="Times New Roman" w:cs="Times New Roman"/>
        </w:rPr>
        <w:fldChar w:fldCharType="begin" w:fldLock="1"/>
      </w:r>
      <w:r w:rsidR="003D6530" w:rsidRPr="007D3E8B">
        <w:rPr>
          <w:rFonts w:ascii="Times New Roman" w:hAnsi="Times New Roman" w:cs="Times New Roman"/>
        </w:rPr>
        <w:instrText>ADDIN CSL_CITATION {"citationItems":[{"id":"ITEM-1","itemData":{"DOI":"10.1016/j.jconrel.2017.01.005","ISSN":"18734995","abstract":"Antibiotic loaded cement beads are commonly used for the treatment of biofilm related orthopaedic periprosthetic infections; however the effects of antibiotic loading and exposure of beads to body fluids on release kinetics are unclear. The purpose of this study was to determine the effects of (i) antibiotic loading density (ii) loading amount (iii) material type and (iv) exposure to body fluids (blood or synovial fluid) on release kinetics and efficacy of antibiotics against planktonic and lawn biofilm bacteria. Short-term release into an agar gel was evaluated using a fluorescent tracer (fluorescein) incorporated in the carrier materials calcium sulfate (CaSO4) and poly methyl methacrylate (PMMA). Different fluorescein concentrations in CaSO4 beads were evaluated. Mechanical properties of fluorescein-incorporated beads were analyzed. Efficacy of the antibiotics vancomycin (VAN) or tobramycin (TOB) alone and in combination was evaluated against lawn biofilms of bioluminescent strains of Staphylococcus aureus and Pseudomonas aeruginosa. Zones of inhibition of cultures (ZOI) were measured visually and using an in-vivo imaging system (IVIS). The influence of body fluids on release was assessed using CaSO4 beads that contained fluorescein or antibiotics and were pre-coated with human blood or synovial fluid. The spread from the beads followed a square root of time relationship in all cases. The loading concentration had no influence on short-term fluorescein release and pre-coating of beads with body fluids did not affect short-term release or antibacterial activity. Compared to PMMA, CaSO4 had a more rapid short term rate of elution and activity against planktonic and lawn biofilms. This study highlights the importance of considering antibiotic loading and packing density when investigating the clinical application of bone cements for infection management.","author":[{"dropping-particle":"","family":"Dusane","given":"Devendra H.","non-dropping-particle":"","parse-names":false,"suffix":""},{"dropping-particle":"","family":"Diamond","given":"Scott M.","non-dropping-particle":"","parse-names":false,"suffix":""},{"dropping-particle":"","family":"Knecht","given":"Cory S.","non-dropping-particle":"","parse-names":false,"suffix":""},{"dropping-particle":"","family":"Farrar","given":"Nicholas R.","non-dropping-particle":"","parse-names":false,"suffix":""},{"dropping-particle":"","family":"Peters","given":"Casey W.","non-dropping-particle":"","parse-names":false,"suffix":""},{"dropping-particle":"","family":"Howlin","given":"Robert P.","non-dropping-particle":"","parse-names":false,"suffix":""},{"dropping-particle":"","family":"Swearingen","given":"Matthew C.","non-dropping-particle":"","parse-names":false,"suffix":""},{"dropping-particle":"","family":"Calhoun","given":"Jason H.","non-dropping-particle":"","parse-names":false,"suffix":""},{"dropping-particle":"","family":"Plaut","given":"Roger D.","non-dropping-particle":"","parse-names":false,"suffix":""},{"dropping-particle":"","family":"Nocera","given":"Tanya M.","non-dropping-particle":"","parse-names":false,"suffix":""},{"dropping-particle":"","family":"Granger","given":"Jeffrey F.","non-dropping-particle":"","parse-names":false,"suffix":""},{"dropping-particle":"","family":"Stoodley","given":"Paul","non-dropping-particle":"","parse-names":false,"suffix":""}],"container-title":"Journal of Controlled Release","id":"ITEM-1","issued":{"date-parts":[["2017"]]},"page":"24-32","publisher":"The Authors","title":"Effects of loading concentration, blood and synovial fluid on antibiotic release and anti-biofilm activity of bone cement beads","type":"article-journal","volume":"248"},"uris":["http://www.mendeley.com/documents/?uuid=a1974cf9-74da-403c-9039-a01a5ecf67f3"]}],"mendeley":{"formattedCitation":"&lt;sup&gt;22&lt;/sup&gt;","plainTextFormattedCitation":"22","previouslyFormattedCitation":"&lt;sup&gt;22&lt;/sup&gt;"},"properties":{"noteIndex":0},"schema":"https://github.com/citation-style-language/schema/raw/master/csl-citation.json"}</w:instrText>
      </w:r>
      <w:r w:rsidR="00CD7712" w:rsidRPr="007D3E8B">
        <w:rPr>
          <w:rFonts w:ascii="Times New Roman" w:hAnsi="Times New Roman" w:cs="Times New Roman"/>
        </w:rPr>
        <w:fldChar w:fldCharType="separate"/>
      </w:r>
      <w:r w:rsidR="00CD7712" w:rsidRPr="007D3E8B">
        <w:rPr>
          <w:rFonts w:ascii="Times New Roman" w:hAnsi="Times New Roman" w:cs="Times New Roman"/>
          <w:noProof/>
          <w:vertAlign w:val="superscript"/>
        </w:rPr>
        <w:t>22</w:t>
      </w:r>
      <w:r w:rsidR="00CD7712" w:rsidRPr="007D3E8B">
        <w:rPr>
          <w:rFonts w:ascii="Times New Roman" w:hAnsi="Times New Roman" w:cs="Times New Roman"/>
        </w:rPr>
        <w:fldChar w:fldCharType="end"/>
      </w:r>
      <w:r w:rsidR="00D90B6E" w:rsidRPr="007D3E8B">
        <w:rPr>
          <w:rFonts w:ascii="Times New Roman" w:hAnsi="Times New Roman" w:cs="Times New Roman"/>
        </w:rPr>
        <w:t xml:space="preserve">]. While </w:t>
      </w:r>
      <w:r w:rsidR="00A32155" w:rsidRPr="007D3E8B">
        <w:rPr>
          <w:rFonts w:ascii="Times New Roman" w:hAnsi="Times New Roman" w:cs="Times New Roman"/>
        </w:rPr>
        <w:t>we expect</w:t>
      </w:r>
      <w:r w:rsidR="00D90B6E" w:rsidRPr="007D3E8B">
        <w:rPr>
          <w:rFonts w:ascii="Times New Roman" w:hAnsi="Times New Roman" w:cs="Times New Roman"/>
        </w:rPr>
        <w:t xml:space="preserve"> that increasing the </w:t>
      </w:r>
      <w:r w:rsidR="008E2001" w:rsidRPr="007D3E8B">
        <w:rPr>
          <w:rFonts w:ascii="Times New Roman" w:hAnsi="Times New Roman" w:cs="Times New Roman"/>
        </w:rPr>
        <w:t xml:space="preserve">area of </w:t>
      </w:r>
      <w:r w:rsidR="00D90B6E" w:rsidRPr="007D3E8B">
        <w:rPr>
          <w:rFonts w:ascii="Times New Roman" w:hAnsi="Times New Roman" w:cs="Times New Roman"/>
        </w:rPr>
        <w:t>spread of antibiotic depots will result in increase</w:t>
      </w:r>
      <w:r w:rsidR="00A32155" w:rsidRPr="007D3E8B">
        <w:rPr>
          <w:rFonts w:ascii="Times New Roman" w:hAnsi="Times New Roman" w:cs="Times New Roman"/>
        </w:rPr>
        <w:t>d areal coverage of antibiotic activity</w:t>
      </w:r>
      <w:r w:rsidR="00CD7712" w:rsidRPr="007D3E8B">
        <w:rPr>
          <w:rFonts w:ascii="Times New Roman" w:hAnsi="Times New Roman" w:cs="Times New Roman"/>
        </w:rPr>
        <w:t>,</w:t>
      </w:r>
      <w:r w:rsidR="00A32155" w:rsidRPr="007D3E8B">
        <w:rPr>
          <w:rFonts w:ascii="Times New Roman" w:hAnsi="Times New Roman" w:cs="Times New Roman"/>
        </w:rPr>
        <w:t xml:space="preserve"> we </w:t>
      </w:r>
      <w:r w:rsidR="00D96B49" w:rsidRPr="007D3E8B">
        <w:rPr>
          <w:rFonts w:ascii="Times New Roman" w:hAnsi="Times New Roman" w:cs="Times New Roman"/>
        </w:rPr>
        <w:t>wish</w:t>
      </w:r>
      <w:r w:rsidR="00A32155" w:rsidRPr="007D3E8B">
        <w:rPr>
          <w:rFonts w:ascii="Times New Roman" w:hAnsi="Times New Roman" w:cs="Times New Roman"/>
        </w:rPr>
        <w:t xml:space="preserve"> to determine the spatial effect of adding ALCS-B to an antibiotic loaded spacer mimic on the spread of bacteria from biofilm colonized materials</w:t>
      </w:r>
      <w:r w:rsidR="00CD7712" w:rsidRPr="007D3E8B">
        <w:rPr>
          <w:rFonts w:ascii="Times New Roman" w:hAnsi="Times New Roman" w:cs="Times New Roman"/>
        </w:rPr>
        <w:t xml:space="preserve">, as well as </w:t>
      </w:r>
      <w:r w:rsidR="00A32155" w:rsidRPr="007D3E8B">
        <w:rPr>
          <w:rFonts w:ascii="Times New Roman" w:hAnsi="Times New Roman" w:cs="Times New Roman"/>
        </w:rPr>
        <w:t xml:space="preserve">the killing efficacy </w:t>
      </w:r>
      <w:r w:rsidR="008E2001" w:rsidRPr="007D3E8B">
        <w:rPr>
          <w:rFonts w:ascii="Times New Roman" w:hAnsi="Times New Roman" w:cs="Times New Roman"/>
        </w:rPr>
        <w:t xml:space="preserve">of biofilm bacteria on those materials in a </w:t>
      </w:r>
      <w:r w:rsidR="003D6530" w:rsidRPr="007D3E8B">
        <w:rPr>
          <w:rFonts w:ascii="Times New Roman" w:hAnsi="Times New Roman" w:cs="Times New Roman"/>
        </w:rPr>
        <w:t>scaled-up</w:t>
      </w:r>
      <w:r w:rsidR="008E2001" w:rsidRPr="007D3E8B">
        <w:rPr>
          <w:rFonts w:ascii="Times New Roman" w:hAnsi="Times New Roman" w:cs="Times New Roman"/>
        </w:rPr>
        <w:t xml:space="preserve"> model.</w:t>
      </w:r>
      <w:r w:rsidR="00C8634E" w:rsidRPr="007D3E8B">
        <w:rPr>
          <w:rStyle w:val="LineNumber"/>
        </w:rPr>
        <w:t xml:space="preserve"> </w:t>
      </w:r>
      <w:r w:rsidR="008A42F8" w:rsidRPr="007D3E8B">
        <w:rPr>
          <w:rStyle w:val="LineNumber"/>
        </w:rPr>
        <w:t xml:space="preserve">In </w:t>
      </w:r>
      <w:r w:rsidR="00C8634E" w:rsidRPr="007D3E8B">
        <w:rPr>
          <w:rStyle w:val="LineNumber"/>
        </w:rPr>
        <w:t>the present</w:t>
      </w:r>
      <w:r w:rsidR="008A42F8" w:rsidRPr="007D3E8B">
        <w:rPr>
          <w:rStyle w:val="LineNumber"/>
        </w:rPr>
        <w:t xml:space="preserve"> study, </w:t>
      </w:r>
      <w:r w:rsidR="00776688" w:rsidRPr="007D3E8B">
        <w:rPr>
          <w:rStyle w:val="LineNumber"/>
        </w:rPr>
        <w:t xml:space="preserve">we evaluate </w:t>
      </w:r>
      <w:r w:rsidR="00151C17" w:rsidRPr="007D3E8B">
        <w:rPr>
          <w:rStyle w:val="LineNumber"/>
        </w:rPr>
        <w:t xml:space="preserve">the effect of ALCS-B and </w:t>
      </w:r>
      <w:r w:rsidR="007D699E" w:rsidRPr="007D3E8B">
        <w:rPr>
          <w:rStyle w:val="LineNumber"/>
        </w:rPr>
        <w:t>antibiotic loaded bone cement spacers</w:t>
      </w:r>
      <w:r w:rsidR="007D699E">
        <w:rPr>
          <w:rStyle w:val="LineNumber"/>
        </w:rPr>
        <w:t xml:space="preserve"> </w:t>
      </w:r>
      <w:r w:rsidR="000872B3">
        <w:rPr>
          <w:rStyle w:val="LineNumber"/>
        </w:rPr>
        <w:t xml:space="preserve">(ALBC-S) </w:t>
      </w:r>
      <w:r w:rsidR="00151C17">
        <w:rPr>
          <w:rStyle w:val="LineNumber"/>
        </w:rPr>
        <w:t xml:space="preserve">on </w:t>
      </w:r>
      <w:r w:rsidR="00681F6D">
        <w:rPr>
          <w:rStyle w:val="LineNumber"/>
        </w:rPr>
        <w:t xml:space="preserve">both </w:t>
      </w:r>
      <w:r w:rsidR="00151C17">
        <w:rPr>
          <w:rStyle w:val="LineNumber"/>
        </w:rPr>
        <w:t xml:space="preserve">containing the spread and killing </w:t>
      </w:r>
      <w:r w:rsidR="003C1D88">
        <w:rPr>
          <w:rStyle w:val="LineNumber"/>
        </w:rPr>
        <w:t xml:space="preserve">of </w:t>
      </w:r>
      <w:r w:rsidR="00151C17" w:rsidRPr="00203875">
        <w:rPr>
          <w:rStyle w:val="LineNumber"/>
          <w:i/>
        </w:rPr>
        <w:t>P</w:t>
      </w:r>
      <w:r w:rsidR="00151C17">
        <w:rPr>
          <w:rStyle w:val="LineNumber"/>
          <w:i/>
        </w:rPr>
        <w:t>.</w:t>
      </w:r>
      <w:r w:rsidR="00151C17" w:rsidRPr="00203875">
        <w:rPr>
          <w:rStyle w:val="LineNumber"/>
          <w:i/>
        </w:rPr>
        <w:t xml:space="preserve"> aeruginosa</w:t>
      </w:r>
      <w:r w:rsidR="00151C17" w:rsidRPr="00DF47A6">
        <w:rPr>
          <w:rStyle w:val="LineNumber"/>
        </w:rPr>
        <w:t xml:space="preserve"> biofilm</w:t>
      </w:r>
      <w:r w:rsidR="00151C17">
        <w:rPr>
          <w:rStyle w:val="LineNumber"/>
        </w:rPr>
        <w:t>s</w:t>
      </w:r>
      <w:r w:rsidR="00151C17" w:rsidRPr="00DF47A6">
        <w:rPr>
          <w:rStyle w:val="LineNumber"/>
        </w:rPr>
        <w:t xml:space="preserve"> using a “large agar plate” model</w:t>
      </w:r>
      <w:r w:rsidR="003C1D88">
        <w:rPr>
          <w:rStyle w:val="LineNumber"/>
        </w:rPr>
        <w:t>.</w:t>
      </w:r>
      <w:r w:rsidR="007D699E">
        <w:rPr>
          <w:rStyle w:val="LineNumber"/>
        </w:rPr>
        <w:t xml:space="preserve"> </w:t>
      </w:r>
      <w:r w:rsidR="001460E9" w:rsidRPr="007D3E8B">
        <w:rPr>
          <w:rStyle w:val="LineNumber"/>
        </w:rPr>
        <w:t xml:space="preserve">We used </w:t>
      </w:r>
      <w:r w:rsidR="001460E9" w:rsidRPr="007D3E8B">
        <w:rPr>
          <w:rStyle w:val="LineNumber"/>
          <w:i/>
          <w:iCs/>
        </w:rPr>
        <w:t>P. aeruginosa</w:t>
      </w:r>
      <w:r w:rsidR="001460E9" w:rsidRPr="007D3E8B">
        <w:rPr>
          <w:rStyle w:val="LineNumber"/>
        </w:rPr>
        <w:t xml:space="preserve"> Xen41 in part because of its strong bioluminescent signal allowing for more sensitive and illustrative monitoring of the effect of antibiotic diffusing from the PMMA or ALSC-B by in vitro imaging system (IVIS).</w:t>
      </w:r>
    </w:p>
    <w:p w14:paraId="0AF12BB2" w14:textId="77777777" w:rsidR="007F448F" w:rsidRDefault="007F448F">
      <w:pPr>
        <w:rPr>
          <w:rStyle w:val="LineNumber"/>
          <w:b/>
          <w:bCs/>
        </w:rPr>
      </w:pPr>
      <w:r>
        <w:rPr>
          <w:rStyle w:val="LineNumber"/>
          <w:b/>
          <w:bCs/>
        </w:rPr>
        <w:br w:type="page"/>
      </w:r>
    </w:p>
    <w:p w14:paraId="4871654A" w14:textId="341B008F" w:rsidR="0056689D" w:rsidRDefault="00D133B2" w:rsidP="0056689D">
      <w:pPr>
        <w:spacing w:line="480" w:lineRule="auto"/>
        <w:rPr>
          <w:rStyle w:val="LineNumber"/>
          <w:b/>
          <w:bCs/>
        </w:rPr>
      </w:pPr>
      <w:r>
        <w:rPr>
          <w:rStyle w:val="LineNumber"/>
          <w:b/>
          <w:bCs/>
        </w:rPr>
        <w:lastRenderedPageBreak/>
        <w:t>Materials and Methods</w:t>
      </w:r>
    </w:p>
    <w:p w14:paraId="4147A3BF" w14:textId="77777777" w:rsidR="0056689D" w:rsidRPr="0056689D" w:rsidRDefault="0056689D" w:rsidP="0056689D">
      <w:pPr>
        <w:spacing w:line="480" w:lineRule="auto"/>
        <w:rPr>
          <w:rFonts w:ascii="Times New Roman" w:hAnsi="Times New Roman"/>
          <w:b/>
          <w:bCs/>
        </w:rPr>
      </w:pPr>
      <w:r w:rsidRPr="00CF0B15">
        <w:rPr>
          <w:rFonts w:ascii="Times New Roman" w:hAnsi="Times New Roman" w:cs="Times New Roman"/>
          <w:i/>
          <w:iCs/>
        </w:rPr>
        <w:t xml:space="preserve">Bacterial </w:t>
      </w:r>
      <w:r>
        <w:rPr>
          <w:rFonts w:ascii="Times New Roman" w:hAnsi="Times New Roman" w:cs="Times New Roman"/>
          <w:i/>
          <w:iCs/>
        </w:rPr>
        <w:t>g</w:t>
      </w:r>
      <w:r w:rsidRPr="00CF0B15">
        <w:rPr>
          <w:rFonts w:ascii="Times New Roman" w:hAnsi="Times New Roman" w:cs="Times New Roman"/>
          <w:i/>
          <w:iCs/>
        </w:rPr>
        <w:t>rowth</w:t>
      </w:r>
    </w:p>
    <w:p w14:paraId="7461A462" w14:textId="2AD01961" w:rsidR="0056689D" w:rsidRDefault="0056689D" w:rsidP="0056689D">
      <w:pPr>
        <w:spacing w:line="480" w:lineRule="auto"/>
        <w:ind w:firstLine="720"/>
        <w:rPr>
          <w:rFonts w:ascii="Times New Roman" w:hAnsi="Times New Roman" w:cs="Times New Roman"/>
        </w:rPr>
      </w:pPr>
      <w:r>
        <w:rPr>
          <w:rFonts w:ascii="Times New Roman" w:hAnsi="Times New Roman" w:cs="Times New Roman"/>
        </w:rPr>
        <w:t xml:space="preserve">A bioluminescent derivative strain of </w:t>
      </w:r>
      <w:r>
        <w:rPr>
          <w:rFonts w:ascii="Times New Roman" w:hAnsi="Times New Roman" w:cs="Times New Roman"/>
          <w:i/>
          <w:iCs/>
        </w:rPr>
        <w:t>Pseudomonas aeruginosa</w:t>
      </w:r>
      <w:r w:rsidR="00817153">
        <w:rPr>
          <w:rFonts w:ascii="Times New Roman" w:hAnsi="Times New Roman" w:cs="Times New Roman"/>
          <w:iCs/>
        </w:rPr>
        <w:t xml:space="preserve"> </w:t>
      </w:r>
      <w:r w:rsidR="00817153">
        <w:rPr>
          <w:rFonts w:ascii="Times New Roman" w:hAnsi="Times New Roman" w:cs="Times New Roman"/>
        </w:rPr>
        <w:t xml:space="preserve">PAO1 </w:t>
      </w:r>
      <w:r>
        <w:rPr>
          <w:rFonts w:ascii="Times New Roman" w:hAnsi="Times New Roman" w:cs="Times New Roman"/>
        </w:rPr>
        <w:t xml:space="preserve">(PA-Xen41; Xenogen Corp., USA) was used. </w:t>
      </w:r>
      <w:r w:rsidR="00817153">
        <w:rPr>
          <w:rFonts w:ascii="Times New Roman" w:hAnsi="Times New Roman" w:cs="Times New Roman"/>
        </w:rPr>
        <w:t>S</w:t>
      </w:r>
      <w:r>
        <w:rPr>
          <w:rFonts w:ascii="Times New Roman" w:hAnsi="Times New Roman" w:cs="Times New Roman"/>
        </w:rPr>
        <w:t>tock culture was streaked onto</w:t>
      </w:r>
      <w:r w:rsidR="00D66EE1">
        <w:rPr>
          <w:rFonts w:ascii="Times New Roman" w:hAnsi="Times New Roman" w:cs="Times New Roman"/>
        </w:rPr>
        <w:t xml:space="preserve"> 1.5%</w:t>
      </w:r>
      <w:r>
        <w:rPr>
          <w:rFonts w:ascii="Times New Roman" w:hAnsi="Times New Roman" w:cs="Times New Roman"/>
        </w:rPr>
        <w:t xml:space="preserve"> tryptic soy agar (TSA; </w:t>
      </w:r>
      <w:r w:rsidR="00C14357">
        <w:rPr>
          <w:rFonts w:ascii="Times New Roman" w:hAnsi="Times New Roman" w:cs="Times New Roman"/>
        </w:rPr>
        <w:t>Becton, Dickinson &amp; Company, MD, USA</w:t>
      </w:r>
      <w:r>
        <w:rPr>
          <w:rFonts w:ascii="Times New Roman" w:hAnsi="Times New Roman" w:cs="Times New Roman"/>
        </w:rPr>
        <w:t>) and incubated for 24 hours</w:t>
      </w:r>
      <w:r>
        <w:rPr>
          <w:rFonts w:ascii="Times New Roman" w:hAnsi="Times New Roman" w:cs="Times New Roman"/>
          <w:i/>
          <w:iCs/>
        </w:rPr>
        <w:t xml:space="preserve">. </w:t>
      </w:r>
      <w:r>
        <w:rPr>
          <w:rFonts w:ascii="Times New Roman" w:hAnsi="Times New Roman" w:cs="Times New Roman"/>
        </w:rPr>
        <w:t xml:space="preserve">A single colony was transferred aseptically to 15 mL of </w:t>
      </w:r>
      <w:r w:rsidR="00C14357">
        <w:rPr>
          <w:rFonts w:ascii="Times New Roman" w:hAnsi="Times New Roman" w:cs="Times New Roman"/>
        </w:rPr>
        <w:t>t</w:t>
      </w:r>
      <w:r>
        <w:rPr>
          <w:rFonts w:ascii="Times New Roman" w:hAnsi="Times New Roman" w:cs="Times New Roman"/>
        </w:rPr>
        <w:t xml:space="preserve">ryptic </w:t>
      </w:r>
      <w:r w:rsidR="00C14357">
        <w:rPr>
          <w:rFonts w:ascii="Times New Roman" w:hAnsi="Times New Roman" w:cs="Times New Roman"/>
        </w:rPr>
        <w:t>s</w:t>
      </w:r>
      <w:r>
        <w:rPr>
          <w:rFonts w:ascii="Times New Roman" w:hAnsi="Times New Roman" w:cs="Times New Roman"/>
        </w:rPr>
        <w:t xml:space="preserve">oy </w:t>
      </w:r>
      <w:r w:rsidR="00C14357">
        <w:rPr>
          <w:rFonts w:ascii="Times New Roman" w:hAnsi="Times New Roman" w:cs="Times New Roman"/>
        </w:rPr>
        <w:t>b</w:t>
      </w:r>
      <w:r>
        <w:rPr>
          <w:rFonts w:ascii="Times New Roman" w:hAnsi="Times New Roman" w:cs="Times New Roman"/>
        </w:rPr>
        <w:t xml:space="preserve">roth (TSB; Becton, Dickinson &amp; Company, MD, USA) </w:t>
      </w:r>
      <w:r w:rsidR="00817153">
        <w:rPr>
          <w:rFonts w:ascii="Times New Roman" w:hAnsi="Times New Roman" w:cs="Times New Roman"/>
        </w:rPr>
        <w:t xml:space="preserve">and </w:t>
      </w:r>
      <w:r>
        <w:rPr>
          <w:rFonts w:ascii="Times New Roman" w:hAnsi="Times New Roman" w:cs="Times New Roman"/>
        </w:rPr>
        <w:t>incubate</w:t>
      </w:r>
      <w:r w:rsidR="00EA0B91">
        <w:rPr>
          <w:rFonts w:ascii="Times New Roman" w:hAnsi="Times New Roman" w:cs="Times New Roman"/>
        </w:rPr>
        <w:t>d</w:t>
      </w:r>
      <w:r>
        <w:rPr>
          <w:rFonts w:ascii="Times New Roman" w:hAnsi="Times New Roman" w:cs="Times New Roman"/>
        </w:rPr>
        <w:t xml:space="preserve"> overnight at 37˚C</w:t>
      </w:r>
      <w:r w:rsidR="00817153">
        <w:rPr>
          <w:rFonts w:ascii="Times New Roman" w:hAnsi="Times New Roman" w:cs="Times New Roman"/>
        </w:rPr>
        <w:t>, 5% CO</w:t>
      </w:r>
      <w:r w:rsidR="00817153" w:rsidRPr="00E52198">
        <w:rPr>
          <w:rFonts w:ascii="Times New Roman" w:hAnsi="Times New Roman" w:cs="Times New Roman"/>
          <w:vertAlign w:val="subscript"/>
        </w:rPr>
        <w:t>2</w:t>
      </w:r>
      <w:r>
        <w:rPr>
          <w:rFonts w:ascii="Times New Roman" w:hAnsi="Times New Roman" w:cs="Times New Roman"/>
        </w:rPr>
        <w:t xml:space="preserve"> </w:t>
      </w:r>
      <w:r w:rsidR="00817153">
        <w:rPr>
          <w:rFonts w:ascii="Times New Roman" w:hAnsi="Times New Roman" w:cs="Times New Roman"/>
        </w:rPr>
        <w:t xml:space="preserve">on a rotary shaker at </w:t>
      </w:r>
      <w:r>
        <w:rPr>
          <w:rFonts w:ascii="Times New Roman" w:hAnsi="Times New Roman" w:cs="Times New Roman"/>
        </w:rPr>
        <w:t>200 rpm.</w:t>
      </w:r>
      <w:r w:rsidR="00134188">
        <w:rPr>
          <w:rFonts w:ascii="Times New Roman" w:hAnsi="Times New Roman" w:cs="Times New Roman"/>
        </w:rPr>
        <w:t xml:space="preserve"> We used PA-Xen41 for our studies because it gives off a very strong signal</w:t>
      </w:r>
      <w:r w:rsidR="00220CA1">
        <w:rPr>
          <w:rFonts w:ascii="Times New Roman" w:hAnsi="Times New Roman" w:cs="Times New Roman"/>
        </w:rPr>
        <w:t>,</w:t>
      </w:r>
      <w:r w:rsidR="00134188">
        <w:rPr>
          <w:rFonts w:ascii="Times New Roman" w:hAnsi="Times New Roman" w:cs="Times New Roman"/>
        </w:rPr>
        <w:t xml:space="preserve"> allowing for our </w:t>
      </w:r>
      <w:r w:rsidR="003E39D8">
        <w:rPr>
          <w:rFonts w:ascii="Times New Roman" w:hAnsi="Times New Roman" w:cs="Times New Roman"/>
        </w:rPr>
        <w:t>long-term</w:t>
      </w:r>
      <w:r w:rsidR="00134188">
        <w:rPr>
          <w:rFonts w:ascii="Times New Roman" w:hAnsi="Times New Roman" w:cs="Times New Roman"/>
        </w:rPr>
        <w:t xml:space="preserve"> non-destructive monitoring of the spread of antibiotics on activity and killing of the lawn biofilms, and as mentioned previously</w:t>
      </w:r>
      <w:r w:rsidR="003E39D8">
        <w:rPr>
          <w:rFonts w:ascii="Times New Roman" w:hAnsi="Times New Roman" w:cs="Times New Roman"/>
        </w:rPr>
        <w:t>,</w:t>
      </w:r>
      <w:r w:rsidR="00134188">
        <w:rPr>
          <w:rFonts w:ascii="Times New Roman" w:hAnsi="Times New Roman" w:cs="Times New Roman"/>
        </w:rPr>
        <w:t xml:space="preserve"> </w:t>
      </w:r>
      <w:r w:rsidR="00134188" w:rsidRPr="00134188">
        <w:rPr>
          <w:rFonts w:ascii="Times New Roman" w:hAnsi="Times New Roman" w:cs="Times New Roman"/>
          <w:i/>
          <w:iCs/>
        </w:rPr>
        <w:t>P. aeruginosa</w:t>
      </w:r>
      <w:r w:rsidR="00134188">
        <w:rPr>
          <w:rFonts w:ascii="Times New Roman" w:hAnsi="Times New Roman" w:cs="Times New Roman"/>
        </w:rPr>
        <w:t xml:space="preserve"> is a relevant Gram negative PJI pathogen. </w:t>
      </w:r>
    </w:p>
    <w:p w14:paraId="60EC472D" w14:textId="77777777" w:rsidR="0056689D" w:rsidRDefault="0056689D" w:rsidP="0056689D">
      <w:pPr>
        <w:spacing w:line="480" w:lineRule="auto"/>
        <w:rPr>
          <w:rFonts w:ascii="Times New Roman" w:hAnsi="Times New Roman" w:cs="Times New Roman"/>
          <w:i/>
          <w:iCs/>
        </w:rPr>
      </w:pPr>
    </w:p>
    <w:p w14:paraId="637361B0" w14:textId="77777777" w:rsidR="0056689D" w:rsidRDefault="0056689D" w:rsidP="0056689D">
      <w:pPr>
        <w:spacing w:line="480" w:lineRule="auto"/>
        <w:rPr>
          <w:rFonts w:ascii="Times New Roman" w:hAnsi="Times New Roman" w:cs="Times New Roman"/>
          <w:i/>
          <w:iCs/>
        </w:rPr>
      </w:pPr>
      <w:r>
        <w:rPr>
          <w:rFonts w:ascii="Times New Roman" w:hAnsi="Times New Roman" w:cs="Times New Roman"/>
          <w:i/>
          <w:iCs/>
        </w:rPr>
        <w:t xml:space="preserve">Formation of biofilms on </w:t>
      </w:r>
      <w:r w:rsidR="0097720F">
        <w:rPr>
          <w:rFonts w:ascii="Times New Roman" w:hAnsi="Times New Roman" w:cs="Times New Roman"/>
          <w:i/>
          <w:iCs/>
        </w:rPr>
        <w:t xml:space="preserve">circular </w:t>
      </w:r>
      <w:r w:rsidR="00F0322D">
        <w:rPr>
          <w:rFonts w:ascii="Times New Roman" w:hAnsi="Times New Roman" w:cs="Times New Roman"/>
          <w:i/>
          <w:iCs/>
        </w:rPr>
        <w:t>discs</w:t>
      </w:r>
    </w:p>
    <w:p w14:paraId="5C777CB2" w14:textId="77777777" w:rsidR="0056689D" w:rsidRDefault="0056689D" w:rsidP="003F4957">
      <w:pPr>
        <w:spacing w:line="480" w:lineRule="auto"/>
        <w:ind w:firstLine="720"/>
        <w:rPr>
          <w:rFonts w:ascii="Times New Roman" w:hAnsi="Times New Roman" w:cs="Times New Roman"/>
        </w:rPr>
      </w:pPr>
      <w:r>
        <w:rPr>
          <w:rFonts w:ascii="Times New Roman" w:hAnsi="Times New Roman" w:cs="Times New Roman"/>
        </w:rPr>
        <w:t xml:space="preserve">Overnight cultures were diluted to 0.1% and used </w:t>
      </w:r>
      <w:r w:rsidR="00817153">
        <w:rPr>
          <w:rFonts w:ascii="Times New Roman" w:hAnsi="Times New Roman" w:cs="Times New Roman"/>
        </w:rPr>
        <w:t>to</w:t>
      </w:r>
      <w:r>
        <w:rPr>
          <w:rFonts w:ascii="Times New Roman" w:hAnsi="Times New Roman" w:cs="Times New Roman"/>
        </w:rPr>
        <w:t xml:space="preserve"> inocul</w:t>
      </w:r>
      <w:r w:rsidR="00817153">
        <w:rPr>
          <w:rFonts w:ascii="Times New Roman" w:hAnsi="Times New Roman" w:cs="Times New Roman"/>
        </w:rPr>
        <w:t>ate</w:t>
      </w:r>
      <w:r>
        <w:rPr>
          <w:rFonts w:ascii="Times New Roman" w:hAnsi="Times New Roman" w:cs="Times New Roman"/>
        </w:rPr>
        <w:t xml:space="preserve"> sterile, circular </w:t>
      </w:r>
      <w:r w:rsidR="00F0322D">
        <w:rPr>
          <w:rFonts w:ascii="Times New Roman" w:hAnsi="Times New Roman" w:cs="Times New Roman"/>
        </w:rPr>
        <w:t xml:space="preserve">discs </w:t>
      </w:r>
      <w:r w:rsidR="009311D6">
        <w:rPr>
          <w:rFonts w:ascii="Times New Roman" w:hAnsi="Times New Roman" w:cs="Times New Roman"/>
        </w:rPr>
        <w:t>(BioSurface Technologies, MT, USA)</w:t>
      </w:r>
      <w:r>
        <w:rPr>
          <w:rFonts w:ascii="Times New Roman" w:hAnsi="Times New Roman" w:cs="Times New Roman"/>
        </w:rPr>
        <w:t xml:space="preserve"> of hydroxyapatite (HA), </w:t>
      </w:r>
      <w:r w:rsidR="00C42AAE">
        <w:rPr>
          <w:rFonts w:ascii="Times New Roman" w:hAnsi="Times New Roman" w:cs="Times New Roman"/>
        </w:rPr>
        <w:t xml:space="preserve">ultra-high </w:t>
      </w:r>
      <w:r w:rsidR="009311D6">
        <w:rPr>
          <w:rFonts w:ascii="Times New Roman" w:hAnsi="Times New Roman" w:cs="Times New Roman"/>
        </w:rPr>
        <w:t>molecular</w:t>
      </w:r>
      <w:r w:rsidR="00C42AAE">
        <w:rPr>
          <w:rFonts w:ascii="Times New Roman" w:hAnsi="Times New Roman" w:cs="Times New Roman"/>
        </w:rPr>
        <w:t xml:space="preserve"> </w:t>
      </w:r>
      <w:r w:rsidR="009311D6">
        <w:rPr>
          <w:rFonts w:ascii="Times New Roman" w:hAnsi="Times New Roman" w:cs="Times New Roman"/>
        </w:rPr>
        <w:t>weight polyethylene</w:t>
      </w:r>
      <w:r>
        <w:rPr>
          <w:rFonts w:ascii="Times New Roman" w:hAnsi="Times New Roman" w:cs="Times New Roman"/>
        </w:rPr>
        <w:t xml:space="preserve"> (</w:t>
      </w:r>
      <w:r w:rsidR="009311D6">
        <w:rPr>
          <w:rFonts w:ascii="Times New Roman" w:hAnsi="Times New Roman" w:cs="Times New Roman"/>
        </w:rPr>
        <w:t>UHMWPE), 316</w:t>
      </w:r>
      <w:r w:rsidR="00C42AAE">
        <w:rPr>
          <w:rFonts w:ascii="Times New Roman" w:hAnsi="Times New Roman" w:cs="Times New Roman"/>
        </w:rPr>
        <w:t>L</w:t>
      </w:r>
      <w:r w:rsidR="009311D6">
        <w:rPr>
          <w:rFonts w:ascii="Times New Roman" w:hAnsi="Times New Roman" w:cs="Times New Roman"/>
        </w:rPr>
        <w:t xml:space="preserve"> </w:t>
      </w:r>
      <w:r>
        <w:rPr>
          <w:rFonts w:ascii="Times New Roman" w:hAnsi="Times New Roman" w:cs="Times New Roman"/>
        </w:rPr>
        <w:t xml:space="preserve">stainless steel (SS-316), and titanium (Ti). </w:t>
      </w:r>
      <w:r w:rsidR="00323E3B">
        <w:rPr>
          <w:rFonts w:ascii="Times New Roman" w:hAnsi="Times New Roman" w:cs="Times New Roman"/>
        </w:rPr>
        <w:t xml:space="preserve">The “as received” roughness measured by contact profilometry, were 976, 3867, 224, and 300 nanometers, respectively. </w:t>
      </w:r>
      <w:r w:rsidR="009311D6">
        <w:rPr>
          <w:rFonts w:ascii="Times New Roman" w:hAnsi="Times New Roman" w:cs="Times New Roman"/>
        </w:rPr>
        <w:t>The</w:t>
      </w:r>
      <w:r w:rsidR="00EA0B91">
        <w:rPr>
          <w:rFonts w:ascii="Times New Roman" w:hAnsi="Times New Roman" w:cs="Times New Roman"/>
        </w:rPr>
        <w:t xml:space="preserve"> </w:t>
      </w:r>
      <w:r w:rsidR="009311D6">
        <w:rPr>
          <w:rFonts w:ascii="Times New Roman" w:hAnsi="Times New Roman" w:cs="Times New Roman"/>
        </w:rPr>
        <w:t>dis</w:t>
      </w:r>
      <w:r w:rsidR="00817153">
        <w:rPr>
          <w:rFonts w:ascii="Times New Roman" w:hAnsi="Times New Roman" w:cs="Times New Roman"/>
        </w:rPr>
        <w:t>c</w:t>
      </w:r>
      <w:r w:rsidR="009311D6">
        <w:rPr>
          <w:rFonts w:ascii="Times New Roman" w:hAnsi="Times New Roman" w:cs="Times New Roman"/>
        </w:rPr>
        <w:t>s had a diameter</w:t>
      </w:r>
      <w:r w:rsidR="00C42AAE">
        <w:rPr>
          <w:rFonts w:ascii="Times New Roman" w:hAnsi="Times New Roman" w:cs="Times New Roman"/>
        </w:rPr>
        <w:t xml:space="preserve"> of 9.5 mm</w:t>
      </w:r>
      <w:r w:rsidR="009311D6">
        <w:rPr>
          <w:rFonts w:ascii="Times New Roman" w:hAnsi="Times New Roman" w:cs="Times New Roman"/>
        </w:rPr>
        <w:t xml:space="preserve"> and a thickness of 2 mm. </w:t>
      </w:r>
      <w:r w:rsidR="005D7115">
        <w:rPr>
          <w:rFonts w:ascii="Times New Roman" w:hAnsi="Times New Roman" w:cs="Times New Roman"/>
        </w:rPr>
        <w:t xml:space="preserve">Four </w:t>
      </w:r>
      <w:r>
        <w:rPr>
          <w:rFonts w:ascii="Times New Roman" w:hAnsi="Times New Roman" w:cs="Times New Roman"/>
        </w:rPr>
        <w:t>mL of the diluted culture was added to four different wells of a six-well plate</w:t>
      </w:r>
      <w:r w:rsidR="00C42AAE">
        <w:rPr>
          <w:rFonts w:ascii="Times New Roman" w:hAnsi="Times New Roman" w:cs="Times New Roman"/>
        </w:rPr>
        <w:t xml:space="preserve"> and</w:t>
      </w:r>
      <w:r>
        <w:rPr>
          <w:rFonts w:ascii="Times New Roman" w:hAnsi="Times New Roman" w:cs="Times New Roman"/>
        </w:rPr>
        <w:t xml:space="preserve"> three </w:t>
      </w:r>
      <w:r w:rsidR="00F0322D">
        <w:rPr>
          <w:rFonts w:ascii="Times New Roman" w:hAnsi="Times New Roman" w:cs="Times New Roman"/>
        </w:rPr>
        <w:t xml:space="preserve">discs </w:t>
      </w:r>
      <w:r>
        <w:rPr>
          <w:rFonts w:ascii="Times New Roman" w:hAnsi="Times New Roman" w:cs="Times New Roman"/>
        </w:rPr>
        <w:t>of each material were aseptically submerged in the inoculu</w:t>
      </w:r>
      <w:r w:rsidR="00C42AAE">
        <w:rPr>
          <w:rFonts w:ascii="Times New Roman" w:hAnsi="Times New Roman" w:cs="Times New Roman"/>
        </w:rPr>
        <w:t xml:space="preserve">m. The </w:t>
      </w:r>
      <w:r>
        <w:rPr>
          <w:rFonts w:ascii="Times New Roman" w:hAnsi="Times New Roman" w:cs="Times New Roman"/>
        </w:rPr>
        <w:t>plate was incubated at 37˚C</w:t>
      </w:r>
      <w:r w:rsidR="00817153">
        <w:rPr>
          <w:rFonts w:ascii="Times New Roman" w:hAnsi="Times New Roman" w:cs="Times New Roman"/>
        </w:rPr>
        <w:t xml:space="preserve">, </w:t>
      </w:r>
      <w:r w:rsidR="00111106">
        <w:rPr>
          <w:rFonts w:ascii="Times New Roman" w:hAnsi="Times New Roman" w:cs="Times New Roman"/>
        </w:rPr>
        <w:t>5% CO</w:t>
      </w:r>
      <w:r w:rsidR="00111106">
        <w:rPr>
          <w:rFonts w:ascii="Times New Roman" w:hAnsi="Times New Roman" w:cs="Times New Roman"/>
          <w:vertAlign w:val="subscript"/>
        </w:rPr>
        <w:t>2</w:t>
      </w:r>
      <w:r>
        <w:rPr>
          <w:rFonts w:ascii="Times New Roman" w:hAnsi="Times New Roman" w:cs="Times New Roman"/>
        </w:rPr>
        <w:t xml:space="preserve"> for 72 hours to establish 3-day biofilms.</w:t>
      </w:r>
    </w:p>
    <w:p w14:paraId="23935D6D" w14:textId="77777777" w:rsidR="007F448F" w:rsidRDefault="007F448F">
      <w:pPr>
        <w:rPr>
          <w:rFonts w:ascii="Times New Roman" w:hAnsi="Times New Roman" w:cs="Times New Roman"/>
          <w:i/>
          <w:iCs/>
        </w:rPr>
      </w:pPr>
      <w:r>
        <w:rPr>
          <w:rFonts w:ascii="Times New Roman" w:hAnsi="Times New Roman" w:cs="Times New Roman"/>
          <w:i/>
          <w:iCs/>
        </w:rPr>
        <w:br w:type="page"/>
      </w:r>
    </w:p>
    <w:p w14:paraId="2B85677C" w14:textId="3F89C690" w:rsidR="0056689D" w:rsidRDefault="0056689D" w:rsidP="0056689D">
      <w:pPr>
        <w:spacing w:line="480" w:lineRule="auto"/>
        <w:rPr>
          <w:rFonts w:ascii="Times New Roman" w:hAnsi="Times New Roman" w:cs="Times New Roman"/>
          <w:i/>
          <w:iCs/>
        </w:rPr>
      </w:pPr>
      <w:r>
        <w:rPr>
          <w:rFonts w:ascii="Times New Roman" w:hAnsi="Times New Roman" w:cs="Times New Roman"/>
          <w:i/>
          <w:iCs/>
        </w:rPr>
        <w:lastRenderedPageBreak/>
        <w:t>Preparation of antibiotic loaded calcium sulfate beads (ALCS-B)</w:t>
      </w:r>
    </w:p>
    <w:p w14:paraId="37DFC582" w14:textId="69ED8BDC" w:rsidR="0056689D" w:rsidRPr="00F26EE2" w:rsidRDefault="0056689D" w:rsidP="00F26EE2">
      <w:pPr>
        <w:spacing w:line="480" w:lineRule="auto"/>
        <w:ind w:firstLine="720"/>
        <w:rPr>
          <w:rFonts w:ascii="Times New Roman" w:hAnsi="Times New Roman"/>
        </w:rPr>
      </w:pPr>
      <w:r w:rsidRPr="00076AF0">
        <w:rPr>
          <w:rFonts w:ascii="Times New Roman" w:hAnsi="Times New Roman" w:cs="Times New Roman"/>
        </w:rPr>
        <w:t>ALCS-B were prepared using Stimulan</w:t>
      </w:r>
      <w:r w:rsidRPr="00076AF0">
        <w:rPr>
          <w:rFonts w:ascii="Times New Roman" w:hAnsi="Times New Roman" w:cs="Times New Roman"/>
          <w:vertAlign w:val="superscript"/>
        </w:rPr>
        <w:t>®</w:t>
      </w:r>
      <w:r w:rsidRPr="00076AF0">
        <w:rPr>
          <w:rFonts w:ascii="Times New Roman" w:hAnsi="Times New Roman" w:cs="Times New Roman"/>
        </w:rPr>
        <w:t xml:space="preserve"> Rapid Cure 10-cc mixing</w:t>
      </w:r>
      <w:r w:rsidRPr="00076AF0">
        <w:rPr>
          <w:rFonts w:ascii="Times New Roman" w:hAnsi="Times New Roman" w:cs="Times New Roman"/>
          <w:color w:val="000000"/>
          <w:szCs w:val="20"/>
          <w:shd w:val="clear" w:color="auto" w:fill="F9F9F9"/>
        </w:rPr>
        <w:t xml:space="preserve"> kits</w:t>
      </w:r>
      <w:r w:rsidRPr="00076AF0">
        <w:rPr>
          <w:rFonts w:ascii="Times New Roman" w:hAnsi="Times New Roman" w:cs="Times New Roman"/>
        </w:rPr>
        <w:t xml:space="preserve">. </w:t>
      </w:r>
      <w:r w:rsidR="00991C20">
        <w:rPr>
          <w:rFonts w:ascii="Times New Roman" w:hAnsi="Times New Roman" w:cs="Times New Roman"/>
        </w:rPr>
        <w:t>Twenty grams</w:t>
      </w:r>
      <w:r w:rsidR="00991C20" w:rsidRPr="00076AF0">
        <w:rPr>
          <w:rFonts w:ascii="Times New Roman" w:hAnsi="Times New Roman" w:cs="Times New Roman"/>
        </w:rPr>
        <w:t xml:space="preserve"> </w:t>
      </w:r>
      <w:r w:rsidRPr="00076AF0">
        <w:rPr>
          <w:rFonts w:ascii="Times New Roman" w:hAnsi="Times New Roman" w:cs="Times New Roman"/>
        </w:rPr>
        <w:t>of CaSO</w:t>
      </w:r>
      <w:r w:rsidRPr="00076AF0">
        <w:rPr>
          <w:rFonts w:ascii="Times New Roman" w:hAnsi="Times New Roman" w:cs="Times New Roman"/>
          <w:vertAlign w:val="subscript"/>
        </w:rPr>
        <w:t>4</w:t>
      </w:r>
      <w:r w:rsidRPr="00076AF0">
        <w:rPr>
          <w:rFonts w:ascii="Times New Roman" w:hAnsi="Times New Roman" w:cs="Times New Roman"/>
        </w:rPr>
        <w:t xml:space="preserve"> powder was mixed with 1000 mg of vancomycin hydrochloride</w:t>
      </w:r>
      <w:r w:rsidR="00612C52">
        <w:rPr>
          <w:rFonts w:ascii="Times New Roman" w:hAnsi="Times New Roman" w:cs="Times New Roman"/>
        </w:rPr>
        <w:t xml:space="preserve"> powder</w:t>
      </w:r>
      <w:r w:rsidRPr="00076AF0">
        <w:rPr>
          <w:rFonts w:ascii="Times New Roman" w:hAnsi="Times New Roman" w:cs="Times New Roman"/>
        </w:rPr>
        <w:t xml:space="preserve"> (VAN</w:t>
      </w:r>
      <w:r w:rsidR="00C14357">
        <w:rPr>
          <w:rFonts w:ascii="Times New Roman" w:hAnsi="Times New Roman" w:cs="Times New Roman"/>
        </w:rPr>
        <w:t>; Tokyo Chemical Industry, Tokyo, Japan</w:t>
      </w:r>
      <w:r w:rsidRPr="00076AF0">
        <w:rPr>
          <w:rFonts w:ascii="Times New Roman" w:hAnsi="Times New Roman" w:cs="Times New Roman"/>
        </w:rPr>
        <w:t>) and 240 mg of tobramycin sulfate</w:t>
      </w:r>
      <w:r w:rsidR="00612C52">
        <w:rPr>
          <w:rFonts w:ascii="Times New Roman" w:hAnsi="Times New Roman" w:cs="Times New Roman"/>
        </w:rPr>
        <w:t xml:space="preserve"> powder</w:t>
      </w:r>
      <w:r w:rsidRPr="00076AF0">
        <w:rPr>
          <w:rFonts w:ascii="Times New Roman" w:hAnsi="Times New Roman" w:cs="Times New Roman"/>
        </w:rPr>
        <w:t xml:space="preserve"> (TOB</w:t>
      </w:r>
      <w:r w:rsidR="00C14357">
        <w:rPr>
          <w:rFonts w:ascii="Times New Roman" w:hAnsi="Times New Roman" w:cs="Times New Roman"/>
        </w:rPr>
        <w:t>; VWR International, PA</w:t>
      </w:r>
      <w:r w:rsidRPr="00076AF0">
        <w:rPr>
          <w:rFonts w:ascii="Times New Roman" w:hAnsi="Times New Roman" w:cs="Times New Roman"/>
        </w:rPr>
        <w:t>)</w:t>
      </w:r>
      <w:r w:rsidR="00817153" w:rsidRPr="007876B0" w:rsidDel="00817153">
        <w:rPr>
          <w:rFonts w:ascii="Times New Roman" w:hAnsi="Times New Roman" w:cs="Times New Roman"/>
        </w:rPr>
        <w:t xml:space="preserve"> </w:t>
      </w:r>
      <w:r w:rsidR="007876B0">
        <w:rPr>
          <w:rFonts w:ascii="Times New Roman" w:hAnsi="Times New Roman" w:cs="Times New Roman"/>
        </w:rPr>
        <w:t>[</w:t>
      </w:r>
      <w:r w:rsidR="00F860A9" w:rsidRPr="007876B0">
        <w:rPr>
          <w:rFonts w:ascii="Times New Roman" w:hAnsi="Times New Roman" w:cs="Times New Roman"/>
        </w:rPr>
        <w:fldChar w:fldCharType="begin" w:fldLock="1"/>
      </w:r>
      <w:r w:rsidR="003D6530">
        <w:rPr>
          <w:rFonts w:ascii="Times New Roman" w:hAnsi="Times New Roman" w:cs="Times New Roman"/>
        </w:rPr>
        <w:instrText>ADDIN CSL_CITATION {"citationItems":[{"id":"ITEM-1","itemData":{"author":[{"dropping-particle":"","family":"Biocomposites Ltd.","given":"","non-dropping-particle":"","parse-names":false,"suffix":""}],"id":"ITEM-1","issued":{"date-parts":[["2019"]]},"title":"Stimulan® Rapid Cure: Instructions for Use","type":"webpage"},"uris":["http://www.mendeley.com/documents/?uuid=1b27e78a-54ad-41d5-bd8b-e42b693614ff"]}],"mendeley":{"formattedCitation":"&lt;sup&gt;23&lt;/sup&gt;","plainTextFormattedCitation":"23","previouslyFormattedCitation":"&lt;sup&gt;23&lt;/sup&gt;"},"properties":{"noteIndex":0},"schema":"https://github.com/citation-style-language/schema/raw/master/csl-citation.json"}</w:instrText>
      </w:r>
      <w:r w:rsidR="00F860A9" w:rsidRPr="007876B0">
        <w:rPr>
          <w:rFonts w:ascii="Times New Roman" w:hAnsi="Times New Roman" w:cs="Times New Roman"/>
        </w:rPr>
        <w:fldChar w:fldCharType="separate"/>
      </w:r>
      <w:r w:rsidR="00CD7712" w:rsidRPr="00CD7712">
        <w:rPr>
          <w:rFonts w:ascii="Times New Roman" w:hAnsi="Times New Roman" w:cs="Times New Roman"/>
          <w:noProof/>
          <w:vertAlign w:val="superscript"/>
        </w:rPr>
        <w:t>23</w:t>
      </w:r>
      <w:r w:rsidR="00F860A9" w:rsidRPr="007876B0">
        <w:rPr>
          <w:rFonts w:ascii="Times New Roman" w:hAnsi="Times New Roman" w:cs="Times New Roman"/>
        </w:rPr>
        <w:fldChar w:fldCharType="end"/>
      </w:r>
      <w:r w:rsidR="007876B0">
        <w:rPr>
          <w:rFonts w:ascii="Times New Roman" w:hAnsi="Times New Roman" w:cs="Times New Roman"/>
        </w:rPr>
        <w:t>]</w:t>
      </w:r>
      <w:r>
        <w:rPr>
          <w:rFonts w:ascii="Times New Roman" w:hAnsi="Times New Roman" w:cs="Times New Roman"/>
        </w:rPr>
        <w:t xml:space="preserve">. Once blended, 6 mL of sterile liquid </w:t>
      </w:r>
      <w:r w:rsidRPr="00076AF0">
        <w:rPr>
          <w:rFonts w:ascii="Times New Roman" w:hAnsi="Times New Roman" w:cs="Times New Roman"/>
        </w:rPr>
        <w:t>included</w:t>
      </w:r>
      <w:r>
        <w:rPr>
          <w:rFonts w:ascii="Times New Roman" w:hAnsi="Times New Roman" w:cs="Times New Roman"/>
        </w:rPr>
        <w:t xml:space="preserve"> in the kit was added, and the mixture stirred into a uniform paste for 30 seconds. The paste was pressed into a flexible mold (Biocomposites, </w:t>
      </w:r>
      <w:r w:rsidR="005E3464">
        <w:rPr>
          <w:rFonts w:ascii="Times New Roman" w:hAnsi="Times New Roman" w:cs="Times New Roman"/>
        </w:rPr>
        <w:t>Ltd.</w:t>
      </w:r>
      <w:r>
        <w:rPr>
          <w:rFonts w:ascii="Times New Roman" w:hAnsi="Times New Roman" w:cs="Times New Roman"/>
        </w:rPr>
        <w:t xml:space="preserve">, Keele, UK) with bead </w:t>
      </w:r>
      <w:r w:rsidR="007E5FAC">
        <w:rPr>
          <w:rFonts w:ascii="Times New Roman" w:hAnsi="Times New Roman" w:cs="Times New Roman"/>
        </w:rPr>
        <w:t xml:space="preserve">sizes </w:t>
      </w:r>
      <w:r>
        <w:rPr>
          <w:rFonts w:ascii="Times New Roman" w:hAnsi="Times New Roman" w:cs="Times New Roman"/>
        </w:rPr>
        <w:t xml:space="preserve">of 4.8 mm in diameter </w:t>
      </w:r>
      <w:r w:rsidR="00817153">
        <w:rPr>
          <w:rFonts w:ascii="Times New Roman" w:hAnsi="Times New Roman" w:cs="Times New Roman"/>
        </w:rPr>
        <w:t xml:space="preserve">and allowed to </w:t>
      </w:r>
      <w:r>
        <w:rPr>
          <w:rFonts w:ascii="Times New Roman" w:hAnsi="Times New Roman" w:cs="Times New Roman"/>
        </w:rPr>
        <w:t xml:space="preserve">set </w:t>
      </w:r>
      <w:r w:rsidR="00EA6FCD">
        <w:rPr>
          <w:rFonts w:ascii="Times New Roman" w:hAnsi="Times New Roman" w:cs="Times New Roman"/>
        </w:rPr>
        <w:t xml:space="preserve">for </w:t>
      </w:r>
      <w:r>
        <w:rPr>
          <w:rFonts w:ascii="Times New Roman" w:hAnsi="Times New Roman" w:cs="Times New Roman"/>
        </w:rPr>
        <w:t xml:space="preserve">10-15 minutes at 20 </w:t>
      </w:r>
      <w:r>
        <w:rPr>
          <w:rFonts w:ascii="Times New Roman" w:hAnsi="Times New Roman" w:cs="Times New Roman"/>
        </w:rPr>
        <w:sym w:font="Symbol" w:char="F0B0"/>
      </w:r>
      <w:r>
        <w:rPr>
          <w:rFonts w:ascii="Times New Roman" w:hAnsi="Times New Roman" w:cs="Times New Roman"/>
        </w:rPr>
        <w:t>C.</w:t>
      </w:r>
      <w:r w:rsidR="00134188">
        <w:rPr>
          <w:rFonts w:ascii="Times New Roman" w:hAnsi="Times New Roman" w:cs="Times New Roman"/>
        </w:rPr>
        <w:t xml:space="preserve"> Although Xen41 is </w:t>
      </w:r>
      <w:r w:rsidR="00F26EE2">
        <w:rPr>
          <w:rFonts w:ascii="Times New Roman" w:hAnsi="Times New Roman" w:cs="Times New Roman"/>
        </w:rPr>
        <w:t>resistant to vancomycin</w:t>
      </w:r>
      <w:r w:rsidR="00F34C37">
        <w:rPr>
          <w:rFonts w:ascii="Times New Roman" w:hAnsi="Times New Roman" w:cs="Times New Roman"/>
        </w:rPr>
        <w:t xml:space="preserve"> </w:t>
      </w:r>
      <w:r w:rsidR="00F26EE2">
        <w:rPr>
          <w:rStyle w:val="LineNumber"/>
        </w:rPr>
        <w:t>[</w:t>
      </w:r>
      <w:r w:rsidR="00F26EE2" w:rsidRPr="0016567D">
        <w:rPr>
          <w:rStyle w:val="LineNumber"/>
        </w:rPr>
        <w:fldChar w:fldCharType="begin" w:fldLock="1"/>
      </w:r>
      <w:r w:rsidR="003D6530">
        <w:rPr>
          <w:rStyle w:val="LineNumber"/>
        </w:rPr>
        <w:instrText>ADDIN CSL_CITATION {"citationItems":[{"id":"ITEM-1","itemData":{"DOI":"10.1016/j.jconrel.2017.01.005","ISSN":"18734995","abstract":"Antibiotic loaded cement beads are commonly used for the treatment of biofilm related orthopaedic periprosthetic infections; however the effects of antibiotic loading and exposure of beads to body fluids on release kinetics are unclear. The purpose of this study was to determine the effects of (i) antibiotic loading density (ii) loading amount (iii) material type and (iv) exposure to body fluids (blood or synovial fluid) on release kinetics and efficacy of antibiotics against planktonic and lawn biofilm bacteria. Short-term release into an agar gel was evaluated using a fluorescent tracer (fluorescein) incorporated in the carrier materials calcium sulfate (CaSO4) and poly methyl methacrylate (PMMA). Different fluorescein concentrations in CaSO4 beads were evaluated. Mechanical properties of fluorescein-incorporated beads were analyzed. Efficacy of the antibiotics vancomycin (VAN) or tobramycin (TOB) alone and in combination was evaluated against lawn biofilms of bioluminescent strains of Staphylococcus aureus and Pseudomonas aeruginosa. Zones of inhibition of cultures (ZOI) were measured visually and using an in-vivo imaging system (IVIS). The influence of body fluids on release was assessed using CaSO4 beads that contained fluorescein or antibiotics and were pre-coated with human blood or synovial fluid. The spread from the beads followed a square root of time relationship in all cases. The loading concentration had no influence on short-term fluorescein release and pre-coating of beads with body fluids did not affect short-term release or antibacterial activity. Compared to PMMA, CaSO4 had a more rapid short term rate of elution and activity against planktonic and lawn biofilms. This study highlights the importance of considering antibiotic loading and packing density when investigating the clinical application of bone cements for infection management.","author":[{"dropping-particle":"","family":"Dusane","given":"Devendra H.","non-dropping-particle":"","parse-names":false,"suffix":""},{"dropping-particle":"","family":"Diamond","given":"Scott M.","non-dropping-particle":"","parse-names":false,"suffix":""},{"dropping-particle":"","family":"Knecht","given":"Cory S.","non-dropping-particle":"","parse-names":false,"suffix":""},{"dropping-particle":"","family":"Farrar","given":"Nicholas R.","non-dropping-particle":"","parse-names":false,"suffix":""},{"dropping-particle":"","family":"Peters","given":"Casey W.","non-dropping-particle":"","parse-names":false,"suffix":""},{"dropping-particle":"","family":"Howlin","given":"Robert P.","non-dropping-particle":"","parse-names":false,"suffix":""},{"dropping-particle":"","family":"Swearingen","given":"Matthew C.","non-dropping-particle":"","parse-names":false,"suffix":""},{"dropping-particle":"","family":"Calhoun","given":"Jason H.","non-dropping-particle":"","parse-names":false,"suffix":""},{"dropping-particle":"","family":"Plaut","given":"Roger D.","non-dropping-particle":"","parse-names":false,"suffix":""},{"dropping-particle":"","family":"Nocera","given":"Tanya M.","non-dropping-particle":"","parse-names":false,"suffix":""},{"dropping-particle":"","family":"Granger","given":"Jeffrey F.","non-dropping-particle":"","parse-names":false,"suffix":""},{"dropping-particle":"","family":"Stoodley","given":"Paul","non-dropping-particle":"","parse-names":false,"suffix":""}],"container-title":"Journal of Controlled Release","id":"ITEM-1","issued":{"date-parts":[["2017"]]},"page":"24-32","publisher":"The Authors","title":"Effects of loading concentration, blood and synovial fluid on antibiotic release and anti-biofilm activity of bone cement beads","type":"article-journal","volume":"248"},"uris":["http://www.mendeley.com/documents/?uuid=a1974cf9-74da-403c-9039-a01a5ecf67f3"]}],"mendeley":{"formattedCitation":"&lt;sup&gt;22&lt;/sup&gt;","plainTextFormattedCitation":"22","previouslyFormattedCitation":"&lt;sup&gt;22&lt;/sup&gt;"},"properties":{"noteIndex":0},"schema":"https://github.com/citation-style-language/schema/raw/master/csl-citation.json"}</w:instrText>
      </w:r>
      <w:r w:rsidR="00F26EE2" w:rsidRPr="0016567D">
        <w:rPr>
          <w:rStyle w:val="LineNumber"/>
        </w:rPr>
        <w:fldChar w:fldCharType="separate"/>
      </w:r>
      <w:r w:rsidR="00CD7712" w:rsidRPr="00CD7712">
        <w:rPr>
          <w:rStyle w:val="LineNumber"/>
          <w:noProof/>
          <w:vertAlign w:val="superscript"/>
        </w:rPr>
        <w:t>22</w:t>
      </w:r>
      <w:r w:rsidR="00F26EE2" w:rsidRPr="0016567D">
        <w:rPr>
          <w:rStyle w:val="LineNumber"/>
        </w:rPr>
        <w:fldChar w:fldCharType="end"/>
      </w:r>
      <w:r w:rsidR="00F26EE2">
        <w:rPr>
          <w:rStyle w:val="LineNumber"/>
        </w:rPr>
        <w:t>]</w:t>
      </w:r>
      <w:r w:rsidR="00F34C37">
        <w:rPr>
          <w:rStyle w:val="LineNumber"/>
        </w:rPr>
        <w:t xml:space="preserve">, </w:t>
      </w:r>
      <w:r w:rsidR="00F26EE2">
        <w:rPr>
          <w:rStyle w:val="LineNumber"/>
        </w:rPr>
        <w:t>we used a combination of vancomycin and tobramycin since th</w:t>
      </w:r>
      <w:r w:rsidR="00A77D2E">
        <w:rPr>
          <w:rStyle w:val="LineNumber"/>
        </w:rPr>
        <w:t>e combination of vancomycin with an aminoglycoside (tobramycin or gentamicin)</w:t>
      </w:r>
      <w:r w:rsidR="00F26EE2">
        <w:rPr>
          <w:rStyle w:val="LineNumber"/>
        </w:rPr>
        <w:t xml:space="preserve"> are </w:t>
      </w:r>
      <w:r w:rsidR="00A77D2E">
        <w:rPr>
          <w:rStyle w:val="LineNumber"/>
        </w:rPr>
        <w:t>commonly mixed</w:t>
      </w:r>
      <w:r w:rsidR="00F26EE2">
        <w:rPr>
          <w:rStyle w:val="LineNumber"/>
        </w:rPr>
        <w:t xml:space="preserve"> in PMMA and ALCS-B clinically to provide broad coverage</w:t>
      </w:r>
      <w:r w:rsidR="000932B0">
        <w:rPr>
          <w:rStyle w:val="LineNumber"/>
        </w:rPr>
        <w:t xml:space="preserve"> </w:t>
      </w:r>
      <w:r w:rsidR="00EE7C6A">
        <w:rPr>
          <w:rStyle w:val="LineNumber"/>
        </w:rPr>
        <w:t>[</w:t>
      </w:r>
      <w:r w:rsidR="00EE7C6A">
        <w:rPr>
          <w:rStyle w:val="LineNumber"/>
        </w:rPr>
        <w:fldChar w:fldCharType="begin" w:fldLock="1"/>
      </w:r>
      <w:r w:rsidR="003D6530">
        <w:rPr>
          <w:rStyle w:val="LineNumber"/>
        </w:rPr>
        <w:instrText>ADDIN CSL_CITATION {"citationItems":[{"id":"ITEM-1","itemData":{"DOI":"10.7150/jbji.16067","ISSN":"2206-3552","abstract":"Abstract. The use of antibiotic-loaded cement spacers is an established method in the management of periprosthetic hip and knee joint infections. Despite inconsistencies among published studies, data shows that infection control rates exceed 90% with two-stage exchange arthroplasty. The present work reviews the current literature about antibiotic-loaded cement spacers and concentrates on the indications for spacer implantation, spacer production details, antibiotic impregnation, pharmacokinetic properties, clinical success, mechanical complications, and systemic safety.","author":[{"dropping-particle":"","family":"Anagnostakos","given":"Konstantinos","non-dropping-particle":"","parse-names":false,"suffix":""}],"container-title":"Journal of Bone and Joint Infection","id":"ITEM-1","issue":"1","issued":{"date-parts":[["2017"]]},"page":"29-37","title":"Therapeutic Use of Antibiotic-loaded Bone Cement in the Treatment of Hip and Knee Joint Infections","type":"article-journal","volume":"2"},"uris":["http://www.mendeley.com/documents/?uuid=c1667682-1738-4353-bfad-2f9a9bfe6c16"]},{"id":"ITEM-2","itemData":{"DOI":"10.1097/01.blo.0000143806.72379.7d","ISSN":"15281132","abstract":"The use of antibiotic-loaded bone cement is an accepted treatment method for infected joint arthroplasties. It is helpful to separate the use of antibiotic-loaded bone cement as a method of prophylaxis as compared with the treatment of an established infection. A low dose of antibiotic-loaded bone cement (≤ 1 g of antibiotic per batch of cement) should be used for prophylaxis, and high-dose antibiotic-loaded bone cement (&gt; 1 g antibiotic per batch of cement) is indicated for treatment. The only commercially available antibiotic-loaded bone cement products are low dose, with the use of tobramycin or gentamicin as an antibiotic selection. High-dose antibiotic-loaded bone cement requires hand mixing by the surgeon to facilitate the use of high dosages and choices of multiple antibiotics. Treatment of infected hip and knee arthroplasties with high-dose antibiotic-loaded bone cement is aided by the use of spacers of various shapes and sizes. These spacers, whether they are static or articulating (mobile), are meant to provide local delivery of antibiotics, stabilization of soft tissues, facilitation of an easier reimplantation, and improved clinical outcomes.","author":[{"dropping-particle":"","family":"Hanssen","given":"Arlen D.","non-dropping-particle":"","parse-names":false,"suffix":""},{"dropping-particle":"","family":"Spangehl","given":"Mark J.","non-dropping-particle":"","parse-names":false,"suffix":""}],"container-title":"Clinical Orthopaedics and Related Research","id":"ITEM-2","issued":{"date-parts":[["2004"]]},"page":"79-85","title":"Practical applications of antibiotic-loaded bone cement for treatment of infected joint replacements","type":"article-journal","volume":"427"},"uris":["http://www.mendeley.com/documents/?uuid=3484f841-1e32-4864-ac50-4f1b92c44fe0"]}],"mendeley":{"formattedCitation":"&lt;sup&gt;24,25&lt;/sup&gt;","plainTextFormattedCitation":"24,25","previouslyFormattedCitation":"&lt;sup&gt;24,25&lt;/sup&gt;"},"properties":{"noteIndex":0},"schema":"https://github.com/citation-style-language/schema/raw/master/csl-citation.json"}</w:instrText>
      </w:r>
      <w:r w:rsidR="00EE7C6A">
        <w:rPr>
          <w:rStyle w:val="LineNumber"/>
        </w:rPr>
        <w:fldChar w:fldCharType="separate"/>
      </w:r>
      <w:r w:rsidR="00CD7712" w:rsidRPr="00CD7712">
        <w:rPr>
          <w:rStyle w:val="LineNumber"/>
          <w:noProof/>
          <w:vertAlign w:val="superscript"/>
        </w:rPr>
        <w:t>24,25</w:t>
      </w:r>
      <w:r w:rsidR="00EE7C6A">
        <w:rPr>
          <w:rStyle w:val="LineNumber"/>
        </w:rPr>
        <w:fldChar w:fldCharType="end"/>
      </w:r>
      <w:r w:rsidR="00EE7C6A">
        <w:rPr>
          <w:rStyle w:val="LineNumber"/>
        </w:rPr>
        <w:t>]</w:t>
      </w:r>
      <w:r w:rsidR="003E39D8">
        <w:rPr>
          <w:rStyle w:val="LineNumber"/>
        </w:rPr>
        <w:t>. Additionally,</w:t>
      </w:r>
      <w:r w:rsidR="00F26EE2">
        <w:rPr>
          <w:rStyle w:val="LineNumber"/>
        </w:rPr>
        <w:t xml:space="preserve"> we wanted to be consistent with previous experiments using ALCS-B </w:t>
      </w:r>
      <w:r w:rsidR="00B358D8">
        <w:rPr>
          <w:rStyle w:val="LineNumber"/>
        </w:rPr>
        <w:t>[</w:t>
      </w:r>
      <w:r w:rsidR="00F34C37">
        <w:rPr>
          <w:rStyle w:val="LineNumber"/>
        </w:rPr>
        <w:fldChar w:fldCharType="begin" w:fldLock="1"/>
      </w:r>
      <w:r w:rsidR="003D6530">
        <w:rPr>
          <w:rStyle w:val="LineNumber"/>
        </w:rPr>
        <w:instrText>ADDIN CSL_CITATION {"citationItems":[{"id":"ITEM-1","itemData":{"DOI":"10.1002/jbm.b.33247","ISSN":"15524981","abstract":"Antibiotic-loaded bone cement is a primary option for treatment of orthopedic infections. Poly(methyl methacrylate) (PMMA) is a widely used cement that, when loaded with antibiotics in spacer or bead form, has been shown to reduce infection rates. However, PMMA is not resorbable and requires a second surgery for removal, while also acting as a potential foreign body for bacterial colonization. Alternatively, resorbable bone cements, such as calcium sulfate, have been proposed and present the advantage of being completely reabsorbed. It is unknown whether the antibiotic elution characteristics of absorbable bone cements are similar to PMMA. This study (1) characterized antibiotic elution from synthetic, highly purified calcium sulfate cement beads of varying sizes against pathogenic bacteria both in liquid culture and seeded on agar plates, (2) tested calcium sulfate beads against PMMA beads loaded with the same antibiotics, and (3) analyzed the structural differences between how PMMA and calcium sulfate bind to antibiotics. In every assay, the calcium sulfate beads performed as well as, or better than, the PMMA beads in inhibition of bacterial growth and elution of vancomycin in vitro with complete elution observed from calcium sulfate within three days. These data suggest that calcium sulfate, functions, as well as PMMA in the patient setting for infection control.","author":[{"dropping-particle":"","family":"McConoughey","given":"Stephen J.","non-dropping-particle":"","parse-names":false,"suffix":""},{"dropping-particle":"","family":"Howlin","given":"Robert P.","non-dropping-particle":"","parse-names":false,"suffix":""},{"dropping-particle":"","family":"Wiseman","given":"Jessica","non-dropping-particle":"","parse-names":false,"suffix":""},{"dropping-particle":"","family":"Stoodley","given":"Paul","non-dropping-particle":"","parse-names":false,"suffix":""},{"dropping-particle":"","family":"Calhoun","given":"Jason H.","non-dropping-particle":"","parse-names":false,"suffix":""}],"container-title":"Journal of Biomedical Materials Research - Part B Applied Biomaterials","id":"ITEM-1","issue":"4","issued":{"date-parts":[["2015"]]},"page":"870-877","title":"Comparing PMMA and calcium sulfate as carriers for the local delivery of antibiotics to infected surgical sites","type":"article-journal","volume":"103"},"uris":["http://www.mendeley.com/documents/?uuid=53c22f9e-9506-4cac-a1d3-6319b557ed21"]},{"id":"ITEM-2","itemData":{"DOI":"10.2217/fmb.14.64","ISSN":"17460921","abstract":"As the number of total joint arthroplasty and internal fixation procedures continues to rise, the threat of infection following surgery has significant clinical implications. These infections may have highly morbid consequences to patients, who often endure additional surgeries and lengthy exposures to systemic antibiotics, neither of which are guaranteed to resolve the infection. Of particular concern is the threat of bacterial biofilm development, since biofilm-mediated infections are difficult to diagnose and effective treatments are lacking. Developing therapeutic strategies have targeted mechanisms of biofilm formation and the means by which these bacteria communicate with each other to take on specialized roles such as persister cells within the biofilm. In addition, prevention of infection through novel coatings for prostheses and the local delivery of high concentrations of antibiotics by absorbable carriers has shown promise in laboratory and animal studies. Biofilm development, especially in an arthoplasty environment, and future diagnostic and treatment options are discussed.","author":[{"dropping-particle":"","family":"McConoughey","given":"Stephen J.","non-dropping-particle":"","parse-names":false,"suffix":""},{"dropping-particle":"","family":"Howlin","given":"Rob","non-dropping-particle":"","parse-names":false,"suffix":""},{"dropping-particle":"","family":"Granger","given":"Jeff F.","non-dropping-particle":"","parse-names":false,"suffix":""},{"dropping-particle":"","family":"Manring","given":"Maurice M.","non-dropping-particle":"","parse-names":false,"suffix":""},{"dropping-particle":"","family":"Calhoun","given":"Jason H.","non-dropping-particle":"","parse-names":false,"suffix":""},{"dropping-particle":"","family":"Shirtliff","given":"Mark","non-dropping-particle":"","parse-names":false,"suffix":""},{"dropping-particle":"","family":"Kathju","given":"Sandeep","non-dropping-particle":"","parse-names":false,"suffix":""},{"dropping-particle":"","family":"Stoodley","given":"Paul","non-dropping-particle":"","parse-names":false,"suffix":""}],"container-title":"Future Microbiology","id":"ITEM-2","issue":"8","issued":{"date-parts":[["2014"]]},"page":"987-1007","title":"Biofilms in periprosthetic orthopedic infections","type":"article-journal","volume":"9"},"uris":["http://www.mendeley.com/documents/?uuid=be6f951b-5111-4927-913b-a796149dc187"]},{"id":"ITEM-3","itemData":{"DOI":"10.1016/j.jconrel.2017.01.005","ISSN":"18734995","abstract":"Antibiotic loaded cement beads are commonly used for the treatment of biofilm related orthopaedic periprosthetic infections; however the effects of antibiotic loading and exposure of beads to body fluids on release kinetics are unclear. The purpose of this study was to determine the effects of (i) antibiotic loading density (ii) loading amount (iii) material type and (iv) exposure to body fluids (blood or synovial fluid) on release kinetics and efficacy of antibiotics against planktonic and lawn biofilm bacteria. Short-term release into an agar gel was evaluated using a fluorescent tracer (fluorescein) incorporated in the carrier materials calcium sulfate (CaSO4) and poly methyl methacrylate (PMMA). Different fluorescein concentrations in CaSO4 beads were evaluated. Mechanical properties of fluorescein-incorporated beads were analyzed. Efficacy of the antibiotics vancomycin (VAN) or tobramycin (TOB) alone and in combination was evaluated against lawn biofilms of bioluminescent strains of Staphylococcus aureus and Pseudomonas aeruginosa. Zones of inhibition of cultures (ZOI) were measured visually and using an in-vivo imaging system (IVIS). The influence of body fluids on release was assessed using CaSO4 beads that contained fluorescein or antibiotics and were pre-coated with human blood or synovial fluid. The spread from the beads followed a square root of time relationship in all cases. The loading concentration had no influence on short-term fluorescein release and pre-coating of beads with body fluids did not affect short-term release or antibacterial activity. Compared to PMMA, CaSO4 had a more rapid short term rate of elution and activity against planktonic and lawn biofilms. This study highlights the importance of considering antibiotic loading and packing density when investigating the clinical application of bone cements for infection management.","author":[{"dropping-particle":"","family":"Dusane","given":"Devendra H.","non-dropping-particle":"","parse-names":false,"suffix":""},{"dropping-particle":"","family":"Diamond","given":"Scott M.","non-dropping-particle":"","parse-names":false,"suffix":""},{"dropping-particle":"","family":"Knecht","given":"Cory S.","non-dropping-particle":"","parse-names":false,"suffix":""},{"dropping-particle":"","family":"Farrar","given":"Nicholas R.","non-dropping-particle":"","parse-names":false,"suffix":""},{"dropping-particle":"","family":"Peters","given":"Casey W.","non-dropping-particle":"","parse-names":false,"suffix":""},{"dropping-particle":"","family":"Howlin","given":"Robert P.","non-dropping-particle":"","parse-names":false,"suffix":""},{"dropping-particle":"","family":"Swearingen","given":"Matthew C.","non-dropping-particle":"","parse-names":false,"suffix":""},{"dropping-particle":"","family":"Calhoun","given":"Jason H.","non-dropping-particle":"","parse-names":false,"suffix":""},{"dropping-particle":"","family":"Plaut","given":"Roger D.","non-dropping-particle":"","parse-names":false,"suffix":""},{"dropping-particle":"","family":"Nocera","given":"Tanya M.","non-dropping-particle":"","parse-names":false,"suffix":""},{"dropping-particle":"","family":"Granger","given":"Jeffrey F.","non-dropping-particle":"","parse-names":false,"suffix":""},{"dropping-particle":"","family":"Stoodley","given":"Paul","non-dropping-particle":"","parse-names":false,"suffix":""}],"container-title":"Journal of Controlled Release","id":"ITEM-3","issued":{"date-parts":[["2017"]]},"page":"24-32","publisher":"The Authors","title":"Effects of loading concentration, blood and synovial fluid on antibiotic release and anti-biofilm activity of bone cement beads","type":"article-journal","volume":"248"},"uris":["http://www.mendeley.com/documents/?uuid=a1974cf9-74da-403c-9039-a01a5ecf67f3"]},{"id":"ITEM-4","itemData":{"DOI":"10.1088/1748-605X/12/1/015002","ISSN":"1748605X","abstract":"Biofilm formation represents a key stage in the pathogenesis of prosthetic infections (PIs). More tolerant to antibiotics than their planktonic counterparts, biofilm bacteria are difficult to eradicate using conventional therapeutic regimes. A common approach in PI management is the adjunctive use of localised antibiotics in addition to systemic administration in an attempt to protect the implant from colonisation by infiltrating bacteria. This study evaluates the antibacterial and antibiofilm efficacy of antibiotic-loaded dissolvable calcium sulphate, previously shown to be effective against key gram-positive pathogens, against gram-negative species important in the establishment of chronic infection in PIs. Synthetic calcium sulfate beads loaded with tobramycin, vancomycin and both antibiotics in combination were assessed for their ability to eradicate planktonic Acinetobacter baumannii, Pseudomonas aeruginosa and Klebsiella pneumoniae strains. The efficacy of the beads in preventing biofilm formation and eliminating established biofilms over multiple days was evaluated using confocal laser scanning microscopy (CSLM) imaging combined with image analysis and viable cell counts. Beads loaded with antibiotics demonstrated effective eluting concentrations for up to 37 d depending on the bacterial strain. In the presence of repeated bacterial challenges, antibiotic-loaded beads prevented bacterial colonisation and significantly reduce biofilm formation for the duration of the assay (7 d). Complete eradication of established biofilms was more difficult with evidence of biofilm regrowth after 1 week of contact with antibiotic-loaded beads, despite data suggesting a complete kill was achieved at earlier timepoints of 24 h and 72 h in the case of K. pneumoniae and P. aeruginosa. This study provides further evidence that calcium sulfate beads loaded with vancomycin and tobramycin may be a useful adjunctive component to the successful management of PIs.","author":[{"dropping-particle":"","family":"Howlin","given":"Robert P.","non-dropping-particle":"","parse-names":false,"suffix":""},{"dropping-particle":"","family":"Winnard","given":"Christopher","non-dropping-particle":"","parse-names":false,"suffix":""},{"dropping-particle":"","family":"Frapwell","given":"Connor J.","non-dropping-particle":"","parse-names":false,"suffix":""},{"dropping-particle":"","family":"Webb","given":"Jeremy S.","non-dropping-particle":"","parse-names":false,"suffix":""},{"dropping-particle":"","family":"Cooper","given":"John J.","non-dropping-particle":"","parse-names":false,"suffix":""},{"dropping-particle":"","family":"Aiken","given":"Sean S.","non-dropping-particle":"","parse-names":false,"suffix":""},{"dropping-particle":"","family":"Stoodley","given":"Paul","non-dropping-particle":"","parse-names":false,"suffix":""}],"container-title":"Biomedical Materials (Bristol)","id":"ITEM-4","issue":"1","issued":{"date-parts":[["2017"]]},"title":"Biofilm prevention of gram-negative bacterial pathogens involved in periprosthetic infection by antibiotic-loaded calcium sulfate beads in vitro","type":"article-journal","volume":"12"},"uris":["http://www.mendeley.com/documents/?uuid=6d539b95-1484-4574-8eec-0c1036213b37"]}],"mendeley":{"formattedCitation":"&lt;sup&gt;8,22,26,27&lt;/sup&gt;","plainTextFormattedCitation":"8,22,26,27","previouslyFormattedCitation":"&lt;sup&gt;8,22,26,27&lt;/sup&gt;"},"properties":{"noteIndex":0},"schema":"https://github.com/citation-style-language/schema/raw/master/csl-citation.json"}</w:instrText>
      </w:r>
      <w:r w:rsidR="00F34C37">
        <w:rPr>
          <w:rStyle w:val="LineNumber"/>
        </w:rPr>
        <w:fldChar w:fldCharType="separate"/>
      </w:r>
      <w:r w:rsidR="00CD7712" w:rsidRPr="00CD7712">
        <w:rPr>
          <w:rStyle w:val="LineNumber"/>
          <w:noProof/>
          <w:vertAlign w:val="superscript"/>
        </w:rPr>
        <w:t>8,22,26,27</w:t>
      </w:r>
      <w:r w:rsidR="00F34C37">
        <w:rPr>
          <w:rStyle w:val="LineNumber"/>
        </w:rPr>
        <w:fldChar w:fldCharType="end"/>
      </w:r>
      <w:r w:rsidR="00F26EE2">
        <w:rPr>
          <w:rStyle w:val="LineNumber"/>
        </w:rPr>
        <w:t xml:space="preserve">] and avoid changing the release characteristics and set time by changing the loading formulation. </w:t>
      </w:r>
    </w:p>
    <w:p w14:paraId="1EA8CE51" w14:textId="77777777" w:rsidR="0056689D" w:rsidRDefault="0056689D" w:rsidP="0056689D">
      <w:pPr>
        <w:spacing w:line="480" w:lineRule="auto"/>
        <w:rPr>
          <w:rFonts w:ascii="Times New Roman" w:hAnsi="Times New Roman" w:cs="Times New Roman"/>
          <w:i/>
          <w:iCs/>
        </w:rPr>
      </w:pPr>
    </w:p>
    <w:p w14:paraId="4CFFB4D8" w14:textId="29FB3A59" w:rsidR="0056689D" w:rsidRPr="005D1B9E" w:rsidRDefault="0056689D" w:rsidP="0056689D">
      <w:pPr>
        <w:spacing w:line="480" w:lineRule="auto"/>
        <w:rPr>
          <w:rFonts w:ascii="Times New Roman" w:hAnsi="Times New Roman" w:cs="Times New Roman"/>
          <w:i/>
          <w:iCs/>
        </w:rPr>
      </w:pPr>
      <w:r>
        <w:rPr>
          <w:rFonts w:ascii="Times New Roman" w:hAnsi="Times New Roman" w:cs="Times New Roman"/>
          <w:i/>
          <w:iCs/>
        </w:rPr>
        <w:t>Preparation of</w:t>
      </w:r>
      <w:r w:rsidR="000E501D" w:rsidRPr="000E501D">
        <w:rPr>
          <w:rFonts w:ascii="Times New Roman" w:hAnsi="Times New Roman" w:cs="Times New Roman"/>
          <w:i/>
          <w:iCs/>
        </w:rPr>
        <w:t xml:space="preserve"> </w:t>
      </w:r>
      <w:r w:rsidR="00681F6D">
        <w:rPr>
          <w:rFonts w:ascii="Times New Roman" w:hAnsi="Times New Roman" w:cs="Times New Roman"/>
          <w:i/>
          <w:iCs/>
        </w:rPr>
        <w:t>antibiotic loaded</w:t>
      </w:r>
      <w:r w:rsidR="000E501D">
        <w:rPr>
          <w:rFonts w:ascii="Times New Roman" w:hAnsi="Times New Roman" w:cs="Times New Roman"/>
          <w:i/>
          <w:iCs/>
        </w:rPr>
        <w:t xml:space="preserve"> (LS) and unloaded (US)</w:t>
      </w:r>
      <w:r w:rsidR="00681F6D">
        <w:rPr>
          <w:rFonts w:ascii="Times New Roman" w:hAnsi="Times New Roman" w:cs="Times New Roman"/>
          <w:i/>
          <w:iCs/>
        </w:rPr>
        <w:t xml:space="preserve"> </w:t>
      </w:r>
      <w:r w:rsidR="000E501D">
        <w:rPr>
          <w:rFonts w:ascii="Times New Roman" w:hAnsi="Times New Roman" w:cs="Times New Roman"/>
          <w:i/>
          <w:iCs/>
        </w:rPr>
        <w:t xml:space="preserve">PMMA </w:t>
      </w:r>
      <w:r w:rsidR="00681F6D">
        <w:rPr>
          <w:rFonts w:ascii="Times New Roman" w:hAnsi="Times New Roman" w:cs="Times New Roman"/>
          <w:i/>
          <w:iCs/>
        </w:rPr>
        <w:t>bone cement</w:t>
      </w:r>
      <w:r>
        <w:rPr>
          <w:rFonts w:ascii="Times New Roman" w:hAnsi="Times New Roman" w:cs="Times New Roman"/>
          <w:i/>
          <w:iCs/>
        </w:rPr>
        <w:t xml:space="preserve"> spacer</w:t>
      </w:r>
      <w:r w:rsidR="00A31AEA">
        <w:rPr>
          <w:rFonts w:ascii="Times New Roman" w:hAnsi="Times New Roman" w:cs="Times New Roman"/>
          <w:i/>
          <w:iCs/>
        </w:rPr>
        <w:t xml:space="preserve"> mimics</w:t>
      </w:r>
    </w:p>
    <w:p w14:paraId="08C99DE3" w14:textId="25FA2134" w:rsidR="0056689D" w:rsidRDefault="0056689D" w:rsidP="0056689D">
      <w:pPr>
        <w:spacing w:line="480" w:lineRule="auto"/>
        <w:ind w:firstLine="720"/>
        <w:rPr>
          <w:rFonts w:ascii="Times New Roman" w:hAnsi="Times New Roman" w:cs="Times New Roman"/>
        </w:rPr>
      </w:pPr>
      <w:r>
        <w:rPr>
          <w:rFonts w:ascii="Times New Roman" w:hAnsi="Times New Roman" w:cs="Times New Roman"/>
        </w:rPr>
        <w:t>PMMA</w:t>
      </w:r>
      <w:r w:rsidR="00FE2340">
        <w:rPr>
          <w:rFonts w:ascii="Times New Roman" w:hAnsi="Times New Roman" w:cs="Times New Roman"/>
        </w:rPr>
        <w:t xml:space="preserve"> bone cement</w:t>
      </w:r>
      <w:r>
        <w:rPr>
          <w:rFonts w:ascii="Times New Roman" w:hAnsi="Times New Roman" w:cs="Times New Roman"/>
        </w:rPr>
        <w:t xml:space="preserve"> spacer</w:t>
      </w:r>
      <w:r w:rsidR="00A31AEA">
        <w:rPr>
          <w:rFonts w:ascii="Times New Roman" w:hAnsi="Times New Roman" w:cs="Times New Roman"/>
        </w:rPr>
        <w:t xml:space="preserve"> mimics</w:t>
      </w:r>
      <w:r>
        <w:rPr>
          <w:rFonts w:ascii="Times New Roman" w:hAnsi="Times New Roman" w:cs="Times New Roman"/>
        </w:rPr>
        <w:t xml:space="preserve"> were prepared using </w:t>
      </w:r>
      <w:r w:rsidRPr="00D91F02">
        <w:rPr>
          <w:rFonts w:ascii="Times New Roman" w:hAnsi="Times New Roman" w:cs="Times New Roman"/>
        </w:rPr>
        <w:t>Simplex</w:t>
      </w:r>
      <w:r>
        <w:rPr>
          <w:rFonts w:ascii="Times New Roman" w:hAnsi="Times New Roman" w:cs="Times New Roman"/>
          <w:color w:val="000000"/>
          <w:szCs w:val="20"/>
          <w:shd w:val="clear" w:color="auto" w:fill="F9F9F9"/>
          <w:vertAlign w:val="superscript"/>
        </w:rPr>
        <w:sym w:font="Symbol" w:char="F0D4"/>
      </w:r>
      <w:r w:rsidRPr="00D91F02">
        <w:rPr>
          <w:rFonts w:ascii="Times New Roman" w:hAnsi="Times New Roman" w:cs="Times New Roman"/>
        </w:rPr>
        <w:t xml:space="preserve"> </w:t>
      </w:r>
      <w:r>
        <w:rPr>
          <w:rFonts w:ascii="Times New Roman" w:hAnsi="Times New Roman" w:cs="Times New Roman"/>
        </w:rPr>
        <w:t>P SpeedSet</w:t>
      </w:r>
      <w:r>
        <w:rPr>
          <w:rFonts w:ascii="Times New Roman" w:hAnsi="Times New Roman" w:cs="Times New Roman"/>
          <w:color w:val="000000"/>
          <w:szCs w:val="20"/>
          <w:shd w:val="clear" w:color="auto" w:fill="F9F9F9"/>
          <w:vertAlign w:val="superscript"/>
        </w:rPr>
        <w:sym w:font="Symbol" w:char="F0D4"/>
      </w:r>
      <w:r w:rsidRPr="00D91F02">
        <w:rPr>
          <w:rFonts w:ascii="Times New Roman" w:hAnsi="Times New Roman" w:cs="Times New Roman"/>
        </w:rPr>
        <w:t xml:space="preserve"> </w:t>
      </w:r>
      <w:r>
        <w:rPr>
          <w:rFonts w:ascii="Times New Roman" w:hAnsi="Times New Roman" w:cs="Times New Roman"/>
        </w:rPr>
        <w:t xml:space="preserve">Radiopaque Bone Cement </w:t>
      </w:r>
      <w:r w:rsidRPr="00D91F02">
        <w:rPr>
          <w:rFonts w:ascii="Times New Roman" w:hAnsi="Times New Roman" w:cs="Times New Roman"/>
        </w:rPr>
        <w:t>construction kit</w:t>
      </w:r>
      <w:r>
        <w:rPr>
          <w:rFonts w:ascii="Times New Roman" w:hAnsi="Times New Roman" w:cs="Times New Roman"/>
        </w:rPr>
        <w:t>s</w:t>
      </w:r>
      <w:r w:rsidR="00346657">
        <w:rPr>
          <w:rFonts w:ascii="Times New Roman" w:hAnsi="Times New Roman" w:cs="Times New Roman"/>
        </w:rPr>
        <w:t>, which are commonly used clinically</w:t>
      </w:r>
      <w:r w:rsidRPr="00D91F02">
        <w:rPr>
          <w:rFonts w:ascii="Times New Roman" w:hAnsi="Times New Roman" w:cs="Times New Roman"/>
        </w:rPr>
        <w:t xml:space="preserve">. </w:t>
      </w:r>
      <w:r w:rsidRPr="005E3464">
        <w:rPr>
          <w:rFonts w:ascii="Times New Roman" w:hAnsi="Times New Roman" w:cs="Times New Roman"/>
        </w:rPr>
        <w:t xml:space="preserve">Antibiotic </w:t>
      </w:r>
      <w:r w:rsidR="00681F6D">
        <w:rPr>
          <w:rFonts w:ascii="Times New Roman" w:hAnsi="Times New Roman" w:cs="Times New Roman"/>
        </w:rPr>
        <w:t>loaded</w:t>
      </w:r>
      <w:r w:rsidRPr="005E3464">
        <w:rPr>
          <w:rFonts w:ascii="Times New Roman" w:hAnsi="Times New Roman" w:cs="Times New Roman"/>
        </w:rPr>
        <w:t xml:space="preserve"> spacers were fabricated using 2g VAN</w:t>
      </w:r>
      <w:r w:rsidR="007E5FAC">
        <w:rPr>
          <w:rFonts w:ascii="Times New Roman" w:hAnsi="Times New Roman" w:cs="Times New Roman"/>
        </w:rPr>
        <w:t xml:space="preserve"> powder</w:t>
      </w:r>
      <w:r w:rsidRPr="005E3464">
        <w:rPr>
          <w:rFonts w:ascii="Times New Roman" w:hAnsi="Times New Roman" w:cs="Times New Roman"/>
        </w:rPr>
        <w:t>, 2g TOB</w:t>
      </w:r>
      <w:r w:rsidR="007E5FAC">
        <w:rPr>
          <w:rFonts w:ascii="Times New Roman" w:hAnsi="Times New Roman" w:cs="Times New Roman"/>
        </w:rPr>
        <w:t xml:space="preserve"> powder</w:t>
      </w:r>
      <w:r w:rsidRPr="005E3464">
        <w:rPr>
          <w:rFonts w:ascii="Times New Roman" w:hAnsi="Times New Roman" w:cs="Times New Roman"/>
        </w:rPr>
        <w:t xml:space="preserve">, and 40g PMMA powder. Unloaded spacers were prepared with only PMMA bone cement powder. </w:t>
      </w:r>
      <w:r w:rsidR="00114BD5">
        <w:rPr>
          <w:rFonts w:ascii="Times New Roman" w:hAnsi="Times New Roman" w:cs="Times New Roman"/>
        </w:rPr>
        <w:t>Twenty</w:t>
      </w:r>
      <w:r w:rsidR="00114BD5" w:rsidRPr="005E3464">
        <w:rPr>
          <w:rFonts w:ascii="Times New Roman" w:hAnsi="Times New Roman" w:cs="Times New Roman"/>
        </w:rPr>
        <w:t xml:space="preserve"> </w:t>
      </w:r>
      <w:r w:rsidRPr="005E3464">
        <w:rPr>
          <w:rFonts w:ascii="Times New Roman" w:hAnsi="Times New Roman" w:cs="Times New Roman"/>
        </w:rPr>
        <w:t>mL of sterile methyl methacrylate</w:t>
      </w:r>
      <w:r w:rsidR="00333F1B">
        <w:rPr>
          <w:rFonts w:ascii="Times New Roman" w:hAnsi="Times New Roman" w:cs="Times New Roman"/>
        </w:rPr>
        <w:t xml:space="preserve"> monomer</w:t>
      </w:r>
      <w:r w:rsidR="007E5FAC">
        <w:rPr>
          <w:rFonts w:ascii="Times New Roman" w:hAnsi="Times New Roman" w:cs="Times New Roman"/>
        </w:rPr>
        <w:t xml:space="preserve"> </w:t>
      </w:r>
      <w:r w:rsidR="00333F1B">
        <w:rPr>
          <w:rFonts w:ascii="Times New Roman" w:hAnsi="Times New Roman" w:cs="Times New Roman"/>
        </w:rPr>
        <w:t>(</w:t>
      </w:r>
      <w:r w:rsidRPr="005E3464">
        <w:rPr>
          <w:rFonts w:ascii="Times New Roman" w:hAnsi="Times New Roman" w:cs="Times New Roman"/>
        </w:rPr>
        <w:t>liquid</w:t>
      </w:r>
      <w:r w:rsidR="00333F1B">
        <w:rPr>
          <w:rFonts w:ascii="Times New Roman" w:hAnsi="Times New Roman" w:cs="Times New Roman"/>
        </w:rPr>
        <w:t>)</w:t>
      </w:r>
      <w:r w:rsidR="007E5FAC">
        <w:rPr>
          <w:rFonts w:ascii="Times New Roman" w:hAnsi="Times New Roman" w:cs="Times New Roman"/>
        </w:rPr>
        <w:t xml:space="preserve"> </w:t>
      </w:r>
      <w:r w:rsidRPr="005E3464">
        <w:rPr>
          <w:rFonts w:ascii="Times New Roman" w:hAnsi="Times New Roman" w:cs="Times New Roman"/>
        </w:rPr>
        <w:t>was added to the powder mixture, stirred into a dough-like mass</w:t>
      </w:r>
      <w:r w:rsidR="00153A64">
        <w:rPr>
          <w:rFonts w:ascii="Times New Roman" w:hAnsi="Times New Roman" w:cs="Times New Roman"/>
        </w:rPr>
        <w:t xml:space="preserve"> [</w:t>
      </w:r>
      <w:r w:rsidR="00F860A9" w:rsidRPr="00153A64">
        <w:rPr>
          <w:rFonts w:ascii="Times New Roman" w:hAnsi="Times New Roman" w:cs="Times New Roman"/>
        </w:rPr>
        <w:fldChar w:fldCharType="begin" w:fldLock="1"/>
      </w:r>
      <w:r w:rsidR="003D6530">
        <w:rPr>
          <w:rFonts w:ascii="Times New Roman" w:hAnsi="Times New Roman" w:cs="Times New Roman"/>
        </w:rPr>
        <w:instrText>ADDIN CSL_CITATION {"citationItems":[{"id":"ITEM-1","itemData":{"author":[{"dropping-particle":"","family":"Stryker® Howmedica Osteonics Corporation","given":"","non-dropping-particle":"","parse-names":false,"suffix":""}],"id":"ITEM-1","issued":{"date-parts":[["2006"]]},"title":"Simplex™ P SpeedSet™ Radiopaque Bone Cement Instructions for Use","type":"webpage"},"uris":["http://www.mendeley.com/documents/?uuid=d2141b91-7ee7-422d-8eb8-c275d7911281"]}],"mendeley":{"formattedCitation":"&lt;sup&gt;28&lt;/sup&gt;","plainTextFormattedCitation":"28","previouslyFormattedCitation":"&lt;sup&gt;28&lt;/sup&gt;"},"properties":{"noteIndex":0},"schema":"https://github.com/citation-style-language/schema/raw/master/csl-citation.json"}</w:instrText>
      </w:r>
      <w:r w:rsidR="00F860A9" w:rsidRPr="00153A64">
        <w:rPr>
          <w:rFonts w:ascii="Times New Roman" w:hAnsi="Times New Roman" w:cs="Times New Roman"/>
        </w:rPr>
        <w:fldChar w:fldCharType="separate"/>
      </w:r>
      <w:r w:rsidR="00CD7712" w:rsidRPr="00CD7712">
        <w:rPr>
          <w:rFonts w:ascii="Times New Roman" w:hAnsi="Times New Roman" w:cs="Times New Roman"/>
          <w:noProof/>
          <w:vertAlign w:val="superscript"/>
        </w:rPr>
        <w:t>28</w:t>
      </w:r>
      <w:r w:rsidR="00F860A9" w:rsidRPr="00153A64">
        <w:rPr>
          <w:rFonts w:ascii="Times New Roman" w:hAnsi="Times New Roman" w:cs="Times New Roman"/>
        </w:rPr>
        <w:fldChar w:fldCharType="end"/>
      </w:r>
      <w:r w:rsidR="00153A64">
        <w:rPr>
          <w:rFonts w:ascii="Times New Roman" w:hAnsi="Times New Roman" w:cs="Times New Roman"/>
        </w:rPr>
        <w:t>]</w:t>
      </w:r>
      <w:r w:rsidRPr="005E3464">
        <w:rPr>
          <w:rFonts w:ascii="Times New Roman" w:hAnsi="Times New Roman" w:cs="Times New Roman"/>
        </w:rPr>
        <w:t xml:space="preserve">, </w:t>
      </w:r>
      <w:r w:rsidR="00333F1B">
        <w:rPr>
          <w:rFonts w:ascii="Times New Roman" w:hAnsi="Times New Roman" w:cs="Times New Roman"/>
        </w:rPr>
        <w:t>formed in</w:t>
      </w:r>
      <w:r w:rsidR="007E5FAC">
        <w:rPr>
          <w:rFonts w:ascii="Times New Roman" w:hAnsi="Times New Roman" w:cs="Times New Roman"/>
        </w:rPr>
        <w:t xml:space="preserve">to a </w:t>
      </w:r>
      <w:r w:rsidR="00B32824">
        <w:rPr>
          <w:rFonts w:ascii="Times New Roman" w:hAnsi="Times New Roman" w:cs="Times New Roman"/>
        </w:rPr>
        <w:t xml:space="preserve">“hockey puck-like” </w:t>
      </w:r>
      <w:r w:rsidR="007E5FAC">
        <w:rPr>
          <w:rFonts w:ascii="Times New Roman" w:hAnsi="Times New Roman" w:cs="Times New Roman"/>
        </w:rPr>
        <w:t>disc using</w:t>
      </w:r>
      <w:r w:rsidR="00333F1B">
        <w:rPr>
          <w:rFonts w:ascii="Times New Roman" w:hAnsi="Times New Roman" w:cs="Times New Roman"/>
        </w:rPr>
        <w:t xml:space="preserve"> </w:t>
      </w:r>
      <w:r w:rsidRPr="005E3464">
        <w:rPr>
          <w:rFonts w:ascii="Times New Roman" w:hAnsi="Times New Roman" w:cs="Times New Roman"/>
        </w:rPr>
        <w:t xml:space="preserve">a 7 cm diameter circular mold </w:t>
      </w:r>
      <w:r w:rsidR="00665F5D">
        <w:rPr>
          <w:rFonts w:ascii="Times New Roman" w:hAnsi="Times New Roman" w:cs="Times New Roman"/>
        </w:rPr>
        <w:t>(</w:t>
      </w:r>
      <w:r w:rsidR="00665F5D" w:rsidRPr="00665F5D">
        <w:rPr>
          <w:rFonts w:ascii="Times New Roman" w:hAnsi="Times New Roman" w:cs="Times New Roman"/>
        </w:rPr>
        <w:t>Silikomart Professional Silicone Baking Mold, Cylinder 6 Cavities</w:t>
      </w:r>
      <w:r w:rsidR="00665F5D">
        <w:rPr>
          <w:rFonts w:ascii="Times New Roman" w:hAnsi="Times New Roman" w:cs="Times New Roman"/>
        </w:rPr>
        <w:t>, Amazon</w:t>
      </w:r>
      <w:r w:rsidR="00FE2340">
        <w:rPr>
          <w:rFonts w:ascii="Times New Roman" w:hAnsi="Times New Roman" w:cs="Times New Roman"/>
        </w:rPr>
        <w:t>, WA</w:t>
      </w:r>
      <w:r w:rsidR="007E5FAC">
        <w:rPr>
          <w:rFonts w:ascii="Times New Roman" w:hAnsi="Times New Roman" w:cs="Times New Roman"/>
        </w:rPr>
        <w:t xml:space="preserve">), </w:t>
      </w:r>
      <w:r w:rsidR="00817153">
        <w:rPr>
          <w:rFonts w:ascii="Times New Roman" w:hAnsi="Times New Roman" w:cs="Times New Roman"/>
        </w:rPr>
        <w:t xml:space="preserve">and allowed to </w:t>
      </w:r>
      <w:r w:rsidR="007E5FAC">
        <w:rPr>
          <w:rFonts w:ascii="Times New Roman" w:hAnsi="Times New Roman" w:cs="Times New Roman"/>
        </w:rPr>
        <w:t>set</w:t>
      </w:r>
      <w:r w:rsidRPr="005E3464">
        <w:rPr>
          <w:rFonts w:ascii="Times New Roman" w:hAnsi="Times New Roman" w:cs="Times New Roman"/>
        </w:rPr>
        <w:t xml:space="preserve"> for 30 minutes at 20˚C.</w:t>
      </w:r>
    </w:p>
    <w:p w14:paraId="39BAB1A8" w14:textId="6DF8B31E" w:rsidR="002F7A30" w:rsidRPr="00626C7D" w:rsidRDefault="008B57C6" w:rsidP="008B57C6">
      <w:pPr>
        <w:rPr>
          <w:rStyle w:val="LineNumber"/>
          <w:rFonts w:cs="Times New Roman"/>
        </w:rPr>
      </w:pPr>
      <w:r>
        <w:rPr>
          <w:rFonts w:ascii="Times New Roman" w:hAnsi="Times New Roman" w:cs="Times New Roman"/>
          <w:noProof/>
        </w:rPr>
        <w:lastRenderedPageBreak/>
        <w:drawing>
          <wp:inline distT="0" distB="0" distL="0" distR="0" wp14:anchorId="16EE2489" wp14:editId="24B09004">
            <wp:extent cx="5943600" cy="1445895"/>
            <wp:effectExtent l="0" t="0" r="0" b="190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45895"/>
                    </a:xfrm>
                    <a:prstGeom prst="rect">
                      <a:avLst/>
                    </a:prstGeom>
                  </pic:spPr>
                </pic:pic>
              </a:graphicData>
            </a:graphic>
          </wp:inline>
        </w:drawing>
      </w:r>
    </w:p>
    <w:p w14:paraId="529A9567" w14:textId="768CED23" w:rsidR="0056689D" w:rsidRPr="00631AC1" w:rsidRDefault="002F7A30" w:rsidP="00626C7D">
      <w:pPr>
        <w:jc w:val="center"/>
        <w:rPr>
          <w:rFonts w:ascii="Times New Roman" w:hAnsi="Times New Roman" w:cs="Times New Roman"/>
        </w:rPr>
      </w:pPr>
      <w:r w:rsidRPr="00631AC1">
        <w:rPr>
          <w:rFonts w:ascii="Times New Roman" w:hAnsi="Times New Roman" w:cs="Times New Roman"/>
        </w:rPr>
        <w:t xml:space="preserve">Figure 1. </w:t>
      </w:r>
      <w:r w:rsidR="00B81FAB" w:rsidRPr="00631AC1">
        <w:rPr>
          <w:rFonts w:ascii="Times New Roman" w:hAnsi="Times New Roman" w:cs="Times New Roman"/>
        </w:rPr>
        <w:t xml:space="preserve">Side view schematic showing the construction of the large plate agar </w:t>
      </w:r>
      <w:r w:rsidR="003B1272">
        <w:rPr>
          <w:rFonts w:ascii="Times New Roman" w:hAnsi="Times New Roman" w:cs="Times New Roman"/>
        </w:rPr>
        <w:t xml:space="preserve">model. This </w:t>
      </w:r>
      <w:r w:rsidR="00B81FAB" w:rsidRPr="00631AC1">
        <w:rPr>
          <w:rFonts w:ascii="Times New Roman" w:hAnsi="Times New Roman" w:cs="Times New Roman"/>
        </w:rPr>
        <w:t>model</w:t>
      </w:r>
      <w:r w:rsidR="003B1272">
        <w:rPr>
          <w:rFonts w:ascii="Times New Roman" w:hAnsi="Times New Roman" w:cs="Times New Roman"/>
        </w:rPr>
        <w:t xml:space="preserve"> allows</w:t>
      </w:r>
      <w:r w:rsidR="00B81FAB" w:rsidRPr="00631AC1">
        <w:rPr>
          <w:rFonts w:ascii="Times New Roman" w:hAnsi="Times New Roman" w:cs="Times New Roman"/>
        </w:rPr>
        <w:t xml:space="preserve"> </w:t>
      </w:r>
      <w:r w:rsidR="004A126E">
        <w:rPr>
          <w:rFonts w:ascii="Times New Roman" w:hAnsi="Times New Roman" w:cs="Times New Roman"/>
        </w:rPr>
        <w:t>for</w:t>
      </w:r>
      <w:r w:rsidR="00923090">
        <w:rPr>
          <w:rFonts w:ascii="Times New Roman" w:hAnsi="Times New Roman" w:cs="Times New Roman"/>
        </w:rPr>
        <w:t xml:space="preserve"> the spread of</w:t>
      </w:r>
      <w:r w:rsidR="003B1272">
        <w:rPr>
          <w:rFonts w:ascii="Times New Roman" w:hAnsi="Times New Roman" w:cs="Times New Roman"/>
        </w:rPr>
        <w:t xml:space="preserve"> </w:t>
      </w:r>
      <w:r w:rsidR="00B81FAB" w:rsidRPr="00631AC1">
        <w:rPr>
          <w:rFonts w:ascii="Times New Roman" w:hAnsi="Times New Roman" w:cs="Times New Roman"/>
        </w:rPr>
        <w:t xml:space="preserve">antibiotic </w:t>
      </w:r>
      <w:r w:rsidR="000441F0">
        <w:rPr>
          <w:rFonts w:ascii="Times New Roman" w:hAnsi="Times New Roman" w:cs="Times New Roman"/>
        </w:rPr>
        <w:t>release</w:t>
      </w:r>
      <w:r w:rsidR="00923090">
        <w:rPr>
          <w:rFonts w:ascii="Times New Roman" w:hAnsi="Times New Roman" w:cs="Times New Roman"/>
        </w:rPr>
        <w:t>d</w:t>
      </w:r>
      <w:r w:rsidR="00B81FAB" w:rsidRPr="00631AC1">
        <w:rPr>
          <w:rFonts w:ascii="Times New Roman" w:hAnsi="Times New Roman" w:cs="Times New Roman"/>
        </w:rPr>
        <w:t xml:space="preserve"> from ALCS-B and an antibiotic loaded spacer </w:t>
      </w:r>
      <w:r w:rsidR="004A126E">
        <w:rPr>
          <w:rFonts w:ascii="Times New Roman" w:hAnsi="Times New Roman" w:cs="Times New Roman"/>
        </w:rPr>
        <w:t xml:space="preserve">(ALBC-S) </w:t>
      </w:r>
      <w:r w:rsidR="00923090">
        <w:rPr>
          <w:rFonts w:ascii="Times New Roman" w:hAnsi="Times New Roman" w:cs="Times New Roman"/>
        </w:rPr>
        <w:t xml:space="preserve">as it diffuses </w:t>
      </w:r>
      <w:r w:rsidR="000441F0">
        <w:rPr>
          <w:rFonts w:ascii="Times New Roman" w:hAnsi="Times New Roman" w:cs="Times New Roman"/>
        </w:rPr>
        <w:t>through the agar</w:t>
      </w:r>
      <w:r w:rsidR="00631AC1" w:rsidRPr="00631AC1">
        <w:rPr>
          <w:rFonts w:ascii="Times New Roman" w:hAnsi="Times New Roman" w:cs="Times New Roman"/>
        </w:rPr>
        <w:t xml:space="preserve">. </w:t>
      </w:r>
      <w:r w:rsidRPr="00631AC1">
        <w:rPr>
          <w:rFonts w:ascii="Times New Roman" w:hAnsi="Times New Roman" w:cs="Times New Roman"/>
        </w:rPr>
        <w:t>Three discs of each material containing 3-day biofilm</w:t>
      </w:r>
      <w:r w:rsidR="009B7706" w:rsidRPr="00631AC1">
        <w:rPr>
          <w:rFonts w:ascii="Times New Roman" w:hAnsi="Times New Roman" w:cs="Times New Roman"/>
        </w:rPr>
        <w:t>s</w:t>
      </w:r>
      <w:r w:rsidRPr="00631AC1">
        <w:rPr>
          <w:rFonts w:ascii="Times New Roman" w:hAnsi="Times New Roman" w:cs="Times New Roman"/>
        </w:rPr>
        <w:t>, were placed at distances of 1, 3, and 5 cm radiating linearly from the edge of the PMMA spacer</w:t>
      </w:r>
      <w:r w:rsidR="009B7706" w:rsidRPr="00631AC1">
        <w:rPr>
          <w:rFonts w:ascii="Times New Roman" w:hAnsi="Times New Roman" w:cs="Times New Roman"/>
        </w:rPr>
        <w:t xml:space="preserve"> </w:t>
      </w:r>
      <w:r w:rsidR="00092C33">
        <w:rPr>
          <w:rFonts w:ascii="Times New Roman" w:hAnsi="Times New Roman" w:cs="Times New Roman"/>
        </w:rPr>
        <w:t>mimic</w:t>
      </w:r>
      <w:r w:rsidRPr="00631AC1">
        <w:rPr>
          <w:rFonts w:ascii="Times New Roman" w:hAnsi="Times New Roman" w:cs="Times New Roman"/>
        </w:rPr>
        <w:t>. ALCS-B were only included in the LS+ALCS-B antibiotic condition.</w:t>
      </w:r>
    </w:p>
    <w:p w14:paraId="31885377" w14:textId="77777777" w:rsidR="00A77D2E" w:rsidRDefault="00A77D2E" w:rsidP="005E3464">
      <w:pPr>
        <w:spacing w:line="480" w:lineRule="auto"/>
        <w:rPr>
          <w:rFonts w:ascii="Times New Roman" w:hAnsi="Times New Roman" w:cs="Times New Roman"/>
          <w:i/>
          <w:iCs/>
        </w:rPr>
      </w:pPr>
    </w:p>
    <w:p w14:paraId="0F625EF2" w14:textId="6E4393C1" w:rsidR="0056689D" w:rsidRPr="005E3464" w:rsidRDefault="004C1BB0" w:rsidP="005E3464">
      <w:pPr>
        <w:spacing w:line="480" w:lineRule="auto"/>
        <w:rPr>
          <w:rFonts w:ascii="Times New Roman" w:hAnsi="Times New Roman" w:cs="Times New Roman"/>
          <w:i/>
          <w:iCs/>
        </w:rPr>
      </w:pPr>
      <w:r>
        <w:rPr>
          <w:rFonts w:ascii="Times New Roman" w:hAnsi="Times New Roman" w:cs="Times New Roman"/>
          <w:i/>
          <w:iCs/>
        </w:rPr>
        <w:t>L</w:t>
      </w:r>
      <w:r w:rsidR="0056689D" w:rsidRPr="005E3464">
        <w:rPr>
          <w:rFonts w:ascii="Times New Roman" w:hAnsi="Times New Roman" w:cs="Times New Roman"/>
          <w:i/>
          <w:iCs/>
        </w:rPr>
        <w:t>arge plate model</w:t>
      </w:r>
    </w:p>
    <w:p w14:paraId="4E968DA3" w14:textId="7430DCB5" w:rsidR="00A31AEA" w:rsidRDefault="00114BD5" w:rsidP="00204EBA">
      <w:pPr>
        <w:spacing w:line="480" w:lineRule="auto"/>
        <w:ind w:firstLine="720"/>
        <w:rPr>
          <w:rFonts w:ascii="Times New Roman" w:hAnsi="Times New Roman" w:cs="Times New Roman"/>
        </w:rPr>
      </w:pPr>
      <w:r>
        <w:rPr>
          <w:rFonts w:ascii="Times New Roman" w:hAnsi="Times New Roman" w:cs="Times New Roman"/>
        </w:rPr>
        <w:t xml:space="preserve">Fifty </w:t>
      </w:r>
      <w:r w:rsidR="0056689D">
        <w:rPr>
          <w:rFonts w:ascii="Times New Roman" w:hAnsi="Times New Roman" w:cs="Times New Roman"/>
        </w:rPr>
        <w:t xml:space="preserve">mL of </w:t>
      </w:r>
      <w:r w:rsidR="00322AAF">
        <w:rPr>
          <w:rFonts w:ascii="Times New Roman" w:hAnsi="Times New Roman" w:cs="Times New Roman"/>
        </w:rPr>
        <w:t xml:space="preserve">1.5% </w:t>
      </w:r>
      <w:r w:rsidR="0056689D">
        <w:rPr>
          <w:rFonts w:ascii="Times New Roman" w:hAnsi="Times New Roman" w:cs="Times New Roman"/>
        </w:rPr>
        <w:t>TSA was added to a</w:t>
      </w:r>
      <w:r w:rsidR="002923B4">
        <w:rPr>
          <w:rFonts w:ascii="Times New Roman" w:hAnsi="Times New Roman" w:cs="Times New Roman"/>
        </w:rPr>
        <w:t xml:space="preserve"> 21</w:t>
      </w:r>
      <w:r w:rsidR="00BA074F">
        <w:rPr>
          <w:rFonts w:ascii="Times New Roman" w:hAnsi="Times New Roman" w:cs="Times New Roman"/>
        </w:rPr>
        <w:t xml:space="preserve"> cm </w:t>
      </w:r>
      <w:r w:rsidR="002923B4">
        <w:rPr>
          <w:rFonts w:ascii="Times New Roman" w:hAnsi="Times New Roman" w:cs="Times New Roman"/>
        </w:rPr>
        <w:t xml:space="preserve">diameter glass </w:t>
      </w:r>
      <w:r w:rsidR="00153A64">
        <w:rPr>
          <w:rFonts w:ascii="Times New Roman" w:hAnsi="Times New Roman" w:cs="Times New Roman"/>
        </w:rPr>
        <w:t xml:space="preserve">pie </w:t>
      </w:r>
      <w:r w:rsidR="002923B4">
        <w:rPr>
          <w:rFonts w:ascii="Times New Roman" w:hAnsi="Times New Roman" w:cs="Times New Roman"/>
        </w:rPr>
        <w:t>baking dish sterilized with 70% E</w:t>
      </w:r>
      <w:r w:rsidR="00153A64">
        <w:rPr>
          <w:rFonts w:ascii="Times New Roman" w:hAnsi="Times New Roman" w:cs="Times New Roman"/>
        </w:rPr>
        <w:t>t</w:t>
      </w:r>
      <w:r w:rsidR="002923B4">
        <w:rPr>
          <w:rFonts w:ascii="Times New Roman" w:hAnsi="Times New Roman" w:cs="Times New Roman"/>
        </w:rPr>
        <w:t>OH</w:t>
      </w:r>
      <w:r w:rsidR="0056689D">
        <w:rPr>
          <w:rFonts w:ascii="Times New Roman" w:hAnsi="Times New Roman" w:cs="Times New Roman"/>
        </w:rPr>
        <w:t xml:space="preserve"> and allowed to solidify, followed by</w:t>
      </w:r>
      <w:r w:rsidR="000E501D">
        <w:rPr>
          <w:rFonts w:ascii="Times New Roman" w:hAnsi="Times New Roman" w:cs="Times New Roman"/>
        </w:rPr>
        <w:t xml:space="preserve"> </w:t>
      </w:r>
      <w:r w:rsidR="00EA6FCD">
        <w:rPr>
          <w:rFonts w:ascii="Times New Roman" w:hAnsi="Times New Roman" w:cs="Times New Roman"/>
        </w:rPr>
        <w:t>central</w:t>
      </w:r>
      <w:r w:rsidR="0056689D">
        <w:rPr>
          <w:rFonts w:ascii="Times New Roman" w:hAnsi="Times New Roman" w:cs="Times New Roman"/>
        </w:rPr>
        <w:t xml:space="preserve"> </w:t>
      </w:r>
      <w:r w:rsidR="005E3464">
        <w:rPr>
          <w:rFonts w:ascii="Times New Roman" w:hAnsi="Times New Roman" w:cs="Times New Roman"/>
        </w:rPr>
        <w:t>placement of</w:t>
      </w:r>
      <w:r w:rsidR="0056689D">
        <w:rPr>
          <w:rFonts w:ascii="Times New Roman" w:hAnsi="Times New Roman" w:cs="Times New Roman"/>
        </w:rPr>
        <w:t xml:space="preserve"> </w:t>
      </w:r>
      <w:r w:rsidR="004C1BB0">
        <w:rPr>
          <w:rFonts w:ascii="Times New Roman" w:hAnsi="Times New Roman" w:cs="Times New Roman"/>
        </w:rPr>
        <w:t xml:space="preserve">a </w:t>
      </w:r>
      <w:r w:rsidR="003C1D88">
        <w:rPr>
          <w:rFonts w:ascii="Times New Roman" w:hAnsi="Times New Roman" w:cs="Times New Roman"/>
        </w:rPr>
        <w:t xml:space="preserve">PMMA </w:t>
      </w:r>
      <w:r w:rsidR="00BA074F">
        <w:rPr>
          <w:rFonts w:ascii="Times New Roman" w:hAnsi="Times New Roman" w:cs="Times New Roman"/>
        </w:rPr>
        <w:t>spacer followed by</w:t>
      </w:r>
      <w:r w:rsidR="0056689D">
        <w:rPr>
          <w:rFonts w:ascii="Times New Roman" w:hAnsi="Times New Roman" w:cs="Times New Roman"/>
        </w:rPr>
        <w:t xml:space="preserve"> another 100 mL of molten agar. Once </w:t>
      </w:r>
      <w:r w:rsidR="00BA074F">
        <w:rPr>
          <w:rFonts w:ascii="Times New Roman" w:hAnsi="Times New Roman" w:cs="Times New Roman"/>
        </w:rPr>
        <w:t>set</w:t>
      </w:r>
      <w:r w:rsidR="00153A64">
        <w:rPr>
          <w:rFonts w:ascii="Times New Roman" w:hAnsi="Times New Roman" w:cs="Times New Roman"/>
        </w:rPr>
        <w:t>,</w:t>
      </w:r>
      <w:r w:rsidR="0056689D">
        <w:rPr>
          <w:rFonts w:ascii="Times New Roman" w:hAnsi="Times New Roman" w:cs="Times New Roman"/>
        </w:rPr>
        <w:t xml:space="preserve"> three </w:t>
      </w:r>
      <w:r w:rsidR="00F0322D">
        <w:rPr>
          <w:rFonts w:ascii="Times New Roman" w:hAnsi="Times New Roman" w:cs="Times New Roman"/>
        </w:rPr>
        <w:t xml:space="preserve">discs </w:t>
      </w:r>
      <w:r w:rsidR="0056689D">
        <w:rPr>
          <w:rFonts w:ascii="Times New Roman" w:hAnsi="Times New Roman" w:cs="Times New Roman"/>
        </w:rPr>
        <w:t>of each material (</w:t>
      </w:r>
      <w:r w:rsidR="00C663D9">
        <w:rPr>
          <w:rFonts w:ascii="Times New Roman" w:hAnsi="Times New Roman" w:cs="Times New Roman"/>
        </w:rPr>
        <w:t xml:space="preserve">12 in total, </w:t>
      </w:r>
      <w:r w:rsidR="00BA074F">
        <w:rPr>
          <w:rFonts w:ascii="Times New Roman" w:hAnsi="Times New Roman" w:cs="Times New Roman"/>
        </w:rPr>
        <w:t>each</w:t>
      </w:r>
      <w:r w:rsidR="0056689D">
        <w:rPr>
          <w:rFonts w:ascii="Times New Roman" w:hAnsi="Times New Roman" w:cs="Times New Roman"/>
        </w:rPr>
        <w:t xml:space="preserve"> </w:t>
      </w:r>
      <w:r w:rsidR="00BA074F">
        <w:rPr>
          <w:rFonts w:ascii="Times New Roman" w:hAnsi="Times New Roman" w:cs="Times New Roman"/>
        </w:rPr>
        <w:t xml:space="preserve">colonized with </w:t>
      </w:r>
      <w:r w:rsidR="0056689D">
        <w:rPr>
          <w:rFonts w:ascii="Times New Roman" w:hAnsi="Times New Roman" w:cs="Times New Roman"/>
        </w:rPr>
        <w:t xml:space="preserve">pre-grown 3-day biofilms) were placed on top of the agar </w:t>
      </w:r>
      <w:r w:rsidR="004C1BB0">
        <w:rPr>
          <w:rFonts w:ascii="Times New Roman" w:hAnsi="Times New Roman" w:cs="Times New Roman"/>
        </w:rPr>
        <w:t xml:space="preserve">layer </w:t>
      </w:r>
      <w:r w:rsidR="0056689D">
        <w:rPr>
          <w:rFonts w:ascii="Times New Roman" w:hAnsi="Times New Roman" w:cs="Times New Roman"/>
        </w:rPr>
        <w:t xml:space="preserve">radiating outwards (Fig. 1). </w:t>
      </w:r>
      <w:r w:rsidR="00BA074F">
        <w:rPr>
          <w:rFonts w:ascii="Times New Roman" w:hAnsi="Times New Roman" w:cs="Times New Roman"/>
        </w:rPr>
        <w:t xml:space="preserve">For the </w:t>
      </w:r>
      <w:r w:rsidR="004C1BB0">
        <w:rPr>
          <w:rFonts w:ascii="Times New Roman" w:hAnsi="Times New Roman" w:cs="Times New Roman"/>
        </w:rPr>
        <w:t>experiments</w:t>
      </w:r>
      <w:r w:rsidR="00BA074F">
        <w:rPr>
          <w:rFonts w:ascii="Times New Roman" w:hAnsi="Times New Roman" w:cs="Times New Roman"/>
        </w:rPr>
        <w:t xml:space="preserve"> with ALCS-B</w:t>
      </w:r>
      <w:r w:rsidR="00153A64">
        <w:rPr>
          <w:rFonts w:ascii="Times New Roman" w:hAnsi="Times New Roman" w:cs="Times New Roman"/>
        </w:rPr>
        <w:t>,</w:t>
      </w:r>
      <w:r w:rsidR="00BA074F">
        <w:rPr>
          <w:rFonts w:ascii="Times New Roman" w:hAnsi="Times New Roman" w:cs="Times New Roman"/>
        </w:rPr>
        <w:t xml:space="preserve"> a</w:t>
      </w:r>
      <w:r w:rsidR="0056689D">
        <w:rPr>
          <w:rFonts w:ascii="Times New Roman" w:hAnsi="Times New Roman" w:cs="Times New Roman"/>
        </w:rPr>
        <w:t xml:space="preserve"> 10-cc pack of </w:t>
      </w:r>
      <w:r w:rsidR="00BA074F">
        <w:rPr>
          <w:rFonts w:ascii="Times New Roman" w:hAnsi="Times New Roman" w:cs="Times New Roman"/>
        </w:rPr>
        <w:t>beads</w:t>
      </w:r>
      <w:r w:rsidR="0056689D">
        <w:rPr>
          <w:rFonts w:ascii="Times New Roman" w:hAnsi="Times New Roman" w:cs="Times New Roman"/>
        </w:rPr>
        <w:t xml:space="preserve"> was spr</w:t>
      </w:r>
      <w:r w:rsidR="00BA074F">
        <w:rPr>
          <w:rFonts w:ascii="Times New Roman" w:hAnsi="Times New Roman" w:cs="Times New Roman"/>
        </w:rPr>
        <w:t>inkled</w:t>
      </w:r>
      <w:r w:rsidR="0056689D">
        <w:rPr>
          <w:rFonts w:ascii="Times New Roman" w:hAnsi="Times New Roman" w:cs="Times New Roman"/>
        </w:rPr>
        <w:t xml:space="preserve"> </w:t>
      </w:r>
      <w:r w:rsidR="00BA074F">
        <w:rPr>
          <w:rFonts w:ascii="Times New Roman" w:hAnsi="Times New Roman" w:cs="Times New Roman"/>
        </w:rPr>
        <w:t xml:space="preserve">somewhat </w:t>
      </w:r>
      <w:r w:rsidR="0056689D">
        <w:rPr>
          <w:rFonts w:ascii="Times New Roman" w:hAnsi="Times New Roman" w:cs="Times New Roman"/>
        </w:rPr>
        <w:t xml:space="preserve">randomly </w:t>
      </w:r>
      <w:r w:rsidR="00BA074F">
        <w:rPr>
          <w:rFonts w:ascii="Times New Roman" w:hAnsi="Times New Roman" w:cs="Times New Roman"/>
        </w:rPr>
        <w:t xml:space="preserve">around the spacer with greater </w:t>
      </w:r>
      <w:r w:rsidR="004C1BB0">
        <w:rPr>
          <w:rFonts w:ascii="Times New Roman" w:hAnsi="Times New Roman" w:cs="Times New Roman"/>
        </w:rPr>
        <w:t xml:space="preserve">bead </w:t>
      </w:r>
      <w:r w:rsidR="00BA074F">
        <w:rPr>
          <w:rFonts w:ascii="Times New Roman" w:hAnsi="Times New Roman" w:cs="Times New Roman"/>
        </w:rPr>
        <w:t>density closer to the spacer</w:t>
      </w:r>
      <w:r w:rsidR="00A7156E">
        <w:rPr>
          <w:rFonts w:ascii="Times New Roman" w:hAnsi="Times New Roman" w:cs="Times New Roman"/>
        </w:rPr>
        <w:t xml:space="preserve"> </w:t>
      </w:r>
      <w:r w:rsidR="00092C33">
        <w:rPr>
          <w:rFonts w:ascii="Times New Roman" w:hAnsi="Times New Roman" w:cs="Times New Roman"/>
        </w:rPr>
        <w:t>mimic</w:t>
      </w:r>
      <w:r w:rsidR="00BA074F">
        <w:rPr>
          <w:rFonts w:ascii="Times New Roman" w:hAnsi="Times New Roman" w:cs="Times New Roman"/>
        </w:rPr>
        <w:t>.</w:t>
      </w:r>
      <w:r w:rsidR="0056689D">
        <w:rPr>
          <w:rFonts w:ascii="Times New Roman" w:hAnsi="Times New Roman" w:cs="Times New Roman"/>
        </w:rPr>
        <w:t xml:space="preserve"> </w:t>
      </w:r>
      <w:r w:rsidR="00A31AEA">
        <w:rPr>
          <w:rFonts w:ascii="Times New Roman" w:hAnsi="Times New Roman" w:cs="Times New Roman"/>
        </w:rPr>
        <w:t xml:space="preserve">While </w:t>
      </w:r>
      <w:r w:rsidR="00A31AEA" w:rsidRPr="00A31AEA">
        <w:rPr>
          <w:rFonts w:ascii="Times New Roman" w:hAnsi="Times New Roman" w:cs="Times New Roman"/>
        </w:rPr>
        <w:t xml:space="preserve">sprinkling the ALCS-B </w:t>
      </w:r>
      <w:r w:rsidR="00A31AEA">
        <w:rPr>
          <w:rFonts w:ascii="Times New Roman" w:hAnsi="Times New Roman" w:cs="Times New Roman"/>
        </w:rPr>
        <w:t>without careful placement in a specified pattern may cause</w:t>
      </w:r>
      <w:r w:rsidR="00A31AEA" w:rsidRPr="00A31AEA">
        <w:rPr>
          <w:rFonts w:ascii="Times New Roman" w:hAnsi="Times New Roman" w:cs="Times New Roman"/>
        </w:rPr>
        <w:t xml:space="preserve"> difficult</w:t>
      </w:r>
      <w:r w:rsidR="00A31AEA">
        <w:rPr>
          <w:rFonts w:ascii="Times New Roman" w:hAnsi="Times New Roman" w:cs="Times New Roman"/>
        </w:rPr>
        <w:t>y with</w:t>
      </w:r>
      <w:r w:rsidR="00A31AEA" w:rsidRPr="00A31AEA">
        <w:rPr>
          <w:rFonts w:ascii="Times New Roman" w:hAnsi="Times New Roman" w:cs="Times New Roman"/>
        </w:rPr>
        <w:t xml:space="preserve"> interpret</w:t>
      </w:r>
      <w:r w:rsidR="00A31AEA">
        <w:rPr>
          <w:rFonts w:ascii="Times New Roman" w:hAnsi="Times New Roman" w:cs="Times New Roman"/>
        </w:rPr>
        <w:t>ation</w:t>
      </w:r>
      <w:r w:rsidR="004A126E">
        <w:rPr>
          <w:rFonts w:ascii="Times New Roman" w:hAnsi="Times New Roman" w:cs="Times New Roman"/>
        </w:rPr>
        <w:t>,</w:t>
      </w:r>
      <w:r w:rsidR="00A31AEA">
        <w:rPr>
          <w:rFonts w:ascii="Times New Roman" w:hAnsi="Times New Roman" w:cs="Times New Roman"/>
        </w:rPr>
        <w:t xml:space="preserve"> we wished </w:t>
      </w:r>
      <w:r w:rsidR="00B960AB">
        <w:rPr>
          <w:rFonts w:ascii="Times New Roman" w:hAnsi="Times New Roman" w:cs="Times New Roman"/>
        </w:rPr>
        <w:t xml:space="preserve">to more closely </w:t>
      </w:r>
      <w:r w:rsidR="00A31AEA" w:rsidRPr="00A31AEA">
        <w:rPr>
          <w:rFonts w:ascii="Times New Roman" w:hAnsi="Times New Roman" w:cs="Times New Roman"/>
        </w:rPr>
        <w:t>mimic how they might be applied clinically</w:t>
      </w:r>
      <w:r w:rsidR="004A126E">
        <w:rPr>
          <w:rFonts w:ascii="Times New Roman" w:hAnsi="Times New Roman" w:cs="Times New Roman"/>
        </w:rPr>
        <w:t>,</w:t>
      </w:r>
      <w:r w:rsidR="00B960AB">
        <w:rPr>
          <w:rFonts w:ascii="Times New Roman" w:hAnsi="Times New Roman" w:cs="Times New Roman"/>
        </w:rPr>
        <w:t xml:space="preserve"> where they might not be spread evenly.</w:t>
      </w:r>
      <w:r w:rsidR="00A31AEA" w:rsidRPr="00A31AEA">
        <w:rPr>
          <w:rFonts w:ascii="Times New Roman" w:hAnsi="Times New Roman" w:cs="Times New Roman"/>
        </w:rPr>
        <w:t xml:space="preserve"> </w:t>
      </w:r>
      <w:r w:rsidR="00B960AB">
        <w:rPr>
          <w:rFonts w:ascii="Times New Roman" w:hAnsi="Times New Roman" w:cs="Times New Roman"/>
        </w:rPr>
        <w:t>Also</w:t>
      </w:r>
      <w:r w:rsidR="004A126E">
        <w:rPr>
          <w:rFonts w:ascii="Times New Roman" w:hAnsi="Times New Roman" w:cs="Times New Roman"/>
        </w:rPr>
        <w:t>,</w:t>
      </w:r>
      <w:r w:rsidR="00B960AB">
        <w:rPr>
          <w:rFonts w:ascii="Times New Roman" w:hAnsi="Times New Roman" w:cs="Times New Roman"/>
        </w:rPr>
        <w:t xml:space="preserve"> s</w:t>
      </w:r>
      <w:r w:rsidR="00A31AEA" w:rsidRPr="00A31AEA">
        <w:rPr>
          <w:rFonts w:ascii="Times New Roman" w:hAnsi="Times New Roman" w:cs="Times New Roman"/>
        </w:rPr>
        <w:t xml:space="preserve">mall diameter </w:t>
      </w:r>
      <w:r w:rsidR="00B960AB">
        <w:rPr>
          <w:rFonts w:ascii="Times New Roman" w:hAnsi="Times New Roman" w:cs="Times New Roman"/>
        </w:rPr>
        <w:t xml:space="preserve">antibiotic </w:t>
      </w:r>
      <w:r w:rsidR="00A31AEA" w:rsidRPr="00A31AEA">
        <w:rPr>
          <w:rFonts w:ascii="Times New Roman" w:hAnsi="Times New Roman" w:cs="Times New Roman"/>
        </w:rPr>
        <w:t xml:space="preserve">depots such as </w:t>
      </w:r>
      <w:r w:rsidR="00B960AB" w:rsidRPr="00B960AB">
        <w:rPr>
          <w:rFonts w:ascii="Times New Roman" w:hAnsi="Times New Roman" w:cs="Times New Roman"/>
        </w:rPr>
        <w:t>ALCS-</w:t>
      </w:r>
      <w:r w:rsidR="00B960AB">
        <w:rPr>
          <w:rFonts w:ascii="Times New Roman" w:hAnsi="Times New Roman" w:cs="Times New Roman"/>
        </w:rPr>
        <w:t>B</w:t>
      </w:r>
      <w:r w:rsidR="00A31AEA" w:rsidRPr="00A31AEA">
        <w:rPr>
          <w:rFonts w:ascii="Times New Roman" w:hAnsi="Times New Roman" w:cs="Times New Roman"/>
        </w:rPr>
        <w:t xml:space="preserve"> can fill smaller void spaces than</w:t>
      </w:r>
      <w:r w:rsidR="00B960AB">
        <w:rPr>
          <w:rFonts w:ascii="Times New Roman" w:hAnsi="Times New Roman" w:cs="Times New Roman"/>
        </w:rPr>
        <w:t xml:space="preserve"> the larger</w:t>
      </w:r>
      <w:r w:rsidR="00A31AEA" w:rsidRPr="00A31AEA">
        <w:rPr>
          <w:rFonts w:ascii="Times New Roman" w:hAnsi="Times New Roman" w:cs="Times New Roman"/>
        </w:rPr>
        <w:t xml:space="preserve"> PMMA beads and thus can be distributed more thoroughly.</w:t>
      </w:r>
    </w:p>
    <w:p w14:paraId="4BE12B2D" w14:textId="5F161D17" w:rsidR="00D133B2" w:rsidRDefault="00B960AB" w:rsidP="00B05B64">
      <w:pPr>
        <w:spacing w:line="480" w:lineRule="auto"/>
        <w:ind w:firstLine="720"/>
        <w:rPr>
          <w:rFonts w:ascii="Times New Roman" w:hAnsi="Times New Roman" w:cs="Times New Roman"/>
        </w:rPr>
      </w:pPr>
      <w:r>
        <w:rPr>
          <w:rFonts w:ascii="Times New Roman" w:hAnsi="Times New Roman" w:cs="Times New Roman"/>
        </w:rPr>
        <w:t xml:space="preserve">After adding the </w:t>
      </w:r>
      <w:r w:rsidR="003D6530">
        <w:rPr>
          <w:rFonts w:ascii="Times New Roman" w:hAnsi="Times New Roman" w:cs="Times New Roman"/>
        </w:rPr>
        <w:t>beads,</w:t>
      </w:r>
      <w:r>
        <w:rPr>
          <w:rFonts w:ascii="Times New Roman" w:hAnsi="Times New Roman" w:cs="Times New Roman"/>
        </w:rPr>
        <w:t xml:space="preserve"> a</w:t>
      </w:r>
      <w:r w:rsidR="0056689D">
        <w:rPr>
          <w:rFonts w:ascii="Times New Roman" w:hAnsi="Times New Roman" w:cs="Times New Roman"/>
        </w:rPr>
        <w:t xml:space="preserve">nother 100 mL of </w:t>
      </w:r>
      <w:r w:rsidR="00DA0456">
        <w:rPr>
          <w:rFonts w:ascii="Times New Roman" w:hAnsi="Times New Roman" w:cs="Times New Roman"/>
        </w:rPr>
        <w:t>cooled</w:t>
      </w:r>
      <w:r w:rsidR="00BA074F">
        <w:rPr>
          <w:rFonts w:ascii="Times New Roman" w:hAnsi="Times New Roman" w:cs="Times New Roman"/>
        </w:rPr>
        <w:t xml:space="preserve"> </w:t>
      </w:r>
      <w:r w:rsidR="002923B4">
        <w:rPr>
          <w:rFonts w:ascii="Times New Roman" w:hAnsi="Times New Roman" w:cs="Times New Roman"/>
        </w:rPr>
        <w:t>(~50</w:t>
      </w:r>
      <w:r w:rsidR="002923B4" w:rsidRPr="00E52198">
        <w:rPr>
          <w:rFonts w:ascii="Times New Roman" w:hAnsi="Times New Roman" w:cs="Times New Roman"/>
          <w:vertAlign w:val="superscript"/>
        </w:rPr>
        <w:t>o</w:t>
      </w:r>
      <w:r w:rsidR="002923B4">
        <w:rPr>
          <w:rFonts w:ascii="Times New Roman" w:hAnsi="Times New Roman" w:cs="Times New Roman"/>
        </w:rPr>
        <w:t xml:space="preserve">C) </w:t>
      </w:r>
      <w:r w:rsidR="00BA074F">
        <w:rPr>
          <w:rFonts w:ascii="Times New Roman" w:hAnsi="Times New Roman" w:cs="Times New Roman"/>
        </w:rPr>
        <w:t>liquid</w:t>
      </w:r>
      <w:r w:rsidR="0056689D">
        <w:rPr>
          <w:rFonts w:ascii="Times New Roman" w:hAnsi="Times New Roman" w:cs="Times New Roman"/>
        </w:rPr>
        <w:t xml:space="preserve"> agar was poured to cover the </w:t>
      </w:r>
      <w:r w:rsidR="00F0322D">
        <w:rPr>
          <w:rFonts w:ascii="Times New Roman" w:hAnsi="Times New Roman" w:cs="Times New Roman"/>
        </w:rPr>
        <w:t xml:space="preserve">discs </w:t>
      </w:r>
      <w:r w:rsidR="0056689D">
        <w:rPr>
          <w:rFonts w:ascii="Times New Roman" w:hAnsi="Times New Roman" w:cs="Times New Roman"/>
        </w:rPr>
        <w:t xml:space="preserve">and beads and </w:t>
      </w:r>
      <w:r w:rsidR="004C1BB0">
        <w:rPr>
          <w:rFonts w:ascii="Times New Roman" w:hAnsi="Times New Roman" w:cs="Times New Roman"/>
        </w:rPr>
        <w:t xml:space="preserve">the plate covered with </w:t>
      </w:r>
      <w:r w:rsidR="00EA6FCD">
        <w:rPr>
          <w:rFonts w:ascii="Times New Roman" w:hAnsi="Times New Roman" w:cs="Times New Roman"/>
        </w:rPr>
        <w:t xml:space="preserve">plastic film </w:t>
      </w:r>
      <w:r w:rsidR="0056689D">
        <w:rPr>
          <w:rFonts w:ascii="Times New Roman" w:hAnsi="Times New Roman" w:cs="Times New Roman"/>
        </w:rPr>
        <w:t>wrap for incubation</w:t>
      </w:r>
      <w:r w:rsidR="00DA0456">
        <w:rPr>
          <w:rFonts w:ascii="Times New Roman" w:hAnsi="Times New Roman" w:cs="Times New Roman"/>
        </w:rPr>
        <w:t xml:space="preserve"> and imaging</w:t>
      </w:r>
      <w:r w:rsidR="0056689D">
        <w:rPr>
          <w:rFonts w:ascii="Times New Roman" w:hAnsi="Times New Roman" w:cs="Times New Roman"/>
        </w:rPr>
        <w:t>.</w:t>
      </w:r>
      <w:r w:rsidR="00631AC1">
        <w:rPr>
          <w:rFonts w:ascii="Times New Roman" w:hAnsi="Times New Roman" w:cs="Times New Roman"/>
        </w:rPr>
        <w:t xml:space="preserve"> The antibiotic loaded spacer and</w:t>
      </w:r>
      <w:r w:rsidR="0056689D">
        <w:rPr>
          <w:rFonts w:ascii="Times New Roman" w:hAnsi="Times New Roman" w:cs="Times New Roman"/>
        </w:rPr>
        <w:t xml:space="preserve"> </w:t>
      </w:r>
      <w:r w:rsidR="00631AC1">
        <w:rPr>
          <w:rFonts w:ascii="Times New Roman" w:hAnsi="Times New Roman" w:cs="Times New Roman"/>
        </w:rPr>
        <w:t xml:space="preserve">biofilm colonized discs were </w:t>
      </w:r>
      <w:r w:rsidR="00A31AEA">
        <w:rPr>
          <w:rFonts w:ascii="Times New Roman" w:hAnsi="Times New Roman" w:cs="Times New Roman"/>
        </w:rPr>
        <w:t>embedded</w:t>
      </w:r>
      <w:r w:rsidR="00631AC1">
        <w:rPr>
          <w:rFonts w:ascii="Times New Roman" w:hAnsi="Times New Roman" w:cs="Times New Roman"/>
        </w:rPr>
        <w:t xml:space="preserve"> </w:t>
      </w:r>
      <w:r w:rsidR="00A31AEA">
        <w:rPr>
          <w:rFonts w:ascii="Times New Roman" w:hAnsi="Times New Roman" w:cs="Times New Roman"/>
        </w:rPr>
        <w:t>within</w:t>
      </w:r>
      <w:r w:rsidR="00631AC1">
        <w:rPr>
          <w:rFonts w:ascii="Times New Roman" w:hAnsi="Times New Roman" w:cs="Times New Roman"/>
        </w:rPr>
        <w:t xml:space="preserve"> layers of agar to allow</w:t>
      </w:r>
      <w:r w:rsidR="00A31AEA">
        <w:rPr>
          <w:rFonts w:ascii="Times New Roman" w:hAnsi="Times New Roman" w:cs="Times New Roman"/>
        </w:rPr>
        <w:t xml:space="preserve"> </w:t>
      </w:r>
      <w:r w:rsidR="004A126E">
        <w:rPr>
          <w:rFonts w:ascii="Times New Roman" w:hAnsi="Times New Roman" w:cs="Times New Roman"/>
        </w:rPr>
        <w:t xml:space="preserve">for </w:t>
      </w:r>
      <w:r w:rsidR="00A31AEA">
        <w:rPr>
          <w:rFonts w:ascii="Times New Roman" w:hAnsi="Times New Roman" w:cs="Times New Roman"/>
        </w:rPr>
        <w:t>the</w:t>
      </w:r>
      <w:r w:rsidR="00631AC1">
        <w:rPr>
          <w:rFonts w:ascii="Times New Roman" w:hAnsi="Times New Roman" w:cs="Times New Roman"/>
        </w:rPr>
        <w:t xml:space="preserve"> diffusion of antibiotic and bacteria from all surfaces. These agar “layers” </w:t>
      </w:r>
      <w:r w:rsidR="00631AC1">
        <w:rPr>
          <w:rFonts w:ascii="Times New Roman" w:hAnsi="Times New Roman" w:cs="Times New Roman"/>
        </w:rPr>
        <w:lastRenderedPageBreak/>
        <w:t xml:space="preserve">merged to form one cohesive </w:t>
      </w:r>
      <w:r w:rsidR="00A31AEA">
        <w:rPr>
          <w:rFonts w:ascii="Times New Roman" w:hAnsi="Times New Roman" w:cs="Times New Roman"/>
        </w:rPr>
        <w:t>block</w:t>
      </w:r>
      <w:r w:rsidR="00631AC1">
        <w:rPr>
          <w:rFonts w:ascii="Times New Roman" w:hAnsi="Times New Roman" w:cs="Times New Roman"/>
        </w:rPr>
        <w:t xml:space="preserve"> (Fig. 1). </w:t>
      </w:r>
      <w:r w:rsidR="0056689D">
        <w:rPr>
          <w:rFonts w:ascii="Times New Roman" w:hAnsi="Times New Roman" w:cs="Times New Roman"/>
        </w:rPr>
        <w:t>The following conditions were tested: 1) unloaded PMMA spacer only (US), 2) a VAN+TOB antibiotic loaded spacer only (LS), and 3) a VAN+TOB loaded spacer with a 10-cc pack of ALCS-B</w:t>
      </w:r>
      <w:r w:rsidR="00153A64">
        <w:rPr>
          <w:rFonts w:ascii="Times New Roman" w:hAnsi="Times New Roman" w:cs="Times New Roman"/>
        </w:rPr>
        <w:t xml:space="preserve"> (LS+ALCS-B)</w:t>
      </w:r>
      <w:r w:rsidR="0056689D">
        <w:rPr>
          <w:rFonts w:ascii="Times New Roman" w:hAnsi="Times New Roman" w:cs="Times New Roman"/>
        </w:rPr>
        <w:t xml:space="preserve">. The </w:t>
      </w:r>
      <w:r w:rsidR="00DA0456">
        <w:rPr>
          <w:rFonts w:ascii="Times New Roman" w:hAnsi="Times New Roman" w:cs="Times New Roman"/>
        </w:rPr>
        <w:t>plates</w:t>
      </w:r>
      <w:r w:rsidR="0056689D">
        <w:rPr>
          <w:rFonts w:ascii="Times New Roman" w:hAnsi="Times New Roman" w:cs="Times New Roman"/>
        </w:rPr>
        <w:t xml:space="preserve"> were incubated at 37˚C</w:t>
      </w:r>
      <w:r w:rsidR="00DA0456">
        <w:rPr>
          <w:rFonts w:ascii="Times New Roman" w:hAnsi="Times New Roman" w:cs="Times New Roman"/>
        </w:rPr>
        <w:t xml:space="preserve">, </w:t>
      </w:r>
      <w:r w:rsidR="00111106">
        <w:rPr>
          <w:rFonts w:ascii="Times New Roman" w:hAnsi="Times New Roman" w:cs="Times New Roman"/>
        </w:rPr>
        <w:t>5% CO</w:t>
      </w:r>
      <w:r w:rsidR="00111106">
        <w:rPr>
          <w:rFonts w:ascii="Times New Roman" w:hAnsi="Times New Roman" w:cs="Times New Roman"/>
          <w:vertAlign w:val="subscript"/>
        </w:rPr>
        <w:t>2</w:t>
      </w:r>
      <w:r w:rsidR="0056689D">
        <w:rPr>
          <w:rFonts w:ascii="Times New Roman" w:hAnsi="Times New Roman" w:cs="Times New Roman"/>
        </w:rPr>
        <w:t xml:space="preserve"> for 5 days and imaged daily.</w:t>
      </w:r>
      <w:r w:rsidR="00174EC4">
        <w:rPr>
          <w:rFonts w:ascii="Times New Roman" w:hAnsi="Times New Roman" w:cs="Times New Roman"/>
        </w:rPr>
        <w:t xml:space="preserve"> Previously we demonstrated that the spread of tobramycin as a function of time (t) over a 4 day period to achieve killing of the Xen41 agar lawn biofilms from PMMA and ALCS bead were 4</w:t>
      </w:r>
      <w:r w:rsidR="00134188">
        <w:rPr>
          <w:rFonts w:ascii="Times New Roman" w:hAnsi="Times New Roman" w:cs="Times New Roman"/>
        </w:rPr>
        <w:t>.2</w:t>
      </w:r>
      <w:r w:rsidR="00174EC4">
        <w:rPr>
          <w:rFonts w:ascii="Times New Roman" w:hAnsi="Times New Roman" w:cs="Times New Roman"/>
        </w:rPr>
        <w:t>t</w:t>
      </w:r>
      <w:r w:rsidR="00174EC4" w:rsidRPr="00134188">
        <w:rPr>
          <w:rFonts w:ascii="Times New Roman" w:hAnsi="Times New Roman" w:cs="Times New Roman"/>
          <w:vertAlign w:val="superscript"/>
        </w:rPr>
        <w:t xml:space="preserve">0.5 </w:t>
      </w:r>
      <w:r w:rsidR="00174EC4">
        <w:rPr>
          <w:rFonts w:ascii="Times New Roman" w:hAnsi="Times New Roman" w:cs="Times New Roman"/>
        </w:rPr>
        <w:t xml:space="preserve">mm and </w:t>
      </w:r>
      <w:r w:rsidR="00134188">
        <w:rPr>
          <w:rFonts w:ascii="Times New Roman" w:hAnsi="Times New Roman" w:cs="Times New Roman"/>
        </w:rPr>
        <w:t>3.6</w:t>
      </w:r>
      <w:r w:rsidR="00174EC4">
        <w:rPr>
          <w:rFonts w:ascii="Times New Roman" w:hAnsi="Times New Roman" w:cs="Times New Roman"/>
        </w:rPr>
        <w:t>t</w:t>
      </w:r>
      <w:r w:rsidR="00174EC4" w:rsidRPr="00D372EA">
        <w:rPr>
          <w:rFonts w:ascii="Times New Roman" w:hAnsi="Times New Roman" w:cs="Times New Roman"/>
          <w:vertAlign w:val="superscript"/>
        </w:rPr>
        <w:t xml:space="preserve">0.5 </w:t>
      </w:r>
      <w:r w:rsidR="00174EC4">
        <w:rPr>
          <w:rFonts w:ascii="Times New Roman" w:hAnsi="Times New Roman" w:cs="Times New Roman"/>
        </w:rPr>
        <w:t xml:space="preserve">mm </w:t>
      </w:r>
      <w:r w:rsidR="00134188">
        <w:rPr>
          <w:rFonts w:ascii="Times New Roman" w:hAnsi="Times New Roman" w:cs="Times New Roman"/>
        </w:rPr>
        <w:t>respectively, with the loading concentration making little difference</w:t>
      </w:r>
      <w:r w:rsidR="003E39D8">
        <w:rPr>
          <w:rFonts w:ascii="Times New Roman" w:hAnsi="Times New Roman" w:cs="Times New Roman"/>
        </w:rPr>
        <w:t>,</w:t>
      </w:r>
      <w:r w:rsidR="00134188">
        <w:rPr>
          <w:rFonts w:ascii="Times New Roman" w:hAnsi="Times New Roman" w:cs="Times New Roman"/>
        </w:rPr>
        <w:t xml:space="preserve"> suggesting the </w:t>
      </w:r>
      <w:r w:rsidR="00B358D8">
        <w:rPr>
          <w:rFonts w:ascii="Times New Roman" w:hAnsi="Times New Roman" w:cs="Times New Roman"/>
        </w:rPr>
        <w:t>transport</w:t>
      </w:r>
      <w:r w:rsidR="00134188">
        <w:rPr>
          <w:rFonts w:ascii="Times New Roman" w:hAnsi="Times New Roman" w:cs="Times New Roman"/>
        </w:rPr>
        <w:t xml:space="preserve"> through the agar was limited by diffusion</w:t>
      </w:r>
      <w:r w:rsidR="00174EC4">
        <w:rPr>
          <w:rFonts w:ascii="Times New Roman" w:hAnsi="Times New Roman" w:cs="Times New Roman"/>
        </w:rPr>
        <w:t xml:space="preserve"> [</w:t>
      </w:r>
      <w:r w:rsidR="00174EC4">
        <w:rPr>
          <w:rFonts w:ascii="Times New Roman" w:hAnsi="Times New Roman" w:cs="Times New Roman"/>
        </w:rPr>
        <w:fldChar w:fldCharType="begin" w:fldLock="1"/>
      </w:r>
      <w:r w:rsidR="003D6530">
        <w:rPr>
          <w:rFonts w:ascii="Times New Roman" w:hAnsi="Times New Roman" w:cs="Times New Roman"/>
        </w:rPr>
        <w:instrText>ADDIN CSL_CITATION {"citationItems":[{"id":"ITEM-1","itemData":{"DOI":"10.1016/j.jconrel.2017.01.005","ISSN":"18734995","abstract":"Antibiotic loaded cement beads are commonly used for the treatment of biofilm related orthopaedic periprosthetic infections; however the effects of antibiotic loading and exposure of beads to body fluids on release kinetics are unclear. The purpose of this study was to determine the effects of (i) antibiotic loading density (ii) loading amount (iii) material type and (iv) exposure to body fluids (blood or synovial fluid) on release kinetics and efficacy of antibiotics against planktonic and lawn biofilm bacteria. Short-term release into an agar gel was evaluated using a fluorescent tracer (fluorescein) incorporated in the carrier materials calcium sulfate (CaSO4) and poly methyl methacrylate (PMMA). Different fluorescein concentrations in CaSO4 beads were evaluated. Mechanical properties of fluorescein-incorporated beads were analyzed. Efficacy of the antibiotics vancomycin (VAN) or tobramycin (TOB) alone and in combination was evaluated against lawn biofilms of bioluminescent strains of Staphylococcus aureus and Pseudomonas aeruginosa. Zones of inhibition of cultures (ZOI) were measured visually and using an in-vivo imaging system (IVIS). The influence of body fluids on release was assessed using CaSO4 beads that contained fluorescein or antibiotics and were pre-coated with human blood or synovial fluid. The spread from the beads followed a square root of time relationship in all cases. The loading concentration had no influence on short-term fluorescein release and pre-coating of beads with body fluids did not affect short-term release or antibacterial activity. Compared to PMMA, CaSO4 had a more rapid short term rate of elution and activity against planktonic and lawn biofilms. This study highlights the importance of considering antibiotic loading and packing density when investigating the clinical application of bone cements for infection management.","author":[{"dropping-particle":"","family":"Dusane","given":"Devendra H.","non-dropping-particle":"","parse-names":false,"suffix":""},{"dropping-particle":"","family":"Diamond","given":"Scott M.","non-dropping-particle":"","parse-names":false,"suffix":""},{"dropping-particle":"","family":"Knecht","given":"Cory S.","non-dropping-particle":"","parse-names":false,"suffix":""},{"dropping-particle":"","family":"Farrar","given":"Nicholas R.","non-dropping-particle":"","parse-names":false,"suffix":""},{"dropping-particle":"","family":"Peters","given":"Casey W.","non-dropping-particle":"","parse-names":false,"suffix":""},{"dropping-particle":"","family":"Howlin","given":"Robert P.","non-dropping-particle":"","parse-names":false,"suffix":""},{"dropping-particle":"","family":"Swearingen","given":"Matthew C.","non-dropping-particle":"","parse-names":false,"suffix":""},{"dropping-particle":"","family":"Calhoun","given":"Jason H.","non-dropping-particle":"","parse-names":false,"suffix":""},{"dropping-particle":"","family":"Plaut","given":"Roger D.","non-dropping-particle":"","parse-names":false,"suffix":""},{"dropping-particle":"","family":"Nocera","given":"Tanya M.","non-dropping-particle":"","parse-names":false,"suffix":""},{"dropping-particle":"","family":"Granger","given":"Jeffrey F.","non-dropping-particle":"","parse-names":false,"suffix":""},{"dropping-particle":"","family":"Stoodley","given":"Paul","non-dropping-particle":"","parse-names":false,"suffix":""}],"container-title":"Journal of Controlled Release","id":"ITEM-1","issued":{"date-parts":[["2017"]]},"page":"24-32","publisher":"The Authors","title":"Effects of loading concentration, blood and synovial fluid on antibiotic release and anti-biofilm activity of bone cement beads","type":"article-journal","volume":"248"},"uris":["http://www.mendeley.com/documents/?uuid=a1974cf9-74da-403c-9039-a01a5ecf67f3"]}],"mendeley":{"formattedCitation":"&lt;sup&gt;22&lt;/sup&gt;","plainTextFormattedCitation":"22","previouslyFormattedCitation":"&lt;sup&gt;22&lt;/sup&gt;"},"properties":{"noteIndex":0},"schema":"https://github.com/citation-style-language/schema/raw/master/csl-citation.json"}</w:instrText>
      </w:r>
      <w:r w:rsidR="00174EC4">
        <w:rPr>
          <w:rFonts w:ascii="Times New Roman" w:hAnsi="Times New Roman" w:cs="Times New Roman"/>
        </w:rPr>
        <w:fldChar w:fldCharType="separate"/>
      </w:r>
      <w:r w:rsidR="00CD7712" w:rsidRPr="00CD7712">
        <w:rPr>
          <w:rFonts w:ascii="Times New Roman" w:hAnsi="Times New Roman" w:cs="Times New Roman"/>
          <w:noProof/>
          <w:vertAlign w:val="superscript"/>
        </w:rPr>
        <w:t>22</w:t>
      </w:r>
      <w:r w:rsidR="00174EC4">
        <w:rPr>
          <w:rFonts w:ascii="Times New Roman" w:hAnsi="Times New Roman" w:cs="Times New Roman"/>
        </w:rPr>
        <w:fldChar w:fldCharType="end"/>
      </w:r>
      <w:r w:rsidR="00174EC4">
        <w:rPr>
          <w:rFonts w:ascii="Times New Roman" w:hAnsi="Times New Roman" w:cs="Times New Roman"/>
        </w:rPr>
        <w:t>]</w:t>
      </w:r>
      <w:r w:rsidR="00134188">
        <w:rPr>
          <w:rFonts w:ascii="Times New Roman" w:hAnsi="Times New Roman" w:cs="Times New Roman"/>
        </w:rPr>
        <w:t>.</w:t>
      </w:r>
    </w:p>
    <w:p w14:paraId="7138D710" w14:textId="77777777" w:rsidR="004A126E" w:rsidRDefault="004A126E" w:rsidP="0056689D">
      <w:pPr>
        <w:spacing w:line="480" w:lineRule="auto"/>
        <w:rPr>
          <w:rFonts w:ascii="Times New Roman" w:hAnsi="Times New Roman" w:cs="Times New Roman"/>
          <w:i/>
          <w:iCs/>
        </w:rPr>
      </w:pPr>
    </w:p>
    <w:p w14:paraId="407F9046" w14:textId="524D0EAD" w:rsidR="0056689D" w:rsidRDefault="0056689D" w:rsidP="0056689D">
      <w:pPr>
        <w:spacing w:line="480" w:lineRule="auto"/>
        <w:rPr>
          <w:rFonts w:ascii="Times New Roman" w:hAnsi="Times New Roman" w:cs="Times New Roman"/>
          <w:i/>
          <w:iCs/>
        </w:rPr>
      </w:pPr>
      <w:r>
        <w:rPr>
          <w:rFonts w:ascii="Times New Roman" w:hAnsi="Times New Roman" w:cs="Times New Roman"/>
          <w:i/>
          <w:iCs/>
        </w:rPr>
        <w:t>Bioluminescent Imaging (BLI)</w:t>
      </w:r>
    </w:p>
    <w:p w14:paraId="78CE93DC" w14:textId="77777777" w:rsidR="0056689D" w:rsidRDefault="0056689D" w:rsidP="0056689D">
      <w:pPr>
        <w:spacing w:line="480" w:lineRule="auto"/>
        <w:ind w:firstLine="720"/>
        <w:rPr>
          <w:rFonts w:ascii="Times New Roman" w:hAnsi="Times New Roman" w:cs="Times New Roman"/>
        </w:rPr>
      </w:pPr>
      <w:r>
        <w:rPr>
          <w:rFonts w:ascii="Times New Roman" w:hAnsi="Times New Roman" w:cs="Times New Roman"/>
        </w:rPr>
        <w:t xml:space="preserve">BLI was executed using an </w:t>
      </w:r>
      <w:r w:rsidRPr="007054DC">
        <w:rPr>
          <w:rFonts w:ascii="Times New Roman" w:hAnsi="Times New Roman" w:cs="Times New Roman"/>
          <w:i/>
        </w:rPr>
        <w:t>in vitro</w:t>
      </w:r>
      <w:r>
        <w:rPr>
          <w:rFonts w:ascii="Times New Roman" w:hAnsi="Times New Roman" w:cs="Times New Roman"/>
        </w:rPr>
        <w:t xml:space="preserve"> imaging system (IVIS 100, Xenogen, MA) that </w:t>
      </w:r>
      <w:r w:rsidR="00665F5D">
        <w:rPr>
          <w:rFonts w:ascii="Times New Roman" w:hAnsi="Times New Roman" w:cs="Times New Roman"/>
        </w:rPr>
        <w:t xml:space="preserve">semi-quantitatively </w:t>
      </w:r>
      <w:r>
        <w:rPr>
          <w:rFonts w:ascii="Times New Roman" w:hAnsi="Times New Roman" w:cs="Times New Roman"/>
        </w:rPr>
        <w:t xml:space="preserve">measures the relative amount of </w:t>
      </w:r>
      <w:r w:rsidR="00665F5D">
        <w:rPr>
          <w:rFonts w:ascii="Times New Roman" w:hAnsi="Times New Roman" w:cs="Times New Roman"/>
        </w:rPr>
        <w:t xml:space="preserve">metabolically </w:t>
      </w:r>
      <w:r>
        <w:rPr>
          <w:rFonts w:ascii="Times New Roman" w:hAnsi="Times New Roman" w:cs="Times New Roman"/>
        </w:rPr>
        <w:t xml:space="preserve">active biofilm. Each quadrant of the large plate model was </w:t>
      </w:r>
      <w:r w:rsidR="00DA0456">
        <w:rPr>
          <w:rFonts w:ascii="Times New Roman" w:hAnsi="Times New Roman" w:cs="Times New Roman"/>
        </w:rPr>
        <w:t xml:space="preserve">individually </w:t>
      </w:r>
      <w:r>
        <w:rPr>
          <w:rFonts w:ascii="Times New Roman" w:hAnsi="Times New Roman" w:cs="Times New Roman"/>
        </w:rPr>
        <w:t>imaged</w:t>
      </w:r>
      <w:r w:rsidR="00DA0456">
        <w:rPr>
          <w:rFonts w:ascii="Times New Roman" w:hAnsi="Times New Roman" w:cs="Times New Roman"/>
        </w:rPr>
        <w:t xml:space="preserve"> and</w:t>
      </w:r>
      <w:r>
        <w:rPr>
          <w:rFonts w:ascii="Times New Roman" w:hAnsi="Times New Roman" w:cs="Times New Roman"/>
        </w:rPr>
        <w:t xml:space="preserve"> then stitched together </w:t>
      </w:r>
      <w:r w:rsidR="004C1BB0">
        <w:rPr>
          <w:rFonts w:ascii="Times New Roman" w:hAnsi="Times New Roman" w:cs="Times New Roman"/>
        </w:rPr>
        <w:t>(</w:t>
      </w:r>
      <w:r w:rsidR="005E3464">
        <w:rPr>
          <w:rFonts w:ascii="Times New Roman" w:hAnsi="Times New Roman" w:cs="Times New Roman"/>
        </w:rPr>
        <w:t>P</w:t>
      </w:r>
      <w:r>
        <w:rPr>
          <w:rFonts w:ascii="Times New Roman" w:hAnsi="Times New Roman" w:cs="Times New Roman"/>
        </w:rPr>
        <w:t>hotoshop</w:t>
      </w:r>
      <w:r w:rsidR="004C1BB0">
        <w:rPr>
          <w:rFonts w:ascii="Times New Roman" w:hAnsi="Times New Roman" w:cs="Times New Roman"/>
        </w:rPr>
        <w:t xml:space="preserve">, </w:t>
      </w:r>
      <w:r>
        <w:rPr>
          <w:rFonts w:ascii="Times New Roman" w:hAnsi="Times New Roman" w:cs="Times New Roman"/>
        </w:rPr>
        <w:t>Adobe</w:t>
      </w:r>
      <w:r w:rsidR="005E3464">
        <w:rPr>
          <w:rFonts w:ascii="Times New Roman" w:hAnsi="Times New Roman" w:cs="Times New Roman"/>
        </w:rPr>
        <w:t>, CA</w:t>
      </w:r>
      <w:r>
        <w:rPr>
          <w:rFonts w:ascii="Times New Roman" w:hAnsi="Times New Roman" w:cs="Times New Roman"/>
        </w:rPr>
        <w:t>)</w:t>
      </w:r>
      <w:r w:rsidR="00DA0456">
        <w:rPr>
          <w:rFonts w:ascii="Times New Roman" w:hAnsi="Times New Roman" w:cs="Times New Roman"/>
        </w:rPr>
        <w:t xml:space="preserve"> to show the whole plate</w:t>
      </w:r>
      <w:r>
        <w:rPr>
          <w:rFonts w:ascii="Times New Roman" w:hAnsi="Times New Roman" w:cs="Times New Roman"/>
        </w:rPr>
        <w:t xml:space="preserve">. </w:t>
      </w:r>
      <w:r w:rsidR="00DA0456">
        <w:rPr>
          <w:rFonts w:ascii="Times New Roman" w:hAnsi="Times New Roman" w:cs="Times New Roman"/>
        </w:rPr>
        <w:t>R</w:t>
      </w:r>
      <w:r>
        <w:rPr>
          <w:rFonts w:ascii="Times New Roman" w:hAnsi="Times New Roman" w:cs="Times New Roman"/>
        </w:rPr>
        <w:t xml:space="preserve">ed represented the highest </w:t>
      </w:r>
      <w:r w:rsidR="002923B4">
        <w:rPr>
          <w:rFonts w:ascii="Times New Roman" w:hAnsi="Times New Roman" w:cs="Times New Roman"/>
        </w:rPr>
        <w:t xml:space="preserve">metabolic </w:t>
      </w:r>
      <w:r>
        <w:rPr>
          <w:rFonts w:ascii="Times New Roman" w:hAnsi="Times New Roman" w:cs="Times New Roman"/>
        </w:rPr>
        <w:t xml:space="preserve">activity and blue or black </w:t>
      </w:r>
      <w:r w:rsidR="00DA0456">
        <w:rPr>
          <w:rFonts w:ascii="Times New Roman" w:hAnsi="Times New Roman" w:cs="Times New Roman"/>
        </w:rPr>
        <w:t xml:space="preserve">low or </w:t>
      </w:r>
      <w:r>
        <w:rPr>
          <w:rFonts w:ascii="Times New Roman" w:hAnsi="Times New Roman" w:cs="Times New Roman"/>
        </w:rPr>
        <w:t xml:space="preserve">no </w:t>
      </w:r>
      <w:r w:rsidR="00DA0456">
        <w:rPr>
          <w:rFonts w:ascii="Times New Roman" w:hAnsi="Times New Roman" w:cs="Times New Roman"/>
        </w:rPr>
        <w:t xml:space="preserve">metabolic </w:t>
      </w:r>
      <w:r>
        <w:rPr>
          <w:rFonts w:ascii="Times New Roman" w:hAnsi="Times New Roman" w:cs="Times New Roman"/>
        </w:rPr>
        <w:t>activity. White light (plain) images of each plate were captured with a cell phone.</w:t>
      </w:r>
    </w:p>
    <w:p w14:paraId="280B553C" w14:textId="77777777" w:rsidR="0056689D" w:rsidRDefault="0056689D" w:rsidP="0056689D">
      <w:pPr>
        <w:spacing w:line="480" w:lineRule="auto"/>
        <w:rPr>
          <w:rFonts w:ascii="Times New Roman" w:hAnsi="Times New Roman" w:cs="Times New Roman"/>
          <w:i/>
          <w:iCs/>
        </w:rPr>
      </w:pPr>
    </w:p>
    <w:p w14:paraId="55D1B171" w14:textId="77777777" w:rsidR="009F4992" w:rsidRDefault="00B05B64" w:rsidP="009F4992">
      <w:pPr>
        <w:spacing w:line="480" w:lineRule="auto"/>
        <w:rPr>
          <w:rFonts w:ascii="Times New Roman" w:hAnsi="Times New Roman" w:cs="Times New Roman"/>
          <w:i/>
          <w:iCs/>
        </w:rPr>
      </w:pPr>
      <w:r>
        <w:rPr>
          <w:rFonts w:ascii="Times New Roman" w:hAnsi="Times New Roman" w:cs="Times New Roman"/>
          <w:i/>
          <w:iCs/>
        </w:rPr>
        <w:t>Viable Cell Counting</w:t>
      </w:r>
    </w:p>
    <w:p w14:paraId="6891234D" w14:textId="099C18D4" w:rsidR="0056689D" w:rsidRPr="009F4992" w:rsidRDefault="00114BD5" w:rsidP="00B05B64">
      <w:pPr>
        <w:spacing w:line="480" w:lineRule="auto"/>
        <w:ind w:firstLine="720"/>
        <w:rPr>
          <w:rFonts w:ascii="Times New Roman" w:hAnsi="Times New Roman" w:cs="Times New Roman"/>
          <w:i/>
          <w:iCs/>
        </w:rPr>
      </w:pPr>
      <w:r>
        <w:rPr>
          <w:rFonts w:ascii="Times New Roman" w:hAnsi="Times New Roman" w:cs="Times New Roman"/>
        </w:rPr>
        <w:t>Colony Forming Unit (</w:t>
      </w:r>
      <w:r w:rsidR="0056689D" w:rsidRPr="009F4992">
        <w:rPr>
          <w:rFonts w:ascii="Times New Roman" w:hAnsi="Times New Roman" w:cs="Times New Roman"/>
        </w:rPr>
        <w:t>CFU</w:t>
      </w:r>
      <w:r>
        <w:rPr>
          <w:rFonts w:ascii="Times New Roman" w:hAnsi="Times New Roman" w:cs="Times New Roman"/>
        </w:rPr>
        <w:t>)</w:t>
      </w:r>
      <w:r w:rsidR="0056689D" w:rsidRPr="009F4992">
        <w:rPr>
          <w:rFonts w:ascii="Times New Roman" w:hAnsi="Times New Roman" w:cs="Times New Roman"/>
        </w:rPr>
        <w:t xml:space="preserve"> counts were performed on</w:t>
      </w:r>
      <w:r w:rsidR="00EA6FCD">
        <w:rPr>
          <w:rFonts w:ascii="Times New Roman" w:hAnsi="Times New Roman" w:cs="Times New Roman"/>
        </w:rPr>
        <w:t xml:space="preserve"> </w:t>
      </w:r>
      <w:r w:rsidR="004A126E">
        <w:rPr>
          <w:rFonts w:ascii="Times New Roman" w:hAnsi="Times New Roman" w:cs="Times New Roman"/>
        </w:rPr>
        <w:t>mimicked</w:t>
      </w:r>
      <w:r w:rsidR="00DA0456">
        <w:rPr>
          <w:rFonts w:ascii="Times New Roman" w:hAnsi="Times New Roman" w:cs="Times New Roman"/>
        </w:rPr>
        <w:t xml:space="preserve"> </w:t>
      </w:r>
      <w:r w:rsidR="00EA6FCD">
        <w:rPr>
          <w:rFonts w:ascii="Times New Roman" w:hAnsi="Times New Roman" w:cs="Times New Roman"/>
        </w:rPr>
        <w:t>sets of</w:t>
      </w:r>
      <w:r w:rsidR="0056689D" w:rsidRPr="009F4992">
        <w:rPr>
          <w:rFonts w:ascii="Times New Roman" w:hAnsi="Times New Roman" w:cs="Times New Roman"/>
        </w:rPr>
        <w:t xml:space="preserve"> </w:t>
      </w:r>
      <w:r w:rsidR="00F0322D">
        <w:rPr>
          <w:rFonts w:ascii="Times New Roman" w:hAnsi="Times New Roman" w:cs="Times New Roman"/>
        </w:rPr>
        <w:t>disc</w:t>
      </w:r>
      <w:r w:rsidR="00F0322D" w:rsidRPr="009F4992">
        <w:rPr>
          <w:rFonts w:ascii="Times New Roman" w:hAnsi="Times New Roman" w:cs="Times New Roman"/>
        </w:rPr>
        <w:t>s</w:t>
      </w:r>
      <w:r w:rsidR="00DA0456">
        <w:rPr>
          <w:rFonts w:ascii="Times New Roman" w:hAnsi="Times New Roman" w:cs="Times New Roman"/>
        </w:rPr>
        <w:t xml:space="preserve">, </w:t>
      </w:r>
      <w:r w:rsidR="00AA5407">
        <w:rPr>
          <w:rFonts w:ascii="Times New Roman" w:hAnsi="Times New Roman" w:cs="Times New Roman"/>
        </w:rPr>
        <w:t xml:space="preserve">one set </w:t>
      </w:r>
      <w:r w:rsidR="004C1BB0">
        <w:rPr>
          <w:rFonts w:ascii="Times New Roman" w:hAnsi="Times New Roman" w:cs="Times New Roman"/>
        </w:rPr>
        <w:t xml:space="preserve">on the 3-day biofilms </w:t>
      </w:r>
      <w:r w:rsidR="0056689D" w:rsidRPr="009F4992">
        <w:rPr>
          <w:rFonts w:ascii="Times New Roman" w:hAnsi="Times New Roman" w:cs="Times New Roman"/>
        </w:rPr>
        <w:t xml:space="preserve">and </w:t>
      </w:r>
      <w:r w:rsidR="00AA5407">
        <w:rPr>
          <w:rFonts w:ascii="Times New Roman" w:hAnsi="Times New Roman" w:cs="Times New Roman"/>
        </w:rPr>
        <w:t xml:space="preserve">one set </w:t>
      </w:r>
      <w:r w:rsidR="0056689D" w:rsidRPr="009F4992">
        <w:rPr>
          <w:rFonts w:ascii="Times New Roman" w:hAnsi="Times New Roman" w:cs="Times New Roman"/>
        </w:rPr>
        <w:t xml:space="preserve">after </w:t>
      </w:r>
      <w:r w:rsidR="00DA0456">
        <w:rPr>
          <w:rFonts w:ascii="Times New Roman" w:hAnsi="Times New Roman" w:cs="Times New Roman"/>
        </w:rPr>
        <w:t>incubation</w:t>
      </w:r>
      <w:r w:rsidR="004C1BB0">
        <w:rPr>
          <w:rFonts w:ascii="Times New Roman" w:hAnsi="Times New Roman" w:cs="Times New Roman"/>
        </w:rPr>
        <w:t xml:space="preserve"> in the large plate model</w:t>
      </w:r>
      <w:r w:rsidR="0056689D" w:rsidRPr="009F4992">
        <w:rPr>
          <w:rFonts w:ascii="Times New Roman" w:hAnsi="Times New Roman" w:cs="Times New Roman"/>
        </w:rPr>
        <w:t xml:space="preserve">. CFUs were performed </w:t>
      </w:r>
      <w:r w:rsidR="00954B2D">
        <w:rPr>
          <w:rFonts w:ascii="Times New Roman" w:hAnsi="Times New Roman" w:cs="Times New Roman"/>
        </w:rPr>
        <w:t>a</w:t>
      </w:r>
      <w:r w:rsidR="00DA0456">
        <w:rPr>
          <w:rFonts w:ascii="Times New Roman" w:hAnsi="Times New Roman" w:cs="Times New Roman"/>
        </w:rPr>
        <w:t>s</w:t>
      </w:r>
      <w:r w:rsidR="00954B2D">
        <w:rPr>
          <w:rFonts w:ascii="Times New Roman" w:hAnsi="Times New Roman" w:cs="Times New Roman"/>
        </w:rPr>
        <w:t xml:space="preserve"> previous</w:t>
      </w:r>
      <w:r w:rsidR="00DA0456">
        <w:rPr>
          <w:rFonts w:ascii="Times New Roman" w:hAnsi="Times New Roman" w:cs="Times New Roman"/>
        </w:rPr>
        <w:t>ly described</w:t>
      </w:r>
      <w:r w:rsidR="00153A64">
        <w:rPr>
          <w:rFonts w:ascii="Times New Roman" w:hAnsi="Times New Roman" w:cs="Times New Roman"/>
        </w:rPr>
        <w:t xml:space="preserve"> [</w:t>
      </w:r>
      <w:r w:rsidR="00F860A9" w:rsidRPr="00153A64">
        <w:rPr>
          <w:rFonts w:ascii="Times New Roman" w:hAnsi="Times New Roman" w:cs="Times New Roman"/>
        </w:rPr>
        <w:fldChar w:fldCharType="begin" w:fldLock="1"/>
      </w:r>
      <w:r w:rsidR="003D6530">
        <w:rPr>
          <w:rFonts w:ascii="Times New Roman" w:hAnsi="Times New Roman" w:cs="Times New Roman"/>
        </w:rPr>
        <w:instrText>ADDIN CSL_CITATION {"citationItems":[{"id":"ITEM-1","itemData":{"DOI":"10.1002/jor.24074","ISSN":"1554527X","abstract":"Antibiotic-loaded calcium sulfate beads (CS-B) are used to treat biofilm-related periprosthetic joint infections (PJI). A previous study has shown that such beads are effective in reducing lawns biofilms grown on agar plates; however, the ability of CS-B to eradicate biofilms grown on solid orthopedic material surfaces has not been investigated. We grew biofilms of bioluminescent strains of Pseudomonas aeruginosa Xen41 and a USA300 MRSA Staphylococcus aureus SAP231 on ultra-high molecular weight polyethylene (PE), hydroxyapatite (HA), and 316L stainless steel (SS) coupons for three days under static growth conditions, with daily nutrient exchange. The coupons were rinsed with sterile phosphate buffered saline (PBS) to remove planktonic bacteria and placed in a petri dish, surrounded by four either antibiotic vancomycin and tobramycin loaded (CS-B V+T ) or unloaded beads (CS-B U ). A thin layer of agar was overlaid to simulate a periprosthetic infection where an implant abuts soft tissue and then incubated for 72 h. The amount of biofilm was measured by bioluminescence imaging (BLI) for activity and viable cell count (CFUs). Coupons exposed to CS-B V+T showed a significant reduction in the amount of biofilm within 24 h, regardless of the bacterial strain or material type. The coupons exposed to control CS-B U had no effect on bacteria over 72 h. Statement of Clinical Significance: Antibiotic-loaded calcium sulfate beads (CS-B) were effective in significantly reducing mature biofilms of P. aeruginosa and S. aureus from orthopedic relevant surfaces in our in vitro agar model. © 2018 Orthopaedic Research Society. Published by Wiley Periodicals, Inc. J Orthop Res 36:3081–3085, 2018.","author":[{"dropping-particle":"","family":"Moley","given":"James P.","non-dropping-particle":"","parse-names":false,"suffix":""},{"dropping-particle":"","family":"McGrath","given":"Mary S.","non-dropping-particle":"","parse-names":false,"suffix":""},{"dropping-particle":"","family":"Granger","given":"Jeffrey F.","non-dropping-particle":"","parse-names":false,"suffix":""},{"dropping-particle":"","family":"Stoodley","given":"Paul","non-dropping-particle":"","parse-names":false,"suffix":""},{"dropping-particle":"","family":"Dusane","given":"Devendra H.","non-dropping-particle":"","parse-names":false,"suffix":""}],"container-title":"Journal of Orthopaedic Research","id":"ITEM-1","issue":"11","issued":{"date-parts":[["2018"]]},"page":"3081-3085","title":"Reduction in Pseudomonas aeruginosa and Staphylococcus aureus biofilms from implant materials in a diffusion dominated environment","type":"article-journal","volume":"36"},"uris":["http://www.mendeley.com/documents/?uuid=cce802ce-2258-4397-9734-49831ba9d4dc"]}],"mendeley":{"formattedCitation":"&lt;sup&gt;29&lt;/sup&gt;","plainTextFormattedCitation":"29","previouslyFormattedCitation":"&lt;sup&gt;29&lt;/sup&gt;"},"properties":{"noteIndex":0},"schema":"https://github.com/citation-style-language/schema/raw/master/csl-citation.json"}</w:instrText>
      </w:r>
      <w:r w:rsidR="00F860A9" w:rsidRPr="00153A64">
        <w:rPr>
          <w:rFonts w:ascii="Times New Roman" w:hAnsi="Times New Roman" w:cs="Times New Roman"/>
        </w:rPr>
        <w:fldChar w:fldCharType="separate"/>
      </w:r>
      <w:r w:rsidR="00CD7712" w:rsidRPr="00CD7712">
        <w:rPr>
          <w:rFonts w:ascii="Times New Roman" w:hAnsi="Times New Roman" w:cs="Times New Roman"/>
          <w:noProof/>
          <w:vertAlign w:val="superscript"/>
        </w:rPr>
        <w:t>29</w:t>
      </w:r>
      <w:r w:rsidR="00F860A9" w:rsidRPr="00153A64">
        <w:rPr>
          <w:rFonts w:ascii="Times New Roman" w:hAnsi="Times New Roman" w:cs="Times New Roman"/>
        </w:rPr>
        <w:fldChar w:fldCharType="end"/>
      </w:r>
      <w:r w:rsidR="00153A64">
        <w:rPr>
          <w:rFonts w:ascii="Times New Roman" w:hAnsi="Times New Roman" w:cs="Times New Roman"/>
        </w:rPr>
        <w:t>]</w:t>
      </w:r>
      <w:r w:rsidR="00954B2D">
        <w:rPr>
          <w:rFonts w:ascii="Times New Roman" w:hAnsi="Times New Roman" w:cs="Times New Roman"/>
        </w:rPr>
        <w:t>.</w:t>
      </w:r>
      <w:r w:rsidR="0056689D" w:rsidRPr="009F4992">
        <w:rPr>
          <w:rFonts w:ascii="Times New Roman" w:hAnsi="Times New Roman" w:cs="Times New Roman"/>
        </w:rPr>
        <w:t xml:space="preserve"> These </w:t>
      </w:r>
      <w:r w:rsidR="00F0322D">
        <w:rPr>
          <w:rFonts w:ascii="Times New Roman" w:hAnsi="Times New Roman" w:cs="Times New Roman"/>
        </w:rPr>
        <w:t>disc</w:t>
      </w:r>
      <w:r w:rsidR="00F0322D" w:rsidRPr="009F4992">
        <w:rPr>
          <w:rFonts w:ascii="Times New Roman" w:hAnsi="Times New Roman" w:cs="Times New Roman"/>
        </w:rPr>
        <w:t xml:space="preserve">s </w:t>
      </w:r>
      <w:r w:rsidR="0056689D" w:rsidRPr="009F4992">
        <w:rPr>
          <w:rFonts w:ascii="Times New Roman" w:hAnsi="Times New Roman" w:cs="Times New Roman"/>
        </w:rPr>
        <w:t>were rinsed and then vortexed with 10 mL of phosphate-buffered saline (PBS</w:t>
      </w:r>
      <w:r w:rsidR="009F4992" w:rsidRPr="009F4992">
        <w:rPr>
          <w:rFonts w:ascii="Times New Roman" w:hAnsi="Times New Roman" w:cs="Times New Roman"/>
        </w:rPr>
        <w:t>; D</w:t>
      </w:r>
      <w:r w:rsidR="009F4992" w:rsidRPr="009F4992">
        <w:rPr>
          <w:rFonts w:ascii="Times New Roman" w:eastAsia="Times New Roman" w:hAnsi="Times New Roman" w:cs="Times New Roman"/>
          <w:color w:val="1C1D1E"/>
          <w:shd w:val="clear" w:color="auto" w:fill="FFFFFF"/>
        </w:rPr>
        <w:t xml:space="preserve">ulbecco's, Gibco, Thermo Fisher Scientific, </w:t>
      </w:r>
      <w:r w:rsidR="009F4992">
        <w:rPr>
          <w:rFonts w:ascii="Times New Roman" w:eastAsia="Times New Roman" w:hAnsi="Times New Roman" w:cs="Times New Roman"/>
          <w:color w:val="1C1D1E"/>
          <w:shd w:val="clear" w:color="auto" w:fill="FFFFFF"/>
        </w:rPr>
        <w:t>MA</w:t>
      </w:r>
      <w:r w:rsidR="0056689D" w:rsidRPr="009F4992">
        <w:rPr>
          <w:rFonts w:ascii="Times New Roman" w:hAnsi="Times New Roman" w:cs="Times New Roman"/>
        </w:rPr>
        <w:t>) in 15-mL Falcon tubes</w:t>
      </w:r>
      <w:r w:rsidR="005E3464" w:rsidRPr="009F4992">
        <w:rPr>
          <w:rFonts w:ascii="Times New Roman" w:hAnsi="Times New Roman" w:cs="Times New Roman"/>
        </w:rPr>
        <w:t xml:space="preserve"> (Thermo Fisher Scientific, MA)</w:t>
      </w:r>
      <w:r w:rsidR="0056689D" w:rsidRPr="009F4992">
        <w:rPr>
          <w:rFonts w:ascii="Times New Roman" w:hAnsi="Times New Roman" w:cs="Times New Roman"/>
        </w:rPr>
        <w:t xml:space="preserve">. 10 µL of each </w:t>
      </w:r>
      <w:r w:rsidR="0056689D">
        <w:rPr>
          <w:rFonts w:ascii="Times New Roman" w:hAnsi="Times New Roman" w:cs="Times New Roman"/>
        </w:rPr>
        <w:t xml:space="preserve">dilution </w:t>
      </w:r>
      <w:r w:rsidR="004C1BB0">
        <w:rPr>
          <w:rFonts w:ascii="Times New Roman" w:hAnsi="Times New Roman" w:cs="Times New Roman"/>
        </w:rPr>
        <w:t>of a 10-fold dilution series</w:t>
      </w:r>
      <w:r w:rsidR="00153A64">
        <w:rPr>
          <w:rFonts w:ascii="Times New Roman" w:hAnsi="Times New Roman" w:cs="Times New Roman"/>
        </w:rPr>
        <w:t xml:space="preserve"> </w:t>
      </w:r>
      <w:r w:rsidR="0056689D">
        <w:rPr>
          <w:rFonts w:ascii="Times New Roman" w:hAnsi="Times New Roman" w:cs="Times New Roman"/>
        </w:rPr>
        <w:t>was spotted on</w:t>
      </w:r>
      <w:r w:rsidR="004C1BB0">
        <w:rPr>
          <w:rFonts w:ascii="Times New Roman" w:hAnsi="Times New Roman" w:cs="Times New Roman"/>
        </w:rPr>
        <w:t>to</w:t>
      </w:r>
      <w:r w:rsidR="0056689D">
        <w:rPr>
          <w:rFonts w:ascii="Times New Roman" w:hAnsi="Times New Roman" w:cs="Times New Roman"/>
        </w:rPr>
        <w:t xml:space="preserve"> TSA. The </w:t>
      </w:r>
      <w:r w:rsidR="002923B4">
        <w:rPr>
          <w:rFonts w:ascii="Times New Roman" w:hAnsi="Times New Roman" w:cs="Times New Roman"/>
        </w:rPr>
        <w:t>plates</w:t>
      </w:r>
      <w:r w:rsidR="0056689D">
        <w:rPr>
          <w:rFonts w:ascii="Times New Roman" w:hAnsi="Times New Roman" w:cs="Times New Roman"/>
        </w:rPr>
        <w:t xml:space="preserve"> were incubated 37˚C</w:t>
      </w:r>
      <w:r w:rsidR="00DA0456">
        <w:rPr>
          <w:rFonts w:ascii="Times New Roman" w:hAnsi="Times New Roman" w:cs="Times New Roman"/>
        </w:rPr>
        <w:t>, 5% CO</w:t>
      </w:r>
      <w:r w:rsidR="00DA0456" w:rsidRPr="00E52198">
        <w:rPr>
          <w:rFonts w:ascii="Times New Roman" w:hAnsi="Times New Roman" w:cs="Times New Roman"/>
          <w:vertAlign w:val="subscript"/>
        </w:rPr>
        <w:t>2</w:t>
      </w:r>
      <w:r w:rsidR="00DA0456">
        <w:rPr>
          <w:rFonts w:ascii="Times New Roman" w:hAnsi="Times New Roman" w:cs="Times New Roman"/>
        </w:rPr>
        <w:t xml:space="preserve"> </w:t>
      </w:r>
      <w:r w:rsidR="0056689D">
        <w:rPr>
          <w:rFonts w:ascii="Times New Roman" w:hAnsi="Times New Roman" w:cs="Times New Roman"/>
        </w:rPr>
        <w:t xml:space="preserve">for 24 hours, and colonies </w:t>
      </w:r>
      <w:r w:rsidR="0056689D">
        <w:rPr>
          <w:rFonts w:ascii="Times New Roman" w:hAnsi="Times New Roman" w:cs="Times New Roman"/>
        </w:rPr>
        <w:lastRenderedPageBreak/>
        <w:t xml:space="preserve">enumerated to determine CFU per area of </w:t>
      </w:r>
      <w:r w:rsidR="00F0322D">
        <w:rPr>
          <w:rFonts w:ascii="Times New Roman" w:hAnsi="Times New Roman" w:cs="Times New Roman"/>
        </w:rPr>
        <w:t xml:space="preserve">disc </w:t>
      </w:r>
      <w:r w:rsidR="00CA1228">
        <w:rPr>
          <w:rFonts w:ascii="Times New Roman" w:hAnsi="Times New Roman" w:cs="Times New Roman"/>
        </w:rPr>
        <w:t>(</w:t>
      </w:r>
      <w:r w:rsidR="00DA0456">
        <w:rPr>
          <w:rFonts w:ascii="Times New Roman" w:hAnsi="Times New Roman" w:cs="Times New Roman"/>
        </w:rPr>
        <w:t>CFU/</w:t>
      </w:r>
      <w:r w:rsidR="0056689D">
        <w:rPr>
          <w:rFonts w:ascii="Times New Roman" w:hAnsi="Times New Roman" w:cs="Times New Roman"/>
        </w:rPr>
        <w:t>cm</w:t>
      </w:r>
      <w:r w:rsidR="0056689D">
        <w:rPr>
          <w:rFonts w:ascii="Times New Roman" w:hAnsi="Times New Roman" w:cs="Times New Roman"/>
          <w:vertAlign w:val="superscript"/>
        </w:rPr>
        <w:t>2</w:t>
      </w:r>
      <w:r w:rsidR="00CA1228">
        <w:rPr>
          <w:rFonts w:ascii="Times New Roman" w:hAnsi="Times New Roman" w:cs="Times New Roman"/>
        </w:rPr>
        <w:t>)</w:t>
      </w:r>
      <w:r w:rsidR="0056689D">
        <w:rPr>
          <w:rFonts w:ascii="Times New Roman" w:hAnsi="Times New Roman" w:cs="Times New Roman"/>
        </w:rPr>
        <w:t xml:space="preserve">. CFU counts </w:t>
      </w:r>
      <w:r w:rsidR="00D52BEF">
        <w:rPr>
          <w:rFonts w:ascii="Times New Roman" w:hAnsi="Times New Roman" w:cs="Times New Roman"/>
        </w:rPr>
        <w:t xml:space="preserve">after the incubation </w:t>
      </w:r>
      <w:r w:rsidR="0056689D">
        <w:rPr>
          <w:rFonts w:ascii="Times New Roman" w:hAnsi="Times New Roman" w:cs="Times New Roman"/>
        </w:rPr>
        <w:t xml:space="preserve">were </w:t>
      </w:r>
      <w:r w:rsidR="00D54330">
        <w:rPr>
          <w:rFonts w:ascii="Times New Roman" w:hAnsi="Times New Roman" w:cs="Times New Roman"/>
        </w:rPr>
        <w:t>done</w:t>
      </w:r>
      <w:r w:rsidR="0056689D">
        <w:rPr>
          <w:rFonts w:ascii="Times New Roman" w:hAnsi="Times New Roman" w:cs="Times New Roman"/>
        </w:rPr>
        <w:t xml:space="preserve"> </w:t>
      </w:r>
      <w:r w:rsidR="002923B4">
        <w:rPr>
          <w:rFonts w:ascii="Times New Roman" w:hAnsi="Times New Roman" w:cs="Times New Roman"/>
        </w:rPr>
        <w:t>by</w:t>
      </w:r>
      <w:r w:rsidR="004C1BB0">
        <w:rPr>
          <w:rFonts w:ascii="Times New Roman" w:hAnsi="Times New Roman" w:cs="Times New Roman"/>
        </w:rPr>
        <w:t xml:space="preserve"> first</w:t>
      </w:r>
      <w:r w:rsidR="002923B4">
        <w:rPr>
          <w:rFonts w:ascii="Times New Roman" w:hAnsi="Times New Roman" w:cs="Times New Roman"/>
        </w:rPr>
        <w:t xml:space="preserve"> extracting the embedded discs </w:t>
      </w:r>
      <w:r w:rsidR="004C1BB0">
        <w:rPr>
          <w:rFonts w:ascii="Times New Roman" w:hAnsi="Times New Roman" w:cs="Times New Roman"/>
        </w:rPr>
        <w:t xml:space="preserve">as </w:t>
      </w:r>
      <w:r w:rsidR="00D54330">
        <w:rPr>
          <w:rFonts w:ascii="Times New Roman" w:hAnsi="Times New Roman" w:cs="Times New Roman"/>
        </w:rPr>
        <w:t>an “agar plug</w:t>
      </w:r>
      <w:r w:rsidR="00153A64">
        <w:rPr>
          <w:rFonts w:ascii="Times New Roman" w:hAnsi="Times New Roman" w:cs="Times New Roman"/>
        </w:rPr>
        <w:t>,</w:t>
      </w:r>
      <w:r w:rsidR="00D54330">
        <w:rPr>
          <w:rFonts w:ascii="Times New Roman" w:hAnsi="Times New Roman" w:cs="Times New Roman"/>
        </w:rPr>
        <w:t xml:space="preserve">” </w:t>
      </w:r>
      <w:r w:rsidR="002923B4">
        <w:rPr>
          <w:rFonts w:ascii="Times New Roman" w:hAnsi="Times New Roman" w:cs="Times New Roman"/>
        </w:rPr>
        <w:t>in which a</w:t>
      </w:r>
      <w:r w:rsidR="0056689D">
        <w:rPr>
          <w:rFonts w:ascii="Times New Roman" w:hAnsi="Times New Roman" w:cs="Times New Roman"/>
        </w:rPr>
        <w:t xml:space="preserve"> 1.35 cm diameter circular glass</w:t>
      </w:r>
      <w:r w:rsidR="002923B4">
        <w:rPr>
          <w:rFonts w:ascii="Times New Roman" w:hAnsi="Times New Roman" w:cs="Times New Roman"/>
        </w:rPr>
        <w:t xml:space="preserve"> tube was</w:t>
      </w:r>
      <w:r w:rsidR="0056689D">
        <w:rPr>
          <w:rFonts w:ascii="Times New Roman" w:hAnsi="Times New Roman" w:cs="Times New Roman"/>
        </w:rPr>
        <w:t xml:space="preserve"> used to punch out </w:t>
      </w:r>
      <w:r w:rsidR="00B05645">
        <w:rPr>
          <w:rFonts w:ascii="Times New Roman" w:hAnsi="Times New Roman" w:cs="Times New Roman"/>
        </w:rPr>
        <w:t>the coupons.</w:t>
      </w:r>
      <w:r w:rsidR="00B05645" w:rsidDel="00B05645">
        <w:rPr>
          <w:rFonts w:ascii="Times New Roman" w:hAnsi="Times New Roman" w:cs="Times New Roman"/>
        </w:rPr>
        <w:t xml:space="preserve"> </w:t>
      </w:r>
    </w:p>
    <w:p w14:paraId="2304265A" w14:textId="77777777" w:rsidR="0056689D" w:rsidRDefault="0056689D" w:rsidP="0056689D">
      <w:pPr>
        <w:spacing w:line="480" w:lineRule="auto"/>
        <w:rPr>
          <w:rFonts w:ascii="Times New Roman" w:hAnsi="Times New Roman" w:cs="Times New Roman"/>
          <w:i/>
          <w:iCs/>
        </w:rPr>
      </w:pPr>
    </w:p>
    <w:p w14:paraId="71401B51" w14:textId="77777777" w:rsidR="0056689D" w:rsidRDefault="0056689D" w:rsidP="0056689D">
      <w:pPr>
        <w:spacing w:line="480" w:lineRule="auto"/>
        <w:rPr>
          <w:rFonts w:ascii="Times New Roman" w:hAnsi="Times New Roman" w:cs="Times New Roman"/>
          <w:i/>
          <w:iCs/>
        </w:rPr>
      </w:pPr>
      <w:r>
        <w:rPr>
          <w:rFonts w:ascii="Times New Roman" w:hAnsi="Times New Roman" w:cs="Times New Roman"/>
          <w:i/>
          <w:iCs/>
        </w:rPr>
        <w:t>Statistical Analysis</w:t>
      </w:r>
    </w:p>
    <w:p w14:paraId="4364DD59" w14:textId="77777777" w:rsidR="0056689D" w:rsidRPr="00CF0B15" w:rsidRDefault="0056689D" w:rsidP="00E52198">
      <w:pPr>
        <w:spacing w:line="480" w:lineRule="auto"/>
        <w:ind w:firstLine="720"/>
        <w:rPr>
          <w:rFonts w:ascii="Times New Roman" w:hAnsi="Times New Roman" w:cs="Times New Roman"/>
        </w:rPr>
      </w:pPr>
      <w:r>
        <w:rPr>
          <w:rFonts w:ascii="Times New Roman" w:hAnsi="Times New Roman" w:cs="Times New Roman"/>
        </w:rPr>
        <w:t xml:space="preserve">All experiments were performed in triplicate. </w:t>
      </w:r>
      <w:r w:rsidR="00CA1228">
        <w:rPr>
          <w:rFonts w:ascii="Times New Roman" w:hAnsi="Times New Roman" w:cs="Times New Roman"/>
        </w:rPr>
        <w:t>The effect of the different conditions on the log reduction of biofilm at different proximities from the spacer was compared by first performing a log</w:t>
      </w:r>
      <w:r w:rsidR="00CA1228" w:rsidRPr="00F82D10">
        <w:rPr>
          <w:rFonts w:ascii="Times New Roman" w:hAnsi="Times New Roman" w:cs="Times New Roman"/>
          <w:vertAlign w:val="subscript"/>
        </w:rPr>
        <w:t>10</w:t>
      </w:r>
      <w:r w:rsidR="00CA1228">
        <w:rPr>
          <w:rFonts w:ascii="Times New Roman" w:hAnsi="Times New Roman" w:cs="Times New Roman"/>
        </w:rPr>
        <w:t xml:space="preserve"> transformation</w:t>
      </w:r>
      <w:r w:rsidR="00B05645">
        <w:rPr>
          <w:rFonts w:ascii="Times New Roman" w:hAnsi="Times New Roman" w:cs="Times New Roman"/>
        </w:rPr>
        <w:t xml:space="preserve"> and the</w:t>
      </w:r>
      <w:r w:rsidR="00CA1228">
        <w:rPr>
          <w:rFonts w:ascii="Times New Roman" w:hAnsi="Times New Roman" w:cs="Times New Roman"/>
        </w:rPr>
        <w:t xml:space="preserve"> </w:t>
      </w:r>
      <w:r w:rsidR="00B05645">
        <w:rPr>
          <w:rFonts w:ascii="Times New Roman" w:hAnsi="Times New Roman" w:cs="Times New Roman"/>
        </w:rPr>
        <w:t>geometric</w:t>
      </w:r>
      <w:r w:rsidR="00CA1228">
        <w:rPr>
          <w:rFonts w:ascii="Times New Roman" w:hAnsi="Times New Roman" w:cs="Times New Roman"/>
        </w:rPr>
        <w:t xml:space="preserve"> mean</w:t>
      </w:r>
      <w:r w:rsidR="00B05645">
        <w:rPr>
          <w:rFonts w:ascii="Times New Roman" w:hAnsi="Times New Roman" w:cs="Times New Roman"/>
        </w:rPr>
        <w:t>s used to calculate log reductions.</w:t>
      </w:r>
      <w:r w:rsidR="00CA1228">
        <w:rPr>
          <w:rFonts w:ascii="Times New Roman" w:hAnsi="Times New Roman" w:cs="Times New Roman"/>
        </w:rPr>
        <w:t xml:space="preserve"> </w:t>
      </w:r>
      <w:r w:rsidR="00AA5407">
        <w:rPr>
          <w:rFonts w:ascii="Times New Roman" w:hAnsi="Times New Roman" w:cs="Times New Roman"/>
        </w:rPr>
        <w:t>Our</w:t>
      </w:r>
      <w:r w:rsidR="00CA1228">
        <w:rPr>
          <w:rFonts w:ascii="Times New Roman" w:hAnsi="Times New Roman" w:cs="Times New Roman"/>
        </w:rPr>
        <w:t xml:space="preserve"> CFU detection limit was 3.5 log</w:t>
      </w:r>
      <w:r w:rsidR="00CA1228">
        <w:rPr>
          <w:rFonts w:ascii="Times New Roman" w:hAnsi="Times New Roman" w:cs="Times New Roman"/>
          <w:vertAlign w:val="subscript"/>
        </w:rPr>
        <w:t>10</w:t>
      </w:r>
      <w:r w:rsidR="00B05645">
        <w:rPr>
          <w:rFonts w:ascii="Times New Roman" w:hAnsi="Times New Roman" w:cs="Times New Roman"/>
          <w:vertAlign w:val="subscript"/>
        </w:rPr>
        <w:t xml:space="preserve"> </w:t>
      </w:r>
      <w:r w:rsidR="00CA1228">
        <w:rPr>
          <w:rFonts w:ascii="Times New Roman" w:hAnsi="Times New Roman" w:cs="Times New Roman"/>
        </w:rPr>
        <w:t>CFU/cm</w:t>
      </w:r>
      <w:r w:rsidR="00CA1228">
        <w:rPr>
          <w:rFonts w:ascii="Times New Roman" w:hAnsi="Times New Roman" w:cs="Times New Roman"/>
          <w:vertAlign w:val="superscript"/>
        </w:rPr>
        <w:t>2</w:t>
      </w:r>
      <w:r w:rsidR="00CA1228">
        <w:rPr>
          <w:rFonts w:ascii="Times New Roman" w:hAnsi="Times New Roman" w:cs="Times New Roman"/>
        </w:rPr>
        <w:t xml:space="preserve">. </w:t>
      </w:r>
      <w:r w:rsidR="00F0322D">
        <w:rPr>
          <w:rFonts w:ascii="Times New Roman" w:hAnsi="Times New Roman" w:cs="Times New Roman"/>
        </w:rPr>
        <w:t xml:space="preserve">Discs </w:t>
      </w:r>
      <w:r w:rsidR="00CA1228">
        <w:rPr>
          <w:rFonts w:ascii="Times New Roman" w:hAnsi="Times New Roman" w:cs="Times New Roman"/>
        </w:rPr>
        <w:t xml:space="preserve">that displayed no CFU growth are shown as equal </w:t>
      </w:r>
      <w:r w:rsidR="00AA5407">
        <w:rPr>
          <w:rFonts w:ascii="Times New Roman" w:hAnsi="Times New Roman" w:cs="Times New Roman"/>
        </w:rPr>
        <w:t xml:space="preserve">or less than </w:t>
      </w:r>
      <w:r w:rsidR="00CA1228">
        <w:rPr>
          <w:rFonts w:ascii="Times New Roman" w:hAnsi="Times New Roman" w:cs="Times New Roman"/>
        </w:rPr>
        <w:t>to this limit. The log reduction of the LS and LS+</w:t>
      </w:r>
      <w:r w:rsidR="0012372D">
        <w:rPr>
          <w:rFonts w:ascii="Times New Roman" w:hAnsi="Times New Roman" w:cs="Times New Roman"/>
        </w:rPr>
        <w:t xml:space="preserve">ALCS-B </w:t>
      </w:r>
      <w:r>
        <w:rPr>
          <w:rFonts w:ascii="Times New Roman" w:hAnsi="Times New Roman" w:cs="Times New Roman"/>
        </w:rPr>
        <w:t xml:space="preserve">antibiotic conditions were compared by student’s t-test assuming </w:t>
      </w:r>
      <w:r w:rsidR="00CA1228">
        <w:rPr>
          <w:rFonts w:ascii="Times New Roman" w:hAnsi="Times New Roman" w:cs="Times New Roman"/>
        </w:rPr>
        <w:t>un</w:t>
      </w:r>
      <w:r>
        <w:rPr>
          <w:rFonts w:ascii="Times New Roman" w:hAnsi="Times New Roman" w:cs="Times New Roman"/>
        </w:rPr>
        <w:t xml:space="preserve">equal variances, where p&lt;0.05 was </w:t>
      </w:r>
      <w:r w:rsidR="00B05645">
        <w:rPr>
          <w:rFonts w:ascii="Times New Roman" w:hAnsi="Times New Roman" w:cs="Times New Roman"/>
        </w:rPr>
        <w:t xml:space="preserve">considered </w:t>
      </w:r>
      <w:r w:rsidR="00CA1228">
        <w:rPr>
          <w:rFonts w:ascii="Times New Roman" w:hAnsi="Times New Roman" w:cs="Times New Roman"/>
        </w:rPr>
        <w:t xml:space="preserve">statistically </w:t>
      </w:r>
      <w:r>
        <w:rPr>
          <w:rFonts w:ascii="Times New Roman" w:hAnsi="Times New Roman" w:cs="Times New Roman"/>
        </w:rPr>
        <w:t>significant.</w:t>
      </w:r>
    </w:p>
    <w:p w14:paraId="0F8C80F8" w14:textId="77777777" w:rsidR="0097720F" w:rsidRDefault="0097720F" w:rsidP="0056689D">
      <w:pPr>
        <w:spacing w:line="480" w:lineRule="auto"/>
        <w:rPr>
          <w:rStyle w:val="LineNumber"/>
        </w:rPr>
      </w:pPr>
    </w:p>
    <w:p w14:paraId="1C3C5135" w14:textId="77777777" w:rsidR="00CA1228" w:rsidRDefault="00CA1228" w:rsidP="0056689D">
      <w:pPr>
        <w:spacing w:line="480" w:lineRule="auto"/>
        <w:rPr>
          <w:rStyle w:val="LineNumber"/>
          <w:b/>
          <w:bCs/>
        </w:rPr>
      </w:pPr>
      <w:r>
        <w:rPr>
          <w:rStyle w:val="LineNumber"/>
          <w:b/>
          <w:bCs/>
        </w:rPr>
        <w:t>Results</w:t>
      </w:r>
    </w:p>
    <w:p w14:paraId="5104310D" w14:textId="77777777" w:rsidR="006318F4" w:rsidRPr="006E5CF4" w:rsidRDefault="0016099B" w:rsidP="0056689D">
      <w:pPr>
        <w:spacing w:line="480" w:lineRule="auto"/>
        <w:rPr>
          <w:rStyle w:val="LineNumber"/>
          <w:i/>
          <w:iCs/>
        </w:rPr>
      </w:pPr>
      <w:r>
        <w:rPr>
          <w:rStyle w:val="LineNumber"/>
          <w:i/>
          <w:iCs/>
        </w:rPr>
        <w:t>Prevention</w:t>
      </w:r>
      <w:r w:rsidR="006318F4">
        <w:rPr>
          <w:rStyle w:val="LineNumber"/>
          <w:i/>
          <w:iCs/>
        </w:rPr>
        <w:t xml:space="preserve"> of biofilm spread by </w:t>
      </w:r>
      <w:r w:rsidR="00B00769">
        <w:rPr>
          <w:rStyle w:val="LineNumber"/>
          <w:i/>
          <w:iCs/>
        </w:rPr>
        <w:t>LS</w:t>
      </w:r>
      <w:r w:rsidR="006318F4">
        <w:rPr>
          <w:rStyle w:val="LineNumber"/>
          <w:i/>
          <w:iCs/>
        </w:rPr>
        <w:t xml:space="preserve"> and </w:t>
      </w:r>
      <w:r w:rsidR="006318F4" w:rsidRPr="006E5CF4">
        <w:rPr>
          <w:rStyle w:val="LineNumber"/>
          <w:i/>
          <w:iCs/>
        </w:rPr>
        <w:t>ALCS-B</w:t>
      </w:r>
    </w:p>
    <w:p w14:paraId="28DA8E8D" w14:textId="77777777" w:rsidR="00F211A0" w:rsidRDefault="006318F4" w:rsidP="00F211A0">
      <w:pPr>
        <w:spacing w:line="480" w:lineRule="auto"/>
        <w:ind w:firstLine="720"/>
        <w:rPr>
          <w:rStyle w:val="LineNumber"/>
        </w:rPr>
      </w:pPr>
      <w:r>
        <w:rPr>
          <w:rStyle w:val="LineNumber"/>
        </w:rPr>
        <w:t xml:space="preserve">The bioluminescence of </w:t>
      </w:r>
      <w:r w:rsidR="00E43C40">
        <w:rPr>
          <w:rStyle w:val="LineNumber"/>
          <w:i/>
          <w:iCs/>
        </w:rPr>
        <w:t xml:space="preserve">P. aeruginosa </w:t>
      </w:r>
      <w:r w:rsidR="00E43C40">
        <w:rPr>
          <w:rStyle w:val="LineNumber"/>
        </w:rPr>
        <w:t xml:space="preserve">Xen41 </w:t>
      </w:r>
      <w:r>
        <w:rPr>
          <w:rStyle w:val="LineNumber"/>
        </w:rPr>
        <w:t xml:space="preserve">allowed </w:t>
      </w:r>
      <w:r w:rsidR="00F0322D">
        <w:rPr>
          <w:rStyle w:val="LineNumber"/>
        </w:rPr>
        <w:t xml:space="preserve">biofilm on the discs </w:t>
      </w:r>
      <w:r>
        <w:rPr>
          <w:rStyle w:val="LineNumber"/>
        </w:rPr>
        <w:t xml:space="preserve">and the spread of bacteria from these </w:t>
      </w:r>
      <w:r w:rsidR="00F0322D">
        <w:rPr>
          <w:rStyle w:val="LineNumber"/>
        </w:rPr>
        <w:t xml:space="preserve">discs </w:t>
      </w:r>
      <w:r>
        <w:rPr>
          <w:rStyle w:val="LineNumber"/>
        </w:rPr>
        <w:t>to be easily</w:t>
      </w:r>
      <w:r w:rsidR="00E43C40">
        <w:rPr>
          <w:rStyle w:val="LineNumber"/>
        </w:rPr>
        <w:t xml:space="preserve"> visualized </w:t>
      </w:r>
      <w:r>
        <w:rPr>
          <w:rStyle w:val="LineNumber"/>
        </w:rPr>
        <w:t xml:space="preserve">while </w:t>
      </w:r>
      <w:r w:rsidR="005E0F2E">
        <w:rPr>
          <w:rStyle w:val="LineNumber"/>
        </w:rPr>
        <w:t>remaining</w:t>
      </w:r>
      <w:r>
        <w:rPr>
          <w:rStyle w:val="LineNumber"/>
        </w:rPr>
        <w:t xml:space="preserve"> </w:t>
      </w:r>
      <w:r w:rsidR="00C92764" w:rsidRPr="00E52198">
        <w:rPr>
          <w:rStyle w:val="LineNumber"/>
          <w:i/>
        </w:rPr>
        <w:t>in</w:t>
      </w:r>
      <w:r w:rsidR="00346EC9" w:rsidRPr="00E52198">
        <w:rPr>
          <w:rStyle w:val="LineNumber"/>
          <w:i/>
        </w:rPr>
        <w:t xml:space="preserve"> situ</w:t>
      </w:r>
      <w:r w:rsidR="00346EC9">
        <w:rPr>
          <w:rStyle w:val="LineNumber"/>
        </w:rPr>
        <w:t xml:space="preserve"> </w:t>
      </w:r>
      <w:r w:rsidR="00AA5407">
        <w:rPr>
          <w:rStyle w:val="LineNumber"/>
        </w:rPr>
        <w:t xml:space="preserve">in </w:t>
      </w:r>
      <w:r>
        <w:rPr>
          <w:rStyle w:val="LineNumber"/>
        </w:rPr>
        <w:t xml:space="preserve">the large plate model </w:t>
      </w:r>
      <w:r w:rsidR="00E43C40">
        <w:rPr>
          <w:rStyle w:val="LineNumber"/>
        </w:rPr>
        <w:t xml:space="preserve">over </w:t>
      </w:r>
      <w:r w:rsidR="00AA5407">
        <w:rPr>
          <w:rStyle w:val="LineNumber"/>
        </w:rPr>
        <w:t>the</w:t>
      </w:r>
      <w:r>
        <w:rPr>
          <w:rStyle w:val="LineNumber"/>
        </w:rPr>
        <w:t xml:space="preserve"> 5</w:t>
      </w:r>
      <w:r w:rsidR="00E43C40">
        <w:rPr>
          <w:rStyle w:val="LineNumber"/>
        </w:rPr>
        <w:t xml:space="preserve"> days</w:t>
      </w:r>
      <w:r>
        <w:rPr>
          <w:rStyle w:val="LineNumber"/>
        </w:rPr>
        <w:t xml:space="preserve"> (Fig</w:t>
      </w:r>
      <w:r w:rsidR="005E0F2E">
        <w:rPr>
          <w:rStyle w:val="LineNumber"/>
        </w:rPr>
        <w:t>.</w:t>
      </w:r>
      <w:r>
        <w:rPr>
          <w:rStyle w:val="LineNumber"/>
        </w:rPr>
        <w:t xml:space="preserve"> 2A)</w:t>
      </w:r>
      <w:r w:rsidR="00E43C40">
        <w:rPr>
          <w:rStyle w:val="LineNumber"/>
        </w:rPr>
        <w:t>.</w:t>
      </w:r>
      <w:r>
        <w:rPr>
          <w:rStyle w:val="LineNumber"/>
        </w:rPr>
        <w:t xml:space="preserve"> </w:t>
      </w:r>
      <w:r w:rsidR="00E43C40">
        <w:rPr>
          <w:rStyle w:val="LineNumber"/>
        </w:rPr>
        <w:t xml:space="preserve"> </w:t>
      </w:r>
      <w:r>
        <w:rPr>
          <w:rStyle w:val="LineNumber"/>
        </w:rPr>
        <w:t>The unloaded spacer (US)</w:t>
      </w:r>
      <w:r w:rsidR="00153A64">
        <w:rPr>
          <w:rStyle w:val="LineNumber"/>
        </w:rPr>
        <w:t xml:space="preserve"> condition</w:t>
      </w:r>
      <w:r>
        <w:rPr>
          <w:rStyle w:val="LineNumber"/>
        </w:rPr>
        <w:t xml:space="preserve"> of the large plate, contain</w:t>
      </w:r>
      <w:r w:rsidR="00431FF5">
        <w:rPr>
          <w:rStyle w:val="LineNumber"/>
        </w:rPr>
        <w:t>ing</w:t>
      </w:r>
      <w:r>
        <w:rPr>
          <w:rStyle w:val="LineNumber"/>
        </w:rPr>
        <w:t xml:space="preserve"> no antibiotic</w:t>
      </w:r>
      <w:r w:rsidR="00153A64">
        <w:rPr>
          <w:rStyle w:val="LineNumber"/>
        </w:rPr>
        <w:t>,</w:t>
      </w:r>
      <w:r>
        <w:rPr>
          <w:rStyle w:val="LineNumber"/>
        </w:rPr>
        <w:t xml:space="preserve"> showed </w:t>
      </w:r>
      <w:r w:rsidR="00F211A0">
        <w:rPr>
          <w:rStyle w:val="LineNumber"/>
        </w:rPr>
        <w:t>substantial</w:t>
      </w:r>
      <w:r>
        <w:rPr>
          <w:rStyle w:val="LineNumber"/>
        </w:rPr>
        <w:t xml:space="preserve"> </w:t>
      </w:r>
      <w:r w:rsidR="00431FF5">
        <w:rPr>
          <w:rStyle w:val="LineNumber"/>
        </w:rPr>
        <w:t xml:space="preserve">bacterial </w:t>
      </w:r>
      <w:r>
        <w:rPr>
          <w:rStyle w:val="LineNumber"/>
        </w:rPr>
        <w:t xml:space="preserve">spread from </w:t>
      </w:r>
      <w:r w:rsidR="00431FF5">
        <w:rPr>
          <w:rStyle w:val="LineNumber"/>
        </w:rPr>
        <w:t xml:space="preserve">the </w:t>
      </w:r>
      <w:r w:rsidR="00F0322D">
        <w:rPr>
          <w:rStyle w:val="LineNumber"/>
        </w:rPr>
        <w:t>discs</w:t>
      </w:r>
      <w:r w:rsidR="00CE31F9">
        <w:rPr>
          <w:rStyle w:val="LineNumber"/>
        </w:rPr>
        <w:t xml:space="preserve"> and</w:t>
      </w:r>
      <w:r w:rsidR="00F211A0">
        <w:rPr>
          <w:rStyle w:val="LineNumber"/>
        </w:rPr>
        <w:t xml:space="preserve"> </w:t>
      </w:r>
      <w:r w:rsidR="00153A64">
        <w:rPr>
          <w:rStyle w:val="LineNumber"/>
        </w:rPr>
        <w:t xml:space="preserve">was </w:t>
      </w:r>
      <w:r w:rsidR="00F211A0">
        <w:rPr>
          <w:rStyle w:val="LineNumber"/>
        </w:rPr>
        <w:t xml:space="preserve">confirmed by white light imaging, showing </w:t>
      </w:r>
      <w:r w:rsidR="00F211A0">
        <w:rPr>
          <w:rStyle w:val="LineNumber"/>
          <w:i/>
          <w:iCs/>
        </w:rPr>
        <w:t xml:space="preserve">P. aeruginosa </w:t>
      </w:r>
      <w:r w:rsidR="00F211A0">
        <w:rPr>
          <w:rStyle w:val="LineNumber"/>
        </w:rPr>
        <w:t xml:space="preserve">coverage throughout the large plate (Fig. 2B). </w:t>
      </w:r>
    </w:p>
    <w:p w14:paraId="5CD7A102" w14:textId="3AC82CAF" w:rsidR="002F7A30" w:rsidRDefault="003F4957" w:rsidP="002D7F83">
      <w:pPr>
        <w:spacing w:line="480" w:lineRule="auto"/>
        <w:ind w:firstLine="720"/>
        <w:rPr>
          <w:rStyle w:val="LineNumber"/>
        </w:rPr>
      </w:pPr>
      <w:r>
        <w:rPr>
          <w:rStyle w:val="LineNumber"/>
        </w:rPr>
        <w:t>T</w:t>
      </w:r>
      <w:r w:rsidR="00FE2340">
        <w:rPr>
          <w:rStyle w:val="LineNumber"/>
        </w:rPr>
        <w:t>he</w:t>
      </w:r>
      <w:r w:rsidR="006942BC">
        <w:rPr>
          <w:rStyle w:val="LineNumber"/>
        </w:rPr>
        <w:t xml:space="preserve"> </w:t>
      </w:r>
      <w:r w:rsidR="00F211A0">
        <w:rPr>
          <w:rStyle w:val="LineNumber"/>
        </w:rPr>
        <w:t>antibiotic loaded spacer (LS)</w:t>
      </w:r>
      <w:r w:rsidR="006942BC">
        <w:rPr>
          <w:rStyle w:val="LineNumber"/>
        </w:rPr>
        <w:t xml:space="preserve"> </w:t>
      </w:r>
      <w:r>
        <w:rPr>
          <w:rStyle w:val="LineNumber"/>
        </w:rPr>
        <w:t xml:space="preserve">alone </w:t>
      </w:r>
      <w:r w:rsidR="00F211A0">
        <w:rPr>
          <w:rStyle w:val="LineNumber"/>
        </w:rPr>
        <w:t xml:space="preserve">exhibited </w:t>
      </w:r>
      <w:r w:rsidR="0035031D">
        <w:rPr>
          <w:rStyle w:val="LineNumber"/>
        </w:rPr>
        <w:t xml:space="preserve">anti-bacterial </w:t>
      </w:r>
      <w:r w:rsidR="00F211A0">
        <w:rPr>
          <w:rStyle w:val="LineNumber"/>
        </w:rPr>
        <w:t xml:space="preserve">activity </w:t>
      </w:r>
      <w:r w:rsidR="006942BC">
        <w:rPr>
          <w:rStyle w:val="LineNumber"/>
        </w:rPr>
        <w:t>generating a</w:t>
      </w:r>
      <w:r w:rsidR="00F211A0">
        <w:rPr>
          <w:rStyle w:val="LineNumber"/>
        </w:rPr>
        <w:t xml:space="preserve"> zone of</w:t>
      </w:r>
      <w:r w:rsidR="006942BC">
        <w:rPr>
          <w:rStyle w:val="LineNumber"/>
        </w:rPr>
        <w:t xml:space="preserve"> </w:t>
      </w:r>
      <w:r w:rsidR="00F211A0">
        <w:rPr>
          <w:rStyle w:val="LineNumber"/>
        </w:rPr>
        <w:t xml:space="preserve">inhibition (ZOI) of </w:t>
      </w:r>
      <w:r w:rsidR="00431FF5">
        <w:rPr>
          <w:rStyle w:val="LineNumber"/>
        </w:rPr>
        <w:t>approximately</w:t>
      </w:r>
      <w:r w:rsidR="00F211A0">
        <w:rPr>
          <w:rStyle w:val="LineNumber"/>
        </w:rPr>
        <w:t xml:space="preserve"> 2.4</w:t>
      </w:r>
      <w:r w:rsidR="00C92764">
        <w:rPr>
          <w:rStyle w:val="LineNumber"/>
        </w:rPr>
        <w:t>-</w:t>
      </w:r>
      <w:r w:rsidR="00F211A0">
        <w:rPr>
          <w:rStyle w:val="LineNumber"/>
        </w:rPr>
        <w:t xml:space="preserve">3.0 cm from the </w:t>
      </w:r>
      <w:r w:rsidR="0035031D">
        <w:rPr>
          <w:rStyle w:val="LineNumber"/>
        </w:rPr>
        <w:t>edge of the</w:t>
      </w:r>
      <w:r w:rsidR="00F211A0">
        <w:rPr>
          <w:rStyle w:val="LineNumber"/>
        </w:rPr>
        <w:t xml:space="preserve"> spacer</w:t>
      </w:r>
      <w:r w:rsidR="0035031D">
        <w:rPr>
          <w:rStyle w:val="LineNumber"/>
        </w:rPr>
        <w:t xml:space="preserve"> (Fig.</w:t>
      </w:r>
      <w:r w:rsidR="00153A64">
        <w:rPr>
          <w:rStyle w:val="LineNumber"/>
        </w:rPr>
        <w:t xml:space="preserve"> </w:t>
      </w:r>
      <w:r w:rsidR="0035031D">
        <w:rPr>
          <w:rStyle w:val="LineNumber"/>
        </w:rPr>
        <w:t>2A)</w:t>
      </w:r>
      <w:r w:rsidR="00F211A0">
        <w:rPr>
          <w:rStyle w:val="LineNumber"/>
        </w:rPr>
        <w:t xml:space="preserve">. </w:t>
      </w:r>
      <w:r w:rsidR="0035031D">
        <w:rPr>
          <w:rStyle w:val="LineNumber"/>
        </w:rPr>
        <w:t>After 3</w:t>
      </w:r>
    </w:p>
    <w:p w14:paraId="5748AD9B" w14:textId="5D6EB35E" w:rsidR="002F7A30" w:rsidRDefault="002F7A30" w:rsidP="002F7A30">
      <w:pPr>
        <w:rPr>
          <w:rFonts w:ascii="Times New Roman" w:hAnsi="Times New Roman"/>
        </w:rPr>
      </w:pPr>
      <w:r>
        <w:rPr>
          <w:rFonts w:ascii="Times New Roman" w:hAnsi="Times New Roman"/>
          <w:noProof/>
        </w:rPr>
        <w:lastRenderedPageBreak/>
        <w:drawing>
          <wp:inline distT="0" distB="0" distL="0" distR="0" wp14:anchorId="348395B3" wp14:editId="3712B30B">
            <wp:extent cx="5943600" cy="6868160"/>
            <wp:effectExtent l="0" t="0" r="0" b="254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868160"/>
                    </a:xfrm>
                    <a:prstGeom prst="rect">
                      <a:avLst/>
                    </a:prstGeom>
                  </pic:spPr>
                </pic:pic>
              </a:graphicData>
            </a:graphic>
          </wp:inline>
        </w:drawing>
      </w:r>
    </w:p>
    <w:p w14:paraId="1A38F205" w14:textId="33C30E86" w:rsidR="002F7A30" w:rsidRPr="00F34C37" w:rsidRDefault="002F7A30" w:rsidP="002F7A30">
      <w:pPr>
        <w:jc w:val="center"/>
        <w:rPr>
          <w:rFonts w:ascii="Times New Roman" w:hAnsi="Times New Roman" w:cs="Times New Roman"/>
        </w:rPr>
      </w:pPr>
      <w:r w:rsidRPr="00F34C37">
        <w:rPr>
          <w:rFonts w:ascii="Times New Roman" w:hAnsi="Times New Roman" w:cs="Times New Roman"/>
        </w:rPr>
        <w:t xml:space="preserve">Figure 2A-B. IVIS (A) and white light (B) images tracking the suppression of </w:t>
      </w:r>
      <w:r w:rsidRPr="00F34C37">
        <w:rPr>
          <w:rFonts w:ascii="Times New Roman" w:hAnsi="Times New Roman" w:cs="Times New Roman"/>
          <w:i/>
          <w:iCs/>
        </w:rPr>
        <w:t xml:space="preserve">P. aeruginosa </w:t>
      </w:r>
      <w:r w:rsidRPr="00F34C37">
        <w:rPr>
          <w:rFonts w:ascii="Times New Roman" w:hAnsi="Times New Roman" w:cs="Times New Roman"/>
        </w:rPr>
        <w:t xml:space="preserve">Xen41 biofilm spread from biofilm colonized discs of four different </w:t>
      </w:r>
      <w:r w:rsidR="00E76E4A" w:rsidRPr="00F34C37">
        <w:rPr>
          <w:rFonts w:ascii="Times New Roman" w:hAnsi="Times New Roman" w:cs="Times New Roman"/>
        </w:rPr>
        <w:t>orthopedic</w:t>
      </w:r>
      <w:r w:rsidRPr="00F34C37">
        <w:rPr>
          <w:rFonts w:ascii="Times New Roman" w:hAnsi="Times New Roman" w:cs="Times New Roman"/>
        </w:rPr>
        <w:t xml:space="preserve"> materials for three different antibiotic conditions. Plates were imaged every 24 hours for 5 days.</w:t>
      </w:r>
      <w:r w:rsidR="00E76E4A">
        <w:rPr>
          <w:rFonts w:ascii="Times New Roman" w:hAnsi="Times New Roman" w:cs="Times New Roman"/>
        </w:rPr>
        <w:t xml:space="preserve"> At the periphery of </w:t>
      </w:r>
      <w:r w:rsidR="004A126E">
        <w:rPr>
          <w:rFonts w:ascii="Times New Roman" w:hAnsi="Times New Roman" w:cs="Times New Roman"/>
        </w:rPr>
        <w:t>all</w:t>
      </w:r>
      <w:r w:rsidR="00E76E4A">
        <w:rPr>
          <w:rFonts w:ascii="Times New Roman" w:hAnsi="Times New Roman" w:cs="Times New Roman"/>
        </w:rPr>
        <w:t xml:space="preserve"> plate</w:t>
      </w:r>
      <w:r w:rsidR="004A126E">
        <w:rPr>
          <w:rFonts w:ascii="Times New Roman" w:hAnsi="Times New Roman" w:cs="Times New Roman"/>
        </w:rPr>
        <w:t>s,</w:t>
      </w:r>
      <w:r w:rsidR="00E76E4A">
        <w:rPr>
          <w:rFonts w:ascii="Times New Roman" w:hAnsi="Times New Roman" w:cs="Times New Roman"/>
        </w:rPr>
        <w:t xml:space="preserve"> there is </w:t>
      </w:r>
      <w:r w:rsidR="004A126E">
        <w:rPr>
          <w:rFonts w:ascii="Times New Roman" w:hAnsi="Times New Roman" w:cs="Times New Roman"/>
        </w:rPr>
        <w:t>a</w:t>
      </w:r>
      <w:r w:rsidR="00E76E4A">
        <w:rPr>
          <w:rFonts w:ascii="Times New Roman" w:hAnsi="Times New Roman" w:cs="Times New Roman"/>
        </w:rPr>
        <w:t xml:space="preserve"> loss of bioluminescence over time, even in the non-antibiotic control. We believe that this is due to nutrient depletion and </w:t>
      </w:r>
      <w:r w:rsidR="004A126E">
        <w:rPr>
          <w:rFonts w:ascii="Times New Roman" w:hAnsi="Times New Roman" w:cs="Times New Roman"/>
        </w:rPr>
        <w:t xml:space="preserve">a </w:t>
      </w:r>
      <w:r w:rsidR="00E76E4A">
        <w:rPr>
          <w:rFonts w:ascii="Times New Roman" w:hAnsi="Times New Roman" w:cs="Times New Roman"/>
        </w:rPr>
        <w:t>loss of metabolic activity in this region.</w:t>
      </w:r>
    </w:p>
    <w:p w14:paraId="15A97413" w14:textId="77777777" w:rsidR="002F7A30" w:rsidRPr="00F34C37" w:rsidRDefault="002F7A30" w:rsidP="002F7A30">
      <w:pPr>
        <w:spacing w:line="480" w:lineRule="auto"/>
        <w:rPr>
          <w:rStyle w:val="LineNumber"/>
          <w:rFonts w:cs="Times New Roman"/>
        </w:rPr>
      </w:pPr>
    </w:p>
    <w:p w14:paraId="20D6B09B" w14:textId="3FDEF21E" w:rsidR="00F211A0" w:rsidRDefault="0035031D" w:rsidP="002F7A30">
      <w:pPr>
        <w:spacing w:line="480" w:lineRule="auto"/>
        <w:rPr>
          <w:rFonts w:ascii="Times New Roman" w:hAnsi="Times New Roman" w:cs="Times New Roman"/>
        </w:rPr>
      </w:pPr>
      <w:r>
        <w:rPr>
          <w:rStyle w:val="LineNumber"/>
        </w:rPr>
        <w:lastRenderedPageBreak/>
        <w:t>days</w:t>
      </w:r>
      <w:r w:rsidR="00B1151B">
        <w:rPr>
          <w:rStyle w:val="LineNumber"/>
        </w:rPr>
        <w:t xml:space="preserve"> a small number of</w:t>
      </w:r>
      <w:r>
        <w:rPr>
          <w:rStyle w:val="LineNumber"/>
        </w:rPr>
        <w:t xml:space="preserve"> colonies were observed growing </w:t>
      </w:r>
      <w:r w:rsidR="00B1151B">
        <w:rPr>
          <w:rStyle w:val="LineNumber"/>
        </w:rPr>
        <w:t xml:space="preserve">a few mm </w:t>
      </w:r>
      <w:r>
        <w:rPr>
          <w:rStyle w:val="LineNumber"/>
        </w:rPr>
        <w:t xml:space="preserve">within the </w:t>
      </w:r>
      <w:r w:rsidR="00B1151B">
        <w:rPr>
          <w:rStyle w:val="LineNumber"/>
        </w:rPr>
        <w:t xml:space="preserve">edge </w:t>
      </w:r>
      <w:r>
        <w:rPr>
          <w:rStyle w:val="LineNumber"/>
        </w:rPr>
        <w:t>ZOI</w:t>
      </w:r>
      <w:r w:rsidR="00F211A0">
        <w:rPr>
          <w:rStyle w:val="LineNumber"/>
        </w:rPr>
        <w:t xml:space="preserve"> (Fig. 2A). These</w:t>
      </w:r>
      <w:r>
        <w:rPr>
          <w:rStyle w:val="LineNumber"/>
        </w:rPr>
        <w:t xml:space="preserve"> </w:t>
      </w:r>
      <w:r w:rsidR="00B1151B">
        <w:rPr>
          <w:rStyle w:val="LineNumber"/>
        </w:rPr>
        <w:t xml:space="preserve">were possibly </w:t>
      </w:r>
      <w:r>
        <w:rPr>
          <w:rStyle w:val="LineNumber"/>
        </w:rPr>
        <w:t>antibiotic tolerant</w:t>
      </w:r>
      <w:r w:rsidR="00F211A0">
        <w:rPr>
          <w:rStyle w:val="LineNumber"/>
        </w:rPr>
        <w:t xml:space="preserve"> phenotypes </w:t>
      </w:r>
      <w:r w:rsidR="00B1151B">
        <w:rPr>
          <w:rStyle w:val="LineNumber"/>
        </w:rPr>
        <w:t>and have been</w:t>
      </w:r>
      <w:r w:rsidR="00F211A0">
        <w:rPr>
          <w:rStyle w:val="LineNumber"/>
        </w:rPr>
        <w:t xml:space="preserve"> observed </w:t>
      </w:r>
      <w:r w:rsidR="00F211A0">
        <w:rPr>
          <w:rFonts w:ascii="Times New Roman" w:hAnsi="Times New Roman" w:cs="Times New Roman"/>
        </w:rPr>
        <w:t>previously</w:t>
      </w:r>
      <w:r w:rsidR="00153A64">
        <w:rPr>
          <w:rFonts w:ascii="Times New Roman" w:hAnsi="Times New Roman" w:cs="Times New Roman"/>
        </w:rPr>
        <w:t xml:space="preserve"> [</w:t>
      </w:r>
      <w:r w:rsidR="009B699D" w:rsidRPr="00153A64">
        <w:rPr>
          <w:rFonts w:ascii="Times New Roman" w:hAnsi="Times New Roman" w:cs="Times New Roman"/>
        </w:rPr>
        <w:fldChar w:fldCharType="begin" w:fldLock="1"/>
      </w:r>
      <w:r w:rsidR="00D66EE1">
        <w:rPr>
          <w:rFonts w:ascii="Times New Roman" w:hAnsi="Times New Roman" w:cs="Times New Roman"/>
        </w:rPr>
        <w:instrText>ADDIN CSL_CITATION {"citationItems":[{"id":"ITEM-1","itemData":{"DOI":"10.3390/MA12244052","ISSN":"19961944","abstract":"© 2019 by the authors. Background: Pseudomonas aeruginosa (PA) and Staphylococcus aureus (SA) are the major causative agents of acute and chronic infections. Antibiotic-loaded calcium sulfate beads (ALCSB) are used in the management of musculoskeletal infections such as periprosthetic joint infections (PJI). Methods: To determine whether the number and spatial distribution of ALCSB are important factors to totally eradicate biofilms, ALCSBs containing vancomycin and tobramycin were placed on 24 h agar lawn biofilms as a single bead in the center, or as 16 beads placed as four clusters of four, a ring around the edge and as a group in the center or 19 beads evenly across the plate. Bioluminescence was used to assess spatial metabolic activity in real time. Replica plating was used to assess viability. Results: For both strains antibiotics released from the beads completely killed biofilm bacteria in a zone immediately adjacent to each bead. However, for PA extended incubation revealed the emergence of resistant colony phenotypes between the zone of eradication and the background lawn. The rate of biofilm clearing was greater when the beads were distributed evenly over the plate. Conclusions: Both number and distribution pattern of ALCSB are important to ensure adequate coverage of antibiotics required to eradicate biofilms.","author":[{"dropping-particle":"","family":"Dusane","given":"D.H.","non-dropping-particle":"","parse-names":false,"suffix":""},{"dropping-particle":"","family":"Brooks","given":"J.R.","non-dropping-particle":"","parse-names":false,"suffix":""},{"dropping-particle":"","family":"Sindeldecker","given":"D.","non-dropping-particle":"","parse-names":false,"suffix":""},{"dropping-particle":"","family":"Peters","given":"C.W.","non-dropping-particle":"","parse-names":false,"suffix":""},{"dropping-particle":"","family":"Li","given":"A.","non-dropping-particle":"","parse-names":false,"suffix":""},{"dropping-particle":"","family":"Farrar","given":"N.R.","non-dropping-particle":"","parse-names":false,"suffix":""},{"dropping-particle":"","family":"Diamond","given":"S.M.","non-dropping-particle":"","parse-names":false,"suffix":""},{"dropping-particle":"","family":"Knecht","given":"C.S.","non-dropping-particle":"","parse-names":false,"suffix":""},{"dropping-particle":"","family":"Plaut","given":"R.D.","non-dropping-particle":"","parse-names":false,"suffix":""},{"dropping-particle":"","family":"Delury","given":"C.","non-dropping-particle":"","parse-names":false,"suffix":""},{"dropping-particle":"","family":"Aiken","given":"S.S.","non-dropping-particle":"","parse-names":false,"suffix":""},{"dropping-particle":"","family":"Laycock","given":"P.A.","non-dropping-particle":"","parse-names":false,"suffix":""},{"dropping-particle":"","family":"Sullivan","given":"A.","non-dropping-particle":"","parse-names":false,"suffix":""},{"dropping-particle":"","family":"Granger","given":"J.F.","non-dropping-particle":"","parse-names":false,"suffix":""},{"dropping-particle":"","family":"Stoodley","given":"P.","non-dropping-particle":"","parse-names":false,"suffix":""}],"container-title":"Materials","id":"ITEM-1","issue":"24","issued":{"date-parts":[["2019"]]},"title":"Complete killing of agar lawn biofilms by systematic spacing of antibiotic-loaded calcium sulfate beads","type":"article-journal","volume":"12"},"uris":["http://www.mendeley.com/documents/?uuid=987bbac4-e903-3338-94eb-ecda7906e449"]}],"mendeley":{"formattedCitation":"&lt;sup&gt;13&lt;/sup&gt;","plainTextFormattedCitation":"13","previouslyFormattedCitation":"&lt;sup&gt;13&lt;/sup&gt;"},"properties":{"noteIndex":0},"schema":"https://github.com/citation-style-language/schema/raw/master/csl-citation.json"}</w:instrText>
      </w:r>
      <w:r w:rsidR="009B699D" w:rsidRPr="00153A64">
        <w:rPr>
          <w:rFonts w:ascii="Times New Roman" w:hAnsi="Times New Roman" w:cs="Times New Roman"/>
        </w:rPr>
        <w:fldChar w:fldCharType="separate"/>
      </w:r>
      <w:r w:rsidR="00D66EE1" w:rsidRPr="00D66EE1">
        <w:rPr>
          <w:rFonts w:ascii="Times New Roman" w:hAnsi="Times New Roman" w:cs="Times New Roman"/>
          <w:noProof/>
          <w:vertAlign w:val="superscript"/>
        </w:rPr>
        <w:t>13</w:t>
      </w:r>
      <w:r w:rsidR="009B699D" w:rsidRPr="00153A64">
        <w:rPr>
          <w:rFonts w:ascii="Times New Roman" w:hAnsi="Times New Roman" w:cs="Times New Roman"/>
        </w:rPr>
        <w:fldChar w:fldCharType="end"/>
      </w:r>
      <w:r w:rsidR="00153A64">
        <w:rPr>
          <w:rFonts w:ascii="Times New Roman" w:hAnsi="Times New Roman" w:cs="Times New Roman"/>
        </w:rPr>
        <w:t>]</w:t>
      </w:r>
      <w:r w:rsidR="009B699D">
        <w:rPr>
          <w:rFonts w:ascii="Times New Roman" w:hAnsi="Times New Roman" w:cs="Times New Roman"/>
        </w:rPr>
        <w:t>.</w:t>
      </w:r>
      <w:r w:rsidR="00417D09">
        <w:rPr>
          <w:rFonts w:ascii="Times New Roman" w:hAnsi="Times New Roman" w:cs="Times New Roman"/>
        </w:rPr>
        <w:t xml:space="preserve"> </w:t>
      </w:r>
    </w:p>
    <w:p w14:paraId="6741EA85" w14:textId="77777777" w:rsidR="002E703E" w:rsidRDefault="002E703E" w:rsidP="00F211A0">
      <w:pPr>
        <w:spacing w:line="480" w:lineRule="auto"/>
        <w:ind w:firstLine="720"/>
        <w:rPr>
          <w:rFonts w:ascii="Times New Roman" w:hAnsi="Times New Roman" w:cs="Times New Roman"/>
        </w:rPr>
      </w:pPr>
      <w:r>
        <w:rPr>
          <w:rFonts w:ascii="Times New Roman" w:hAnsi="Times New Roman" w:cs="Times New Roman"/>
        </w:rPr>
        <w:t>The LS+</w:t>
      </w:r>
      <w:r w:rsidR="00153A64">
        <w:rPr>
          <w:rFonts w:ascii="Times New Roman" w:hAnsi="Times New Roman" w:cs="Times New Roman"/>
        </w:rPr>
        <w:t>A</w:t>
      </w:r>
      <w:r>
        <w:rPr>
          <w:rFonts w:ascii="Times New Roman" w:hAnsi="Times New Roman" w:cs="Times New Roman"/>
        </w:rPr>
        <w:t>L</w:t>
      </w:r>
      <w:r w:rsidR="00153A64">
        <w:rPr>
          <w:rFonts w:ascii="Times New Roman" w:hAnsi="Times New Roman" w:cs="Times New Roman"/>
        </w:rPr>
        <w:t>CS-</w:t>
      </w:r>
      <w:r>
        <w:rPr>
          <w:rFonts w:ascii="Times New Roman" w:hAnsi="Times New Roman" w:cs="Times New Roman"/>
        </w:rPr>
        <w:t>B condition</w:t>
      </w:r>
      <w:r w:rsidR="0061694F">
        <w:rPr>
          <w:rFonts w:ascii="Times New Roman" w:hAnsi="Times New Roman" w:cs="Times New Roman"/>
        </w:rPr>
        <w:t>, which contained the addition of VAN+TOB ALCS-B,</w:t>
      </w:r>
      <w:r>
        <w:rPr>
          <w:rFonts w:ascii="Times New Roman" w:hAnsi="Times New Roman" w:cs="Times New Roman"/>
        </w:rPr>
        <w:t xml:space="preserve"> prevented </w:t>
      </w:r>
      <w:r w:rsidR="0061694F">
        <w:rPr>
          <w:rFonts w:ascii="Times New Roman" w:hAnsi="Times New Roman" w:cs="Times New Roman"/>
        </w:rPr>
        <w:t xml:space="preserve">the formation of </w:t>
      </w:r>
      <w:r>
        <w:rPr>
          <w:rFonts w:ascii="Times New Roman" w:hAnsi="Times New Roman" w:cs="Times New Roman"/>
        </w:rPr>
        <w:t xml:space="preserve">antibiotic tolerant </w:t>
      </w:r>
      <w:r w:rsidR="006E5CF4">
        <w:rPr>
          <w:rFonts w:ascii="Times New Roman" w:hAnsi="Times New Roman" w:cs="Times New Roman"/>
        </w:rPr>
        <w:t xml:space="preserve">phenotypes </w:t>
      </w:r>
      <w:r w:rsidR="0061694F">
        <w:rPr>
          <w:rFonts w:ascii="Times New Roman" w:hAnsi="Times New Roman" w:cs="Times New Roman"/>
        </w:rPr>
        <w:t xml:space="preserve">and suppressed the </w:t>
      </w:r>
      <w:r>
        <w:rPr>
          <w:rFonts w:ascii="Times New Roman" w:hAnsi="Times New Roman" w:cs="Times New Roman"/>
        </w:rPr>
        <w:t>spreading of PA-Xen4</w:t>
      </w:r>
      <w:r w:rsidR="009B699D">
        <w:rPr>
          <w:rFonts w:ascii="Times New Roman" w:hAnsi="Times New Roman" w:cs="Times New Roman"/>
        </w:rPr>
        <w:t>1</w:t>
      </w:r>
      <w:r>
        <w:rPr>
          <w:rFonts w:ascii="Times New Roman" w:hAnsi="Times New Roman" w:cs="Times New Roman"/>
        </w:rPr>
        <w:t xml:space="preserve"> to sparse a</w:t>
      </w:r>
      <w:r w:rsidR="00350ABC">
        <w:rPr>
          <w:rFonts w:ascii="Times New Roman" w:hAnsi="Times New Roman" w:cs="Times New Roman"/>
        </w:rPr>
        <w:t xml:space="preserve">reas near the </w:t>
      </w:r>
      <w:r w:rsidR="00CE31F9">
        <w:rPr>
          <w:rFonts w:ascii="Times New Roman" w:hAnsi="Times New Roman" w:cs="Times New Roman"/>
        </w:rPr>
        <w:t xml:space="preserve">peripheral </w:t>
      </w:r>
      <w:r w:rsidR="00350ABC">
        <w:rPr>
          <w:rFonts w:ascii="Times New Roman" w:hAnsi="Times New Roman" w:cs="Times New Roman"/>
        </w:rPr>
        <w:t>edge of the plate</w:t>
      </w:r>
      <w:r w:rsidR="009B699D">
        <w:rPr>
          <w:rFonts w:ascii="Times New Roman" w:hAnsi="Times New Roman" w:cs="Times New Roman"/>
        </w:rPr>
        <w:t>,</w:t>
      </w:r>
      <w:r w:rsidR="00350ABC">
        <w:rPr>
          <w:rFonts w:ascii="Times New Roman" w:hAnsi="Times New Roman" w:cs="Times New Roman"/>
        </w:rPr>
        <w:t xml:space="preserve"> where the </w:t>
      </w:r>
      <w:r w:rsidR="009B699D">
        <w:rPr>
          <w:rFonts w:ascii="Times New Roman" w:hAnsi="Times New Roman" w:cs="Times New Roman"/>
        </w:rPr>
        <w:t xml:space="preserve">bead </w:t>
      </w:r>
      <w:r w:rsidR="00350ABC">
        <w:rPr>
          <w:rFonts w:ascii="Times New Roman" w:hAnsi="Times New Roman" w:cs="Times New Roman"/>
        </w:rPr>
        <w:t>density was lowest</w:t>
      </w:r>
      <w:r w:rsidR="009B699D">
        <w:rPr>
          <w:rFonts w:ascii="Times New Roman" w:hAnsi="Times New Roman" w:cs="Times New Roman"/>
        </w:rPr>
        <w:t>,</w:t>
      </w:r>
      <w:r w:rsidR="00350ABC">
        <w:rPr>
          <w:rFonts w:ascii="Times New Roman" w:hAnsi="Times New Roman" w:cs="Times New Roman"/>
        </w:rPr>
        <w:t xml:space="preserve"> or </w:t>
      </w:r>
      <w:r w:rsidR="00CE31F9">
        <w:rPr>
          <w:rFonts w:ascii="Times New Roman" w:hAnsi="Times New Roman" w:cs="Times New Roman"/>
        </w:rPr>
        <w:t xml:space="preserve">in areas </w:t>
      </w:r>
      <w:r w:rsidR="006E5CF4">
        <w:rPr>
          <w:rFonts w:ascii="Times New Roman" w:hAnsi="Times New Roman" w:cs="Times New Roman"/>
        </w:rPr>
        <w:t>where beads were absent</w:t>
      </w:r>
      <w:r w:rsidR="00350ABC">
        <w:rPr>
          <w:rFonts w:ascii="Times New Roman" w:hAnsi="Times New Roman" w:cs="Times New Roman"/>
        </w:rPr>
        <w:t xml:space="preserve"> (Fig. </w:t>
      </w:r>
      <w:r w:rsidR="00E4337E">
        <w:rPr>
          <w:rFonts w:ascii="Times New Roman" w:hAnsi="Times New Roman" w:cs="Times New Roman"/>
        </w:rPr>
        <w:t>2)</w:t>
      </w:r>
      <w:r w:rsidR="006E5CF4">
        <w:rPr>
          <w:rFonts w:ascii="Times New Roman" w:hAnsi="Times New Roman" w:cs="Times New Roman"/>
        </w:rPr>
        <w:t xml:space="preserve">. </w:t>
      </w:r>
    </w:p>
    <w:p w14:paraId="66CEE3B4" w14:textId="77777777" w:rsidR="00B95E79" w:rsidRDefault="00B95E79" w:rsidP="00B95E79">
      <w:pPr>
        <w:spacing w:line="480" w:lineRule="auto"/>
        <w:rPr>
          <w:rFonts w:ascii="Times New Roman" w:hAnsi="Times New Roman" w:cs="Times New Roman"/>
        </w:rPr>
      </w:pPr>
    </w:p>
    <w:p w14:paraId="2A02661B" w14:textId="32F05921" w:rsidR="002F7A30" w:rsidRDefault="002F7A30" w:rsidP="002F7A30">
      <w:pPr>
        <w:jc w:val="center"/>
        <w:rPr>
          <w:rFonts w:ascii="Times New Roman" w:hAnsi="Times New Roman"/>
        </w:rPr>
      </w:pPr>
      <w:r>
        <w:rPr>
          <w:rFonts w:ascii="Times New Roman" w:hAnsi="Times New Roman"/>
          <w:noProof/>
        </w:rPr>
        <w:drawing>
          <wp:inline distT="0" distB="0" distL="0" distR="0" wp14:anchorId="636B7D9E" wp14:editId="2DBF0153">
            <wp:extent cx="5943600" cy="3185160"/>
            <wp:effectExtent l="0" t="0" r="0" b="254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14:paraId="3913DAFF" w14:textId="77777777" w:rsidR="002F7A30" w:rsidRPr="00F34C37" w:rsidRDefault="002F7A30" w:rsidP="002F7A30">
      <w:pPr>
        <w:jc w:val="center"/>
        <w:rPr>
          <w:rFonts w:ascii="Times New Roman" w:hAnsi="Times New Roman" w:cs="Times New Roman"/>
        </w:rPr>
      </w:pPr>
      <w:r w:rsidRPr="00F34C37">
        <w:rPr>
          <w:rFonts w:ascii="Times New Roman" w:hAnsi="Times New Roman" w:cs="Times New Roman"/>
        </w:rPr>
        <w:t>Figure</w:t>
      </w:r>
      <w:r w:rsidRPr="00F34C37">
        <w:rPr>
          <w:rFonts w:ascii="Times New Roman" w:hAnsi="Times New Roman" w:cs="Times New Roman"/>
          <w:b/>
          <w:bCs/>
        </w:rPr>
        <w:t xml:space="preserve"> </w:t>
      </w:r>
      <w:r w:rsidRPr="00F34C37">
        <w:rPr>
          <w:rFonts w:ascii="Times New Roman" w:hAnsi="Times New Roman" w:cs="Times New Roman"/>
        </w:rPr>
        <w:t>3.</w:t>
      </w:r>
      <w:r w:rsidRPr="00F34C37">
        <w:rPr>
          <w:rFonts w:ascii="Times New Roman" w:hAnsi="Times New Roman" w:cs="Times New Roman"/>
          <w:i/>
          <w:iCs/>
        </w:rPr>
        <w:t xml:space="preserve"> </w:t>
      </w:r>
      <w:r w:rsidRPr="00F34C37">
        <w:rPr>
          <w:rFonts w:ascii="Times New Roman" w:hAnsi="Times New Roman" w:cs="Times New Roman"/>
        </w:rPr>
        <w:t xml:space="preserve">Quantification of viable bacteria (by CFU) on discs containing </w:t>
      </w:r>
      <w:r w:rsidRPr="00F34C37">
        <w:rPr>
          <w:rFonts w:ascii="Times New Roman" w:hAnsi="Times New Roman" w:cs="Times New Roman"/>
          <w:i/>
          <w:iCs/>
        </w:rPr>
        <w:t xml:space="preserve">P. aeruginosa </w:t>
      </w:r>
      <w:r w:rsidRPr="00F34C37">
        <w:rPr>
          <w:rFonts w:ascii="Times New Roman" w:hAnsi="Times New Roman" w:cs="Times New Roman"/>
        </w:rPr>
        <w:t>Xen41 3-day biofilm. Counts are reported in terms of log</w:t>
      </w:r>
      <w:r w:rsidRPr="00F34C37">
        <w:rPr>
          <w:rFonts w:ascii="Times New Roman" w:hAnsi="Times New Roman" w:cs="Times New Roman"/>
          <w:vertAlign w:val="subscript"/>
        </w:rPr>
        <w:t>10</w:t>
      </w:r>
      <w:r w:rsidRPr="00F34C37">
        <w:rPr>
          <w:rFonts w:ascii="Times New Roman" w:hAnsi="Times New Roman" w:cs="Times New Roman"/>
        </w:rPr>
        <w:t>CFU per surface area of the disc (in cm</w:t>
      </w:r>
      <w:r w:rsidRPr="00F34C37">
        <w:rPr>
          <w:rFonts w:ascii="Times New Roman" w:hAnsi="Times New Roman" w:cs="Times New Roman"/>
          <w:vertAlign w:val="superscript"/>
        </w:rPr>
        <w:t>2</w:t>
      </w:r>
      <w:r w:rsidRPr="00F34C37">
        <w:rPr>
          <w:rFonts w:ascii="Times New Roman" w:hAnsi="Times New Roman" w:cs="Times New Roman"/>
        </w:rPr>
        <w:t>).</w:t>
      </w:r>
    </w:p>
    <w:p w14:paraId="49C54386" w14:textId="77777777" w:rsidR="002F7A30" w:rsidRPr="00F34C37" w:rsidRDefault="002F7A30" w:rsidP="00B95E79">
      <w:pPr>
        <w:spacing w:line="480" w:lineRule="auto"/>
        <w:rPr>
          <w:rFonts w:ascii="Times New Roman" w:hAnsi="Times New Roman" w:cs="Times New Roman"/>
        </w:rPr>
      </w:pPr>
    </w:p>
    <w:p w14:paraId="2FBC522F" w14:textId="5D110425" w:rsidR="00B95E79" w:rsidRDefault="00C22D16" w:rsidP="00B95E79">
      <w:pPr>
        <w:spacing w:line="480" w:lineRule="auto"/>
        <w:rPr>
          <w:rFonts w:ascii="Times New Roman" w:hAnsi="Times New Roman" w:cs="Times New Roman"/>
          <w:i/>
          <w:iCs/>
        </w:rPr>
      </w:pPr>
      <w:r>
        <w:rPr>
          <w:rFonts w:ascii="Times New Roman" w:hAnsi="Times New Roman" w:cs="Times New Roman"/>
          <w:i/>
          <w:iCs/>
        </w:rPr>
        <w:t xml:space="preserve">Region </w:t>
      </w:r>
      <w:r w:rsidR="00B95E79">
        <w:rPr>
          <w:rFonts w:ascii="Times New Roman" w:hAnsi="Times New Roman" w:cs="Times New Roman"/>
          <w:i/>
          <w:iCs/>
        </w:rPr>
        <w:t>of biofilm killing</w:t>
      </w:r>
      <w:r w:rsidR="00153496">
        <w:rPr>
          <w:rFonts w:ascii="Times New Roman" w:hAnsi="Times New Roman" w:cs="Times New Roman"/>
          <w:i/>
          <w:iCs/>
        </w:rPr>
        <w:t xml:space="preserve"> by viable cell counts</w:t>
      </w:r>
    </w:p>
    <w:p w14:paraId="62C1E937" w14:textId="70D8D4A2" w:rsidR="007F448F" w:rsidRDefault="00153496" w:rsidP="007F448F">
      <w:pPr>
        <w:spacing w:line="480" w:lineRule="auto"/>
        <w:rPr>
          <w:rStyle w:val="LineNumber"/>
        </w:rPr>
      </w:pPr>
      <w:r>
        <w:rPr>
          <w:rStyle w:val="LineNumber"/>
        </w:rPr>
        <w:t>After three days</w:t>
      </w:r>
      <w:r w:rsidR="00431FF5">
        <w:rPr>
          <w:rStyle w:val="LineNumber"/>
        </w:rPr>
        <w:t xml:space="preserve"> of inoculation</w:t>
      </w:r>
      <w:r>
        <w:rPr>
          <w:rStyle w:val="LineNumber"/>
        </w:rPr>
        <w:t xml:space="preserve">, </w:t>
      </w:r>
      <w:r w:rsidR="00417D09">
        <w:rPr>
          <w:rStyle w:val="LineNumber"/>
        </w:rPr>
        <w:t xml:space="preserve">the amount of </w:t>
      </w:r>
      <w:r>
        <w:rPr>
          <w:rStyle w:val="LineNumber"/>
        </w:rPr>
        <w:t>PA-Xen41 biofilm grow</w:t>
      </w:r>
      <w:r w:rsidR="00417D09">
        <w:rPr>
          <w:rStyle w:val="LineNumber"/>
        </w:rPr>
        <w:t>n</w:t>
      </w:r>
      <w:r>
        <w:rPr>
          <w:rStyle w:val="LineNumber"/>
        </w:rPr>
        <w:t xml:space="preserve"> on various </w:t>
      </w:r>
      <w:r w:rsidR="00F0322D">
        <w:rPr>
          <w:rStyle w:val="LineNumber"/>
        </w:rPr>
        <w:t xml:space="preserve">discs </w:t>
      </w:r>
      <w:r>
        <w:rPr>
          <w:rStyle w:val="LineNumber"/>
        </w:rPr>
        <w:t>w</w:t>
      </w:r>
      <w:r w:rsidR="00217DEF">
        <w:rPr>
          <w:rStyle w:val="LineNumber"/>
        </w:rPr>
        <w:t>as</w:t>
      </w:r>
      <w:r>
        <w:rPr>
          <w:rStyle w:val="LineNumber"/>
        </w:rPr>
        <w:t xml:space="preserve"> quantified by cell counting (CFU). This analysis was completed to confirm biofilm growth on </w:t>
      </w:r>
      <w:r w:rsidR="00F0322D">
        <w:rPr>
          <w:rStyle w:val="LineNumber"/>
        </w:rPr>
        <w:t xml:space="preserve">each type of disc </w:t>
      </w:r>
      <w:r>
        <w:rPr>
          <w:rStyle w:val="LineNumber"/>
        </w:rPr>
        <w:t xml:space="preserve">before implementation into the large plate model. All four </w:t>
      </w:r>
      <w:r w:rsidR="00F0322D">
        <w:rPr>
          <w:rStyle w:val="LineNumber"/>
        </w:rPr>
        <w:t xml:space="preserve">disc </w:t>
      </w:r>
      <w:r>
        <w:rPr>
          <w:rStyle w:val="LineNumber"/>
        </w:rPr>
        <w:t xml:space="preserve">materials displayed </w:t>
      </w:r>
      <w:r w:rsidR="00095D3A">
        <w:rPr>
          <w:rStyle w:val="LineNumber"/>
        </w:rPr>
        <w:t xml:space="preserve">sizeable </w:t>
      </w:r>
      <w:r w:rsidR="00CE31F9">
        <w:rPr>
          <w:rStyle w:val="LineNumber"/>
        </w:rPr>
        <w:t xml:space="preserve">biofilm </w:t>
      </w:r>
      <w:r>
        <w:rPr>
          <w:rStyle w:val="LineNumber"/>
        </w:rPr>
        <w:t xml:space="preserve">growth of </w:t>
      </w:r>
      <w:r w:rsidR="003F4957">
        <w:rPr>
          <w:rStyle w:val="LineNumber"/>
          <w:rFonts w:cs="Times New Roman"/>
        </w:rPr>
        <w:t>~</w:t>
      </w:r>
      <w:r>
        <w:rPr>
          <w:rStyle w:val="LineNumber"/>
        </w:rPr>
        <w:t>10</w:t>
      </w:r>
      <w:r w:rsidR="005D1482">
        <w:rPr>
          <w:rStyle w:val="LineNumber"/>
          <w:vertAlign w:val="superscript"/>
        </w:rPr>
        <w:t>10</w:t>
      </w:r>
      <w:r>
        <w:rPr>
          <w:rStyle w:val="LineNumber"/>
          <w:vertAlign w:val="superscript"/>
        </w:rPr>
        <w:t xml:space="preserve"> </w:t>
      </w:r>
      <w:r>
        <w:rPr>
          <w:rStyle w:val="LineNumber"/>
        </w:rPr>
        <w:t>CFU/cm</w:t>
      </w:r>
      <w:r>
        <w:rPr>
          <w:rStyle w:val="LineNumber"/>
          <w:vertAlign w:val="superscript"/>
        </w:rPr>
        <w:t>2</w:t>
      </w:r>
      <w:r w:rsidR="00095D3A">
        <w:rPr>
          <w:rStyle w:val="LineNumber"/>
        </w:rPr>
        <w:t xml:space="preserve">, </w:t>
      </w:r>
      <w:r w:rsidR="00B1151B">
        <w:rPr>
          <w:rStyle w:val="LineNumber"/>
        </w:rPr>
        <w:t>al</w:t>
      </w:r>
      <w:r w:rsidR="00095D3A">
        <w:rPr>
          <w:rStyle w:val="LineNumber"/>
        </w:rPr>
        <w:t xml:space="preserve">though there was no statistically </w:t>
      </w:r>
      <w:r w:rsidR="007F448F">
        <w:rPr>
          <w:rStyle w:val="LineNumber"/>
        </w:rPr>
        <w:lastRenderedPageBreak/>
        <w:t>significant difference in growth between any of the four materials (</w:t>
      </w:r>
      <w:r w:rsidR="007F448F" w:rsidRPr="00D7135F">
        <w:rPr>
          <w:rStyle w:val="LineNumber"/>
          <w:i/>
          <w:iCs/>
        </w:rPr>
        <w:t>p</w:t>
      </w:r>
      <w:r w:rsidR="007F448F">
        <w:rPr>
          <w:rStyle w:val="LineNumber"/>
        </w:rPr>
        <w:t>&gt;0.05). UHMWPE discs garnered the largest number with a count of 10.6 log</w:t>
      </w:r>
      <w:r w:rsidR="007F448F">
        <w:rPr>
          <w:rStyle w:val="LineNumber"/>
          <w:vertAlign w:val="subscript"/>
        </w:rPr>
        <w:t xml:space="preserve">10 </w:t>
      </w:r>
      <w:r w:rsidR="007F448F">
        <w:rPr>
          <w:rStyle w:val="LineNumber"/>
        </w:rPr>
        <w:t>CFU/cm</w:t>
      </w:r>
      <w:r w:rsidR="007F448F">
        <w:rPr>
          <w:rStyle w:val="LineNumber"/>
          <w:vertAlign w:val="superscript"/>
        </w:rPr>
        <w:t>2</w:t>
      </w:r>
      <w:r w:rsidR="007F448F">
        <w:rPr>
          <w:rStyle w:val="LineNumber"/>
        </w:rPr>
        <w:t xml:space="preserve"> (Fig. 3), followed by HA, SS-316, and Ti, indicating a weak trend with increasing roughness.</w:t>
      </w:r>
    </w:p>
    <w:p w14:paraId="66A99B21" w14:textId="735B6BD0" w:rsidR="002F7A30" w:rsidRDefault="001D132E" w:rsidP="00F25255">
      <w:pPr>
        <w:spacing w:line="480" w:lineRule="auto"/>
        <w:ind w:firstLine="720"/>
        <w:rPr>
          <w:rStyle w:val="LineNumber"/>
        </w:rPr>
      </w:pPr>
      <w:r>
        <w:rPr>
          <w:rFonts w:ascii="Times New Roman" w:hAnsi="Times New Roman"/>
          <w:noProof/>
        </w:rPr>
        <w:drawing>
          <wp:inline distT="0" distB="0" distL="0" distR="0" wp14:anchorId="01154A69" wp14:editId="264381F8">
            <wp:extent cx="5943600" cy="416560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65600"/>
                    </a:xfrm>
                    <a:prstGeom prst="rect">
                      <a:avLst/>
                    </a:prstGeom>
                  </pic:spPr>
                </pic:pic>
              </a:graphicData>
            </a:graphic>
          </wp:inline>
        </w:drawing>
      </w:r>
    </w:p>
    <w:p w14:paraId="13B13AD3" w14:textId="4B559FC1" w:rsidR="002F7A30" w:rsidRPr="00F25255" w:rsidRDefault="002F7A30" w:rsidP="002F7A30">
      <w:pPr>
        <w:jc w:val="center"/>
        <w:rPr>
          <w:rFonts w:ascii="Times New Roman" w:hAnsi="Times New Roman" w:cs="Times New Roman"/>
        </w:rPr>
      </w:pPr>
      <w:r w:rsidRPr="00F25255">
        <w:rPr>
          <w:rFonts w:ascii="Times New Roman" w:hAnsi="Times New Roman" w:cs="Times New Roman"/>
        </w:rPr>
        <w:t xml:space="preserve">Figure 4A-D. Log reduction of </w:t>
      </w:r>
      <w:r w:rsidRPr="00F25255">
        <w:rPr>
          <w:rFonts w:ascii="Times New Roman" w:hAnsi="Times New Roman" w:cs="Times New Roman"/>
          <w:i/>
          <w:iCs/>
        </w:rPr>
        <w:t xml:space="preserve">P. aeruginosa </w:t>
      </w:r>
      <w:r w:rsidRPr="00F25255">
        <w:rPr>
          <w:rFonts w:ascii="Times New Roman" w:hAnsi="Times New Roman" w:cs="Times New Roman"/>
        </w:rPr>
        <w:t>Xen41 biofilms, after being grown for 3 days in TSB media and then introduced into the large plate model against one of three antibiotic conditions for 5 days. CFU counts of SS-316 (A), Ti (B), HA (C), and UHMWPE (D) from the biofilm colonized discs, varying in distance from the edge of the PMMA spacer, were compared to those on an unloaded spacer (US) control. ≥ denotes discs eradicated of biofilm bacteria to below the CFU detection limit (3.54 log</w:t>
      </w:r>
      <w:r w:rsidRPr="00F25255">
        <w:rPr>
          <w:rFonts w:ascii="Times New Roman" w:hAnsi="Times New Roman" w:cs="Times New Roman"/>
          <w:vertAlign w:val="subscript"/>
        </w:rPr>
        <w:t>10</w:t>
      </w:r>
      <w:r w:rsidRPr="00F25255">
        <w:rPr>
          <w:rFonts w:ascii="Times New Roman" w:hAnsi="Times New Roman" w:cs="Times New Roman"/>
        </w:rPr>
        <w:t>CFU/cm</w:t>
      </w:r>
      <w:r w:rsidRPr="00F25255">
        <w:rPr>
          <w:rFonts w:ascii="Times New Roman" w:hAnsi="Times New Roman" w:cs="Times New Roman"/>
          <w:vertAlign w:val="superscript"/>
        </w:rPr>
        <w:t>2</w:t>
      </w:r>
      <w:r w:rsidRPr="00F25255">
        <w:rPr>
          <w:rFonts w:ascii="Times New Roman" w:hAnsi="Times New Roman" w:cs="Times New Roman"/>
        </w:rPr>
        <w:t>) and indicates that the reduction could be greater than or equal to the value listed in the graph. * represents statistically significant (p&lt;0.05) differences in log reductions between LS and LS+ALCS-B antibiotic conditions.</w:t>
      </w:r>
    </w:p>
    <w:p w14:paraId="112A7178" w14:textId="77777777" w:rsidR="002F7A30" w:rsidRDefault="002F7A30" w:rsidP="002F7A30">
      <w:pPr>
        <w:spacing w:line="480" w:lineRule="auto"/>
        <w:rPr>
          <w:rStyle w:val="LineNumber"/>
        </w:rPr>
      </w:pPr>
    </w:p>
    <w:p w14:paraId="229E2853" w14:textId="582BA92F" w:rsidR="0044299D" w:rsidRDefault="00410BA1" w:rsidP="00E52198">
      <w:pPr>
        <w:spacing w:line="480" w:lineRule="auto"/>
        <w:ind w:firstLine="720"/>
        <w:rPr>
          <w:rStyle w:val="LineNumber"/>
        </w:rPr>
      </w:pPr>
      <w:r w:rsidRPr="000E501D">
        <w:rPr>
          <w:rStyle w:val="LineNumber"/>
        </w:rPr>
        <w:t>The LS alone</w:t>
      </w:r>
      <w:r w:rsidRPr="003D6D53">
        <w:rPr>
          <w:rStyle w:val="LineNumber"/>
        </w:rPr>
        <w:t xml:space="preserve"> reduced biofilm concentration</w:t>
      </w:r>
      <w:r w:rsidR="005D2E89" w:rsidRPr="003D6D53">
        <w:rPr>
          <w:rStyle w:val="LineNumber"/>
        </w:rPr>
        <w:t>s</w:t>
      </w:r>
      <w:r w:rsidRPr="003D6D53">
        <w:rPr>
          <w:rStyle w:val="LineNumber"/>
        </w:rPr>
        <w:t xml:space="preserve"> </w:t>
      </w:r>
      <w:r w:rsidRPr="00EA6FCD">
        <w:rPr>
          <w:rStyle w:val="LineNumber"/>
        </w:rPr>
        <w:t xml:space="preserve">on </w:t>
      </w:r>
      <w:r w:rsidR="0098420A" w:rsidRPr="00EA6FCD">
        <w:rPr>
          <w:rStyle w:val="LineNumber"/>
        </w:rPr>
        <w:t xml:space="preserve">the </w:t>
      </w:r>
      <w:r w:rsidR="00F0322D">
        <w:rPr>
          <w:rStyle w:val="LineNumber"/>
        </w:rPr>
        <w:t>closest</w:t>
      </w:r>
      <w:r w:rsidR="00C43FC6" w:rsidRPr="00EA6FCD">
        <w:rPr>
          <w:rStyle w:val="LineNumber"/>
        </w:rPr>
        <w:t xml:space="preserve"> </w:t>
      </w:r>
      <w:r w:rsidR="00F0322D">
        <w:rPr>
          <w:rStyle w:val="LineNumber"/>
        </w:rPr>
        <w:t>disc</w:t>
      </w:r>
      <w:r w:rsidR="00F0322D" w:rsidRPr="00EA6FCD">
        <w:rPr>
          <w:rStyle w:val="LineNumber"/>
        </w:rPr>
        <w:t xml:space="preserve">s </w:t>
      </w:r>
      <w:r w:rsidR="0098420A" w:rsidRPr="00EA6FCD">
        <w:rPr>
          <w:rStyle w:val="LineNumber"/>
        </w:rPr>
        <w:t>(</w:t>
      </w:r>
      <w:r w:rsidR="008F3010" w:rsidRPr="00EA6FCD">
        <w:rPr>
          <w:rStyle w:val="LineNumber"/>
        </w:rPr>
        <w:t>1 cm from the spacer</w:t>
      </w:r>
      <w:r w:rsidR="0098420A" w:rsidRPr="00EA6FCD">
        <w:rPr>
          <w:rStyle w:val="LineNumber"/>
        </w:rPr>
        <w:t>’s</w:t>
      </w:r>
      <w:r w:rsidR="00C43FC6" w:rsidRPr="00EA6FCD">
        <w:rPr>
          <w:rStyle w:val="LineNumber"/>
        </w:rPr>
        <w:t xml:space="preserve"> edge</w:t>
      </w:r>
      <w:r w:rsidR="0098420A" w:rsidRPr="00EA6FCD">
        <w:rPr>
          <w:rStyle w:val="LineNumber"/>
        </w:rPr>
        <w:t>),</w:t>
      </w:r>
      <w:r w:rsidRPr="00EA6FCD">
        <w:rPr>
          <w:rStyle w:val="LineNumber"/>
        </w:rPr>
        <w:t xml:space="preserve"> with </w:t>
      </w:r>
      <w:r w:rsidR="005D1482" w:rsidRPr="00EA6FCD">
        <w:rPr>
          <w:rStyle w:val="LineNumber"/>
        </w:rPr>
        <w:t>bacterial</w:t>
      </w:r>
      <w:r w:rsidRPr="00EA6FCD">
        <w:rPr>
          <w:rStyle w:val="LineNumber"/>
        </w:rPr>
        <w:t xml:space="preserve"> reduction ranging from 1.5 </w:t>
      </w:r>
      <w:r w:rsidR="00214348" w:rsidRPr="00EA6FCD">
        <w:rPr>
          <w:rStyle w:val="LineNumber"/>
        </w:rPr>
        <w:t>to</w:t>
      </w:r>
      <w:r w:rsidRPr="00EA6FCD">
        <w:rPr>
          <w:rStyle w:val="LineNumber"/>
        </w:rPr>
        <w:t xml:space="preserve"> 5.5 log</w:t>
      </w:r>
      <w:r w:rsidRPr="00EA6FCD">
        <w:rPr>
          <w:rStyle w:val="LineNumber"/>
          <w:vertAlign w:val="subscript"/>
        </w:rPr>
        <w:t>10</w:t>
      </w:r>
      <w:r w:rsidR="00CE31F9">
        <w:rPr>
          <w:rStyle w:val="LineNumber"/>
          <w:vertAlign w:val="subscript"/>
        </w:rPr>
        <w:t xml:space="preserve"> </w:t>
      </w:r>
      <w:r w:rsidRPr="00EA6FCD">
        <w:rPr>
          <w:rStyle w:val="LineNumber"/>
        </w:rPr>
        <w:t>CFU/cm</w:t>
      </w:r>
      <w:r w:rsidRPr="00EA6FCD">
        <w:rPr>
          <w:rStyle w:val="LineNumber"/>
          <w:vertAlign w:val="superscript"/>
        </w:rPr>
        <w:t>2</w:t>
      </w:r>
      <w:r w:rsidR="0098420A" w:rsidRPr="00EA6FCD">
        <w:rPr>
          <w:rStyle w:val="LineNumber"/>
        </w:rPr>
        <w:t xml:space="preserve"> </w:t>
      </w:r>
      <w:r w:rsidR="00C43FC6" w:rsidRPr="00EA6FCD">
        <w:rPr>
          <w:rStyle w:val="LineNumber"/>
        </w:rPr>
        <w:t>depending on the material type</w:t>
      </w:r>
      <w:r w:rsidR="0098420A" w:rsidRPr="00EA6FCD">
        <w:rPr>
          <w:rStyle w:val="LineNumber"/>
        </w:rPr>
        <w:t xml:space="preserve"> </w:t>
      </w:r>
      <w:r w:rsidRPr="00EA6FCD">
        <w:rPr>
          <w:rStyle w:val="LineNumber"/>
        </w:rPr>
        <w:t>(Fig. 4</w:t>
      </w:r>
      <w:r w:rsidR="00C92764" w:rsidRPr="00EA6FCD">
        <w:rPr>
          <w:rStyle w:val="LineNumber"/>
        </w:rPr>
        <w:t>A-D</w:t>
      </w:r>
      <w:r w:rsidRPr="00EA6FCD">
        <w:rPr>
          <w:rStyle w:val="LineNumber"/>
        </w:rPr>
        <w:t xml:space="preserve">). </w:t>
      </w:r>
      <w:r w:rsidR="00214348" w:rsidRPr="00EA6FCD">
        <w:rPr>
          <w:rStyle w:val="LineNumber"/>
        </w:rPr>
        <w:t>F</w:t>
      </w:r>
      <w:r w:rsidR="0082538C" w:rsidRPr="00EA6FCD">
        <w:rPr>
          <w:rStyle w:val="LineNumber"/>
        </w:rPr>
        <w:t>or</w:t>
      </w:r>
      <w:r w:rsidR="005D2E89" w:rsidRPr="00EA6FCD">
        <w:rPr>
          <w:rStyle w:val="LineNumber"/>
        </w:rPr>
        <w:t xml:space="preserve"> </w:t>
      </w:r>
      <w:r w:rsidR="00C43FC6" w:rsidRPr="00EA6FCD">
        <w:rPr>
          <w:rStyle w:val="LineNumber"/>
        </w:rPr>
        <w:t xml:space="preserve">the </w:t>
      </w:r>
      <w:r w:rsidR="005D2E89" w:rsidRPr="00EA6FCD">
        <w:rPr>
          <w:rStyle w:val="LineNumber"/>
        </w:rPr>
        <w:t xml:space="preserve">more </w:t>
      </w:r>
      <w:r w:rsidR="003F4957">
        <w:rPr>
          <w:rStyle w:val="LineNumber"/>
        </w:rPr>
        <w:t xml:space="preserve">distant </w:t>
      </w:r>
      <w:r w:rsidR="00F0322D">
        <w:rPr>
          <w:rStyle w:val="LineNumber"/>
        </w:rPr>
        <w:t>discs</w:t>
      </w:r>
      <w:r w:rsidR="00F0322D" w:rsidRPr="00EA6FCD">
        <w:rPr>
          <w:rStyle w:val="LineNumber"/>
        </w:rPr>
        <w:t xml:space="preserve"> </w:t>
      </w:r>
      <w:r w:rsidR="00214348" w:rsidRPr="00EA6FCD">
        <w:rPr>
          <w:rStyle w:val="LineNumber"/>
        </w:rPr>
        <w:t>(</w:t>
      </w:r>
      <w:r w:rsidR="0082538C" w:rsidRPr="00EA6FCD">
        <w:rPr>
          <w:rStyle w:val="LineNumber"/>
        </w:rPr>
        <w:t>3 and 5 cm</w:t>
      </w:r>
      <w:r w:rsidR="005D2E89" w:rsidRPr="00EA6FCD">
        <w:rPr>
          <w:rStyle w:val="LineNumber"/>
        </w:rPr>
        <w:t xml:space="preserve"> from the spacer)</w:t>
      </w:r>
      <w:r w:rsidR="000872B3">
        <w:rPr>
          <w:rStyle w:val="LineNumber"/>
        </w:rPr>
        <w:t xml:space="preserve">, </w:t>
      </w:r>
      <w:r w:rsidR="00214348" w:rsidRPr="00EA6FCD">
        <w:rPr>
          <w:rStyle w:val="LineNumber"/>
        </w:rPr>
        <w:t xml:space="preserve">reduction of bacteria </w:t>
      </w:r>
      <w:r w:rsidR="00214348" w:rsidRPr="00EA6FCD">
        <w:rPr>
          <w:rStyle w:val="LineNumber"/>
        </w:rPr>
        <w:lastRenderedPageBreak/>
        <w:t>drastically decreased</w:t>
      </w:r>
      <w:r w:rsidR="00417D09" w:rsidRPr="00EA6FCD">
        <w:rPr>
          <w:rStyle w:val="LineNumber"/>
        </w:rPr>
        <w:t xml:space="preserve"> to a range of </w:t>
      </w:r>
      <w:r w:rsidR="00431FF5" w:rsidRPr="00EA6FCD">
        <w:rPr>
          <w:rStyle w:val="LineNumber"/>
        </w:rPr>
        <w:t xml:space="preserve">no reduction </w:t>
      </w:r>
      <w:r w:rsidR="00417D09" w:rsidRPr="00EA6FCD">
        <w:rPr>
          <w:rStyle w:val="LineNumber"/>
        </w:rPr>
        <w:t>to 3.8 log</w:t>
      </w:r>
      <w:r w:rsidR="00417D09" w:rsidRPr="00EA6FCD">
        <w:rPr>
          <w:rStyle w:val="LineNumber"/>
          <w:vertAlign w:val="subscript"/>
        </w:rPr>
        <w:t>10</w:t>
      </w:r>
      <w:r w:rsidR="00417D09" w:rsidRPr="00EA6FCD">
        <w:rPr>
          <w:rStyle w:val="LineNumber"/>
        </w:rPr>
        <w:t>CFU/cm</w:t>
      </w:r>
      <w:r w:rsidR="00417D09" w:rsidRPr="00EA6FCD">
        <w:rPr>
          <w:rStyle w:val="LineNumber"/>
          <w:vertAlign w:val="superscript"/>
        </w:rPr>
        <w:t>2</w:t>
      </w:r>
      <w:r w:rsidR="00431FF5" w:rsidRPr="00EA6FCD">
        <w:rPr>
          <w:rStyle w:val="LineNumber"/>
        </w:rPr>
        <w:t xml:space="preserve">. </w:t>
      </w:r>
      <w:r w:rsidR="00417D09" w:rsidRPr="00EA6FCD">
        <w:rPr>
          <w:rStyle w:val="LineNumber"/>
        </w:rPr>
        <w:t>The addition of loaded beads</w:t>
      </w:r>
      <w:r w:rsidR="00214348" w:rsidRPr="00EA6FCD">
        <w:rPr>
          <w:rStyle w:val="LineNumber"/>
        </w:rPr>
        <w:t xml:space="preserve"> (LS+</w:t>
      </w:r>
      <w:r w:rsidR="00CB1942">
        <w:rPr>
          <w:rStyle w:val="LineNumber"/>
        </w:rPr>
        <w:t>ALCS-</w:t>
      </w:r>
      <w:r w:rsidR="00214348" w:rsidRPr="00EA6FCD">
        <w:rPr>
          <w:rStyle w:val="LineNumber"/>
        </w:rPr>
        <w:t>B)</w:t>
      </w:r>
      <w:r w:rsidR="00417D09" w:rsidRPr="00EA6FCD">
        <w:rPr>
          <w:rStyle w:val="LineNumber"/>
        </w:rPr>
        <w:t xml:space="preserve"> promoted the log </w:t>
      </w:r>
      <w:r w:rsidR="00214348" w:rsidRPr="00EA6FCD">
        <w:rPr>
          <w:rStyle w:val="LineNumber"/>
        </w:rPr>
        <w:t xml:space="preserve">reduction </w:t>
      </w:r>
      <w:r w:rsidR="005D2E89" w:rsidRPr="00EA6FCD">
        <w:rPr>
          <w:rStyle w:val="LineNumber"/>
        </w:rPr>
        <w:t>of</w:t>
      </w:r>
      <w:r w:rsidR="00214348" w:rsidRPr="00EA6FCD">
        <w:rPr>
          <w:rStyle w:val="LineNumber"/>
        </w:rPr>
        <w:t xml:space="preserve"> the </w:t>
      </w:r>
      <w:r w:rsidR="00B1151B">
        <w:rPr>
          <w:rStyle w:val="LineNumber"/>
        </w:rPr>
        <w:t>more distant</w:t>
      </w:r>
      <w:r w:rsidR="00B1151B" w:rsidRPr="00EA6FCD">
        <w:rPr>
          <w:rStyle w:val="LineNumber"/>
        </w:rPr>
        <w:t xml:space="preserve"> </w:t>
      </w:r>
      <w:r w:rsidR="00F0322D">
        <w:rPr>
          <w:rStyle w:val="LineNumber"/>
        </w:rPr>
        <w:t>disc</w:t>
      </w:r>
      <w:r w:rsidR="00F0322D" w:rsidRPr="00EA6FCD">
        <w:rPr>
          <w:rStyle w:val="LineNumber"/>
        </w:rPr>
        <w:t xml:space="preserve">s </w:t>
      </w:r>
      <w:r w:rsidR="005D2E89" w:rsidRPr="00EA6FCD">
        <w:rPr>
          <w:rStyle w:val="LineNumber"/>
        </w:rPr>
        <w:t xml:space="preserve">to </w:t>
      </w:r>
      <w:r w:rsidR="00214348" w:rsidRPr="00EA6FCD">
        <w:rPr>
          <w:rStyle w:val="LineNumber"/>
        </w:rPr>
        <w:t>levels of 2.5 to 6.6 log</w:t>
      </w:r>
      <w:r w:rsidR="00214348" w:rsidRPr="00EA6FCD">
        <w:rPr>
          <w:rStyle w:val="LineNumber"/>
          <w:vertAlign w:val="subscript"/>
        </w:rPr>
        <w:t>10</w:t>
      </w:r>
      <w:r w:rsidR="00CE31F9">
        <w:rPr>
          <w:rStyle w:val="LineNumber"/>
          <w:vertAlign w:val="subscript"/>
        </w:rPr>
        <w:t xml:space="preserve"> </w:t>
      </w:r>
      <w:r w:rsidR="00214348" w:rsidRPr="00EA6FCD">
        <w:rPr>
          <w:rStyle w:val="LineNumber"/>
        </w:rPr>
        <w:t>CFU/cm</w:t>
      </w:r>
      <w:r w:rsidR="00214348" w:rsidRPr="00EA6FCD">
        <w:rPr>
          <w:rStyle w:val="LineNumber"/>
          <w:vertAlign w:val="superscript"/>
        </w:rPr>
        <w:t>2</w:t>
      </w:r>
      <w:r w:rsidR="00214348" w:rsidRPr="00EA6FCD">
        <w:rPr>
          <w:rStyle w:val="LineNumber"/>
        </w:rPr>
        <w:t>, depending on the material.</w:t>
      </w:r>
      <w:r w:rsidR="00B96A77" w:rsidRPr="00EA6FCD">
        <w:rPr>
          <w:rStyle w:val="LineNumber"/>
        </w:rPr>
        <w:t xml:space="preserve"> </w:t>
      </w:r>
      <w:r w:rsidR="00431FF5" w:rsidRPr="00EA6FCD">
        <w:rPr>
          <w:rStyle w:val="LineNumber"/>
        </w:rPr>
        <w:t>Furthermore, the</w:t>
      </w:r>
      <w:r w:rsidR="00B96A77" w:rsidRPr="00EA6FCD">
        <w:rPr>
          <w:rStyle w:val="LineNumber"/>
        </w:rPr>
        <w:t xml:space="preserve"> addition of ALCS-B eradicated biofilm to below detection limits </w:t>
      </w:r>
      <w:r w:rsidR="00C43FC6" w:rsidRPr="00EA6FCD">
        <w:rPr>
          <w:rStyle w:val="LineNumber"/>
        </w:rPr>
        <w:t>(</w:t>
      </w:r>
      <w:r w:rsidR="0098420A" w:rsidRPr="00EA6FCD">
        <w:rPr>
          <w:rFonts w:ascii="Times New Roman" w:hAnsi="Times New Roman" w:cs="Times New Roman"/>
        </w:rPr>
        <w:t>3.5 log</w:t>
      </w:r>
      <w:r w:rsidR="0098420A" w:rsidRPr="00EA6FCD">
        <w:rPr>
          <w:rFonts w:ascii="Times New Roman" w:hAnsi="Times New Roman" w:cs="Times New Roman"/>
          <w:vertAlign w:val="subscript"/>
        </w:rPr>
        <w:t>10</w:t>
      </w:r>
      <w:r w:rsidR="0098420A" w:rsidRPr="00EA6FCD">
        <w:rPr>
          <w:rFonts w:ascii="Times New Roman" w:hAnsi="Times New Roman" w:cs="Times New Roman"/>
        </w:rPr>
        <w:t>CFU/cm</w:t>
      </w:r>
      <w:r w:rsidR="0098420A" w:rsidRPr="00EA6FCD">
        <w:rPr>
          <w:rFonts w:ascii="Times New Roman" w:hAnsi="Times New Roman" w:cs="Times New Roman"/>
          <w:vertAlign w:val="superscript"/>
        </w:rPr>
        <w:t>2</w:t>
      </w:r>
      <w:r w:rsidR="00C43FC6" w:rsidRPr="00EA6FCD">
        <w:rPr>
          <w:rStyle w:val="LineNumber"/>
        </w:rPr>
        <w:t xml:space="preserve">) </w:t>
      </w:r>
      <w:r w:rsidR="00B96A77" w:rsidRPr="00EA6FCD">
        <w:rPr>
          <w:rStyle w:val="LineNumber"/>
        </w:rPr>
        <w:t xml:space="preserve">on SS-316 and Ti </w:t>
      </w:r>
      <w:r w:rsidR="00F0322D">
        <w:rPr>
          <w:rStyle w:val="LineNumber"/>
        </w:rPr>
        <w:t>disc</w:t>
      </w:r>
      <w:r w:rsidR="00F0322D" w:rsidRPr="00EA6FCD">
        <w:rPr>
          <w:rStyle w:val="LineNumber"/>
        </w:rPr>
        <w:t xml:space="preserve">s </w:t>
      </w:r>
      <w:r w:rsidR="00431FF5" w:rsidRPr="00EA6FCD">
        <w:rPr>
          <w:rStyle w:val="LineNumber"/>
        </w:rPr>
        <w:t>5 cm from the spacer</w:t>
      </w:r>
      <w:r w:rsidR="00C92764" w:rsidRPr="00EA6FCD">
        <w:rPr>
          <w:rStyle w:val="LineNumber"/>
        </w:rPr>
        <w:t xml:space="preserve"> (Fig. 4A-B)</w:t>
      </w:r>
      <w:r w:rsidR="00CE31F9">
        <w:rPr>
          <w:rStyle w:val="LineNumber"/>
        </w:rPr>
        <w:t>, a statistically significant reduction c</w:t>
      </w:r>
      <w:r w:rsidR="0082538C">
        <w:rPr>
          <w:rStyle w:val="LineNumber"/>
        </w:rPr>
        <w:t>ompared to the loaded spacer alone (LS)</w:t>
      </w:r>
      <w:r w:rsidR="005D1482">
        <w:rPr>
          <w:rStyle w:val="LineNumber"/>
        </w:rPr>
        <w:t xml:space="preserve">. </w:t>
      </w:r>
      <w:r w:rsidR="004A00D5">
        <w:rPr>
          <w:rStyle w:val="LineNumber"/>
        </w:rPr>
        <w:t>In UHMWPE</w:t>
      </w:r>
      <w:r w:rsidR="00C92764">
        <w:rPr>
          <w:rStyle w:val="LineNumber"/>
        </w:rPr>
        <w:t xml:space="preserve"> (Fig. 4D)</w:t>
      </w:r>
      <w:r w:rsidR="004A00D5">
        <w:rPr>
          <w:rStyle w:val="LineNumber"/>
        </w:rPr>
        <w:t>, the LS+</w:t>
      </w:r>
      <w:r w:rsidR="0012372D">
        <w:rPr>
          <w:rStyle w:val="LineNumber"/>
        </w:rPr>
        <w:t>ALCS-B</w:t>
      </w:r>
      <w:r w:rsidR="004A00D5">
        <w:rPr>
          <w:rStyle w:val="LineNumber"/>
        </w:rPr>
        <w:t xml:space="preserve"> condition produced significantly more (</w:t>
      </w:r>
      <w:r>
        <w:rPr>
          <w:rStyle w:val="LineNumber"/>
          <w:i/>
          <w:iCs/>
        </w:rPr>
        <w:t>p</w:t>
      </w:r>
      <w:r w:rsidR="004A00D5">
        <w:rPr>
          <w:rStyle w:val="LineNumber"/>
        </w:rPr>
        <w:t xml:space="preserve">&lt;0.05) biofilm reduction in </w:t>
      </w:r>
      <w:r w:rsidR="00F0322D">
        <w:rPr>
          <w:rStyle w:val="LineNumber"/>
        </w:rPr>
        <w:t xml:space="preserve">discs </w:t>
      </w:r>
      <w:r w:rsidR="004A00D5">
        <w:rPr>
          <w:rStyle w:val="LineNumber"/>
        </w:rPr>
        <w:t xml:space="preserve">at every distance. The </w:t>
      </w:r>
      <w:r w:rsidR="00141ECF">
        <w:rPr>
          <w:rStyle w:val="LineNumber"/>
        </w:rPr>
        <w:t>Ti</w:t>
      </w:r>
      <w:r w:rsidR="004A00D5">
        <w:rPr>
          <w:rStyle w:val="LineNumber"/>
        </w:rPr>
        <w:t xml:space="preserve"> </w:t>
      </w:r>
      <w:r w:rsidR="00F0322D">
        <w:rPr>
          <w:rStyle w:val="LineNumber"/>
        </w:rPr>
        <w:t xml:space="preserve">discs </w:t>
      </w:r>
      <w:r w:rsidR="004A00D5">
        <w:rPr>
          <w:rStyle w:val="LineNumber"/>
        </w:rPr>
        <w:t>3 and 5 cm from the edge of the spacer</w:t>
      </w:r>
      <w:r w:rsidR="00141ECF">
        <w:rPr>
          <w:rStyle w:val="LineNumber"/>
        </w:rPr>
        <w:t xml:space="preserve"> (Fig. 4B)</w:t>
      </w:r>
      <w:r w:rsidR="004A00D5">
        <w:rPr>
          <w:rStyle w:val="LineNumber"/>
        </w:rPr>
        <w:t xml:space="preserve">, the </w:t>
      </w:r>
      <w:r w:rsidR="00141ECF">
        <w:rPr>
          <w:rStyle w:val="LineNumber"/>
        </w:rPr>
        <w:t xml:space="preserve">HA </w:t>
      </w:r>
      <w:r w:rsidR="00F0322D">
        <w:rPr>
          <w:rStyle w:val="LineNumber"/>
        </w:rPr>
        <w:t xml:space="preserve">disc </w:t>
      </w:r>
      <w:r w:rsidR="004A00D5">
        <w:rPr>
          <w:rStyle w:val="LineNumber"/>
        </w:rPr>
        <w:t>3 cm from the spacer</w:t>
      </w:r>
      <w:r w:rsidR="00141ECF">
        <w:rPr>
          <w:rStyle w:val="LineNumber"/>
        </w:rPr>
        <w:t xml:space="preserve"> (Fig. 4C)</w:t>
      </w:r>
      <w:r w:rsidR="004A00D5">
        <w:rPr>
          <w:rStyle w:val="LineNumber"/>
        </w:rPr>
        <w:t xml:space="preserve">, and the </w:t>
      </w:r>
      <w:r w:rsidR="00141ECF">
        <w:rPr>
          <w:rStyle w:val="LineNumber"/>
        </w:rPr>
        <w:t>SS-316</w:t>
      </w:r>
      <w:r w:rsidR="004A00D5">
        <w:rPr>
          <w:rStyle w:val="LineNumber"/>
        </w:rPr>
        <w:t xml:space="preserve"> </w:t>
      </w:r>
      <w:r w:rsidR="00F0322D">
        <w:rPr>
          <w:rStyle w:val="LineNumber"/>
        </w:rPr>
        <w:t xml:space="preserve">disc </w:t>
      </w:r>
      <w:r w:rsidR="004A00D5">
        <w:rPr>
          <w:rStyle w:val="LineNumber"/>
        </w:rPr>
        <w:t>5 cm from the spacer</w:t>
      </w:r>
      <w:r w:rsidR="00141ECF">
        <w:rPr>
          <w:rStyle w:val="LineNumber"/>
        </w:rPr>
        <w:t xml:space="preserve"> (Fig. 4A)</w:t>
      </w:r>
      <w:r w:rsidR="004A00D5">
        <w:rPr>
          <w:rStyle w:val="LineNumber"/>
        </w:rPr>
        <w:t xml:space="preserve"> also </w:t>
      </w:r>
      <w:r w:rsidR="00F0322D">
        <w:rPr>
          <w:rStyle w:val="LineNumber"/>
        </w:rPr>
        <w:t xml:space="preserve">showed </w:t>
      </w:r>
      <w:r w:rsidR="004A00D5">
        <w:rPr>
          <w:rStyle w:val="LineNumber"/>
        </w:rPr>
        <w:t>statistically significant biofilm killing in the LS+</w:t>
      </w:r>
      <w:r w:rsidR="00CB1942">
        <w:rPr>
          <w:rStyle w:val="LineNumber"/>
        </w:rPr>
        <w:t>ALCS-</w:t>
      </w:r>
      <w:r w:rsidR="004A00D5">
        <w:rPr>
          <w:rStyle w:val="LineNumber"/>
        </w:rPr>
        <w:t xml:space="preserve">B condition compared to the LS </w:t>
      </w:r>
      <w:r w:rsidR="00F0322D">
        <w:rPr>
          <w:rStyle w:val="LineNumber"/>
        </w:rPr>
        <w:t xml:space="preserve">alone </w:t>
      </w:r>
      <w:r w:rsidR="00C43FC6">
        <w:rPr>
          <w:rStyle w:val="LineNumber"/>
        </w:rPr>
        <w:t>(</w:t>
      </w:r>
      <w:r w:rsidR="00844E46" w:rsidRPr="00D7135F">
        <w:rPr>
          <w:rStyle w:val="LineNumber"/>
          <w:i/>
          <w:iCs/>
        </w:rPr>
        <w:t>p</w:t>
      </w:r>
      <w:r w:rsidR="00C43FC6">
        <w:rPr>
          <w:rStyle w:val="LineNumber"/>
        </w:rPr>
        <w:t>&lt;0.05)</w:t>
      </w:r>
      <w:r w:rsidR="004A00D5">
        <w:rPr>
          <w:rStyle w:val="LineNumber"/>
        </w:rPr>
        <w:t>.</w:t>
      </w:r>
      <w:r>
        <w:rPr>
          <w:rStyle w:val="LineNumber"/>
        </w:rPr>
        <w:t xml:space="preserve"> </w:t>
      </w:r>
    </w:p>
    <w:p w14:paraId="287DBC57" w14:textId="77777777" w:rsidR="00A53BE4" w:rsidRDefault="00A53BE4" w:rsidP="00410BA1">
      <w:pPr>
        <w:spacing w:line="480" w:lineRule="auto"/>
        <w:rPr>
          <w:rStyle w:val="LineNumber"/>
        </w:rPr>
      </w:pPr>
    </w:p>
    <w:p w14:paraId="7AAF1451" w14:textId="77777777" w:rsidR="00A53BE4" w:rsidRDefault="00A53BE4" w:rsidP="00410BA1">
      <w:pPr>
        <w:spacing w:line="480" w:lineRule="auto"/>
        <w:rPr>
          <w:rStyle w:val="LineNumber"/>
          <w:b/>
          <w:bCs/>
        </w:rPr>
      </w:pPr>
      <w:r>
        <w:rPr>
          <w:rStyle w:val="LineNumber"/>
          <w:b/>
          <w:bCs/>
        </w:rPr>
        <w:t>Discussion</w:t>
      </w:r>
    </w:p>
    <w:p w14:paraId="1904EB87" w14:textId="2DDFA75C" w:rsidR="00204EBA" w:rsidRDefault="00D22F46" w:rsidP="00043130">
      <w:pPr>
        <w:spacing w:line="480" w:lineRule="auto"/>
        <w:rPr>
          <w:rStyle w:val="LineNumber"/>
        </w:rPr>
      </w:pPr>
      <w:r>
        <w:rPr>
          <w:rStyle w:val="LineNumber"/>
          <w:b/>
          <w:bCs/>
        </w:rPr>
        <w:tab/>
      </w:r>
      <w:r w:rsidR="00B81612">
        <w:rPr>
          <w:rStyle w:val="LineNumber"/>
        </w:rPr>
        <w:t xml:space="preserve"> </w:t>
      </w:r>
      <w:r w:rsidR="00A660DF">
        <w:rPr>
          <w:rStyle w:val="LineNumber"/>
        </w:rPr>
        <w:t>Here</w:t>
      </w:r>
      <w:r w:rsidR="0072252F">
        <w:rPr>
          <w:rStyle w:val="LineNumber"/>
        </w:rPr>
        <w:t xml:space="preserve"> w</w:t>
      </w:r>
      <w:r w:rsidR="00B81612">
        <w:rPr>
          <w:rStyle w:val="LineNumber"/>
        </w:rPr>
        <w:t xml:space="preserve">e </w:t>
      </w:r>
      <w:r w:rsidR="0072252F">
        <w:rPr>
          <w:rStyle w:val="LineNumber"/>
        </w:rPr>
        <w:t xml:space="preserve">show </w:t>
      </w:r>
      <w:r w:rsidR="00A660DF">
        <w:rPr>
          <w:rStyle w:val="LineNumber"/>
        </w:rPr>
        <w:t xml:space="preserve">in our </w:t>
      </w:r>
      <w:r w:rsidR="003B1272">
        <w:rPr>
          <w:rStyle w:val="LineNumber"/>
        </w:rPr>
        <w:t>diffusion-based</w:t>
      </w:r>
      <w:r w:rsidR="00A660DF">
        <w:rPr>
          <w:rStyle w:val="LineNumber"/>
        </w:rPr>
        <w:t xml:space="preserve"> model that</w:t>
      </w:r>
      <w:r w:rsidR="00B81612">
        <w:rPr>
          <w:rStyle w:val="LineNumber"/>
        </w:rPr>
        <w:t xml:space="preserve"> </w:t>
      </w:r>
      <w:r w:rsidR="00141ECF">
        <w:rPr>
          <w:rStyle w:val="LineNumber"/>
        </w:rPr>
        <w:t>ALCS-B</w:t>
      </w:r>
      <w:r w:rsidR="00B81612">
        <w:rPr>
          <w:rStyle w:val="LineNumber"/>
        </w:rPr>
        <w:t xml:space="preserve"> significantly reduced </w:t>
      </w:r>
      <w:r w:rsidR="00903676">
        <w:rPr>
          <w:rStyle w:val="LineNumber"/>
        </w:rPr>
        <w:t>(</w:t>
      </w:r>
      <w:r w:rsidR="00903676">
        <w:rPr>
          <w:rStyle w:val="LineNumber"/>
          <w:i/>
          <w:iCs/>
        </w:rPr>
        <w:t>p</w:t>
      </w:r>
      <w:r w:rsidR="00903676" w:rsidRPr="00903676">
        <w:rPr>
          <w:rStyle w:val="LineNumber"/>
        </w:rPr>
        <w:t>&lt;0.05)</w:t>
      </w:r>
      <w:r w:rsidR="00903676">
        <w:rPr>
          <w:rStyle w:val="LineNumber"/>
          <w:i/>
          <w:iCs/>
        </w:rPr>
        <w:t xml:space="preserve"> </w:t>
      </w:r>
      <w:r w:rsidR="00B81612">
        <w:rPr>
          <w:rStyle w:val="LineNumber"/>
          <w:i/>
          <w:iCs/>
        </w:rPr>
        <w:t xml:space="preserve">P. aeruginosa </w:t>
      </w:r>
      <w:r w:rsidR="00B81612">
        <w:rPr>
          <w:rStyle w:val="LineNumber"/>
        </w:rPr>
        <w:t>Xen41 biofilm grow</w:t>
      </w:r>
      <w:r w:rsidR="00082C14">
        <w:rPr>
          <w:rStyle w:val="LineNumber"/>
        </w:rPr>
        <w:t>th</w:t>
      </w:r>
      <w:r w:rsidR="00B81612">
        <w:rPr>
          <w:rStyle w:val="LineNumber"/>
        </w:rPr>
        <w:t xml:space="preserve"> on materials common to orthopedic implants </w:t>
      </w:r>
      <w:r w:rsidR="00B81612">
        <w:rPr>
          <w:rStyle w:val="LineNumber"/>
          <w:i/>
          <w:iCs/>
        </w:rPr>
        <w:t>in vitro</w:t>
      </w:r>
      <w:r w:rsidR="00265FA4">
        <w:rPr>
          <w:rStyle w:val="LineNumber"/>
          <w:i/>
          <w:iCs/>
        </w:rPr>
        <w:t>,</w:t>
      </w:r>
      <w:r w:rsidR="0072252F">
        <w:rPr>
          <w:rStyle w:val="LineNumber"/>
          <w:iCs/>
        </w:rPr>
        <w:t xml:space="preserve"> </w:t>
      </w:r>
      <w:r w:rsidR="004E7F67">
        <w:rPr>
          <w:rStyle w:val="LineNumber"/>
          <w:iCs/>
        </w:rPr>
        <w:t>while also</w:t>
      </w:r>
      <w:r w:rsidR="0072252F">
        <w:rPr>
          <w:rStyle w:val="LineNumber"/>
          <w:iCs/>
        </w:rPr>
        <w:t xml:space="preserve"> increas</w:t>
      </w:r>
      <w:r w:rsidR="004E7F67">
        <w:rPr>
          <w:rStyle w:val="LineNumber"/>
          <w:iCs/>
        </w:rPr>
        <w:t>ing</w:t>
      </w:r>
      <w:r w:rsidR="0072252F">
        <w:rPr>
          <w:rStyle w:val="LineNumber"/>
          <w:iCs/>
        </w:rPr>
        <w:t xml:space="preserve"> the zone of antimicrobial </w:t>
      </w:r>
      <w:r w:rsidR="004E7F67">
        <w:rPr>
          <w:rStyle w:val="LineNumber"/>
          <w:iCs/>
        </w:rPr>
        <w:t>potency</w:t>
      </w:r>
      <w:r w:rsidR="0072252F">
        <w:rPr>
          <w:rStyle w:val="LineNumber"/>
          <w:iCs/>
        </w:rPr>
        <w:t xml:space="preserve"> beyond that achieved by an ant</w:t>
      </w:r>
      <w:r w:rsidR="00FE53AB">
        <w:rPr>
          <w:rStyle w:val="LineNumber"/>
          <w:iCs/>
        </w:rPr>
        <w:t>i</w:t>
      </w:r>
      <w:r w:rsidR="0072252F">
        <w:rPr>
          <w:rStyle w:val="LineNumber"/>
          <w:iCs/>
        </w:rPr>
        <w:t>biotic loaded</w:t>
      </w:r>
      <w:r w:rsidR="00F77783">
        <w:rPr>
          <w:rStyle w:val="LineNumber"/>
          <w:iCs/>
        </w:rPr>
        <w:t xml:space="preserve"> PMMA</w:t>
      </w:r>
      <w:r w:rsidR="0072252F">
        <w:rPr>
          <w:rStyle w:val="LineNumber"/>
          <w:iCs/>
        </w:rPr>
        <w:t xml:space="preserve"> spacer alone</w:t>
      </w:r>
      <w:r w:rsidR="00B81612">
        <w:rPr>
          <w:rStyle w:val="LineNumber"/>
        </w:rPr>
        <w:t xml:space="preserve">. Furthermore, </w:t>
      </w:r>
      <w:r w:rsidR="0072252F">
        <w:rPr>
          <w:rStyle w:val="LineNumber"/>
        </w:rPr>
        <w:t xml:space="preserve">our work demonstrates </w:t>
      </w:r>
      <w:r w:rsidR="00903676">
        <w:rPr>
          <w:rStyle w:val="LineNumber"/>
        </w:rPr>
        <w:t xml:space="preserve">how </w:t>
      </w:r>
      <w:r w:rsidR="0072252F">
        <w:rPr>
          <w:rStyle w:val="LineNumber"/>
        </w:rPr>
        <w:t xml:space="preserve">such </w:t>
      </w:r>
      <w:r w:rsidR="00B81612">
        <w:rPr>
          <w:rStyle w:val="LineNumber"/>
        </w:rPr>
        <w:t xml:space="preserve">beads </w:t>
      </w:r>
      <w:r w:rsidR="0072252F">
        <w:rPr>
          <w:rStyle w:val="LineNumber"/>
        </w:rPr>
        <w:t xml:space="preserve">sprinkled around the spacer </w:t>
      </w:r>
      <w:r w:rsidR="00B81612">
        <w:rPr>
          <w:rStyle w:val="LineNumber"/>
        </w:rPr>
        <w:t xml:space="preserve">may more </w:t>
      </w:r>
      <w:r w:rsidR="0072252F">
        <w:rPr>
          <w:rStyle w:val="LineNumber"/>
        </w:rPr>
        <w:t>effectively</w:t>
      </w:r>
      <w:r w:rsidR="00B81612">
        <w:rPr>
          <w:rStyle w:val="LineNumber"/>
        </w:rPr>
        <w:t xml:space="preserve"> </w:t>
      </w:r>
      <w:r w:rsidR="00052718">
        <w:rPr>
          <w:rStyle w:val="LineNumber"/>
        </w:rPr>
        <w:t xml:space="preserve">manage dead space and </w:t>
      </w:r>
      <w:r w:rsidR="00B81612">
        <w:rPr>
          <w:rStyle w:val="LineNumber"/>
        </w:rPr>
        <w:t>control the spread of bacteria</w:t>
      </w:r>
      <w:r w:rsidR="00FE53AB">
        <w:rPr>
          <w:rStyle w:val="LineNumber"/>
        </w:rPr>
        <w:t xml:space="preserve"> </w:t>
      </w:r>
      <w:r w:rsidR="0072252F">
        <w:rPr>
          <w:rStyle w:val="LineNumber"/>
        </w:rPr>
        <w:t xml:space="preserve">from such </w:t>
      </w:r>
      <w:r w:rsidR="004E7F67">
        <w:rPr>
          <w:rStyle w:val="LineNumber"/>
        </w:rPr>
        <w:t xml:space="preserve">implant </w:t>
      </w:r>
      <w:r w:rsidR="0072252F">
        <w:rPr>
          <w:rStyle w:val="LineNumber"/>
        </w:rPr>
        <w:t>surfaces</w:t>
      </w:r>
      <w:r w:rsidR="00FE53AB">
        <w:rPr>
          <w:rStyle w:val="LineNumber"/>
        </w:rPr>
        <w:t>, particu</w:t>
      </w:r>
      <w:r w:rsidR="00052718">
        <w:rPr>
          <w:rStyle w:val="LineNumber"/>
        </w:rPr>
        <w:t>larly in those locations where the spread</w:t>
      </w:r>
      <w:r w:rsidR="00FE53AB">
        <w:rPr>
          <w:rStyle w:val="LineNumber"/>
        </w:rPr>
        <w:t xml:space="preserve"> of released antibiotics is </w:t>
      </w:r>
      <w:r w:rsidR="00A603D0">
        <w:rPr>
          <w:rStyle w:val="LineNumber"/>
        </w:rPr>
        <w:t>limited by diffusion</w:t>
      </w:r>
      <w:r w:rsidR="004E7F67">
        <w:rPr>
          <w:rStyle w:val="LineNumber"/>
        </w:rPr>
        <w:t xml:space="preserve">, </w:t>
      </w:r>
      <w:r w:rsidR="00A603D0">
        <w:rPr>
          <w:rStyle w:val="LineNumber"/>
        </w:rPr>
        <w:t xml:space="preserve">as </w:t>
      </w:r>
      <w:r w:rsidR="004E7F67">
        <w:rPr>
          <w:rStyle w:val="LineNumber"/>
        </w:rPr>
        <w:t>would</w:t>
      </w:r>
      <w:r w:rsidR="00A603D0">
        <w:rPr>
          <w:rStyle w:val="LineNumber"/>
        </w:rPr>
        <w:t xml:space="preserve"> be expected in</w:t>
      </w:r>
      <w:r w:rsidR="00082C14">
        <w:rPr>
          <w:rStyle w:val="LineNumber"/>
        </w:rPr>
        <w:t xml:space="preserve"> the</w:t>
      </w:r>
      <w:r w:rsidR="00A603D0">
        <w:rPr>
          <w:rStyle w:val="LineNumber"/>
        </w:rPr>
        <w:t xml:space="preserve"> periprosthetic tissue</w:t>
      </w:r>
      <w:r w:rsidR="00204EBA">
        <w:rPr>
          <w:rStyle w:val="LineNumber"/>
        </w:rPr>
        <w:t xml:space="preserve">, </w:t>
      </w:r>
      <w:r w:rsidR="00A603D0">
        <w:rPr>
          <w:rStyle w:val="LineNumber"/>
        </w:rPr>
        <w:t xml:space="preserve">areas of </w:t>
      </w:r>
      <w:r w:rsidR="00A660DF">
        <w:rPr>
          <w:rStyle w:val="LineNumber"/>
        </w:rPr>
        <w:t>a</w:t>
      </w:r>
      <w:r w:rsidR="00A603D0">
        <w:rPr>
          <w:rStyle w:val="LineNumber"/>
        </w:rPr>
        <w:t xml:space="preserve"> joint space</w:t>
      </w:r>
      <w:r w:rsidR="00204EBA">
        <w:rPr>
          <w:rStyle w:val="LineNumber"/>
        </w:rPr>
        <w:t>,</w:t>
      </w:r>
      <w:r w:rsidR="00A660DF">
        <w:rPr>
          <w:rStyle w:val="LineNumber"/>
        </w:rPr>
        <w:t xml:space="preserve"> or</w:t>
      </w:r>
      <w:r w:rsidR="00082C14">
        <w:rPr>
          <w:rStyle w:val="LineNumber"/>
        </w:rPr>
        <w:t xml:space="preserve"> the medullary canal</w:t>
      </w:r>
      <w:r w:rsidR="00A603D0">
        <w:rPr>
          <w:rStyle w:val="LineNumber"/>
        </w:rPr>
        <w:t>.</w:t>
      </w:r>
      <w:r w:rsidR="00043130">
        <w:rPr>
          <w:rStyle w:val="LineNumber"/>
        </w:rPr>
        <w:t xml:space="preserve"> </w:t>
      </w:r>
      <w:bookmarkStart w:id="2" w:name="_Hlk65235603"/>
      <w:r w:rsidR="001D3DCE" w:rsidRPr="001D3DCE">
        <w:rPr>
          <w:rStyle w:val="LineNumber"/>
        </w:rPr>
        <w:t xml:space="preserve">In a well-mixed system, the </w:t>
      </w:r>
      <w:r w:rsidR="001D3DCE">
        <w:rPr>
          <w:rStyle w:val="LineNumber"/>
        </w:rPr>
        <w:t xml:space="preserve">specific </w:t>
      </w:r>
      <w:r w:rsidR="001D3DCE" w:rsidRPr="001D3DCE">
        <w:rPr>
          <w:rStyle w:val="LineNumber"/>
        </w:rPr>
        <w:t xml:space="preserve">distribution of antibiotic depots </w:t>
      </w:r>
      <w:r w:rsidR="001D3DCE">
        <w:rPr>
          <w:rStyle w:val="LineNumber"/>
        </w:rPr>
        <w:t>will</w:t>
      </w:r>
      <w:r w:rsidR="001D3DCE" w:rsidRPr="001D3DCE">
        <w:rPr>
          <w:rStyle w:val="LineNumber"/>
        </w:rPr>
        <w:t xml:space="preserve"> </w:t>
      </w:r>
      <w:r w:rsidR="001D3DCE">
        <w:rPr>
          <w:rStyle w:val="LineNumber"/>
        </w:rPr>
        <w:t>be less</w:t>
      </w:r>
      <w:r w:rsidR="001D3DCE" w:rsidRPr="001D3DCE">
        <w:rPr>
          <w:rStyle w:val="LineNumber"/>
        </w:rPr>
        <w:t xml:space="preserve"> important si</w:t>
      </w:r>
      <w:r w:rsidR="001D3DCE">
        <w:rPr>
          <w:rStyle w:val="LineNumber"/>
        </w:rPr>
        <w:t>nc</w:t>
      </w:r>
      <w:r w:rsidR="001D3DCE" w:rsidRPr="001D3DCE">
        <w:rPr>
          <w:rStyle w:val="LineNumber"/>
        </w:rPr>
        <w:t>e</w:t>
      </w:r>
      <w:r w:rsidR="001D3DCE">
        <w:rPr>
          <w:rStyle w:val="LineNumber"/>
        </w:rPr>
        <w:t xml:space="preserve"> </w:t>
      </w:r>
      <w:r w:rsidR="001D3DCE" w:rsidRPr="001D3DCE">
        <w:rPr>
          <w:rStyle w:val="LineNumber"/>
        </w:rPr>
        <w:t xml:space="preserve">the antibiotics will be well distributed </w:t>
      </w:r>
      <w:r w:rsidR="001D3DCE">
        <w:rPr>
          <w:rStyle w:val="LineNumber"/>
        </w:rPr>
        <w:t>by the mixing</w:t>
      </w:r>
      <w:r w:rsidR="004A126E">
        <w:rPr>
          <w:rStyle w:val="LineNumber"/>
        </w:rPr>
        <w:t>,</w:t>
      </w:r>
      <w:r w:rsidR="001D3DCE">
        <w:rPr>
          <w:rStyle w:val="LineNumber"/>
        </w:rPr>
        <w:t xml:space="preserve"> </w:t>
      </w:r>
      <w:r w:rsidR="001D3DCE" w:rsidRPr="001D3DCE">
        <w:rPr>
          <w:rStyle w:val="LineNumber"/>
        </w:rPr>
        <w:t>but when the rate of spread of antibiotics is limited by diffusion</w:t>
      </w:r>
      <w:r w:rsidR="004A126E">
        <w:rPr>
          <w:rStyle w:val="LineNumber"/>
        </w:rPr>
        <w:t>,</w:t>
      </w:r>
      <w:r w:rsidR="001D3DCE" w:rsidRPr="001D3DCE">
        <w:rPr>
          <w:rStyle w:val="LineNumber"/>
        </w:rPr>
        <w:t xml:space="preserve"> then the spatial distribution </w:t>
      </w:r>
      <w:r w:rsidR="004A126E">
        <w:rPr>
          <w:rStyle w:val="LineNumber"/>
        </w:rPr>
        <w:t>becomes</w:t>
      </w:r>
      <w:r w:rsidR="001D3DCE" w:rsidRPr="001D3DCE">
        <w:rPr>
          <w:rStyle w:val="LineNumber"/>
        </w:rPr>
        <w:t xml:space="preserve"> </w:t>
      </w:r>
      <w:r w:rsidR="004A126E">
        <w:rPr>
          <w:rStyle w:val="LineNumber"/>
        </w:rPr>
        <w:t>significant</w:t>
      </w:r>
      <w:r w:rsidR="001D3DCE" w:rsidRPr="001D3DCE">
        <w:rPr>
          <w:rStyle w:val="LineNumber"/>
        </w:rPr>
        <w:t xml:space="preserve">. </w:t>
      </w:r>
      <w:bookmarkEnd w:id="2"/>
    </w:p>
    <w:p w14:paraId="68826724" w14:textId="780CC651" w:rsidR="00043130" w:rsidRDefault="00A660DF" w:rsidP="002D7F83">
      <w:pPr>
        <w:spacing w:line="480" w:lineRule="auto"/>
        <w:ind w:firstLine="720"/>
        <w:rPr>
          <w:rStyle w:val="LineNumber"/>
        </w:rPr>
      </w:pPr>
      <w:r>
        <w:rPr>
          <w:rStyle w:val="LineNumber"/>
        </w:rPr>
        <w:lastRenderedPageBreak/>
        <w:t>T</w:t>
      </w:r>
      <w:r w:rsidR="00F77783">
        <w:rPr>
          <w:rStyle w:val="LineNumber"/>
        </w:rPr>
        <w:t xml:space="preserve">he </w:t>
      </w:r>
      <w:r>
        <w:rPr>
          <w:rStyle w:val="LineNumber"/>
        </w:rPr>
        <w:t xml:space="preserve">observed </w:t>
      </w:r>
      <w:r w:rsidR="00A603D0">
        <w:rPr>
          <w:rStyle w:val="LineNumber"/>
        </w:rPr>
        <w:t xml:space="preserve">spread of bacteria </w:t>
      </w:r>
      <w:r w:rsidR="00166867">
        <w:rPr>
          <w:rStyle w:val="LineNumber"/>
        </w:rPr>
        <w:t>from the discs</w:t>
      </w:r>
      <w:r w:rsidR="00043130">
        <w:rPr>
          <w:rStyle w:val="LineNumber"/>
        </w:rPr>
        <w:t xml:space="preserve"> over the surrounding agar </w:t>
      </w:r>
      <w:r>
        <w:rPr>
          <w:rStyle w:val="LineNumber"/>
        </w:rPr>
        <w:t xml:space="preserve">appears </w:t>
      </w:r>
      <w:r w:rsidR="00043130">
        <w:rPr>
          <w:rStyle w:val="LineNumber"/>
        </w:rPr>
        <w:t xml:space="preserve">similar to how </w:t>
      </w:r>
      <w:r w:rsidR="00166867">
        <w:rPr>
          <w:rStyle w:val="LineNumber"/>
        </w:rPr>
        <w:t xml:space="preserve">biofilm </w:t>
      </w:r>
      <w:r w:rsidR="00A603D0">
        <w:rPr>
          <w:rStyle w:val="LineNumber"/>
        </w:rPr>
        <w:t xml:space="preserve">is thought to spread throughout </w:t>
      </w:r>
      <w:r>
        <w:rPr>
          <w:rStyle w:val="LineNumber"/>
        </w:rPr>
        <w:t>a</w:t>
      </w:r>
      <w:r w:rsidR="00A603D0">
        <w:rPr>
          <w:rStyle w:val="LineNumber"/>
        </w:rPr>
        <w:t xml:space="preserve"> joint space </w:t>
      </w:r>
      <w:r w:rsidR="00166867">
        <w:rPr>
          <w:rStyle w:val="LineNumber"/>
        </w:rPr>
        <w:t xml:space="preserve">infection </w:t>
      </w:r>
      <w:r w:rsidR="00CB1942">
        <w:rPr>
          <w:rStyle w:val="LineNumber"/>
        </w:rPr>
        <w:t>[</w:t>
      </w:r>
      <w:r w:rsidR="00166867" w:rsidRPr="00CB1942">
        <w:rPr>
          <w:rStyle w:val="LineNumber"/>
        </w:rPr>
        <w:fldChar w:fldCharType="begin" w:fldLock="1"/>
      </w:r>
      <w:r w:rsidR="003D6530">
        <w:rPr>
          <w:rStyle w:val="LineNumber"/>
        </w:rPr>
        <w:instrText>ADDIN CSL_CITATION {"citationItems":[{"id":"ITEM-1","itemData":{"DOI":"10.1111/apm.12687","ISSN":"16000463","abstract":"Many infections of the musculoskeletal system are biofilm infections that develop on non-living surfaces. Microorganisms adhere either on dead bone (sequesters) or implants. As a rule for a curative concept, chronic osteomyelitis or implant-associated bone infection must be treated with a combination of surgery and antimicrobial therapy. If an implant is kept in place, or a new device is implanted before complete healing of infection, a biofilm-active antibiotic should be used. Rifamycins are active against biofilms of staphylococci, and fluoroquinolones against those of Gram-negative bacilli. In this review, the management of chronic osteomyelitis, periprosthetic joint infection and implant-associated osteomyelitis of long bones is presented.","author":[{"dropping-particle":"","family":"Zimmerli","given":"Werner","non-dropping-particle":"","parse-names":false,"suffix":""},{"dropping-particle":"","family":"Sendi","given":"Parham","non-dropping-particle":"","parse-names":false,"suffix":""}],"container-title":"APMIS","id":"ITEM-1","issue":"4","issued":{"date-parts":[["2017"]]},"page":"353-364","title":"Orthopaedic biofilm infections","type":"article-journal","volume":"125"},"uris":["http://www.mendeley.com/documents/?uuid=cc32b3f7-d5cf-4ef2-923d-148b180640c6"]},{"id":"ITEM-2","itemData":{"ISSN":"00326518","author":[{"dropping-particle":"","family":"Jenkins","given":"Paul J.","non-dropping-particle":"","parse-names":false,"suffix":""},{"dropping-particle":"","family":"Phillips","given":"Sally Anne","non-dropping-particle":"","parse-names":false,"suffix":""},{"dropping-particle":"","family":"Gaston","given":"Paul","non-dropping-particle":"","parse-names":false,"suffix":""},{"dropping-particle":"","family":"Dave","given":"Jayshree","non-dropping-particle":"","parse-names":false,"suffix":""},{"dropping-particle":"","family":"Breusch","given":"Steffen J.","non-dropping-particle":"","parse-names":false,"suffix":""}],"container-title":"Practitioner","id":"ITEM-2","issue":"1733","issued":{"date-parts":[["2010"]]},"page":"28-32","title":"Be vigilant for secondary periprosthetic joint infection","type":"article-journal","volume":"254"},"uris":["http://www.mendeley.com/documents/?uuid=8badd7ae-f59b-44d7-8e42-615a0c6a785f"]}],"mendeley":{"formattedCitation":"&lt;sup&gt;30,31&lt;/sup&gt;","plainTextFormattedCitation":"30,31","previouslyFormattedCitation":"&lt;sup&gt;30,31&lt;/sup&gt;"},"properties":{"noteIndex":0},"schema":"https://github.com/citation-style-language/schema/raw/master/csl-citation.json"}</w:instrText>
      </w:r>
      <w:r w:rsidR="00166867" w:rsidRPr="00CB1942">
        <w:rPr>
          <w:rStyle w:val="LineNumber"/>
        </w:rPr>
        <w:fldChar w:fldCharType="separate"/>
      </w:r>
      <w:r w:rsidR="00CD7712" w:rsidRPr="00CD7712">
        <w:rPr>
          <w:rStyle w:val="LineNumber"/>
          <w:noProof/>
          <w:vertAlign w:val="superscript"/>
        </w:rPr>
        <w:t>30,31</w:t>
      </w:r>
      <w:r w:rsidR="00166867" w:rsidRPr="00CB1942">
        <w:rPr>
          <w:rStyle w:val="LineNumber"/>
        </w:rPr>
        <w:fldChar w:fldCharType="end"/>
      </w:r>
      <w:r w:rsidR="00CB1942">
        <w:rPr>
          <w:rStyle w:val="LineNumber"/>
        </w:rPr>
        <w:t>]</w:t>
      </w:r>
      <w:r w:rsidR="00A603D0">
        <w:rPr>
          <w:rStyle w:val="LineNumber"/>
        </w:rPr>
        <w:t>.</w:t>
      </w:r>
      <w:r w:rsidR="00917180">
        <w:rPr>
          <w:rStyle w:val="LineNumber"/>
        </w:rPr>
        <w:t xml:space="preserve"> </w:t>
      </w:r>
      <w:r w:rsidR="00A603D0">
        <w:rPr>
          <w:rStyle w:val="LineNumber"/>
        </w:rPr>
        <w:t xml:space="preserve">Antibiotics loaded into PMMA </w:t>
      </w:r>
      <w:r w:rsidR="00547F3C">
        <w:rPr>
          <w:rStyle w:val="LineNumber"/>
        </w:rPr>
        <w:t xml:space="preserve">cement </w:t>
      </w:r>
      <w:r w:rsidR="00302729">
        <w:rPr>
          <w:rStyle w:val="LineNumber"/>
        </w:rPr>
        <w:t xml:space="preserve">in the form of both </w:t>
      </w:r>
      <w:r w:rsidR="00A603D0">
        <w:rPr>
          <w:rStyle w:val="LineNumber"/>
        </w:rPr>
        <w:t>beads and spacers ha</w:t>
      </w:r>
      <w:r w:rsidR="00265FA4">
        <w:rPr>
          <w:rStyle w:val="LineNumber"/>
        </w:rPr>
        <w:t>ve</w:t>
      </w:r>
      <w:r w:rsidR="00A603D0">
        <w:rPr>
          <w:rStyle w:val="LineNumber"/>
        </w:rPr>
        <w:t xml:space="preserve"> been successfully used </w:t>
      </w:r>
      <w:r w:rsidR="00867C85">
        <w:rPr>
          <w:rStyle w:val="LineNumber"/>
        </w:rPr>
        <w:t xml:space="preserve">to </w:t>
      </w:r>
      <w:r w:rsidR="009C1489">
        <w:rPr>
          <w:rStyle w:val="LineNumber"/>
        </w:rPr>
        <w:t>treat</w:t>
      </w:r>
      <w:r w:rsidR="00867C85">
        <w:rPr>
          <w:rStyle w:val="LineNumber"/>
        </w:rPr>
        <w:t xml:space="preserve"> PJI for many years</w:t>
      </w:r>
      <w:r w:rsidR="00CB1942">
        <w:rPr>
          <w:rStyle w:val="LineNumber"/>
        </w:rPr>
        <w:t xml:space="preserve"> [</w:t>
      </w:r>
      <w:r w:rsidR="00424F94" w:rsidRPr="00CB1942">
        <w:rPr>
          <w:rStyle w:val="LineNumber"/>
        </w:rPr>
        <w:fldChar w:fldCharType="begin" w:fldLock="1"/>
      </w:r>
      <w:r w:rsidR="003D6530">
        <w:rPr>
          <w:rStyle w:val="LineNumber"/>
        </w:rPr>
        <w:instrText>ADDIN CSL_CITATION {"citationItems":[{"id":"ITEM-1","itemData":{"DOI":"10.1097/01.blo.0000143806.72379.7d","ISSN":"15281132","abstract":"The use of antibiotic-loaded bone cement is an accepted treatment method for infected joint arthroplasties. It is helpful to separate the use of antibiotic-loaded bone cement as a method of prophylaxis as compared with the treatment of an established infection. A low dose of antibiotic-loaded bone cement (≤ 1 g of antibiotic per batch of cement) should be used for prophylaxis, and high-dose antibiotic-loaded bone cement (&gt; 1 g antibiotic per batch of cement) is indicated for treatment. The only commercially available antibiotic-loaded bone cement products are low dose, with the use of tobramycin or gentamicin as an antibiotic selection. High-dose antibiotic-loaded bone cement requires hand mixing by the surgeon to facilitate the use of high dosages and choices of multiple antibiotics. Treatment of infected hip and knee arthroplasties with high-dose antibiotic-loaded bone cement is aided by the use of spacers of various shapes and sizes. These spacers, whether they are static or articulating (mobile), are meant to provide local delivery of antibiotics, stabilization of soft tissues, facilitation of an easier reimplantation, and improved clinical outcomes.","author":[{"dropping-particle":"","family":"Hanssen","given":"Arlen D.","non-dropping-particle":"","parse-names":false,"suffix":""},{"dropping-particle":"","family":"Spangehl","given":"Mark J.","non-dropping-particle":"","parse-names":false,"suffix":""}],"container-title":"Clinical Orthopaedics and Related Research","id":"ITEM-1","issued":{"date-parts":[["2004"]]},"page":"79-85","title":"Practical applications of antibiotic-loaded bone cement for treatment of infected joint replacements","type":"article-journal","volume":"427"},"uris":["http://www.mendeley.com/documents/?uuid=3484f841-1e32-4864-ac50-4f1b92c44fe0"]}],"mendeley":{"formattedCitation":"&lt;sup&gt;25&lt;/sup&gt;","plainTextFormattedCitation":"25","previouslyFormattedCitation":"&lt;sup&gt;25&lt;/sup&gt;"},"properties":{"noteIndex":0},"schema":"https://github.com/citation-style-language/schema/raw/master/csl-citation.json"}</w:instrText>
      </w:r>
      <w:r w:rsidR="00424F94" w:rsidRPr="00CB1942">
        <w:rPr>
          <w:rStyle w:val="LineNumber"/>
        </w:rPr>
        <w:fldChar w:fldCharType="separate"/>
      </w:r>
      <w:r w:rsidR="00CD7712" w:rsidRPr="00CD7712">
        <w:rPr>
          <w:rStyle w:val="LineNumber"/>
          <w:noProof/>
          <w:vertAlign w:val="superscript"/>
        </w:rPr>
        <w:t>25</w:t>
      </w:r>
      <w:r w:rsidR="00424F94" w:rsidRPr="00CB1942">
        <w:rPr>
          <w:rStyle w:val="LineNumber"/>
        </w:rPr>
        <w:fldChar w:fldCharType="end"/>
      </w:r>
      <w:r w:rsidR="00CB1942">
        <w:rPr>
          <w:rStyle w:val="LineNumber"/>
        </w:rPr>
        <w:t>]</w:t>
      </w:r>
      <w:r w:rsidR="00F77783" w:rsidRPr="00CB1942">
        <w:rPr>
          <w:rStyle w:val="LineNumber"/>
        </w:rPr>
        <w:t>.</w:t>
      </w:r>
      <w:r w:rsidR="00A44F5D">
        <w:rPr>
          <w:rStyle w:val="LineNumber"/>
        </w:rPr>
        <w:t xml:space="preserve"> </w:t>
      </w:r>
      <w:r w:rsidR="00626E59">
        <w:rPr>
          <w:rStyle w:val="LineNumber"/>
        </w:rPr>
        <w:t>However,</w:t>
      </w:r>
      <w:r w:rsidR="009C1489">
        <w:rPr>
          <w:rStyle w:val="LineNumber"/>
        </w:rPr>
        <w:t xml:space="preserve"> there are limitations to the use of PMMA alone with respect to the release of local antibiotics at a surgical site</w:t>
      </w:r>
      <w:r w:rsidR="00204EBA">
        <w:rPr>
          <w:rStyle w:val="LineNumber"/>
        </w:rPr>
        <w:t>.</w:t>
      </w:r>
      <w:r w:rsidR="00302729">
        <w:rPr>
          <w:rStyle w:val="LineNumber"/>
        </w:rPr>
        <w:t xml:space="preserve"> </w:t>
      </w:r>
      <w:r w:rsidR="00204EBA">
        <w:rPr>
          <w:rStyle w:val="LineNumber"/>
        </w:rPr>
        <w:t>O</w:t>
      </w:r>
      <w:r w:rsidR="009C1489">
        <w:rPr>
          <w:rStyle w:val="LineNumber"/>
        </w:rPr>
        <w:t xml:space="preserve">nce </w:t>
      </w:r>
      <w:r w:rsidR="00D16642">
        <w:rPr>
          <w:rStyle w:val="LineNumber"/>
        </w:rPr>
        <w:t xml:space="preserve">an </w:t>
      </w:r>
      <w:r w:rsidR="009C1489">
        <w:rPr>
          <w:rStyle w:val="LineNumber"/>
        </w:rPr>
        <w:t>antibiotic has eluted to below MIC levels</w:t>
      </w:r>
      <w:r w:rsidR="00302729">
        <w:rPr>
          <w:rStyle w:val="LineNumber"/>
        </w:rPr>
        <w:t xml:space="preserve">, </w:t>
      </w:r>
      <w:r w:rsidR="009C1489">
        <w:rPr>
          <w:rStyle w:val="LineNumber"/>
        </w:rPr>
        <w:t>the PMMA itself becomes a surface for bacterial biofilm formation</w:t>
      </w:r>
      <w:r w:rsidR="00CB1942">
        <w:rPr>
          <w:rStyle w:val="LineNumber"/>
        </w:rPr>
        <w:t xml:space="preserve"> [</w:t>
      </w:r>
      <w:r w:rsidR="00B2333C" w:rsidRPr="00CB1942">
        <w:rPr>
          <w:rStyle w:val="LineNumber"/>
        </w:rPr>
        <w:fldChar w:fldCharType="begin" w:fldLock="1"/>
      </w:r>
      <w:r w:rsidR="003D6530">
        <w:rPr>
          <w:rStyle w:val="LineNumber"/>
        </w:rPr>
        <w:instrText>ADDIN CSL_CITATION {"citationItems":[{"id":"ITEM-1","itemData":{"DOI":"10.1002/jor.23611","ISSN":"1554527X","abstract":"Treatment in periprosthetic joint infection (PJI) remains challenging. The failure rate of two-stage revision and irrigation and debridement with component retention in PJI suggests that biofilm cells have a high tolerance to antibiotic chemotherapy. Previous work has demonstrated that biofilm cells have high antibiotic tolerance in vitro, but there is little clinical evidence to support these observations. The aim of this study was to determine if retrieved antibiotic spacers from two-stage revision total knee arthroplasty for PJI have evidence of remaining viable bacteria. Antibiotic poly (methyl methacrylate) (PMMA) spacers from two-stage revision total knee arthroplasty for PJI were prospectively collected and analyzed for bacterial 16s rRNA using polymerase chain reaction (PCR), reverse transcription (RT)-PCR, quantitative RT-PCR (qRT-PCR), and single genome analysis (SGA). PCR and RT-PCR identified bacterial species on 53.8% (7/13) of these samples. When initial culture negative cases are excluded, 68% (6/9) samples were identified with bacterial species. A more rigorous qRT-PCR analysis showed a strong positive signal for bacterial contamination in 30.7% (4/13) of cases. These patients did not show any clinical evidence of PJI recurrence after 15 months of follow-up. Because the half-life of bacterial rRNA is approximately a few days, the identification of bacteria rRNA on antibiotic PMMA spacers suggests that viable bacteria were present after conclusion of antibiotic therapy. This study provides evidence for the high tolerance of biofilm cells to antibiotics in vivo and the important role of bacterial persisters in PJI. © 2017 Orthopaedic Research Society. Published by Wiley Periodicals, Inc. J Orthop Res 36:452–458, 2018.","author":[{"dropping-particle":"","family":"Ma","given":"Dongzhu","non-dropping-particle":"","parse-names":false,"suffix":""},{"dropping-particle":"","family":"Shanks","given":"Robert M.Q.","non-dropping-particle":"","parse-names":false,"suffix":""},{"dropping-particle":"","family":"Davis","given":"Charles M.","non-dropping-particle":"","parse-names":false,"suffix":""},{"dropping-particle":"","family":"Craft","given":"David W.","non-dropping-particle":"","parse-names":false,"suffix":""},{"dropping-particle":"","family":"Wood","given":"Thomas K.","non-dropping-particle":"","parse-names":false,"suffix":""},{"dropping-particle":"","family":"Hamlin","given":"Brian R.","non-dropping-particle":"","parse-names":false,"suffix":""},{"dropping-particle":"","family":"Urish","given":"Kenneth L.","non-dropping-particle":"","parse-names":false,"suffix":""}],"container-title":"Journal of Orthopaedic Research","id":"ITEM-1","issue":"1","issued":{"date-parts":[["2018"]]},"page":"452-458","title":"Viable bacteria persist on antibiotic spacers following two-stage revision for periprosthetic joint infection","type":"article-journal","volume":"36"},"uris":["http://www.mendeley.com/documents/?uuid=0fed7ca3-1c03-4392-9f0f-9ee64aaabcb5"]},{"id":"ITEM-2","itemData":{"DOI":"10.2106/JBJS.G.00838","ISSN":"00219355","author":[{"dropping-particle":"","family":"Stoodley","given":"Paul","non-dropping-particle":"","parse-names":false,"suffix":""},{"dropping-particle":"","family":"Nistico","given":"Laura","non-dropping-particle":"","parse-names":false,"suffix":""},{"dropping-particle":"","family":"Johnson","given":"Sandra","non-dropping-particle":"","parse-names":false,"suffix":""},{"dropping-particle":"","family":"Lasko","given":"Leslie Ann","non-dropping-particle":"","parse-names":false,"suffix":""},{"dropping-particle":"","family":"Baratz","given":"Mark","non-dropping-particle":"","parse-names":false,"suffix":""},{"dropping-particle":"","family":"Gahlot","given":"Vikram","non-dropping-particle":"","parse-names":false,"suffix":""},{"dropping-particle":"","family":"Ehrlich","given":"Garth D.","non-dropping-particle":"","parse-names":false,"suffix":""},{"dropping-particle":"","family":"Kathju","given":"Sandeep","non-dropping-particle":"","parse-names":false,"suffix":""}],"container-title":"Journal of Bone and Joint Surgery","id":"ITEM-2","issue":"8","issued":{"date-parts":[["2008"]]},"page":"1751-1758","title":"Direct demonstration of viable Staphylococcus aureus biofilms in an infected total joint arthroplasty: A case report","type":"article-journal","volume":"90"},"uris":["http://www.mendeley.com/documents/?uuid=8760750a-f976-4592-a8de-34180038e49d"]}],"mendeley":{"formattedCitation":"&lt;sup&gt;32,33&lt;/sup&gt;","plainTextFormattedCitation":"32,33","previouslyFormattedCitation":"&lt;sup&gt;32,33&lt;/sup&gt;"},"properties":{"noteIndex":0},"schema":"https://github.com/citation-style-language/schema/raw/master/csl-citation.json"}</w:instrText>
      </w:r>
      <w:r w:rsidR="00B2333C" w:rsidRPr="00CB1942">
        <w:rPr>
          <w:rStyle w:val="LineNumber"/>
        </w:rPr>
        <w:fldChar w:fldCharType="separate"/>
      </w:r>
      <w:r w:rsidR="00CD7712" w:rsidRPr="00CD7712">
        <w:rPr>
          <w:rStyle w:val="LineNumber"/>
          <w:noProof/>
          <w:vertAlign w:val="superscript"/>
        </w:rPr>
        <w:t>32,33</w:t>
      </w:r>
      <w:r w:rsidR="00B2333C" w:rsidRPr="00CB1942">
        <w:rPr>
          <w:rStyle w:val="LineNumber"/>
        </w:rPr>
        <w:fldChar w:fldCharType="end"/>
      </w:r>
      <w:r w:rsidR="00CB1942">
        <w:rPr>
          <w:rStyle w:val="LineNumber"/>
        </w:rPr>
        <w:t>]</w:t>
      </w:r>
      <w:r w:rsidR="00204EBA">
        <w:rPr>
          <w:rStyle w:val="LineNumber"/>
        </w:rPr>
        <w:t xml:space="preserve">. Further, </w:t>
      </w:r>
      <w:r w:rsidR="009C1489">
        <w:rPr>
          <w:rStyle w:val="LineNumber"/>
        </w:rPr>
        <w:t xml:space="preserve">even though retrieved PMMA spacers are still shown to elute </w:t>
      </w:r>
      <w:r w:rsidR="00F678A4">
        <w:rPr>
          <w:rStyle w:val="LineNumber"/>
        </w:rPr>
        <w:t xml:space="preserve">antibiotics </w:t>
      </w:r>
      <w:r w:rsidR="00265FA4">
        <w:rPr>
          <w:rStyle w:val="LineNumber"/>
        </w:rPr>
        <w:t xml:space="preserve">and </w:t>
      </w:r>
      <w:r w:rsidR="00F678A4">
        <w:rPr>
          <w:rStyle w:val="LineNumber"/>
        </w:rPr>
        <w:t>produce a ZOI in laboratory testing</w:t>
      </w:r>
      <w:r w:rsidR="00B2333C">
        <w:rPr>
          <w:rStyle w:val="LineNumber"/>
        </w:rPr>
        <w:t>,</w:t>
      </w:r>
      <w:r w:rsidR="00F678A4">
        <w:rPr>
          <w:rStyle w:val="LineNumber"/>
        </w:rPr>
        <w:t xml:space="preserve"> the infection </w:t>
      </w:r>
      <w:r w:rsidR="00344FB9">
        <w:rPr>
          <w:rStyle w:val="LineNumber"/>
        </w:rPr>
        <w:t>can</w:t>
      </w:r>
      <w:r w:rsidR="00F678A4">
        <w:rPr>
          <w:rStyle w:val="LineNumber"/>
        </w:rPr>
        <w:t xml:space="preserve"> persist</w:t>
      </w:r>
      <w:r w:rsidR="00344FB9">
        <w:rPr>
          <w:rStyle w:val="LineNumber"/>
        </w:rPr>
        <w:t>,</w:t>
      </w:r>
      <w:r w:rsidR="00F678A4">
        <w:rPr>
          <w:rStyle w:val="LineNumber"/>
        </w:rPr>
        <w:t xml:space="preserve"> suggesting that the zone of antimicrobial potency may be limited</w:t>
      </w:r>
      <w:r w:rsidR="00CB1942">
        <w:rPr>
          <w:rStyle w:val="LineNumber"/>
        </w:rPr>
        <w:t xml:space="preserve"> [</w:t>
      </w:r>
      <w:r w:rsidR="00B2333C" w:rsidRPr="00CB1942">
        <w:rPr>
          <w:rStyle w:val="LineNumber"/>
        </w:rPr>
        <w:fldChar w:fldCharType="begin" w:fldLock="1"/>
      </w:r>
      <w:r w:rsidR="003D6530">
        <w:rPr>
          <w:rStyle w:val="LineNumber"/>
        </w:rPr>
        <w:instrText>ADDIN CSL_CITATION {"citationItems":[{"id":"ITEM-1","itemData":{"DOI":"10.1093/femspd/ftv103","ISSN":"2049632X","abstract":"Chronic orthopedic infections are commonly caused by bacterial biofilms, which are recalcitrant to antibiotic treatment. In many cases, the revision procedure for periprosthetic joint infection or trauma cases includes the implantation of antibiotic-loaded bone cement to kill infecting bacteria via the elution of a strong local dose of antibiotic(s) at the site. While many studies have addressed the elution kinetics of both non-absorbable and absorbable bone cements both in vitro and in vivo, the potency of ALBC against pathogenic bacteria after extended implantation time is not clear. In this communication, we use two case studies, a Viridans streptococci infected total knee arthroplasty (TKA) and a MRSA-polymicrobial osteomyelitis of a distal tibial traumatic amputation (TA) to demonstrate that an antibiotic-loaded poly(methyl methacrylate) (ALPMMA) coated intermedullary rod implanted for 117 days (TKA) and three ALPMMA suture-strung beads implanted for 210 days (TA) retained killing ability against Pseudomonas aeruginosa and Staphylococcus aureus in vitro, despite different clinical efficacies. The TKA infection resolved and the patient progressed to an uneventful second stage. However, the TA infection only resolved after multiple rounds of debridement, IV vancomycin and removal of the PMMA beads and placement of vancomycin and tobramycin loaded calcium sulfate beads.","author":[{"dropping-particle":"","family":"Swearingen","given":"Matthew C.","non-dropping-particle":"","parse-names":false,"suffix":""},{"dropping-particle":"","family":"Granger","given":"Jeffrey F.","non-dropping-particle":"","parse-names":false,"suffix":""},{"dropping-particle":"","family":"Sullivan","given":"Anne","non-dropping-particle":"","parse-names":false,"suffix":""},{"dropping-particle":"","family":"Stoodley","given":"Paul","non-dropping-particle":"","parse-names":false,"suffix":""}],"container-title":"Pathogens and Disease","id":"ITEM-1","issue":"1","issued":{"date-parts":[["2016"]]},"page":"1-4","title":"Elution of antibiotics from poly(methyl methacrylate) bone cement after extended implantation does not necessarily clear the infection despite susceptibility of the clinical isolates","type":"article-journal","volume":"74"},"uris":["http://www.mendeley.com/documents/?uuid=b64a1fbf-48d3-4a3d-be2b-e88a452aaac0"]}],"mendeley":{"formattedCitation":"&lt;sup&gt;34&lt;/sup&gt;","plainTextFormattedCitation":"34","previouslyFormattedCitation":"&lt;sup&gt;34&lt;/sup&gt;"},"properties":{"noteIndex":0},"schema":"https://github.com/citation-style-language/schema/raw/master/csl-citation.json"}</w:instrText>
      </w:r>
      <w:r w:rsidR="00B2333C" w:rsidRPr="00CB1942">
        <w:rPr>
          <w:rStyle w:val="LineNumber"/>
        </w:rPr>
        <w:fldChar w:fldCharType="separate"/>
      </w:r>
      <w:r w:rsidR="00CD7712" w:rsidRPr="00CD7712">
        <w:rPr>
          <w:rStyle w:val="LineNumber"/>
          <w:noProof/>
          <w:vertAlign w:val="superscript"/>
        </w:rPr>
        <w:t>34</w:t>
      </w:r>
      <w:r w:rsidR="00B2333C" w:rsidRPr="00CB1942">
        <w:rPr>
          <w:rStyle w:val="LineNumber"/>
        </w:rPr>
        <w:fldChar w:fldCharType="end"/>
      </w:r>
      <w:r w:rsidR="00CB1942">
        <w:rPr>
          <w:rStyle w:val="LineNumber"/>
        </w:rPr>
        <w:t>]</w:t>
      </w:r>
      <w:r w:rsidR="0059291E">
        <w:rPr>
          <w:rStyle w:val="LineNumber"/>
        </w:rPr>
        <w:t>.</w:t>
      </w:r>
    </w:p>
    <w:p w14:paraId="61B6CF6C" w14:textId="439A9CE3" w:rsidR="007C0E0A" w:rsidRPr="00030B46" w:rsidRDefault="00344FB9" w:rsidP="00043130">
      <w:pPr>
        <w:spacing w:line="480" w:lineRule="auto"/>
        <w:ind w:firstLine="720"/>
        <w:rPr>
          <w:rStyle w:val="LineNumber"/>
        </w:rPr>
      </w:pPr>
      <w:r>
        <w:rPr>
          <w:rStyle w:val="LineNumber"/>
        </w:rPr>
        <w:t xml:space="preserve">Antibiotic loaded PMMA beads have been used to </w:t>
      </w:r>
      <w:r w:rsidR="00D43125">
        <w:rPr>
          <w:rStyle w:val="LineNumber"/>
        </w:rPr>
        <w:t xml:space="preserve">increase </w:t>
      </w:r>
      <w:r>
        <w:rPr>
          <w:rStyle w:val="LineNumber"/>
        </w:rPr>
        <w:t xml:space="preserve">the </w:t>
      </w:r>
      <w:r w:rsidR="00D43125">
        <w:rPr>
          <w:rStyle w:val="LineNumber"/>
        </w:rPr>
        <w:t xml:space="preserve">effective area </w:t>
      </w:r>
      <w:r w:rsidR="007D3E8B">
        <w:rPr>
          <w:rStyle w:val="LineNumber"/>
        </w:rPr>
        <w:t>of antibiotic</w:t>
      </w:r>
      <w:r w:rsidR="00D43125">
        <w:rPr>
          <w:rStyle w:val="LineNumber"/>
        </w:rPr>
        <w:t xml:space="preserve"> activity</w:t>
      </w:r>
      <w:r w:rsidR="00B2333C">
        <w:rPr>
          <w:rStyle w:val="LineNumber"/>
        </w:rPr>
        <w:t>,</w:t>
      </w:r>
      <w:r>
        <w:rPr>
          <w:rStyle w:val="LineNumber"/>
        </w:rPr>
        <w:t xml:space="preserve"> but </w:t>
      </w:r>
      <w:r w:rsidR="00C95011">
        <w:rPr>
          <w:rStyle w:val="LineNumber"/>
        </w:rPr>
        <w:t xml:space="preserve">they have limited penetration into small spaces and </w:t>
      </w:r>
      <w:r>
        <w:rPr>
          <w:rStyle w:val="LineNumber"/>
        </w:rPr>
        <w:t xml:space="preserve">require </w:t>
      </w:r>
      <w:r w:rsidR="00166867">
        <w:rPr>
          <w:rStyle w:val="LineNumber"/>
        </w:rPr>
        <w:t xml:space="preserve">surgical </w:t>
      </w:r>
      <w:r>
        <w:rPr>
          <w:rStyle w:val="LineNumber"/>
        </w:rPr>
        <w:t>removal</w:t>
      </w:r>
      <w:r w:rsidR="00C95011">
        <w:rPr>
          <w:rStyle w:val="LineNumber"/>
        </w:rPr>
        <w:t xml:space="preserve">. </w:t>
      </w:r>
      <w:r w:rsidR="00EA6FCD">
        <w:rPr>
          <w:rStyle w:val="LineNumber"/>
        </w:rPr>
        <w:t>Additionally</w:t>
      </w:r>
      <w:r w:rsidR="00C95011">
        <w:rPr>
          <w:rStyle w:val="LineNumber"/>
        </w:rPr>
        <w:t>,</w:t>
      </w:r>
      <w:r>
        <w:rPr>
          <w:rStyle w:val="LineNumber"/>
        </w:rPr>
        <w:t xml:space="preserve"> their relatively large size (</w:t>
      </w:r>
      <w:r>
        <w:rPr>
          <w:rStyle w:val="LineNumber"/>
          <w:rFonts w:cs="Times New Roman"/>
        </w:rPr>
        <w:t>~</w:t>
      </w:r>
      <w:r>
        <w:rPr>
          <w:rStyle w:val="LineNumber"/>
        </w:rPr>
        <w:t>1cm diameter</w:t>
      </w:r>
      <w:r w:rsidR="009E061B">
        <w:rPr>
          <w:rStyle w:val="LineNumber"/>
        </w:rPr>
        <w:t>) limits the</w:t>
      </w:r>
      <w:r w:rsidR="00166867">
        <w:rPr>
          <w:rStyle w:val="LineNumber"/>
        </w:rPr>
        <w:t xml:space="preserve"> number that can be packed</w:t>
      </w:r>
      <w:r w:rsidR="009E061B">
        <w:rPr>
          <w:rStyle w:val="LineNumber"/>
        </w:rPr>
        <w:t xml:space="preserve"> </w:t>
      </w:r>
      <w:r w:rsidR="00B2333C">
        <w:rPr>
          <w:rStyle w:val="LineNumber"/>
        </w:rPr>
        <w:t>in</w:t>
      </w:r>
      <w:r w:rsidR="00166867">
        <w:rPr>
          <w:rStyle w:val="LineNumber"/>
        </w:rPr>
        <w:t>to</w:t>
      </w:r>
      <w:r w:rsidR="009E061B">
        <w:rPr>
          <w:rStyle w:val="LineNumber"/>
        </w:rPr>
        <w:t xml:space="preserve"> a given volume. </w:t>
      </w:r>
      <w:r w:rsidR="00D16642">
        <w:rPr>
          <w:rStyle w:val="LineNumber"/>
        </w:rPr>
        <w:t xml:space="preserve">In contrast, </w:t>
      </w:r>
      <w:r w:rsidR="00464BD7">
        <w:rPr>
          <w:rStyle w:val="LineNumber"/>
        </w:rPr>
        <w:t>ALCS-B</w:t>
      </w:r>
      <w:r w:rsidR="00141ECF">
        <w:rPr>
          <w:rFonts w:ascii="Times New Roman" w:hAnsi="Times New Roman" w:cs="Times New Roman"/>
        </w:rPr>
        <w:t xml:space="preserve"> allow for the </w:t>
      </w:r>
      <w:r w:rsidR="00EE1830">
        <w:rPr>
          <w:rFonts w:ascii="Times New Roman" w:hAnsi="Times New Roman" w:cs="Times New Roman"/>
        </w:rPr>
        <w:t xml:space="preserve">rapid, </w:t>
      </w:r>
      <w:r w:rsidR="00141ECF">
        <w:rPr>
          <w:rFonts w:ascii="Times New Roman" w:hAnsi="Times New Roman" w:cs="Times New Roman"/>
        </w:rPr>
        <w:t>full release of antibiotic</w:t>
      </w:r>
      <w:r w:rsidR="00A44F5D">
        <w:rPr>
          <w:rFonts w:ascii="Times New Roman" w:hAnsi="Times New Roman" w:cs="Times New Roman"/>
        </w:rPr>
        <w:t>s</w:t>
      </w:r>
      <w:r w:rsidR="00CB1942">
        <w:rPr>
          <w:rFonts w:ascii="Times New Roman" w:hAnsi="Times New Roman" w:cs="Times New Roman"/>
        </w:rPr>
        <w:t xml:space="preserve"> [</w:t>
      </w:r>
      <w:r w:rsidR="00F860A9" w:rsidRPr="00CB1942">
        <w:rPr>
          <w:rFonts w:ascii="Times New Roman" w:hAnsi="Times New Roman" w:cs="Times New Roman"/>
        </w:rPr>
        <w:fldChar w:fldCharType="begin" w:fldLock="1"/>
      </w:r>
      <w:r w:rsidR="003D6530">
        <w:rPr>
          <w:rFonts w:ascii="Times New Roman" w:hAnsi="Times New Roman" w:cs="Times New Roman"/>
        </w:rPr>
        <w:instrText>ADDIN CSL_CITATION {"citationItems":[{"id":"ITEM-1","itemData":{"DOI":"10.1016/j.jconrel.2017.01.005","ISSN":"18734995","abstract":"Antibiotic loaded cement beads are commonly used for the treatment of biofilm related orthopaedic periprosthetic infections; however the effects of antibiotic loading and exposure of beads to body fluids on release kinetics are unclear. The purpose of this study was to determine the effects of (i) antibiotic loading density (ii) loading amount (iii) material type and (iv) exposure to body fluids (blood or synovial fluid) on release kinetics and efficacy of antibiotics against planktonic and lawn biofilm bacteria. Short-term release into an agar gel was evaluated using a fluorescent tracer (fluorescein) incorporated in the carrier materials calcium sulfate (CaSO4) and poly methyl methacrylate (PMMA). Different fluorescein concentrations in CaSO4 beads were evaluated. Mechanical properties of fluorescein-incorporated beads were analyzed. Efficacy of the antibiotics vancomycin (VAN) or tobramycin (TOB) alone and in combination was evaluated against lawn biofilms of bioluminescent strains of Staphylococcus aureus and Pseudomonas aeruginosa. Zones of inhibition of cultures (ZOI) were measured visually and using an in-vivo imaging system (IVIS). The influence of body fluids on release was assessed using CaSO4 beads that contained fluorescein or antibiotics and were pre-coated with human blood or synovial fluid. The spread from the beads followed a square root of time relationship in all cases. The loading concentration had no influence on short-term fluorescein release and pre-coating of beads with body fluids did not affect short-term release or antibacterial activity. Compared to PMMA, CaSO4 had a more rapid short term rate of elution and activity against planktonic and lawn biofilms. This study highlights the importance of considering antibiotic loading and packing density when investigating the clinical application of bone cements for infection management.","author":[{"dropping-particle":"","family":"Dusane","given":"Devendra H.","non-dropping-particle":"","parse-names":false,"suffix":""},{"dropping-particle":"","family":"Diamond","given":"Scott M.","non-dropping-particle":"","parse-names":false,"suffix":""},{"dropping-particle":"","family":"Knecht","given":"Cory S.","non-dropping-particle":"","parse-names":false,"suffix":""},{"dropping-particle":"","family":"Farrar","given":"Nicholas R.","non-dropping-particle":"","parse-names":false,"suffix":""},{"dropping-particle":"","family":"Peters","given":"Casey W.","non-dropping-particle":"","parse-names":false,"suffix":""},{"dropping-particle":"","family":"Howlin","given":"Robert P.","non-dropping-particle":"","parse-names":false,"suffix":""},{"dropping-particle":"","family":"Swearingen","given":"Matthew C.","non-dropping-particle":"","parse-names":false,"suffix":""},{"dropping-particle":"","family":"Calhoun","given":"Jason H.","non-dropping-particle":"","parse-names":false,"suffix":""},{"dropping-particle":"","family":"Plaut","given":"Roger D.","non-dropping-particle":"","parse-names":false,"suffix":""},{"dropping-particle":"","family":"Nocera","given":"Tanya M.","non-dropping-particle":"","parse-names":false,"suffix":""},{"dropping-particle":"","family":"Granger","given":"Jeffrey F.","non-dropping-particle":"","parse-names":false,"suffix":""},{"dropping-particle":"","family":"Stoodley","given":"Paul","non-dropping-particle":"","parse-names":false,"suffix":""}],"container-title":"Journal of Controlled Release","id":"ITEM-1","issued":{"date-parts":[["2017"]]},"page":"24-32","publisher":"The Authors","title":"Effects of loading concentration, blood and synovial fluid on antibiotic release and anti-biofilm activity of bone cement beads","type":"article-journal","volume":"248"},"uris":["http://www.mendeley.com/documents/?uuid=a1974cf9-74da-403c-9039-a01a5ecf67f3"]}],"mendeley":{"formattedCitation":"&lt;sup&gt;22&lt;/sup&gt;","plainTextFormattedCitation":"22","previouslyFormattedCitation":"&lt;sup&gt;22&lt;/sup&gt;"},"properties":{"noteIndex":0},"schema":"https://github.com/citation-style-language/schema/raw/master/csl-citation.json"}</w:instrText>
      </w:r>
      <w:r w:rsidR="00F860A9" w:rsidRPr="00CB1942">
        <w:rPr>
          <w:rFonts w:ascii="Times New Roman" w:hAnsi="Times New Roman" w:cs="Times New Roman"/>
        </w:rPr>
        <w:fldChar w:fldCharType="separate"/>
      </w:r>
      <w:r w:rsidR="00CD7712" w:rsidRPr="00CD7712">
        <w:rPr>
          <w:rFonts w:ascii="Times New Roman" w:hAnsi="Times New Roman" w:cs="Times New Roman"/>
          <w:noProof/>
          <w:vertAlign w:val="superscript"/>
        </w:rPr>
        <w:t>22</w:t>
      </w:r>
      <w:r w:rsidR="00F860A9" w:rsidRPr="00CB1942">
        <w:rPr>
          <w:rFonts w:ascii="Times New Roman" w:hAnsi="Times New Roman" w:cs="Times New Roman"/>
        </w:rPr>
        <w:fldChar w:fldCharType="end"/>
      </w:r>
      <w:r w:rsidR="00CB1942">
        <w:rPr>
          <w:rFonts w:ascii="Times New Roman" w:hAnsi="Times New Roman" w:cs="Times New Roman"/>
        </w:rPr>
        <w:t>]</w:t>
      </w:r>
      <w:r w:rsidR="00EE1830" w:rsidRPr="00CB1942">
        <w:rPr>
          <w:rFonts w:ascii="Times New Roman" w:hAnsi="Times New Roman" w:cs="Times New Roman"/>
        </w:rPr>
        <w:t>,</w:t>
      </w:r>
      <w:r w:rsidR="00EE1830">
        <w:rPr>
          <w:rFonts w:ascii="Times New Roman" w:hAnsi="Times New Roman" w:cs="Times New Roman"/>
        </w:rPr>
        <w:t xml:space="preserve"> </w:t>
      </w:r>
      <w:r w:rsidR="009E061B">
        <w:rPr>
          <w:rFonts w:ascii="Times New Roman" w:hAnsi="Times New Roman" w:cs="Times New Roman"/>
        </w:rPr>
        <w:t xml:space="preserve">and our </w:t>
      </w:r>
      <w:r w:rsidR="00EE1830">
        <w:rPr>
          <w:rFonts w:ascii="Times New Roman" w:hAnsi="Times New Roman" w:cs="Times New Roman"/>
        </w:rPr>
        <w:t>visual</w:t>
      </w:r>
      <w:r w:rsidR="009E061B">
        <w:rPr>
          <w:rFonts w:ascii="Times New Roman" w:hAnsi="Times New Roman" w:cs="Times New Roman"/>
        </w:rPr>
        <w:t xml:space="preserve"> demonstration of ZOI produced by </w:t>
      </w:r>
      <w:r w:rsidR="00C95011">
        <w:rPr>
          <w:rFonts w:ascii="Times New Roman" w:hAnsi="Times New Roman" w:cs="Times New Roman"/>
        </w:rPr>
        <w:t xml:space="preserve">loaded </w:t>
      </w:r>
      <w:r w:rsidR="009E061B">
        <w:rPr>
          <w:rFonts w:ascii="Times New Roman" w:hAnsi="Times New Roman" w:cs="Times New Roman"/>
        </w:rPr>
        <w:t>PMMA spacers alone</w:t>
      </w:r>
      <w:r w:rsidR="00C95011">
        <w:rPr>
          <w:rFonts w:ascii="Times New Roman" w:hAnsi="Times New Roman" w:cs="Times New Roman"/>
        </w:rPr>
        <w:t>,</w:t>
      </w:r>
      <w:r w:rsidR="009E061B">
        <w:rPr>
          <w:rFonts w:ascii="Times New Roman" w:hAnsi="Times New Roman" w:cs="Times New Roman"/>
        </w:rPr>
        <w:t xml:space="preserve"> </w:t>
      </w:r>
      <w:r w:rsidR="00265FA4">
        <w:rPr>
          <w:rFonts w:ascii="Times New Roman" w:hAnsi="Times New Roman" w:cs="Times New Roman"/>
        </w:rPr>
        <w:t>compared to</w:t>
      </w:r>
      <w:r w:rsidR="009E061B">
        <w:rPr>
          <w:rFonts w:ascii="Times New Roman" w:hAnsi="Times New Roman" w:cs="Times New Roman"/>
        </w:rPr>
        <w:t xml:space="preserve"> spacers with ALCS-B</w:t>
      </w:r>
      <w:r w:rsidR="00D16642">
        <w:rPr>
          <w:rFonts w:ascii="Times New Roman" w:hAnsi="Times New Roman" w:cs="Times New Roman"/>
        </w:rPr>
        <w:t>,</w:t>
      </w:r>
      <w:r w:rsidR="009E061B">
        <w:rPr>
          <w:rFonts w:ascii="Times New Roman" w:hAnsi="Times New Roman" w:cs="Times New Roman"/>
        </w:rPr>
        <w:t xml:space="preserve"> </w:t>
      </w:r>
      <w:r w:rsidR="007C09ED">
        <w:rPr>
          <w:rFonts w:ascii="Times New Roman" w:hAnsi="Times New Roman" w:cs="Times New Roman"/>
        </w:rPr>
        <w:t>indicate</w:t>
      </w:r>
      <w:r w:rsidR="00D16642">
        <w:rPr>
          <w:rFonts w:ascii="Times New Roman" w:hAnsi="Times New Roman" w:cs="Times New Roman"/>
        </w:rPr>
        <w:t>s</w:t>
      </w:r>
      <w:r w:rsidR="007C09ED">
        <w:rPr>
          <w:rFonts w:ascii="Times New Roman" w:hAnsi="Times New Roman" w:cs="Times New Roman"/>
        </w:rPr>
        <w:t xml:space="preserve"> how </w:t>
      </w:r>
      <w:r w:rsidR="00EE1830">
        <w:rPr>
          <w:rStyle w:val="LineNumber"/>
        </w:rPr>
        <w:t xml:space="preserve">ALCS-B </w:t>
      </w:r>
      <w:r w:rsidR="00D16642">
        <w:rPr>
          <w:rStyle w:val="LineNumber"/>
        </w:rPr>
        <w:t>can</w:t>
      </w:r>
      <w:r w:rsidR="00030B46">
        <w:rPr>
          <w:rStyle w:val="LineNumber"/>
        </w:rPr>
        <w:t xml:space="preserve"> </w:t>
      </w:r>
      <w:r w:rsidR="00867C85">
        <w:rPr>
          <w:rStyle w:val="LineNumber"/>
        </w:rPr>
        <w:t>aid</w:t>
      </w:r>
      <w:r w:rsidR="00030B46">
        <w:rPr>
          <w:rStyle w:val="LineNumber"/>
        </w:rPr>
        <w:t xml:space="preserve"> in </w:t>
      </w:r>
      <w:r w:rsidR="009E061B">
        <w:rPr>
          <w:rStyle w:val="LineNumber"/>
        </w:rPr>
        <w:t xml:space="preserve">releasing </w:t>
      </w:r>
      <w:r w:rsidR="00030B46">
        <w:rPr>
          <w:rStyle w:val="LineNumber"/>
        </w:rPr>
        <w:t>antibiotic</w:t>
      </w:r>
      <w:r w:rsidR="009E061B">
        <w:rPr>
          <w:rStyle w:val="LineNumber"/>
        </w:rPr>
        <w:t>s</w:t>
      </w:r>
      <w:r w:rsidR="00030B46">
        <w:rPr>
          <w:rStyle w:val="LineNumber"/>
        </w:rPr>
        <w:t xml:space="preserve"> </w:t>
      </w:r>
      <w:r w:rsidR="00867C85">
        <w:rPr>
          <w:rStyle w:val="LineNumber"/>
        </w:rPr>
        <w:t xml:space="preserve">to areas </w:t>
      </w:r>
      <w:r w:rsidR="00166867">
        <w:rPr>
          <w:rStyle w:val="LineNumber"/>
        </w:rPr>
        <w:t>beyond the spacer</w:t>
      </w:r>
      <w:r w:rsidR="00030B46">
        <w:rPr>
          <w:rStyle w:val="LineNumber"/>
        </w:rPr>
        <w:t xml:space="preserve">. </w:t>
      </w:r>
    </w:p>
    <w:p w14:paraId="1E73689F" w14:textId="595FA414" w:rsidR="007E4FFA" w:rsidRPr="007E4FFA" w:rsidRDefault="00265FA4" w:rsidP="007E4FFA">
      <w:pPr>
        <w:spacing w:line="480" w:lineRule="auto"/>
        <w:ind w:firstLine="720"/>
        <w:rPr>
          <w:rFonts w:ascii="Times New Roman" w:hAnsi="Times New Roman" w:cs="Times New Roman"/>
        </w:rPr>
      </w:pPr>
      <w:r>
        <w:rPr>
          <w:rStyle w:val="LineNumber"/>
        </w:rPr>
        <w:t>We also note that</w:t>
      </w:r>
      <w:r w:rsidR="00F52BA4">
        <w:rPr>
          <w:rStyle w:val="LineNumber"/>
        </w:rPr>
        <w:t xml:space="preserve"> since the beads </w:t>
      </w:r>
      <w:r w:rsidR="00043130">
        <w:rPr>
          <w:rStyle w:val="LineNumber"/>
        </w:rPr>
        <w:t xml:space="preserve">in our study </w:t>
      </w:r>
      <w:r w:rsidR="00F52BA4">
        <w:rPr>
          <w:rStyle w:val="LineNumber"/>
        </w:rPr>
        <w:t>were</w:t>
      </w:r>
      <w:r w:rsidR="00043130">
        <w:rPr>
          <w:rStyle w:val="LineNumber"/>
        </w:rPr>
        <w:t xml:space="preserve"> deliberately</w:t>
      </w:r>
      <w:r w:rsidR="00F52BA4">
        <w:rPr>
          <w:rStyle w:val="LineNumber"/>
        </w:rPr>
        <w:t xml:space="preserve"> not positioned carefully, but rather scattered semi-randomly, ALCS-B either ended up relatively close </w:t>
      </w:r>
      <w:r w:rsidR="009E061B">
        <w:rPr>
          <w:rStyle w:val="LineNumber"/>
        </w:rPr>
        <w:t xml:space="preserve">to </w:t>
      </w:r>
      <w:r w:rsidR="00F52BA4">
        <w:rPr>
          <w:rStyle w:val="LineNumber"/>
        </w:rPr>
        <w:t xml:space="preserve">one or more of the </w:t>
      </w:r>
      <w:r w:rsidR="00B1151B">
        <w:rPr>
          <w:rStyle w:val="LineNumber"/>
        </w:rPr>
        <w:t xml:space="preserve">distant </w:t>
      </w:r>
      <w:r w:rsidR="00F52BA4">
        <w:rPr>
          <w:rStyle w:val="LineNumber"/>
        </w:rPr>
        <w:t xml:space="preserve">(3 and 5 cm) </w:t>
      </w:r>
      <w:r w:rsidR="00F0322D">
        <w:rPr>
          <w:rStyle w:val="LineNumber"/>
        </w:rPr>
        <w:t xml:space="preserve">discs </w:t>
      </w:r>
      <w:r w:rsidR="00F52BA4">
        <w:rPr>
          <w:rStyle w:val="LineNumber"/>
        </w:rPr>
        <w:t>or fell farther away. This resulted in variability</w:t>
      </w:r>
      <w:r w:rsidR="00A660DF">
        <w:rPr>
          <w:rStyle w:val="LineNumber"/>
        </w:rPr>
        <w:t xml:space="preserve"> of killing efficacy</w:t>
      </w:r>
      <w:r w:rsidR="00204EBA">
        <w:rPr>
          <w:rStyle w:val="LineNumber"/>
        </w:rPr>
        <w:t>.</w:t>
      </w:r>
      <w:r w:rsidR="00867A89">
        <w:rPr>
          <w:rStyle w:val="LineNumber"/>
        </w:rPr>
        <w:t xml:space="preserve"> </w:t>
      </w:r>
      <w:r w:rsidR="00204EBA">
        <w:rPr>
          <w:rStyle w:val="LineNumber"/>
        </w:rPr>
        <w:t>I</w:t>
      </w:r>
      <w:r w:rsidR="00F52BA4">
        <w:rPr>
          <w:rStyle w:val="LineNumber"/>
        </w:rPr>
        <w:t xml:space="preserve">f beads fell close to a </w:t>
      </w:r>
      <w:r w:rsidR="00F0322D">
        <w:rPr>
          <w:rStyle w:val="LineNumber"/>
        </w:rPr>
        <w:t>biofilm colonized disc</w:t>
      </w:r>
      <w:r w:rsidR="00F52BA4">
        <w:rPr>
          <w:rStyle w:val="LineNumber"/>
        </w:rPr>
        <w:t xml:space="preserve">, </w:t>
      </w:r>
      <w:r w:rsidR="00204EBA">
        <w:rPr>
          <w:rStyle w:val="LineNumber"/>
        </w:rPr>
        <w:t xml:space="preserve">then </w:t>
      </w:r>
      <w:r w:rsidR="00F52BA4">
        <w:rPr>
          <w:rStyle w:val="LineNumber"/>
        </w:rPr>
        <w:t xml:space="preserve">there </w:t>
      </w:r>
      <w:r w:rsidR="00A660DF">
        <w:rPr>
          <w:rStyle w:val="LineNumber"/>
        </w:rPr>
        <w:t>was</w:t>
      </w:r>
      <w:r w:rsidR="00F52BA4">
        <w:rPr>
          <w:rStyle w:val="LineNumber"/>
        </w:rPr>
        <w:t xml:space="preserve"> a significant log reduction or eradication to below detection limits, while </w:t>
      </w:r>
      <w:r w:rsidR="00F0322D">
        <w:rPr>
          <w:rStyle w:val="LineNumber"/>
        </w:rPr>
        <w:t xml:space="preserve">discs </w:t>
      </w:r>
      <w:r w:rsidR="00204EBA">
        <w:rPr>
          <w:rStyle w:val="LineNumber"/>
        </w:rPr>
        <w:t xml:space="preserve">further away from </w:t>
      </w:r>
      <w:r w:rsidR="00F52BA4">
        <w:rPr>
          <w:rStyle w:val="LineNumber"/>
        </w:rPr>
        <w:t xml:space="preserve">beads </w:t>
      </w:r>
      <w:r w:rsidR="00204EBA">
        <w:rPr>
          <w:rStyle w:val="LineNumber"/>
        </w:rPr>
        <w:t xml:space="preserve">exhibited </w:t>
      </w:r>
      <w:r w:rsidR="00F52BA4">
        <w:rPr>
          <w:rStyle w:val="LineNumber"/>
        </w:rPr>
        <w:t xml:space="preserve">less or no reduction. This </w:t>
      </w:r>
      <w:r w:rsidR="003F4957">
        <w:rPr>
          <w:rStyle w:val="LineNumber"/>
        </w:rPr>
        <w:t xml:space="preserve">spatial </w:t>
      </w:r>
      <w:r w:rsidR="00F52BA4">
        <w:rPr>
          <w:rStyle w:val="LineNumber"/>
        </w:rPr>
        <w:t xml:space="preserve">variation is evidenced </w:t>
      </w:r>
      <w:r w:rsidR="00A660DF">
        <w:rPr>
          <w:rStyle w:val="LineNumber"/>
        </w:rPr>
        <w:t>by</w:t>
      </w:r>
      <w:r w:rsidR="003F4957">
        <w:rPr>
          <w:rStyle w:val="LineNumber"/>
        </w:rPr>
        <w:t xml:space="preserve"> </w:t>
      </w:r>
      <w:r w:rsidR="00F52BA4">
        <w:rPr>
          <w:rStyle w:val="LineNumber"/>
        </w:rPr>
        <w:t>some of the large error bars (Fig. 4</w:t>
      </w:r>
      <w:r w:rsidR="0011070F">
        <w:rPr>
          <w:rStyle w:val="LineNumber"/>
        </w:rPr>
        <w:t>A-D</w:t>
      </w:r>
      <w:r w:rsidR="00F52BA4">
        <w:rPr>
          <w:rStyle w:val="LineNumber"/>
        </w:rPr>
        <w:t xml:space="preserve">) and illustrates the importance of adequate spatial coverage </w:t>
      </w:r>
      <w:r w:rsidR="00867A89">
        <w:rPr>
          <w:rStyle w:val="LineNumber"/>
        </w:rPr>
        <w:t xml:space="preserve">within </w:t>
      </w:r>
      <w:r w:rsidR="00A660DF">
        <w:rPr>
          <w:rStyle w:val="LineNumber"/>
        </w:rPr>
        <w:t xml:space="preserve">a </w:t>
      </w:r>
      <w:r w:rsidR="00867A89">
        <w:rPr>
          <w:rStyle w:val="LineNumber"/>
        </w:rPr>
        <w:t xml:space="preserve">periprosthetic joint </w:t>
      </w:r>
      <w:r w:rsidR="00A660DF">
        <w:rPr>
          <w:rStyle w:val="LineNumber"/>
        </w:rPr>
        <w:t>or other</w:t>
      </w:r>
      <w:r w:rsidR="00692CED">
        <w:rPr>
          <w:rStyle w:val="LineNumber"/>
        </w:rPr>
        <w:t xml:space="preserve"> infected surgical site</w:t>
      </w:r>
      <w:r w:rsidR="00A660DF">
        <w:rPr>
          <w:rStyle w:val="LineNumber"/>
        </w:rPr>
        <w:t>s</w:t>
      </w:r>
      <w:r w:rsidR="00F52BA4">
        <w:rPr>
          <w:rStyle w:val="LineNumber"/>
        </w:rPr>
        <w:t>.</w:t>
      </w:r>
      <w:r w:rsidR="003076D2">
        <w:rPr>
          <w:rFonts w:ascii="Times New Roman" w:hAnsi="Times New Roman"/>
        </w:rPr>
        <w:t xml:space="preserve"> </w:t>
      </w:r>
      <w:r w:rsidR="00F52BA4">
        <w:rPr>
          <w:rFonts w:ascii="Times New Roman" w:hAnsi="Times New Roman" w:cs="Times New Roman"/>
        </w:rPr>
        <w:t xml:space="preserve">Nevertheless, </w:t>
      </w:r>
      <w:r w:rsidR="00A660DF">
        <w:rPr>
          <w:rFonts w:ascii="Times New Roman" w:hAnsi="Times New Roman" w:cs="Times New Roman"/>
        </w:rPr>
        <w:t>our</w:t>
      </w:r>
      <w:r w:rsidR="007C0E0A">
        <w:rPr>
          <w:rFonts w:ascii="Times New Roman" w:hAnsi="Times New Roman" w:cs="Times New Roman"/>
        </w:rPr>
        <w:t xml:space="preserve"> </w:t>
      </w:r>
      <w:r w:rsidR="007C0E0A" w:rsidRPr="00965495">
        <w:rPr>
          <w:rFonts w:ascii="Times New Roman" w:hAnsi="Times New Roman" w:cs="Times New Roman"/>
          <w:i/>
          <w:iCs/>
        </w:rPr>
        <w:t>in vitro</w:t>
      </w:r>
      <w:r w:rsidR="007C0E0A">
        <w:rPr>
          <w:rFonts w:ascii="Times New Roman" w:hAnsi="Times New Roman" w:cs="Times New Roman"/>
        </w:rPr>
        <w:t xml:space="preserve"> </w:t>
      </w:r>
      <w:r w:rsidR="00A660DF">
        <w:rPr>
          <w:rFonts w:ascii="Times New Roman" w:hAnsi="Times New Roman" w:cs="Times New Roman"/>
        </w:rPr>
        <w:t>data as well as</w:t>
      </w:r>
      <w:r w:rsidR="007C0E0A">
        <w:rPr>
          <w:rFonts w:ascii="Times New Roman" w:hAnsi="Times New Roman" w:cs="Times New Roman"/>
        </w:rPr>
        <w:t xml:space="preserve"> those found clinic</w:t>
      </w:r>
      <w:r w:rsidR="00867A89">
        <w:rPr>
          <w:rFonts w:ascii="Times New Roman" w:hAnsi="Times New Roman" w:cs="Times New Roman"/>
        </w:rPr>
        <w:t>ally</w:t>
      </w:r>
      <w:r w:rsidR="00CB1942">
        <w:rPr>
          <w:rFonts w:ascii="Times New Roman" w:hAnsi="Times New Roman" w:cs="Times New Roman"/>
        </w:rPr>
        <w:t xml:space="preserve"> [</w:t>
      </w:r>
      <w:r w:rsidR="00F860A9" w:rsidRPr="00CB1942">
        <w:rPr>
          <w:rFonts w:ascii="Times New Roman" w:hAnsi="Times New Roman" w:cs="Times New Roman"/>
        </w:rPr>
        <w:fldChar w:fldCharType="begin" w:fldLock="1"/>
      </w:r>
      <w:r w:rsidR="003D6530">
        <w:rPr>
          <w:rFonts w:ascii="Times New Roman" w:hAnsi="Times New Roman" w:cs="Times New Roman"/>
        </w:rPr>
        <w:instrText>ADDIN CSL_CITATION {"citationItems":[{"id":"ITEM-1","itemData":{"DOI":"10.1302/2046-3758.77.bjr-2018-0043.r1","ISSN":"2046-3758","abstract":"Objectives As well as debridement and irrigation, soft-tissue coverage, and osseous stabilization, systemic antibiotic prophylaxis is considered the benchmark in the management of open fractures and considerably reduces the risk of subsequent fracture-related infections (FRI). The direct application of antibiotics in the surgical field (local antibiotics) has been used for decades as additional prophylaxis in open fractures, although definitive evidence confirming a beneficial effect is scarce. The purpose of the present study was to review the clinical evidence regarding the effect of prophylactic application of local antibiotics in open limb fractures. Methods A comprehensive literature search was performed in PubMed, Web of Science, and Embase. Cohort studies investigating the effect of additional local antibiotic prophylaxis compared with systemic prophylaxis alone in the management of open fractures were included and the data were pooled in a meta-analysis. Results In total, eight studies which included 2738 patients were eligible for quantitative synthesis. The effect of antibiotic-loaded poly(methyl methacrylate) beads was investigated by six of these studies, and two studies evaluated the effect of local antibiotics applied without a carrier. Meta-analysis showed a significantly lower infection rate when local antibiotics were applied (4.6%; 91/1986) than in the control group receiving standard systemic prophylaxis alone (16.5%; 124/752) (p &lt; 0.001) (odds ratio 0.30; 95% confidence interval 0.22 to 0.40). Conclusion This meta-analysis suggests a risk reduction in FRI of 11.9% if additional local antibiotics are given prophylactically for open limb fractures. However, due to limited quality, heterogeneity, and considerable risk of bias, the pooling of data from primary studies has to be interpreted with caution.Cite this article: M. Morgenstern, A. Vallejo, M. A. McNally, T. F. Moriarty, J. Y. Ferguson, S. Nijs, WJ. Metsemakers. Bone Joint Res 2018;7:447-456. The effect of local antibiotic prophylaxis when treating open limb fractures: A systematic review and meta-analysis. DOI: 10.1302/2046-3758.77.BJR-2018-0043.R1.","author":[{"dropping-particle":"","family":"Morgenstern","given":"M.","non-dropping-particle":"","parse-names":false,"suffix":""},{"dropping-particle":"","family":"Vallejo","given":"A.","non-dropping-particle":"","parse-names":false,"suffix":""},{"dropping-particle":"","family":"McNally","given":"M. A.","non-dropping-particle":"","parse-names":false,"suffix":""},{"dropping-particle":"","family":"Moriarty","given":"T. F.","non-dropping-particle":"","parse-names":false,"suffix":""},{"dropping-particle":"","family":"Ferguson","given":"J. Y.","non-dropping-particle":"","parse-names":false,"suffix":""},{"dropping-particle":"","family":"Nijs","given":"S.","non-dropping-particle":"","parse-names":false,"suffix":""},{"dropping-particle":"","family":"Metsemakers","given":"WJ.","non-dropping-particle":"","parse-names":false,"suffix":""}],"container-title":"Bone &amp; Joint Research","id":"ITEM-1","issue":"7","issued":{"date-parts":[["2018"]]},"page":"447-456","title":"The effect of local antibiotic prophylaxis when treating open limb fractures","type":"article-journal","volume":"7"},"uris":["http://www.mendeley.com/documents/?uuid=7b99b65f-8ac0-4b4d-a8c7-8843ffeeb3fe"]},{"id":"ITEM-2","itemData":{"DOI":"10.1111/apm.12673","ISSN":"16000463","abstract":"Bacterial biofilms are associated with a wide range of infections, from those related to exogenous devices, such as catheters or prosthetic joints, to chronic tissue infections such as those occurring in the lungs of cystic fibrosis patients. Biofilms are recalcitrant to antibiotic treatment due to multiple tolerance mechanisms (phenotypic resistance). This causes persistence of biofilm infections in spite of antibiotic exposure which predisposes to antibiotic resistance development (genetic resistance). Understanding the interplay between phenotypic and genetic resistance mechanisms acting on biofilms, as well as appreciating the diversity of environmental conditions of biofilm infections which influence the effect of antibiotics are required in order to optimize the antibiotic treatment of biofilm infections. Here, we review the current knowledge on phenotypic and genetic resistance in biofilms and describe the potential strategies for the antibiotic treatment of biofilm infections. Of note is the optimization of PK/PD parameters in biofilms, high-dose topical treatments, combined and sequential/alternate therapies or the use antibiotic adjuvants.","author":[{"dropping-particle":"","family":"Ciofu","given":"Oana","non-dropping-particle":"","parse-names":false,"suffix":""},{"dropping-particle":"","family":"Rojo-Molinero","given":"Estrella","non-dropping-particle":"","parse-names":false,"suffix":""},{"dropping-particle":"","family":"Macià","given":"María D.","non-dropping-particle":"","parse-names":false,"suffix":""},{"dropping-particle":"","family":"Oliver","given":"Antonio","non-dropping-particle":"","parse-names":false,"suffix":""}],"container-title":"APMIS","id":"ITEM-2","issue":"4","issued":{"date-parts":[["2017"]]},"page":"304-319","title":"Antibiotic treatment of biofilm infections","type":"article-journal","volume":"125"},"uris":["http://www.mendeley.com/documents/?uuid=c9cbd73d-59f5-40de-9d20-2a842abbcc4c"]}],"mendeley":{"formattedCitation":"&lt;sup&gt;17,35&lt;/sup&gt;","plainTextFormattedCitation":"17,35","previouslyFormattedCitation":"&lt;sup&gt;17,35&lt;/sup&gt;"},"properties":{"noteIndex":0},"schema":"https://github.com/citation-style-language/schema/raw/master/csl-citation.json"}</w:instrText>
      </w:r>
      <w:r w:rsidR="00F860A9" w:rsidRPr="00CB1942">
        <w:rPr>
          <w:rFonts w:ascii="Times New Roman" w:hAnsi="Times New Roman" w:cs="Times New Roman"/>
        </w:rPr>
        <w:fldChar w:fldCharType="separate"/>
      </w:r>
      <w:r w:rsidR="00CD7712" w:rsidRPr="00CD7712">
        <w:rPr>
          <w:rFonts w:ascii="Times New Roman" w:hAnsi="Times New Roman" w:cs="Times New Roman"/>
          <w:noProof/>
          <w:vertAlign w:val="superscript"/>
        </w:rPr>
        <w:t>17,35</w:t>
      </w:r>
      <w:r w:rsidR="00F860A9" w:rsidRPr="00CB1942">
        <w:rPr>
          <w:rFonts w:ascii="Times New Roman" w:hAnsi="Times New Roman" w:cs="Times New Roman"/>
        </w:rPr>
        <w:fldChar w:fldCharType="end"/>
      </w:r>
      <w:r w:rsidR="00CB1942">
        <w:rPr>
          <w:rFonts w:ascii="Times New Roman" w:hAnsi="Times New Roman" w:cs="Times New Roman"/>
        </w:rPr>
        <w:t>]</w:t>
      </w:r>
      <w:r w:rsidR="00867A89" w:rsidRPr="00CB1942">
        <w:rPr>
          <w:rFonts w:ascii="Times New Roman" w:hAnsi="Times New Roman" w:cs="Times New Roman"/>
        </w:rPr>
        <w:t>,</w:t>
      </w:r>
      <w:r w:rsidR="00471483">
        <w:rPr>
          <w:rFonts w:ascii="Times New Roman" w:hAnsi="Times New Roman" w:cs="Times New Roman"/>
        </w:rPr>
        <w:t xml:space="preserve"> and </w:t>
      </w:r>
      <w:r w:rsidR="00204EBA">
        <w:rPr>
          <w:rFonts w:ascii="Times New Roman" w:hAnsi="Times New Roman" w:cs="Times New Roman"/>
        </w:rPr>
        <w:lastRenderedPageBreak/>
        <w:t xml:space="preserve">data </w:t>
      </w:r>
      <w:r w:rsidR="00A660DF">
        <w:rPr>
          <w:rFonts w:ascii="Times New Roman" w:hAnsi="Times New Roman" w:cs="Times New Roman"/>
        </w:rPr>
        <w:t xml:space="preserve">from </w:t>
      </w:r>
      <w:r w:rsidR="00471483">
        <w:rPr>
          <w:rFonts w:ascii="Times New Roman" w:hAnsi="Times New Roman" w:cs="Times New Roman"/>
        </w:rPr>
        <w:t xml:space="preserve">other </w:t>
      </w:r>
      <w:r w:rsidR="00471483">
        <w:rPr>
          <w:rFonts w:ascii="Times New Roman" w:hAnsi="Times New Roman" w:cs="Times New Roman"/>
          <w:i/>
          <w:iCs/>
        </w:rPr>
        <w:t xml:space="preserve">in vitro </w:t>
      </w:r>
      <w:r w:rsidR="00471483">
        <w:rPr>
          <w:rFonts w:ascii="Times New Roman" w:hAnsi="Times New Roman" w:cs="Times New Roman"/>
        </w:rPr>
        <w:t>studies</w:t>
      </w:r>
      <w:r w:rsidR="00CB1942">
        <w:rPr>
          <w:rFonts w:ascii="Times New Roman" w:hAnsi="Times New Roman" w:cs="Times New Roman"/>
        </w:rPr>
        <w:t xml:space="preserve"> [</w:t>
      </w:r>
      <w:r w:rsidR="00F860A9" w:rsidRPr="00CB1942">
        <w:rPr>
          <w:rFonts w:ascii="Times New Roman" w:hAnsi="Times New Roman" w:cs="Times New Roman"/>
        </w:rPr>
        <w:fldChar w:fldCharType="begin" w:fldLock="1"/>
      </w:r>
      <w:r w:rsidR="003D6530">
        <w:rPr>
          <w:rFonts w:ascii="Times New Roman" w:hAnsi="Times New Roman" w:cs="Times New Roman"/>
        </w:rPr>
        <w:instrText>ADDIN CSL_CITATION {"citationItems":[{"id":"ITEM-1","itemData":{"DOI":"10.1128/AAC.03676-14","ISSN":"10986596","abstract":"Periprosthetic infection (PI) causes significant morbidity and mortality after fixation and joint arthroplasty and has been extensively linked to the formation of bacterial biofilms. Poly(methyl methacrylate) (PMMA), as a cement or as beads, is commonly used for antibiotic release to the site of infection but displays variable elution kinetics and also represents a potential nidus for infection, therefore requiring surgical removal once antibiotics have eluted. Absorbable cements have shown improved elution of a wider range of antibiotics, crucially, complete biodegradation, but limited data exist as to their antimicrobial and antibiofilm efficacy. Synthetic calcium sulfate beads loaded with tobramycin, vancomycin, or van-comycin-tobramycin dual treatment (in a 1:0.24 [wt/wt] ratio) were assessed for their abilities to eradicate planktonic me-thicillin-resistant Staphylococcus aureus (MRSA) and Staphylococcus epidermidis relative to that of PMMA beads. The ability of the calcium sulfate beads to prevent biofilm formation over multiple days and to eradicate preformed biofilms was studied using a combination of viable cell counts, confocal microscopy, and scanning electron microscopy of the bead surface. Biofilm bacteria displayed a greater tolerance to the antibiotics than their planktonic counterparts. Antibiotic-loaded beads were able to kill planktonic cultures of 106 CFU/ml, prevent bacterial colonization, and significantly reduce biofilm formation over multiple days. However, established biofilms were harder to eradicate. These data further demonstrate the difficulty in clearing established biofilms; therefore, early preventive measures are key to reducing the risk of PI. Synthetic calcium sulfate loaded with antibiotics has the potential to reduce or eliminate biofilm formation on adjacent periprosthetic tissue and prosthesis material, thus, to reduce the rates of periprosthetic infection.","author":[{"dropping-particle":"","family":"Howlin","given":"R. P.","non-dropping-particle":"","parse-names":false,"suffix":""},{"dropping-particle":"","family":"Brayford","given":"M. J.","non-dropping-particle":"","parse-names":false,"suffix":""},{"dropping-particle":"","family":"Webb","given":"J. S.","non-dropping-particle":"","parse-names":false,"suffix":""},{"dropping-particle":"","family":"Cooper","given":"J. J.","non-dropping-particle":"","parse-names":false,"suffix":""},{"dropping-particle":"","family":"Aiken","given":"S. S.","non-dropping-particle":"","parse-names":false,"suffix":""},{"dropping-particle":"","family":"Stoodley","given":"P.","non-dropping-particle":"","parse-names":false,"suffix":""}],"container-title":"Antimicrobial Agents and Chemotherapy","id":"ITEM-1","issue":"1","issued":{"date-parts":[["2015"]]},"page":"111-120","title":"Antibiotic-loaded synthetic calcium sulfate beads for prevention of bacterial colonization and biofilm formation in periprosthetic infections","type":"article-journal","volume":"59"},"uris":["http://www.mendeley.com/documents/?uuid=5210613a-4639-4cc7-b033-5fe1ad71a9c5"]},{"id":"ITEM-2","itemData":{"DOI":"10.1088/1748-605X/12/1/015002","ISSN":"1748605X","abstract":"Biofilm formation represents a key stage in the pathogenesis of prosthetic infections (PIs). More tolerant to antibiotics than their planktonic counterparts, biofilm bacteria are difficult to eradicate using conventional therapeutic regimes. A common approach in PI management is the adjunctive use of localised antibiotics in addition to systemic administration in an attempt to protect the implant from colonisation by infiltrating bacteria. This study evaluates the antibacterial and antibiofilm efficacy of antibiotic-loaded dissolvable calcium sulphate, previously shown to be effective against key gram-positive pathogens, against gram-negative species important in the establishment of chronic infection in PIs. Synthetic calcium sulfate beads loaded with tobramycin, vancomycin and both antibiotics in combination were assessed for their ability to eradicate planktonic Acinetobacter baumannii, Pseudomonas aeruginosa and Klebsiella pneumoniae strains. The efficacy of the beads in preventing biofilm formation and eliminating established biofilms over multiple days was evaluated using confocal laser scanning microscopy (CSLM) imaging combined with image analysis and viable cell counts. Beads loaded with antibiotics demonstrated effective eluting concentrations for up to 37 d depending on the bacterial strain. In the presence of repeated bacterial challenges, antibiotic-loaded beads prevented bacterial colonisation and significantly reduce biofilm formation for the duration of the assay (7 d). Complete eradication of established biofilms was more difficult with evidence of biofilm regrowth after 1 week of contact with antibiotic-loaded beads, despite data suggesting a complete kill was achieved at earlier timepoints of 24 h and 72 h in the case of K. pneumoniae and P. aeruginosa. This study provides further evidence that calcium sulfate beads loaded with vancomycin and tobramycin may be a useful adjunctive component to the successful management of PIs.","author":[{"dropping-particle":"","family":"Howlin","given":"Robert P.","non-dropping-particle":"","parse-names":false,"suffix":""},{"dropping-particle":"","family":"Winnard","given":"Christopher","non-dropping-particle":"","parse-names":false,"suffix":""},{"dropping-particle":"","family":"Frapwell","given":"Connor J.","non-dropping-particle":"","parse-names":false,"suffix":""},{"dropping-particle":"","family":"Webb","given":"Jeremy S.","non-dropping-particle":"","parse-names":false,"suffix":""},{"dropping-particle":"","family":"Cooper","given":"John J.","non-dropping-particle":"","parse-names":false,"suffix":""},{"dropping-particle":"","family":"Aiken","given":"Sean S.","non-dropping-particle":"","parse-names":false,"suffix":""},{"dropping-particle":"","family":"Stoodley","given":"Paul","non-dropping-particle":"","parse-names":false,"suffix":""}],"container-title":"Biomedical Materials (Bristol)","id":"ITEM-2","issue":"1","issued":{"date-parts":[["2017"]]},"title":"Biofilm prevention of gram-negative bacterial pathogens involved in periprosthetic infection by antibiotic-loaded calcium sulfate beads in vitro","type":"article-journal","volume":"12"},"uris":["http://www.mendeley.com/documents/?uuid=6d539b95-1484-4574-8eec-0c1036213b37"]},{"id":"ITEM-3","itemData":{"DOI":"10.3390/ma11112265","ISSN":"19961944","abstract":"15 different antibiotics were individually mixed with commercially available calcium sulfate bone void filler beads. The antibiotics were: amikacin, ceftriaxone, cefuroxime, ciprofloxacin, clindamycin, colistamethate sodium, daptomycin, gentamicin, imipenem/cilastatin, meropenem, nafcillin, rifampicin, teicoplanin, tobramycin and vancomycin. The efficacy of specific released antibiotics was validated by zone of inhibition (ZOI) testing using a modified Kirby-Bauer disk diffusion method against common periprosthetic joint infection pathogens. With a subset of experiments (daptomycin, rifampin, vancomycin alone and rifampin and vancomycin in combination), we investigated how release varied over 15 days using a repeated ZOI assay. We also tested the ability of these beads to kill biofilms formed by Staphylococcus epidermidis 35984, a prolific biofilm former. The results suggested that certain antibiotics could be combined and released from calcium sulfate with retained antibacterial efficacy. The daptomycin and rifampin plus vancomycin beads showed antimicrobial efficacy for the full 15 days of testing and vancomycin in combination with rifampin prevented resistant mutants. In the biofilm killing assay, all of the antibiotic combinations showed a significant reduction in biofilm bacteria after 24 h. The exposure time was an important factor in the amount of killing, and varied among the antibiotics.","author":[{"dropping-particle":"","family":"Laycock","given":"Phillip A.","non-dropping-particle":"","parse-names":false,"suffix":""},{"dropping-particle":"","family":"Cooper","given":"John J.","non-dropping-particle":"","parse-names":false,"suffix":""},{"dropping-particle":"","family":"Howlin","given":"Robert P.","non-dropping-particle":"","parse-names":false,"suffix":""},{"dropping-particle":"","family":"Delury","given":"Craig","non-dropping-particle":"","parse-names":false,"suffix":""},{"dropping-particle":"","family":"Aiken","given":"Sean","non-dropping-particle":"","parse-names":false,"suffix":""},{"dropping-particle":"","family":"Stoodley","given":"Paul","non-dropping-particle":"","parse-names":false,"suffix":""}],"container-title":"Materials","id":"ITEM-3","issue":"11","issued":{"date-parts":[["2018"]]},"page":"2265","title":"In vitro efficacy of antibiotics released from calcium sulfate bone void filler beads","type":"article-journal","volume":"11"},"uris":["http://www.mendeley.com/documents/?uuid=d312df86-f4a4-4bc8-82fb-962568787db5"]},{"id":"ITEM-4","itemData":{"DOI":"10.1002/jor.23903","ISSN":"1554527X","abstract":"Pulse lavage (PL) debridement and antibiotic loaded calcium sulfate beads (CS-B) are both used for the treatment of biofilm related periprosthetic joint infection (PJI). However, the efficacy of these alone and in combination for eradicating biofilm from orthopaedic metal implant surfaces is unclear. The purpose of the study was to understand the efficacy of PL and antibiotic loaded CS-B in eradicating bacterial biofilms on 316L stainless steel (SS) alone and in combination in vitro. Biofilms of bioluminescent strains of Pseudomonas aeruginosa Xen41 and a USA300 MRSA Staphylococcus aureus SAP231 were grown on SS coupons for 3 days. The coupons were either, (i) debrided for 3 s with PL, (ii) exposed to tobramycin (TOB) and vancomycin (VAN) loaded CS-B for 24 h, or (iii) exposed to both. An untreated biofilm served as a control. The amount of biofilm was measured by bioluminescence, viable plate count and confocal microscopy using live/dead staining. PL alone reduced the CFU count of both strains of biofilms by approximately 2 orders of magnitude, from an initial cell count on metal surface of approximately 10 9 CFU/cm 2 . The antibiotic loaded CS-B caused an approximate six log reduction and the combination completely eradicated viable biofilm bacteria. Bioluminescence and confocal imaging corroborated the CFU data. While PL and antibiotic loaded CS-B both significantly reduced biofilm, the combination of two was more effective than alone in removing biofilms from SS implant surfaces. © 2018 Orthopaedic Research Society. Published by Wiley Periodicals, Inc. J Orthop Res 36:2349–2354, 2018.","author":[{"dropping-particle":"","family":"Knecht","given":"Cory S.","non-dropping-particle":"","parse-names":false,"suffix":""},{"dropping-particle":"","family":"Moley","given":"James P.","non-dropping-particle":"","parse-names":false,"suffix":""},{"dropping-particle":"","family":"McGrath","given":"Mary S.","non-dropping-particle":"","parse-names":false,"suffix":""},{"dropping-particle":"","family":"Granger","given":"Jeffrey F.","non-dropping-particle":"","parse-names":false,"suffix":""},{"dropping-particle":"","family":"Stoodley","given":"Paul","non-dropping-particle":"","parse-names":false,"suffix":""},{"dropping-particle":"","family":"Dusane","given":"Devendra H.","non-dropping-particle":"","parse-names":false,"suffix":""}],"container-title":"Journal of Orthopaedic Research","id":"ITEM-4","issue":"9","issued":{"date-parts":[["2018"]]},"page":"2349-2354","title":"Antibiotic loaded calcium sulfate bead and pulse lavage eradicates biofilms on metal implant materials in vitro","type":"article-journal","volume":"36"},"uris":["http://www.mendeley.com/documents/?uuid=77b2a338-d9f9-4415-80e4-f468bbc2d85c"]}],"mendeley":{"formattedCitation":"&lt;sup&gt;27,36–38&lt;/sup&gt;","plainTextFormattedCitation":"27,36–38","previouslyFormattedCitation":"&lt;sup&gt;27,36–38&lt;/sup&gt;"},"properties":{"noteIndex":0},"schema":"https://github.com/citation-style-language/schema/raw/master/csl-citation.json"}</w:instrText>
      </w:r>
      <w:r w:rsidR="00F860A9" w:rsidRPr="00CB1942">
        <w:rPr>
          <w:rFonts w:ascii="Times New Roman" w:hAnsi="Times New Roman" w:cs="Times New Roman"/>
        </w:rPr>
        <w:fldChar w:fldCharType="separate"/>
      </w:r>
      <w:r w:rsidR="00CD7712" w:rsidRPr="00CD7712">
        <w:rPr>
          <w:rFonts w:ascii="Times New Roman" w:hAnsi="Times New Roman" w:cs="Times New Roman"/>
          <w:noProof/>
          <w:vertAlign w:val="superscript"/>
        </w:rPr>
        <w:t>27,36–38</w:t>
      </w:r>
      <w:r w:rsidR="00F860A9" w:rsidRPr="00CB1942">
        <w:rPr>
          <w:rFonts w:ascii="Times New Roman" w:hAnsi="Times New Roman" w:cs="Times New Roman"/>
        </w:rPr>
        <w:fldChar w:fldCharType="end"/>
      </w:r>
      <w:r w:rsidR="00CB1942">
        <w:rPr>
          <w:rFonts w:ascii="Times New Roman" w:hAnsi="Times New Roman" w:cs="Times New Roman"/>
        </w:rPr>
        <w:t>]</w:t>
      </w:r>
      <w:r w:rsidR="007C0E0A">
        <w:rPr>
          <w:rFonts w:ascii="Times New Roman" w:hAnsi="Times New Roman" w:cs="Times New Roman"/>
        </w:rPr>
        <w:t xml:space="preserve"> </w:t>
      </w:r>
      <w:r w:rsidR="003076D2">
        <w:rPr>
          <w:rFonts w:ascii="Times New Roman" w:hAnsi="Times New Roman" w:cs="Times New Roman"/>
        </w:rPr>
        <w:t>support</w:t>
      </w:r>
      <w:r w:rsidR="007C0E0A">
        <w:rPr>
          <w:rFonts w:ascii="Times New Roman" w:hAnsi="Times New Roman" w:cs="Times New Roman"/>
        </w:rPr>
        <w:t xml:space="preserve"> </w:t>
      </w:r>
      <w:r w:rsidR="009E061B">
        <w:rPr>
          <w:rFonts w:ascii="Times New Roman" w:hAnsi="Times New Roman" w:cs="Times New Roman"/>
        </w:rPr>
        <w:t xml:space="preserve">the use of </w:t>
      </w:r>
      <w:r w:rsidR="007C0E0A">
        <w:rPr>
          <w:rFonts w:ascii="Times New Roman" w:hAnsi="Times New Roman" w:cs="Times New Roman"/>
        </w:rPr>
        <w:t>ALCS-B as a</w:t>
      </w:r>
      <w:r w:rsidR="00F52BA4">
        <w:rPr>
          <w:rFonts w:ascii="Times New Roman" w:hAnsi="Times New Roman" w:cs="Times New Roman"/>
        </w:rPr>
        <w:t xml:space="preserve">n </w:t>
      </w:r>
      <w:r w:rsidR="007C0E0A">
        <w:rPr>
          <w:rFonts w:ascii="Times New Roman" w:hAnsi="Times New Roman" w:cs="Times New Roman"/>
        </w:rPr>
        <w:t xml:space="preserve">effective means of releasing antibiotic to prevent biofilm </w:t>
      </w:r>
      <w:r w:rsidR="0011070F">
        <w:rPr>
          <w:rFonts w:ascii="Times New Roman" w:hAnsi="Times New Roman" w:cs="Times New Roman"/>
        </w:rPr>
        <w:t>spread</w:t>
      </w:r>
      <w:r w:rsidR="007C0E0A">
        <w:rPr>
          <w:rFonts w:ascii="Times New Roman" w:hAnsi="Times New Roman" w:cs="Times New Roman"/>
        </w:rPr>
        <w:t xml:space="preserve"> and kill pre-grown </w:t>
      </w:r>
      <w:r w:rsidR="003076D2">
        <w:rPr>
          <w:rFonts w:ascii="Times New Roman" w:hAnsi="Times New Roman" w:cs="Times New Roman"/>
        </w:rPr>
        <w:t xml:space="preserve">bacterial </w:t>
      </w:r>
      <w:r w:rsidR="007C0E0A">
        <w:rPr>
          <w:rFonts w:ascii="Times New Roman" w:hAnsi="Times New Roman" w:cs="Times New Roman"/>
        </w:rPr>
        <w:t>biofilms</w:t>
      </w:r>
      <w:r w:rsidR="007C0E0A" w:rsidRPr="00CB1942">
        <w:rPr>
          <w:rFonts w:ascii="Times New Roman" w:hAnsi="Times New Roman" w:cs="Times New Roman"/>
        </w:rPr>
        <w:t>.</w:t>
      </w:r>
    </w:p>
    <w:p w14:paraId="705D9276" w14:textId="4404E0B6" w:rsidR="00D7135F" w:rsidRDefault="00C52C43" w:rsidP="00E421D0">
      <w:pPr>
        <w:spacing w:line="480" w:lineRule="auto"/>
        <w:ind w:firstLine="720"/>
        <w:rPr>
          <w:rStyle w:val="LineNumber"/>
        </w:rPr>
      </w:pPr>
      <w:r>
        <w:rPr>
          <w:rFonts w:ascii="Times New Roman" w:hAnsi="Times New Roman" w:cs="Times New Roman"/>
        </w:rPr>
        <w:t>W</w:t>
      </w:r>
      <w:r w:rsidR="00582DB3">
        <w:rPr>
          <w:rFonts w:ascii="Times New Roman" w:hAnsi="Times New Roman" w:cs="Times New Roman"/>
        </w:rPr>
        <w:t>e</w:t>
      </w:r>
      <w:r w:rsidR="009E061B">
        <w:rPr>
          <w:rFonts w:ascii="Times New Roman" w:hAnsi="Times New Roman" w:cs="Times New Roman"/>
        </w:rPr>
        <w:t xml:space="preserve"> recognize</w:t>
      </w:r>
      <w:r w:rsidR="00DC5A51">
        <w:rPr>
          <w:rFonts w:ascii="Times New Roman" w:hAnsi="Times New Roman" w:cs="Times New Roman"/>
        </w:rPr>
        <w:t xml:space="preserve"> </w:t>
      </w:r>
      <w:r w:rsidR="009E061B">
        <w:rPr>
          <w:rFonts w:ascii="Times New Roman" w:hAnsi="Times New Roman" w:cs="Times New Roman"/>
        </w:rPr>
        <w:t>limitations in our study.</w:t>
      </w:r>
      <w:r w:rsidR="00CA57B8">
        <w:rPr>
          <w:rFonts w:ascii="Times New Roman" w:hAnsi="Times New Roman" w:cs="Times New Roman"/>
        </w:rPr>
        <w:t xml:space="preserve"> </w:t>
      </w:r>
      <w:r w:rsidR="00CA57B8">
        <w:rPr>
          <w:rStyle w:val="LineNumber"/>
        </w:rPr>
        <w:t>O</w:t>
      </w:r>
      <w:r w:rsidR="00CA57B8" w:rsidRPr="00CA57B8">
        <w:rPr>
          <w:rStyle w:val="LineNumber"/>
        </w:rPr>
        <w:t xml:space="preserve">ur study was </w:t>
      </w:r>
      <w:r w:rsidR="00E22827">
        <w:rPr>
          <w:rStyle w:val="LineNumber"/>
        </w:rPr>
        <w:t xml:space="preserve">conducted </w:t>
      </w:r>
      <w:r w:rsidR="00CA57B8" w:rsidRPr="00CA57B8">
        <w:rPr>
          <w:rStyle w:val="LineNumber"/>
        </w:rPr>
        <w:t>with only one bacterial strain. While we have shown similar efficacy with other Gram negative and positive species with respect to prevention and killing efficacy by antibiotics released from beads alone [</w:t>
      </w:r>
      <w:r w:rsidR="000E498B">
        <w:rPr>
          <w:rStyle w:val="LineNumber"/>
        </w:rPr>
        <w:fldChar w:fldCharType="begin" w:fldLock="1"/>
      </w:r>
      <w:r w:rsidR="003D6530">
        <w:rPr>
          <w:rStyle w:val="LineNumber"/>
        </w:rPr>
        <w:instrText>ADDIN CSL_CITATION {"citationItems":[{"id":"ITEM-1","itemData":{"DOI":"10.1088/1748-605X/12/1/015002","ISSN":"1748605X","abstract":"Biofilm formation represents a key stage in the pathogenesis of prosthetic infections (PIs). More tolerant to antibiotics than their planktonic counterparts, biofilm bacteria are difficult to eradicate using conventional therapeutic regimes. A common approach in PI management is the adjunctive use of localised antibiotics in addition to systemic administration in an attempt to protect the implant from colonisation by infiltrating bacteria. This study evaluates the antibacterial and antibiofilm efficacy of antibiotic-loaded dissolvable calcium sulphate, previously shown to be effective against key gram-positive pathogens, against gram-negative species important in the establishment of chronic infection in PIs. Synthetic calcium sulfate beads loaded with tobramycin, vancomycin and both antibiotics in combination were assessed for their ability to eradicate planktonic Acinetobacter baumannii, Pseudomonas aeruginosa and Klebsiella pneumoniae strains. The efficacy of the beads in preventing biofilm formation and eliminating established biofilms over multiple days was evaluated using confocal laser scanning microscopy (CSLM) imaging combined with image analysis and viable cell counts. Beads loaded with antibiotics demonstrated effective eluting concentrations for up to 37 d depending on the bacterial strain. In the presence of repeated bacterial challenges, antibiotic-loaded beads prevented bacterial colonisation and significantly reduce biofilm formation for the duration of the assay (7 d). Complete eradication of established biofilms was more difficult with evidence of biofilm regrowth after 1 week of contact with antibiotic-loaded beads, despite data suggesting a complete kill was achieved at earlier timepoints of 24 h and 72 h in the case of K. pneumoniae and P. aeruginosa. This study provides further evidence that calcium sulfate beads loaded with vancomycin and tobramycin may be a useful adjunctive component to the successful management of PIs.","author":[{"dropping-particle":"","family":"Howlin","given":"Robert P.","non-dropping-particle":"","parse-names":false,"suffix":""},{"dropping-particle":"","family":"Winnard","given":"Christopher","non-dropping-particle":"","parse-names":false,"suffix":""},{"dropping-particle":"","family":"Frapwell","given":"Connor J.","non-dropping-particle":"","parse-names":false,"suffix":""},{"dropping-particle":"","family":"Webb","given":"Jeremy S.","non-dropping-particle":"","parse-names":false,"suffix":""},{"dropping-particle":"","family":"Cooper","given":"John J.","non-dropping-particle":"","parse-names":false,"suffix":""},{"dropping-particle":"","family":"Aiken","given":"Sean S.","non-dropping-particle":"","parse-names":false,"suffix":""},{"dropping-particle":"","family":"Stoodley","given":"Paul","non-dropping-particle":"","parse-names":false,"suffix":""}],"container-title":"Biomedical Materials (Bristol)","id":"ITEM-1","issue":"1","issued":{"date-parts":[["2017"]]},"title":"Biofilm prevention of gram-negative bacterial pathogens involved in periprosthetic infection by antibiotic-loaded calcium sulfate beads in vitro","type":"article-journal","volume":"12"},"uris":["http://www.mendeley.com/documents/?uuid=6d539b95-1484-4574-8eec-0c1036213b37"]},{"id":"ITEM-2","itemData":{"DOI":"10.1128/AAC.03676-14","ISSN":"10986596","abstract":"Periprosthetic infection (PI) causes significant morbidity and mortality after fixation and joint arthroplasty and has been extensively linked to the formation of bacterial biofilms. Poly(methyl methacrylate) (PMMA), as a cement or as beads, is commonly used for antibiotic release to the site of infection but displays variable elution kinetics and also represents a potential nidus for infection, therefore requiring surgical removal once antibiotics have eluted. Absorbable cements have shown improved elution of a wider range of antibiotics, crucially, complete biodegradation, but limited data exist as to their antimicrobial and antibiofilm efficacy. Synthetic calcium sulfate beads loaded with tobramycin, vancomycin, or van-comycin-tobramycin dual treatment (in a 1:0.24 [wt/wt] ratio) were assessed for their abilities to eradicate planktonic me-thicillin-resistant Staphylococcus aureus (MRSA) and Staphylococcus epidermidis relative to that of PMMA beads. The ability of the calcium sulfate beads to prevent biofilm formation over multiple days and to eradicate preformed biofilms was studied using a combination of viable cell counts, confocal microscopy, and scanning electron microscopy of the bead surface. Biofilm bacteria displayed a greater tolerance to the antibiotics than their planktonic counterparts. Antibiotic-loaded beads were able to kill planktonic cultures of 106 CFU/ml, prevent bacterial colonization, and significantly reduce biofilm formation over multiple days. However, established biofilms were harder to eradicate. These data further demonstrate the difficulty in clearing established biofilms; therefore, early preventive measures are key to reducing the risk of PI. Synthetic calcium sulfate loaded with antibiotics has the potential to reduce or eliminate biofilm formation on adjacent periprosthetic tissue and prosthesis material, thus, to reduce the rates of periprosthetic infection.","author":[{"dropping-particle":"","family":"Howlin","given":"R. P.","non-dropping-particle":"","parse-names":false,"suffix":""},{"dropping-particle":"","family":"Brayford","given":"M. J.","non-dropping-particle":"","parse-names":false,"suffix":""},{"dropping-particle":"","family":"Webb","given":"J. S.","non-dropping-particle":"","parse-names":false,"suffix":""},{"dropping-particle":"","family":"Cooper","given":"J. J.","non-dropping-particle":"","parse-names":false,"suffix":""},{"dropping-particle":"","family":"Aiken","given":"S. S.","non-dropping-particle":"","parse-names":false,"suffix":""},{"dropping-particle":"","family":"Stoodley","given":"P.","non-dropping-particle":"","parse-names":false,"suffix":""}],"container-title":"Antimicrobial Agents and Chemotherapy","id":"ITEM-2","issue":"1","issued":{"date-parts":[["2015"]]},"page":"111-120","title":"Antibiotic-loaded synthetic calcium sulfate beads for prevention of bacterial colonization and biofilm formation in periprosthetic infections","type":"article-journal","volume":"59"},"uris":["http://www.mendeley.com/documents/?uuid=5210613a-4639-4cc7-b033-5fe1ad71a9c5"]}],"mendeley":{"formattedCitation":"&lt;sup&gt;27,36&lt;/sup&gt;","plainTextFormattedCitation":"27,36","previouslyFormattedCitation":"&lt;sup&gt;27,36&lt;/sup&gt;"},"properties":{"noteIndex":0},"schema":"https://github.com/citation-style-language/schema/raw/master/csl-citation.json"}</w:instrText>
      </w:r>
      <w:r w:rsidR="000E498B">
        <w:rPr>
          <w:rStyle w:val="LineNumber"/>
        </w:rPr>
        <w:fldChar w:fldCharType="separate"/>
      </w:r>
      <w:r w:rsidR="00CD7712" w:rsidRPr="00CD7712">
        <w:rPr>
          <w:rStyle w:val="LineNumber"/>
          <w:noProof/>
          <w:vertAlign w:val="superscript"/>
        </w:rPr>
        <w:t>27,36</w:t>
      </w:r>
      <w:r w:rsidR="000E498B">
        <w:rPr>
          <w:rStyle w:val="LineNumber"/>
        </w:rPr>
        <w:fldChar w:fldCharType="end"/>
      </w:r>
      <w:r w:rsidR="00CA57B8" w:rsidRPr="00CA57B8">
        <w:rPr>
          <w:rStyle w:val="LineNumber"/>
        </w:rPr>
        <w:t>], to add rigor to our conclusions, we would need to include more pathogenic species and clinical strains</w:t>
      </w:r>
      <w:r w:rsidR="00CA57B8" w:rsidRPr="007E4FFA">
        <w:rPr>
          <w:rStyle w:val="LineNumber"/>
        </w:rPr>
        <w:t xml:space="preserve">. </w:t>
      </w:r>
      <w:r w:rsidR="00751152">
        <w:rPr>
          <w:rStyle w:val="LineNumber"/>
        </w:rPr>
        <w:t xml:space="preserve">In addition, </w:t>
      </w:r>
      <w:r w:rsidR="001D3DCE">
        <w:rPr>
          <w:rStyle w:val="LineNumber"/>
        </w:rPr>
        <w:t xml:space="preserve">we used </w:t>
      </w:r>
      <w:r w:rsidR="00751152">
        <w:rPr>
          <w:rStyle w:val="LineNumber"/>
        </w:rPr>
        <w:t xml:space="preserve">a </w:t>
      </w:r>
      <w:r w:rsidR="001D3DCE">
        <w:rPr>
          <w:rStyle w:val="LineNumber"/>
        </w:rPr>
        <w:t xml:space="preserve">relatively young </w:t>
      </w:r>
      <w:r w:rsidR="00751152">
        <w:rPr>
          <w:rStyle w:val="LineNumber"/>
        </w:rPr>
        <w:t xml:space="preserve">biofilm grown for 3 days </w:t>
      </w:r>
      <w:r w:rsidR="001D3DCE">
        <w:rPr>
          <w:rStyle w:val="LineNumber"/>
        </w:rPr>
        <w:t xml:space="preserve">which may be less antibiotic tolerant </w:t>
      </w:r>
      <w:r w:rsidR="00204EBA">
        <w:rPr>
          <w:rStyle w:val="LineNumber"/>
        </w:rPr>
        <w:t xml:space="preserve">and less clinically relevant </w:t>
      </w:r>
      <w:r w:rsidR="001D3DCE">
        <w:rPr>
          <w:rStyle w:val="LineNumber"/>
        </w:rPr>
        <w:t>than more mature biofilms</w:t>
      </w:r>
      <w:r w:rsidR="00F725FF">
        <w:rPr>
          <w:rStyle w:val="LineNumber"/>
        </w:rPr>
        <w:t>.</w:t>
      </w:r>
      <w:r w:rsidR="00751152">
        <w:rPr>
          <w:rStyle w:val="LineNumber"/>
        </w:rPr>
        <w:t xml:space="preserve"> </w:t>
      </w:r>
      <w:r w:rsidR="00CA57B8" w:rsidRPr="007E4FFA">
        <w:rPr>
          <w:rStyle w:val="LineNumber"/>
        </w:rPr>
        <w:t>Also</w:t>
      </w:r>
      <w:r w:rsidR="000E498B" w:rsidRPr="007E4FFA">
        <w:rPr>
          <w:rStyle w:val="LineNumber"/>
        </w:rPr>
        <w:t xml:space="preserve">, </w:t>
      </w:r>
      <w:r w:rsidR="00CA57B8" w:rsidRPr="007E4FFA">
        <w:rPr>
          <w:rStyle w:val="LineNumber"/>
        </w:rPr>
        <w:t>o</w:t>
      </w:r>
      <w:r w:rsidR="009E061B" w:rsidRPr="007E4FFA">
        <w:rPr>
          <w:rStyle w:val="LineNumber"/>
        </w:rPr>
        <w:t xml:space="preserve">ur </w:t>
      </w:r>
      <w:r w:rsidR="009E061B" w:rsidRPr="007E4FFA">
        <w:rPr>
          <w:rStyle w:val="LineNumber"/>
          <w:i/>
          <w:iCs/>
        </w:rPr>
        <w:t xml:space="preserve">in vitro </w:t>
      </w:r>
      <w:r w:rsidR="009E061B" w:rsidRPr="007E4FFA">
        <w:rPr>
          <w:rStyle w:val="LineNumber"/>
        </w:rPr>
        <w:t xml:space="preserve">model is simplistic compared to the complex mechanical and chemical </w:t>
      </w:r>
      <w:r w:rsidR="00E421D0" w:rsidRPr="007E4FFA">
        <w:rPr>
          <w:rStyle w:val="LineNumber"/>
        </w:rPr>
        <w:t>environment</w:t>
      </w:r>
      <w:r w:rsidR="009E061B" w:rsidRPr="007E4FFA">
        <w:rPr>
          <w:rStyle w:val="LineNumber"/>
        </w:rPr>
        <w:t xml:space="preserve"> of </w:t>
      </w:r>
      <w:r w:rsidR="00E421D0" w:rsidRPr="007E4FFA">
        <w:rPr>
          <w:rStyle w:val="LineNumber"/>
        </w:rPr>
        <w:t>surrounding bones, particularly that of an articulating</w:t>
      </w:r>
      <w:r w:rsidR="001A5CF6" w:rsidRPr="007E4FFA">
        <w:rPr>
          <w:rStyle w:val="LineNumber"/>
        </w:rPr>
        <w:t xml:space="preserve"> human</w:t>
      </w:r>
      <w:r w:rsidR="009E061B" w:rsidRPr="007E4FFA">
        <w:rPr>
          <w:rStyle w:val="LineNumber"/>
        </w:rPr>
        <w:t xml:space="preserve"> joint space</w:t>
      </w:r>
      <w:r w:rsidR="001A5CF6" w:rsidRPr="007E4FFA">
        <w:rPr>
          <w:rStyle w:val="LineNumber"/>
        </w:rPr>
        <w:t>.</w:t>
      </w:r>
      <w:r w:rsidR="009C0D29" w:rsidRPr="007E4FFA">
        <w:rPr>
          <w:rStyle w:val="LineNumber"/>
        </w:rPr>
        <w:t xml:space="preserve"> </w:t>
      </w:r>
      <w:r w:rsidR="00E22827">
        <w:rPr>
          <w:rStyle w:val="LineNumber"/>
        </w:rPr>
        <w:t xml:space="preserve">By design our </w:t>
      </w:r>
      <w:r w:rsidR="00A660DF">
        <w:rPr>
          <w:rStyle w:val="LineNumber"/>
        </w:rPr>
        <w:t>model</w:t>
      </w:r>
      <w:r w:rsidR="009C0D29" w:rsidRPr="007E4FFA">
        <w:rPr>
          <w:rStyle w:val="LineNumber"/>
        </w:rPr>
        <w:t xml:space="preserve"> lack</w:t>
      </w:r>
      <w:r w:rsidR="00A660DF">
        <w:rPr>
          <w:rStyle w:val="LineNumber"/>
        </w:rPr>
        <w:t>s any</w:t>
      </w:r>
      <w:r w:rsidR="009C0D29" w:rsidRPr="007E4FFA">
        <w:rPr>
          <w:rStyle w:val="LineNumber"/>
        </w:rPr>
        <w:t xml:space="preserve"> fluid flow</w:t>
      </w:r>
      <w:r w:rsidR="00E421D0" w:rsidRPr="007E4FFA">
        <w:rPr>
          <w:rStyle w:val="LineNumber"/>
        </w:rPr>
        <w:t>,</w:t>
      </w:r>
      <w:r w:rsidR="009C0D29" w:rsidRPr="007E4FFA">
        <w:rPr>
          <w:rStyle w:val="LineNumber"/>
        </w:rPr>
        <w:t xml:space="preserve"> which would </w:t>
      </w:r>
      <w:r w:rsidR="00A660DF">
        <w:rPr>
          <w:rStyle w:val="LineNumber"/>
        </w:rPr>
        <w:t>be expected to</w:t>
      </w:r>
      <w:r w:rsidR="009C0D29" w:rsidRPr="007E4FFA">
        <w:rPr>
          <w:rStyle w:val="LineNumber"/>
        </w:rPr>
        <w:t xml:space="preserve"> enhance the spread of antibiotic from the spacer </w:t>
      </w:r>
      <w:r w:rsidR="00092C33">
        <w:rPr>
          <w:rStyle w:val="LineNumber"/>
        </w:rPr>
        <w:t>mimic</w:t>
      </w:r>
      <w:r w:rsidR="009C0D29" w:rsidRPr="007E4FFA">
        <w:rPr>
          <w:rStyle w:val="LineNumber"/>
        </w:rPr>
        <w:t xml:space="preserve"> and the ALCS-B</w:t>
      </w:r>
      <w:r w:rsidR="003D6530">
        <w:rPr>
          <w:rStyle w:val="LineNumber"/>
        </w:rPr>
        <w:t xml:space="preserve">, while </w:t>
      </w:r>
      <w:r w:rsidR="009C0D29" w:rsidRPr="007E4FFA">
        <w:rPr>
          <w:rStyle w:val="LineNumber"/>
        </w:rPr>
        <w:t>also remov</w:t>
      </w:r>
      <w:r w:rsidR="003D6530">
        <w:rPr>
          <w:rStyle w:val="LineNumber"/>
        </w:rPr>
        <w:t>ing</w:t>
      </w:r>
      <w:r w:rsidR="009C0D29" w:rsidRPr="007E4FFA">
        <w:rPr>
          <w:rStyle w:val="LineNumber"/>
        </w:rPr>
        <w:t xml:space="preserve"> antibiotic from the system</w:t>
      </w:r>
      <w:r w:rsidR="001D3DCE">
        <w:rPr>
          <w:rStyle w:val="LineNumber"/>
        </w:rPr>
        <w:t xml:space="preserve"> </w:t>
      </w:r>
      <w:r w:rsidR="003D6530">
        <w:rPr>
          <w:rStyle w:val="LineNumber"/>
        </w:rPr>
        <w:t>(</w:t>
      </w:r>
      <w:r w:rsidR="001D3DCE">
        <w:rPr>
          <w:rStyle w:val="LineNumber"/>
        </w:rPr>
        <w:t>i.e.</w:t>
      </w:r>
      <w:r w:rsidR="003D6530">
        <w:rPr>
          <w:rStyle w:val="LineNumber"/>
        </w:rPr>
        <w:t>,</w:t>
      </w:r>
      <w:r w:rsidR="001D3DCE">
        <w:rPr>
          <w:rStyle w:val="LineNumber"/>
        </w:rPr>
        <w:t xml:space="preserve"> there is no infinite sink where antibiotic can be removed from the system</w:t>
      </w:r>
      <w:r w:rsidR="003D6530">
        <w:rPr>
          <w:rStyle w:val="LineNumber"/>
        </w:rPr>
        <w:t>)</w:t>
      </w:r>
      <w:r w:rsidR="009C0D29" w:rsidRPr="007E4FFA">
        <w:rPr>
          <w:rStyle w:val="LineNumber"/>
        </w:rPr>
        <w:t xml:space="preserve">. </w:t>
      </w:r>
      <w:r w:rsidR="00E22827">
        <w:rPr>
          <w:rStyle w:val="LineNumber"/>
        </w:rPr>
        <w:t>A</w:t>
      </w:r>
      <w:r w:rsidR="009C0D29" w:rsidRPr="007E4FFA">
        <w:rPr>
          <w:rStyle w:val="LineNumber"/>
        </w:rPr>
        <w:t xml:space="preserve"> pharmacokinetic study by Hayes et al</w:t>
      </w:r>
      <w:r w:rsidR="00F23D2C" w:rsidRPr="007E4FFA">
        <w:rPr>
          <w:rStyle w:val="LineNumber"/>
        </w:rPr>
        <w:t>. [</w:t>
      </w:r>
      <w:r w:rsidR="00F25255" w:rsidRPr="007E4FFA">
        <w:rPr>
          <w:rStyle w:val="LineNumber"/>
        </w:rPr>
        <w:fldChar w:fldCharType="begin" w:fldLock="1"/>
      </w:r>
      <w:r w:rsidR="003D6530">
        <w:rPr>
          <w:rStyle w:val="LineNumber"/>
        </w:rPr>
        <w:instrText>ADDIN CSL_CITATION {"citationItems":[{"id":"ITEM-1","itemData":{"DOI":"10.1111/j.1532-950X.2014.12115.x","ISSN":"01613499","PMID":"24410710","abstract":"Objective: To investigate local and systemic pharmacokinetics of gentamicin after intra-articular implantation of a gentamicin impregnated collagen sponge (GICS) in the inflamed canine joint. Study Design: Descriptive repeated measures experimental study. Animals: Dogs (n=9). Methods: Stifle joint inflammation was caused by urate injection. Twenty-four hours later a GICS (gentamicin dose, 6mg/kg) was arthroscopically implanted. Synovial fluid and plasma gentamicin concentrations were measured for 14 days after implantation, and pharmacokinetic parameters modeled using statistical moment analyses. Results: Intra-articular gentamicin concentrations fell to sub-MIC for Staphylococcus sp. (4μg/mL) by 22.4hours (95% CI: 18.6-26.2) after sponge implantation. Cmax synovial was 2397μg/mL (95%CI: 1161-3634μg/mL) at 1.2hours (95%CI: 0.5-1.8hours). Plasma gentamicin concentrations achieved levels of Cmax plasma=8.0μg/mL (95%CI: 6.1-10.0μg/mL) at 1.5hours (95%CI: 0.8-2.1) after GICS placement and fell below target trough of 2.0μg/mL by 5.6hours (95%CI: 4.7-6.5hours) after GICS placement. Conclusions: Intra-articular gentamicin concentration after GICS placement at an IV-equivalent dose reached high levels and declined rapidly. The maximum plasma levels attained were ~1/3 of the recommended sub-toxic target for people after parenteral gentamicin administration. © 2014 by The American College of Veterinary Surgeons.","author":[{"dropping-particle":"","family":"Hayes","given":"Galina M.","non-dropping-particle":"","parse-names":false,"suffix":""},{"dropping-particle":"","family":"Gibson","given":"Thomas W.G.","non-dropping-particle":"","parse-names":false,"suffix":""},{"dropping-particle":"","family":"Moens","given":"Noel M.M.","non-dropping-particle":"","parse-names":false,"suffix":""},{"dropping-particle":"","family":"Monteiro","given":"Beatriz","non-dropping-particle":"","parse-names":false,"suffix":""},{"dropping-particle":"","family":"Johnson","given":"Ron J.","non-dropping-particle":"","parse-names":false,"suffix":""}],"container-title":"Veterinary Surgery","id":"ITEM-1","issue":"2","issued":{"date-parts":[["2014"]]},"page":"166-173","title":"Intra-Articular Pharmacokinetics of a Gentamicin Impregnated Collagen Sponge in the Canine Stifle: An Experimental Study","type":"article-journal","volume":"43"},"uris":["http://www.mendeley.com/documents/?uuid=66668c31-dd50-4c66-8073-d3ae000ba54b"]}],"mendeley":{"formattedCitation":"&lt;sup&gt;39&lt;/sup&gt;","plainTextFormattedCitation":"39","previouslyFormattedCitation":"&lt;sup&gt;39&lt;/sup&gt;"},"properties":{"noteIndex":0},"schema":"https://github.com/citation-style-language/schema/raw/master/csl-citation.json"}</w:instrText>
      </w:r>
      <w:r w:rsidR="00F25255" w:rsidRPr="007E4FFA">
        <w:rPr>
          <w:rStyle w:val="LineNumber"/>
        </w:rPr>
        <w:fldChar w:fldCharType="separate"/>
      </w:r>
      <w:r w:rsidR="00CD7712" w:rsidRPr="00CD7712">
        <w:rPr>
          <w:rStyle w:val="LineNumber"/>
          <w:noProof/>
          <w:vertAlign w:val="superscript"/>
        </w:rPr>
        <w:t>39</w:t>
      </w:r>
      <w:r w:rsidR="00F25255" w:rsidRPr="007E4FFA">
        <w:rPr>
          <w:rStyle w:val="LineNumber"/>
        </w:rPr>
        <w:fldChar w:fldCharType="end"/>
      </w:r>
      <w:r w:rsidR="00F25255" w:rsidRPr="007E4FFA">
        <w:rPr>
          <w:rStyle w:val="LineNumber"/>
        </w:rPr>
        <w:t xml:space="preserve">] </w:t>
      </w:r>
      <w:r w:rsidR="009C0D29" w:rsidRPr="007E4FFA">
        <w:rPr>
          <w:rStyle w:val="LineNumber"/>
        </w:rPr>
        <w:t xml:space="preserve">found the </w:t>
      </w:r>
      <w:r w:rsidR="00F23D2C" w:rsidRPr="007E4FFA">
        <w:rPr>
          <w:rStyle w:val="LineNumber"/>
        </w:rPr>
        <w:t xml:space="preserve">intra-articular concentration of gentamicin released from a sponge in a dog dropped rapidly from approximately 2400 µg/mL to 4 µg/mL after 22.4 hours. </w:t>
      </w:r>
      <w:r w:rsidR="00E27B0D" w:rsidRPr="007E4FFA">
        <w:rPr>
          <w:rStyle w:val="LineNumber"/>
        </w:rPr>
        <w:t xml:space="preserve">They concluded that this drop was due to vascular exchange and inflammation. </w:t>
      </w:r>
      <w:r w:rsidR="0081080C" w:rsidRPr="007E4FFA">
        <w:rPr>
          <w:rStyle w:val="LineNumber"/>
        </w:rPr>
        <w:t xml:space="preserve">However, conventional </w:t>
      </w:r>
      <w:r w:rsidR="0081080C" w:rsidRPr="007E4FFA">
        <w:rPr>
          <w:rStyle w:val="LineNumber"/>
          <w:i/>
          <w:iCs/>
        </w:rPr>
        <w:t>in vitro</w:t>
      </w:r>
      <w:r w:rsidR="0081080C" w:rsidRPr="007E4FFA">
        <w:rPr>
          <w:rStyle w:val="LineNumber"/>
        </w:rPr>
        <w:t xml:space="preserve"> studies of elution kinetics from antibiotic l</w:t>
      </w:r>
      <w:r w:rsidR="00410B6A" w:rsidRPr="007E4FFA">
        <w:rPr>
          <w:rStyle w:val="LineNumber"/>
        </w:rPr>
        <w:t>o</w:t>
      </w:r>
      <w:r w:rsidR="0081080C" w:rsidRPr="007E4FFA">
        <w:rPr>
          <w:rStyle w:val="LineNumber"/>
        </w:rPr>
        <w:t xml:space="preserve">aded depots are also oversimplified. In these </w:t>
      </w:r>
      <w:r w:rsidR="000E498B" w:rsidRPr="007E4FFA">
        <w:rPr>
          <w:rStyle w:val="LineNumber"/>
        </w:rPr>
        <w:t>studies,</w:t>
      </w:r>
      <w:r w:rsidR="0081080C" w:rsidRPr="007E4FFA">
        <w:rPr>
          <w:rStyle w:val="LineNumber"/>
        </w:rPr>
        <w:t xml:space="preserve"> the depot </w:t>
      </w:r>
      <w:r w:rsidR="00A660DF">
        <w:rPr>
          <w:rStyle w:val="LineNumber"/>
        </w:rPr>
        <w:t>is</w:t>
      </w:r>
      <w:r w:rsidR="0081080C" w:rsidRPr="007E4FFA">
        <w:rPr>
          <w:rStyle w:val="LineNumber"/>
        </w:rPr>
        <w:t xml:space="preserve"> placed into a reservoir of saline and the concentration measured periodically. In some cases there is periodic complete or partial exchange of the saline</w:t>
      </w:r>
      <w:r w:rsidR="00C80600" w:rsidRPr="007E4FFA">
        <w:rPr>
          <w:rStyle w:val="LineNumber"/>
        </w:rPr>
        <w:t xml:space="preserve"> to create an infinite sink</w:t>
      </w:r>
      <w:r w:rsidR="000E498B" w:rsidRPr="007E4FFA">
        <w:rPr>
          <w:rStyle w:val="LineNumber"/>
        </w:rPr>
        <w:t>,</w:t>
      </w:r>
      <w:r w:rsidR="00C80600" w:rsidRPr="007E4FFA">
        <w:rPr>
          <w:rStyle w:val="LineNumber"/>
        </w:rPr>
        <w:t xml:space="preserve"> </w:t>
      </w:r>
      <w:r w:rsidR="00CA57B8" w:rsidRPr="007E4FFA">
        <w:rPr>
          <w:rStyle w:val="LineNumber"/>
        </w:rPr>
        <w:t>where the flux of the released drug is not limited by its build-up in the reservoir [</w:t>
      </w:r>
      <w:r w:rsidR="00F25255" w:rsidRPr="007E4FFA">
        <w:rPr>
          <w:rStyle w:val="LineNumber"/>
        </w:rPr>
        <w:fldChar w:fldCharType="begin" w:fldLock="1"/>
      </w:r>
      <w:r w:rsidR="003D6530">
        <w:rPr>
          <w:rStyle w:val="LineNumber"/>
        </w:rPr>
        <w:instrText>ADDIN CSL_CITATION {"citationItems":[{"id":"ITEM-1","itemData":{"DOI":"10.1517/17425241003602259","ISSN":"17425247","PMID":"20331353","abstract":"Importance of the field: The advancement in material design and engineering has led to the rapid development of new materials with increasing complexity and functions. Both non-degradable and degradable polymers have found wide applications in the controlled delivery field. Studies on drug release kinetics provide important information into the function of material systems. To elucidate the detailed transport mechanism and the structure-function relationship of a material system, it is critical to bridge the gap between the macroscopic data and the transport behavior at the molecular level. Areas covered in this review: The structure and function information of selected non-degradable and degradable polymers have been collected and summarized from literature published after the 1990s. The release kinetics of selected drug compounds from various material systems is discussed in case studies. Recent progress in the mathematical models based on different transport mechanisms is highlighted. What the reader will gain: This article aims to provide an overview of structure-function relationships of selected non-degradable and degradable polymers as drug delivery matrices. Take home message: Understanding the structure-function relationship of the material system is key to the successful design of a delivery system for a particular application. Moreover, developing complex polymeric matrices requires more robust mathematical models to elucidate the solute transport mechanisms. © 2010 Informa UK Ltd.","author":[{"dropping-particle":"","family":"Fu","given":"Yao","non-dropping-particle":"","parse-names":false,"suffix":""},{"dropping-particle":"","family":"Kao","given":"Weiyuan John","non-dropping-particle":"","parse-names":false,"suffix":""}],"container-title":"Expert Opinion on Drug Delivery","id":"ITEM-1","issue":"4","issued":{"date-parts":[["2010"]]},"page":"429-444","title":"Drug release kinetics and transport mechanisms of non-degradable and degradable polymeric delivery systems","type":"article-journal","volume":"7"},"uris":["http://www.mendeley.com/documents/?uuid=aeacca98-e268-46a9-b94a-63a521e19876"]}],"mendeley":{"formattedCitation":"&lt;sup&gt;40&lt;/sup&gt;","plainTextFormattedCitation":"40","previouslyFormattedCitation":"&lt;sup&gt;40&lt;/sup&gt;"},"properties":{"noteIndex":0},"schema":"https://github.com/citation-style-language/schema/raw/master/csl-citation.json"}</w:instrText>
      </w:r>
      <w:r w:rsidR="00F25255" w:rsidRPr="007E4FFA">
        <w:rPr>
          <w:rStyle w:val="LineNumber"/>
        </w:rPr>
        <w:fldChar w:fldCharType="separate"/>
      </w:r>
      <w:r w:rsidR="00CD7712" w:rsidRPr="00CD7712">
        <w:rPr>
          <w:rStyle w:val="LineNumber"/>
          <w:noProof/>
          <w:vertAlign w:val="superscript"/>
        </w:rPr>
        <w:t>40</w:t>
      </w:r>
      <w:r w:rsidR="00F25255" w:rsidRPr="007E4FFA">
        <w:rPr>
          <w:rStyle w:val="LineNumber"/>
        </w:rPr>
        <w:fldChar w:fldCharType="end"/>
      </w:r>
      <w:r w:rsidR="00F25255" w:rsidRPr="007E4FFA">
        <w:rPr>
          <w:rStyle w:val="LineNumber"/>
        </w:rPr>
        <w:t>].</w:t>
      </w:r>
      <w:r w:rsidR="0081080C" w:rsidRPr="007E4FFA">
        <w:rPr>
          <w:rStyle w:val="LineNumber"/>
        </w:rPr>
        <w:t xml:space="preserve"> While these</w:t>
      </w:r>
      <w:r w:rsidR="00CA57B8" w:rsidRPr="007E4FFA">
        <w:rPr>
          <w:rStyle w:val="LineNumber"/>
        </w:rPr>
        <w:t xml:space="preserve"> established</w:t>
      </w:r>
      <w:r w:rsidR="0081080C" w:rsidRPr="007E4FFA">
        <w:rPr>
          <w:rStyle w:val="LineNumber"/>
        </w:rPr>
        <w:t xml:space="preserve"> kinetic studies are useful for directly comparing the release kinetics of different materials</w:t>
      </w:r>
      <w:r w:rsidR="00CA57B8" w:rsidRPr="007E4FFA">
        <w:rPr>
          <w:rStyle w:val="LineNumber"/>
        </w:rPr>
        <w:t>, and indeed have been used to demonstrate faster release from ALCS-B than from PMMA beads [</w:t>
      </w:r>
      <w:r w:rsidR="00F25255" w:rsidRPr="007E4FFA">
        <w:rPr>
          <w:rStyle w:val="LineNumber"/>
        </w:rPr>
        <w:fldChar w:fldCharType="begin" w:fldLock="1"/>
      </w:r>
      <w:r w:rsidR="003D6530">
        <w:rPr>
          <w:rStyle w:val="LineNumber"/>
        </w:rPr>
        <w:instrText>ADDIN CSL_CITATION {"citationItems":[{"id":"ITEM-1","itemData":{"DOI":"10.1002/jbm.b.33247","ISSN":"15524981","abstract":"Antibiotic-loaded bone cement is a primary option for treatment of orthopedic infections. Poly(methyl methacrylate) (PMMA) is a widely used cement that, when loaded with antibiotics in spacer or bead form, has been shown to reduce infection rates. However, PMMA is not resorbable and requires a second surgery for removal, while also acting as a potential foreign body for bacterial colonization. Alternatively, resorbable bone cements, such as calcium sulfate, have been proposed and present the advantage of being completely reabsorbed. It is unknown whether the antibiotic elution characteristics of absorbable bone cements are similar to PMMA. This study (1) characterized antibiotic elution from synthetic, highly purified calcium sulfate cement beads of varying sizes against pathogenic bacteria both in liquid culture and seeded on agar plates, (2) tested calcium sulfate beads against PMMA beads loaded with the same antibiotics, and (3) analyzed the structural differences between how PMMA and calcium sulfate bind to antibiotics. In every assay, the calcium sulfate beads performed as well as, or better than, the PMMA beads in inhibition of bacterial growth and elution of vancomycin in vitro with complete elution observed from calcium sulfate within three days. These data suggest that calcium sulfate, functions, as well as PMMA in the patient setting for infection control.","author":[{"dropping-particle":"","family":"McConoughey","given":"Stephen J.","non-dropping-particle":"","parse-names":false,"suffix":""},{"dropping-particle":"","family":"Howlin","given":"Robert P.","non-dropping-particle":"","parse-names":false,"suffix":""},{"dropping-particle":"","family":"Wiseman","given":"Jessica","non-dropping-particle":"","parse-names":false,"suffix":""},{"dropping-particle":"","family":"Stoodley","given":"Paul","non-dropping-particle":"","parse-names":false,"suffix":""},{"dropping-particle":"","family":"Calhoun","given":"Jason H.","non-dropping-particle":"","parse-names":false,"suffix":""}],"container-title":"Journal of Biomedical Materials Research - Part B Applied Biomaterials","id":"ITEM-1","issue":"4","issued":{"date-parts":[["2015"]]},"page":"870-877","title":"Comparing PMMA and calcium sulfate as carriers for the local delivery of antibiotics to infected surgical sites","type":"article-journal","volume":"103"},"uris":["http://www.mendeley.com/documents/?uuid=53c22f9e-9506-4cac-a1d3-6319b557ed21"]}],"mendeley":{"formattedCitation":"&lt;sup&gt;26&lt;/sup&gt;","plainTextFormattedCitation":"26","previouslyFormattedCitation":"&lt;sup&gt;26&lt;/sup&gt;"},"properties":{"noteIndex":0},"schema":"https://github.com/citation-style-language/schema/raw/master/csl-citation.json"}</w:instrText>
      </w:r>
      <w:r w:rsidR="00F25255" w:rsidRPr="007E4FFA">
        <w:rPr>
          <w:rStyle w:val="LineNumber"/>
        </w:rPr>
        <w:fldChar w:fldCharType="separate"/>
      </w:r>
      <w:r w:rsidR="00CD7712" w:rsidRPr="00CD7712">
        <w:rPr>
          <w:rStyle w:val="LineNumber"/>
          <w:noProof/>
          <w:vertAlign w:val="superscript"/>
        </w:rPr>
        <w:t>26</w:t>
      </w:r>
      <w:r w:rsidR="00F25255" w:rsidRPr="007E4FFA">
        <w:rPr>
          <w:rStyle w:val="LineNumber"/>
        </w:rPr>
        <w:fldChar w:fldCharType="end"/>
      </w:r>
      <w:r w:rsidR="00F25255" w:rsidRPr="007E4FFA">
        <w:rPr>
          <w:rStyle w:val="LineNumber"/>
        </w:rPr>
        <w:t>]</w:t>
      </w:r>
      <w:r w:rsidR="00CA57B8" w:rsidRPr="007E4FFA">
        <w:rPr>
          <w:rStyle w:val="LineNumber"/>
        </w:rPr>
        <w:t xml:space="preserve">, these are completely mixed systems and there are no gradients other than in the </w:t>
      </w:r>
      <w:r w:rsidR="007A15B0">
        <w:rPr>
          <w:rStyle w:val="LineNumber"/>
        </w:rPr>
        <w:t xml:space="preserve">mass </w:t>
      </w:r>
      <w:r w:rsidR="00CA57B8" w:rsidRPr="007E4FFA">
        <w:rPr>
          <w:rStyle w:val="LineNumber"/>
        </w:rPr>
        <w:t xml:space="preserve">boundary </w:t>
      </w:r>
      <w:r w:rsidR="00CA57B8" w:rsidRPr="007E4FFA">
        <w:rPr>
          <w:rStyle w:val="LineNumber"/>
        </w:rPr>
        <w:lastRenderedPageBreak/>
        <w:t xml:space="preserve">layer at the depot surface. Thus, they provide no information about how the spatial arrangement of such depots may influence the local distribution of antibiotics. </w:t>
      </w:r>
      <w:r w:rsidR="00E421D0" w:rsidRPr="007E4FFA">
        <w:rPr>
          <w:rStyle w:val="LineNumber"/>
        </w:rPr>
        <w:t>Our diffusion model represent</w:t>
      </w:r>
      <w:r w:rsidR="007A15B0">
        <w:rPr>
          <w:rStyle w:val="LineNumber"/>
        </w:rPr>
        <w:t>s</w:t>
      </w:r>
      <w:r w:rsidR="00E421D0" w:rsidRPr="007E4FFA">
        <w:rPr>
          <w:rStyle w:val="LineNumber"/>
        </w:rPr>
        <w:t xml:space="preserve"> the opposite extreme of a completely mixed system</w:t>
      </w:r>
      <w:r w:rsidR="000E498B" w:rsidRPr="007E4FFA">
        <w:rPr>
          <w:rStyle w:val="LineNumber"/>
        </w:rPr>
        <w:t xml:space="preserve">, </w:t>
      </w:r>
      <w:r w:rsidR="00E421D0" w:rsidRPr="007E4FFA">
        <w:rPr>
          <w:rStyle w:val="LineNumber"/>
        </w:rPr>
        <w:t xml:space="preserve">yet we argue it has value for illustrating how antibiotics may spread from depots </w:t>
      </w:r>
      <w:r w:rsidR="001D3DCE">
        <w:rPr>
          <w:rStyle w:val="LineNumber"/>
        </w:rPr>
        <w:t xml:space="preserve">when transport is limited by diffusion </w:t>
      </w:r>
      <w:r w:rsidR="00E421D0" w:rsidRPr="007E4FFA">
        <w:rPr>
          <w:rStyle w:val="LineNumber"/>
        </w:rPr>
        <w:t>and how the size, number</w:t>
      </w:r>
      <w:r w:rsidR="000E498B" w:rsidRPr="007E4FFA">
        <w:rPr>
          <w:rStyle w:val="LineNumber"/>
        </w:rPr>
        <w:t>,</w:t>
      </w:r>
      <w:r w:rsidR="00E421D0" w:rsidRPr="007E4FFA">
        <w:rPr>
          <w:rStyle w:val="LineNumber"/>
        </w:rPr>
        <w:t xml:space="preserve"> and spatial arrangement of such depots may influence such spread. </w:t>
      </w:r>
      <w:r w:rsidR="00253D45" w:rsidRPr="007E4FFA">
        <w:rPr>
          <w:rStyle w:val="LineNumber"/>
        </w:rPr>
        <w:t>In a healthy knee</w:t>
      </w:r>
      <w:r w:rsidR="00EC3774" w:rsidRPr="007E4FFA">
        <w:rPr>
          <w:rStyle w:val="LineNumber"/>
        </w:rPr>
        <w:t>,</w:t>
      </w:r>
      <w:r w:rsidR="00253D45" w:rsidRPr="007E4FFA">
        <w:rPr>
          <w:rStyle w:val="LineNumber"/>
        </w:rPr>
        <w:t xml:space="preserve"> the flow</w:t>
      </w:r>
      <w:r w:rsidR="00253D45">
        <w:rPr>
          <w:rStyle w:val="LineNumber"/>
        </w:rPr>
        <w:t xml:space="preserve"> of synovial fluid caused by flexion of the </w:t>
      </w:r>
      <w:r w:rsidR="00AA5F81">
        <w:rPr>
          <w:rStyle w:val="LineNumber"/>
        </w:rPr>
        <w:t>joint</w:t>
      </w:r>
      <w:r w:rsidR="00253D45">
        <w:rPr>
          <w:rStyle w:val="LineNumber"/>
        </w:rPr>
        <w:t xml:space="preserve"> during cyclic loading cycles is thought to provide enough convective transport to deliver nutrients to </w:t>
      </w:r>
      <w:r w:rsidR="00612C52">
        <w:rPr>
          <w:rStyle w:val="LineNumber"/>
        </w:rPr>
        <w:t>periarticular</w:t>
      </w:r>
      <w:r w:rsidR="00253D45">
        <w:rPr>
          <w:rStyle w:val="LineNumber"/>
        </w:rPr>
        <w:t xml:space="preserve"> tissues</w:t>
      </w:r>
      <w:r w:rsidR="00DC5A51">
        <w:rPr>
          <w:rStyle w:val="LineNumber"/>
        </w:rPr>
        <w:t>,</w:t>
      </w:r>
      <w:r w:rsidR="00253D45">
        <w:rPr>
          <w:rStyle w:val="LineNumber"/>
        </w:rPr>
        <w:t xml:space="preserve"> which </w:t>
      </w:r>
      <w:r w:rsidR="00612C52">
        <w:rPr>
          <w:rStyle w:val="LineNumber"/>
        </w:rPr>
        <w:t>can</w:t>
      </w:r>
      <w:r w:rsidR="00253D45">
        <w:rPr>
          <w:rStyle w:val="LineNumber"/>
        </w:rPr>
        <w:t xml:space="preserve"> be up to 1 cm away from blood vessels</w:t>
      </w:r>
      <w:r w:rsidR="00CB1942">
        <w:rPr>
          <w:rStyle w:val="LineNumber"/>
        </w:rPr>
        <w:t xml:space="preserve"> [</w:t>
      </w:r>
      <w:r w:rsidR="00AA5F81" w:rsidRPr="00CB1942">
        <w:rPr>
          <w:rStyle w:val="LineNumber"/>
        </w:rPr>
        <w:fldChar w:fldCharType="begin" w:fldLock="1"/>
      </w:r>
      <w:r w:rsidR="003D6530">
        <w:rPr>
          <w:rStyle w:val="LineNumber"/>
        </w:rPr>
        <w:instrText>ADDIN CSL_CITATION {"citationItems":[{"id":"ITEM-1","itemData":{"DOI":"10.3109/10739689509146768","ISSN":"15498719","abstract":"The microcirculation of the synovial lining of joints displays many fascinating adaptations to function. One primary function is to supply nutrients to the avascular cartilage, whose chondrocytes are metabolically active but are relatively vast distances from the nearest capillary (&gt; 1 cm in the center of a human knee). Exchange is facilitated by a high density of fenestrated capillaries situated very close to the synovial surface (an arrangement disrupted in rheumatoid synovium) with fenestrations preferentially oriented toward the joint cavity. Even so, diffusion alone is too slow to supply central chondrocytes with glucose. The problem is solved by the synovial microcirculation generating intra‐articular fluid (synovial fluid) that transports glucose by convection during joint movement. Synovial fluid is a plasma ultrafiltrate into which hyaluronan has been secreted, and it also serves to lubricate the joint. The joint cavity offers unusually easy access to the interstitial side of the microcirculation because the synovial cell layer is discontinuous, with an interstitial matrix between capillary and joint cavity. This allows the experimental study of the effect of the extravascular Starling “forces” (hydraulic and colloid osmotic pressure) on fluid exchange. One unexpected outcome has been the finding that a substantial part of the hydraulic resistance to fluid transport between blood and joint cavity resides in the series interstitial layer rather than in the capillary wall. Another is that, under appropriate boundary conditions (joint angle, etc.) fluid can simultaneously filter into the cavity in some regions (synovium directly overlying capillaries) and out of the cavity into subsynovium in other regions (synovium in the mesh space between capillaries) to produce a turnover of synovial fluid. 1995 Blackwell","author":[{"dropping-particle":"","family":"Levick","given":"J. R.","non-dropping-particle":"","parse-names":false,"suffix":""}],"container-title":"Microcirculation","id":"ITEM-1","issue":"3","issued":{"date-parts":[["1995"]]},"page":"217-233","title":"Microvascular Architecture and Exchange in Synovial Joints","type":"article-journal","volume":"2"},"uris":["http://www.mendeley.com/documents/?uuid=bbea80ac-419c-4d4e-b2c2-794946731e43"]}],"mendeley":{"formattedCitation":"&lt;sup&gt;41&lt;/sup&gt;","plainTextFormattedCitation":"41","previouslyFormattedCitation":"&lt;sup&gt;41&lt;/sup&gt;"},"properties":{"noteIndex":0},"schema":"https://github.com/citation-style-language/schema/raw/master/csl-citation.json"}</w:instrText>
      </w:r>
      <w:r w:rsidR="00AA5F81" w:rsidRPr="00CB1942">
        <w:rPr>
          <w:rStyle w:val="LineNumber"/>
        </w:rPr>
        <w:fldChar w:fldCharType="separate"/>
      </w:r>
      <w:r w:rsidR="00CD7712" w:rsidRPr="00CD7712">
        <w:rPr>
          <w:rStyle w:val="LineNumber"/>
          <w:noProof/>
          <w:vertAlign w:val="superscript"/>
        </w:rPr>
        <w:t>41</w:t>
      </w:r>
      <w:r w:rsidR="00AA5F81" w:rsidRPr="00CB1942">
        <w:rPr>
          <w:rStyle w:val="LineNumber"/>
        </w:rPr>
        <w:fldChar w:fldCharType="end"/>
      </w:r>
      <w:r w:rsidR="00CB1942">
        <w:rPr>
          <w:rStyle w:val="LineNumber"/>
        </w:rPr>
        <w:t>]</w:t>
      </w:r>
      <w:r w:rsidR="0059291E" w:rsidRPr="00CB1942">
        <w:rPr>
          <w:rStyle w:val="LineNumber"/>
        </w:rPr>
        <w:t>.</w:t>
      </w:r>
      <w:r w:rsidR="0059291E">
        <w:rPr>
          <w:rStyle w:val="LineNumber"/>
        </w:rPr>
        <w:t xml:space="preserve"> </w:t>
      </w:r>
      <w:r w:rsidR="00E86261">
        <w:rPr>
          <w:rStyle w:val="LineNumber"/>
        </w:rPr>
        <w:t xml:space="preserve">Such </w:t>
      </w:r>
      <w:r w:rsidR="001B564C">
        <w:rPr>
          <w:rStyle w:val="LineNumber"/>
        </w:rPr>
        <w:t xml:space="preserve">a mechanism is also </w:t>
      </w:r>
      <w:r w:rsidR="00253D45">
        <w:rPr>
          <w:rStyle w:val="LineNumber"/>
        </w:rPr>
        <w:t>expected to distribute antibiotics eluted from local carriers</w:t>
      </w:r>
      <w:r w:rsidR="001B564C">
        <w:rPr>
          <w:rStyle w:val="LineNumber"/>
        </w:rPr>
        <w:t xml:space="preserve"> or delivered systemically from the vasculature</w:t>
      </w:r>
      <w:r w:rsidR="00253D45">
        <w:rPr>
          <w:rStyle w:val="LineNumber"/>
        </w:rPr>
        <w:t>. However, it is not well understood how well this transport mechanism functions in a reconstructed</w:t>
      </w:r>
      <w:r w:rsidR="00DC5A51">
        <w:rPr>
          <w:rStyle w:val="LineNumber"/>
        </w:rPr>
        <w:t xml:space="preserve">, </w:t>
      </w:r>
      <w:r w:rsidR="00253D45">
        <w:rPr>
          <w:rStyle w:val="LineNumber"/>
        </w:rPr>
        <w:t>revised</w:t>
      </w:r>
      <w:r w:rsidR="001B564C">
        <w:rPr>
          <w:rStyle w:val="LineNumber"/>
        </w:rPr>
        <w:t>, and potentially immobilized</w:t>
      </w:r>
      <w:r w:rsidR="00253D45">
        <w:rPr>
          <w:rStyle w:val="LineNumber"/>
        </w:rPr>
        <w:t xml:space="preserve"> joint. </w:t>
      </w:r>
      <w:r w:rsidR="00BC69DE">
        <w:rPr>
          <w:rStyle w:val="LineNumber"/>
        </w:rPr>
        <w:t xml:space="preserve">Radical debridement of the PJI joint </w:t>
      </w:r>
      <w:r w:rsidR="00E22827">
        <w:rPr>
          <w:rStyle w:val="LineNumber"/>
        </w:rPr>
        <w:t>has been shown to</w:t>
      </w:r>
      <w:r w:rsidR="00BC69DE">
        <w:rPr>
          <w:rStyle w:val="LineNumber"/>
        </w:rPr>
        <w:t xml:space="preserve"> compromise local blood blow to regions of the affected joint, especially bone. </w:t>
      </w:r>
      <w:r w:rsidR="00E22827">
        <w:rPr>
          <w:rStyle w:val="LineNumber"/>
        </w:rPr>
        <w:t>While s</w:t>
      </w:r>
      <w:r w:rsidR="00BC69DE">
        <w:rPr>
          <w:rStyle w:val="LineNumber"/>
        </w:rPr>
        <w:t>uch debridement</w:t>
      </w:r>
      <w:r w:rsidR="003D6530">
        <w:rPr>
          <w:rStyle w:val="LineNumber"/>
        </w:rPr>
        <w:t xml:space="preserve"> </w:t>
      </w:r>
      <w:r w:rsidR="00E22827">
        <w:rPr>
          <w:rStyle w:val="LineNumber"/>
        </w:rPr>
        <w:t xml:space="preserve">may be </w:t>
      </w:r>
      <w:r w:rsidR="00BC69DE">
        <w:rPr>
          <w:rStyle w:val="LineNumber"/>
        </w:rPr>
        <w:t>necessary to rid the infected area of biofilm</w:t>
      </w:r>
      <w:r w:rsidR="00E22827">
        <w:rPr>
          <w:rStyle w:val="LineNumber"/>
        </w:rPr>
        <w:t xml:space="preserve"> to the best extent possible</w:t>
      </w:r>
      <w:r w:rsidR="003D6530">
        <w:rPr>
          <w:rStyle w:val="LineNumber"/>
        </w:rPr>
        <w:t>,</w:t>
      </w:r>
      <w:r w:rsidR="00E22827">
        <w:rPr>
          <w:rStyle w:val="LineNumber"/>
        </w:rPr>
        <w:t xml:space="preserve"> w</w:t>
      </w:r>
      <w:r w:rsidR="00C829D9">
        <w:rPr>
          <w:rStyle w:val="LineNumber"/>
        </w:rPr>
        <w:t>hen vasculature is compromised</w:t>
      </w:r>
      <w:r w:rsidR="003D6530">
        <w:rPr>
          <w:rStyle w:val="LineNumber"/>
        </w:rPr>
        <w:t>,</w:t>
      </w:r>
      <w:r w:rsidR="00C829D9">
        <w:rPr>
          <w:rStyle w:val="LineNumber"/>
        </w:rPr>
        <w:t xml:space="preserve"> </w:t>
      </w:r>
      <w:r w:rsidR="00B32824">
        <w:rPr>
          <w:rStyle w:val="LineNumber"/>
        </w:rPr>
        <w:t xml:space="preserve">the spread </w:t>
      </w:r>
      <w:r w:rsidR="00253D45">
        <w:rPr>
          <w:rStyle w:val="LineNumber"/>
        </w:rPr>
        <w:t>of antibiotics through bone</w:t>
      </w:r>
      <w:r w:rsidR="00E86261">
        <w:rPr>
          <w:rStyle w:val="LineNumber"/>
        </w:rPr>
        <w:t xml:space="preserve"> </w:t>
      </w:r>
      <w:r w:rsidR="001B564C">
        <w:rPr>
          <w:rStyle w:val="LineNumber"/>
        </w:rPr>
        <w:t xml:space="preserve">and joint tissues </w:t>
      </w:r>
      <w:r w:rsidR="005700CD">
        <w:rPr>
          <w:rStyle w:val="LineNumber"/>
        </w:rPr>
        <w:t xml:space="preserve">may be expected to be </w:t>
      </w:r>
      <w:r w:rsidR="001B564C">
        <w:rPr>
          <w:rStyle w:val="LineNumber"/>
        </w:rPr>
        <w:t xml:space="preserve">largely </w:t>
      </w:r>
      <w:r w:rsidR="005700CD">
        <w:rPr>
          <w:rStyle w:val="LineNumber"/>
        </w:rPr>
        <w:t xml:space="preserve">limited </w:t>
      </w:r>
      <w:r w:rsidR="00E86261">
        <w:rPr>
          <w:rStyle w:val="LineNumber"/>
        </w:rPr>
        <w:t>by</w:t>
      </w:r>
      <w:r w:rsidR="001B564C">
        <w:rPr>
          <w:rStyle w:val="LineNumber"/>
        </w:rPr>
        <w:t xml:space="preserve"> </w:t>
      </w:r>
      <w:r w:rsidR="00253D45">
        <w:rPr>
          <w:rStyle w:val="LineNumber"/>
        </w:rPr>
        <w:t>diffusion</w:t>
      </w:r>
      <w:r w:rsidR="00CB1942">
        <w:rPr>
          <w:rStyle w:val="LineNumber"/>
        </w:rPr>
        <w:t xml:space="preserve"> [</w:t>
      </w:r>
      <w:r w:rsidR="00E86261" w:rsidRPr="00CB1942">
        <w:rPr>
          <w:rStyle w:val="LineNumber"/>
        </w:rPr>
        <w:fldChar w:fldCharType="begin" w:fldLock="1"/>
      </w:r>
      <w:r w:rsidR="003D6530">
        <w:rPr>
          <w:rStyle w:val="LineNumber"/>
        </w:rPr>
        <w:instrText>ADDIN CSL_CITATION {"citationItems":[{"id":"ITEM-1","itemData":{"DOI":"10.1016/j.ijid.2019.02.005","ISSN":"18783511","abstract":"Treatment of bone and joint infections can be challenging as antibiotics should penetrate through the rigid bone structure and into the synovial space. Several pharmacokinetic studies measured the extent of penetration of different antibiotics into bone and joint tissues. This review discusses the results of these studies and compares them with minimum inhibitory concentrations (MIC) of common pathogens implicated in bone and joint infections in order to determine which antibiotics may have a greater potential in the treatment of such infections. Clinical outcomes were also evaluated as data were available. More than 30 antibiotics were evaluated. Overall, most antibiotics, including amoxicillin, piperacillin/tazobactam, cloxacillin, cephalosporins, carbapenems, aztreonam, aminoglycosides, fluoroquinolones, doxycycline, vancomycin, linezolid, daptomycin, clindamycin, trimethoprim/sulfamethoxazole, fosfomycin, rifampin, dalbavancin, and oritavancin, showed good penetration into bone and joint tissues reaching concentrations exceeding the MIC 90 and/or MIC breakpoints of common bone and joint infections pathogens. Few exceptions include penicillin and metronidazole which showed a lower than optimum penetration into bones, and the latter as well as flucloxacillin had poor profiles in terms of joint space penetration. Of note, studies on joint space penetration were fewer than studies on bone tissue penetration. Although clinical studies in osteomyelitis and septic arthritis are not available for all of the evaluated antibiotics, these pharmacokinetic results indicate that agents with good penetration profiles would have a potential utilization in such infections.","author":[{"dropping-particle":"","family":"Thabit","given":"Abrar K.","non-dropping-particle":"","parse-names":false,"suffix":""},{"dropping-particle":"","family":"Fatani","given":"Dania F.","non-dropping-particle":"","parse-names":false,"suffix":""},{"dropping-particle":"","family":"Bamakhrama","given":"Maryam S.","non-dropping-particle":"","parse-names":false,"suffix":""},{"dropping-particle":"","family":"Barnawi","given":"Ola A.","non-dropping-particle":"","parse-names":false,"suffix":""},{"dropping-particle":"","family":"Basudan","given":"Lana O.","non-dropping-particle":"","parse-names":false,"suffix":""},{"dropping-particle":"","family":"Alhejaili","given":"Shahad F.","non-dropping-particle":"","parse-names":false,"suffix":""}],"container-title":"International Journal of Infectious Diseases","id":"ITEM-1","issued":{"date-parts":[["2019"]]},"page":"128-136","title":"Antibiotic penetration into bone and joints: An updated review","type":"article-journal","volume":"81"},"uris":["http://www.mendeley.com/documents/?uuid=27d57507-5630-4e2b-93e6-302f01cc257d"]}],"mendeley":{"formattedCitation":"&lt;sup&gt;42&lt;/sup&gt;","plainTextFormattedCitation":"42","previouslyFormattedCitation":"&lt;sup&gt;42&lt;/sup&gt;"},"properties":{"noteIndex":0},"schema":"https://github.com/citation-style-language/schema/raw/master/csl-citation.json"}</w:instrText>
      </w:r>
      <w:r w:rsidR="00E86261" w:rsidRPr="00CB1942">
        <w:rPr>
          <w:rStyle w:val="LineNumber"/>
        </w:rPr>
        <w:fldChar w:fldCharType="separate"/>
      </w:r>
      <w:r w:rsidR="00CD7712" w:rsidRPr="00CD7712">
        <w:rPr>
          <w:rStyle w:val="LineNumber"/>
          <w:noProof/>
          <w:vertAlign w:val="superscript"/>
        </w:rPr>
        <w:t>42</w:t>
      </w:r>
      <w:r w:rsidR="00E86261" w:rsidRPr="00CB1942">
        <w:rPr>
          <w:rStyle w:val="LineNumber"/>
        </w:rPr>
        <w:fldChar w:fldCharType="end"/>
      </w:r>
      <w:r w:rsidR="00CB1942">
        <w:rPr>
          <w:rStyle w:val="LineNumber"/>
        </w:rPr>
        <w:t>]</w:t>
      </w:r>
      <w:r w:rsidR="00612C52">
        <w:rPr>
          <w:rStyle w:val="LineNumber"/>
        </w:rPr>
        <w:t>.</w:t>
      </w:r>
      <w:r w:rsidR="00C829D9">
        <w:rPr>
          <w:rStyle w:val="LineNumber"/>
        </w:rPr>
        <w:t xml:space="preserve"> </w:t>
      </w:r>
      <w:r w:rsidR="00E22827">
        <w:rPr>
          <w:rStyle w:val="LineNumber"/>
        </w:rPr>
        <w:t>O</w:t>
      </w:r>
      <w:r w:rsidR="00E22827" w:rsidRPr="00E22827">
        <w:rPr>
          <w:rStyle w:val="LineNumber"/>
        </w:rPr>
        <w:t>ther complicating factors such as diabetes, kidney disease</w:t>
      </w:r>
      <w:r w:rsidR="003D6530">
        <w:rPr>
          <w:rStyle w:val="LineNumber"/>
        </w:rPr>
        <w:t>,</w:t>
      </w:r>
      <w:r w:rsidR="00E22827" w:rsidRPr="00E22827">
        <w:rPr>
          <w:rStyle w:val="LineNumber"/>
        </w:rPr>
        <w:t xml:space="preserve"> or osteonecrosis secondary to osteomyelitis </w:t>
      </w:r>
      <w:r w:rsidR="00E22827">
        <w:rPr>
          <w:rStyle w:val="LineNumber"/>
        </w:rPr>
        <w:t>may</w:t>
      </w:r>
      <w:r w:rsidR="003D6530">
        <w:rPr>
          <w:rStyle w:val="LineNumber"/>
        </w:rPr>
        <w:t xml:space="preserve"> also</w:t>
      </w:r>
      <w:r w:rsidR="00E22827">
        <w:rPr>
          <w:rStyle w:val="LineNumber"/>
        </w:rPr>
        <w:t xml:space="preserve"> limit the</w:t>
      </w:r>
      <w:r w:rsidR="00E22827" w:rsidRPr="00E22827">
        <w:rPr>
          <w:rStyle w:val="LineNumber"/>
        </w:rPr>
        <w:t xml:space="preserve"> flow of systemic fluids</w:t>
      </w:r>
      <w:r w:rsidR="00E22A8E">
        <w:rPr>
          <w:rStyle w:val="LineNumber"/>
        </w:rPr>
        <w:t>.</w:t>
      </w:r>
      <w:r w:rsidR="00E22827" w:rsidRPr="00E22827">
        <w:rPr>
          <w:rStyle w:val="LineNumber"/>
        </w:rPr>
        <w:t xml:space="preserve"> </w:t>
      </w:r>
      <w:r w:rsidR="00D469E5">
        <w:rPr>
          <w:rStyle w:val="LineNumber"/>
        </w:rPr>
        <w:t>Diffusion</w:t>
      </w:r>
      <w:r w:rsidR="00323E3B">
        <w:rPr>
          <w:rStyle w:val="LineNumber"/>
        </w:rPr>
        <w:t xml:space="preserve"> is </w:t>
      </w:r>
      <w:r w:rsidR="0059291E">
        <w:rPr>
          <w:rStyle w:val="LineNumber"/>
        </w:rPr>
        <w:t xml:space="preserve">a </w:t>
      </w:r>
      <w:r w:rsidR="001B564C">
        <w:rPr>
          <w:rStyle w:val="LineNumber"/>
        </w:rPr>
        <w:t>much slower process</w:t>
      </w:r>
      <w:r w:rsidR="006D56DE">
        <w:rPr>
          <w:rStyle w:val="LineNumber"/>
        </w:rPr>
        <w:t xml:space="preserve">, </w:t>
      </w:r>
      <w:r w:rsidR="001B564C">
        <w:rPr>
          <w:rStyle w:val="LineNumber"/>
        </w:rPr>
        <w:t xml:space="preserve">particularly </w:t>
      </w:r>
      <w:r w:rsidR="005700CD">
        <w:rPr>
          <w:rStyle w:val="LineNumber"/>
        </w:rPr>
        <w:t xml:space="preserve">over </w:t>
      </w:r>
      <w:r w:rsidR="001B564C">
        <w:rPr>
          <w:rStyle w:val="LineNumber"/>
        </w:rPr>
        <w:t>longer distances</w:t>
      </w:r>
      <w:r w:rsidR="00612C52">
        <w:rPr>
          <w:rStyle w:val="LineNumber"/>
        </w:rPr>
        <w:t>, making</w:t>
      </w:r>
      <w:r w:rsidR="006D56DE">
        <w:rPr>
          <w:rStyle w:val="LineNumber"/>
        </w:rPr>
        <w:t xml:space="preserve"> ALCS-B a </w:t>
      </w:r>
      <w:r w:rsidR="00C4477B">
        <w:rPr>
          <w:rStyle w:val="LineNumber"/>
        </w:rPr>
        <w:t xml:space="preserve">potentially </w:t>
      </w:r>
      <w:r w:rsidR="006D56DE">
        <w:rPr>
          <w:rStyle w:val="LineNumber"/>
        </w:rPr>
        <w:t xml:space="preserve">useful </w:t>
      </w:r>
      <w:r w:rsidR="00C4477B">
        <w:rPr>
          <w:rStyle w:val="LineNumber"/>
        </w:rPr>
        <w:t>adjunct</w:t>
      </w:r>
      <w:r>
        <w:rPr>
          <w:rStyle w:val="LineNumber"/>
        </w:rPr>
        <w:t xml:space="preserve"> to antibiotic loaded bone cement spacers (or other forms) </w:t>
      </w:r>
      <w:r w:rsidR="006D56DE">
        <w:rPr>
          <w:rStyle w:val="LineNumber"/>
        </w:rPr>
        <w:t xml:space="preserve">for distributing the necessary amount of antibiotics in a timely and effective manner. </w:t>
      </w:r>
      <w:r w:rsidR="00E22827">
        <w:rPr>
          <w:rStyle w:val="LineNumber"/>
        </w:rPr>
        <w:t>It is also possible that the lack of flow may have resulted in pH changes or high calcium levels in the vicinity of the beads. In previous studies we have demonstrated that unloaded beads alone do not have antibacterial activity [</w:t>
      </w:r>
      <w:r w:rsidR="003D6530">
        <w:rPr>
          <w:rStyle w:val="LineNumber"/>
        </w:rPr>
        <w:fldChar w:fldCharType="begin" w:fldLock="1"/>
      </w:r>
      <w:r w:rsidR="003D6530">
        <w:rPr>
          <w:rStyle w:val="LineNumber"/>
        </w:rPr>
        <w:instrText>ADDIN CSL_CITATION {"citationItems":[{"id":"ITEM-1","itemData":{"DOI":"10.1002/jbm.b.33247","ISSN":"15524981","abstract":"Antibiotic-loaded bone cement is a primary option for treatment of orthopedic infections. Poly(methyl methacrylate) (PMMA) is a widely used cement that, when loaded with antibiotics in spacer or bead form, has been shown to reduce infection rates. However, PMMA is not resorbable and requires a second surgery for removal, while also acting as a potential foreign body for bacterial colonization. Alternatively, resorbable bone cements, such as calcium sulfate, have been proposed and present the advantage of being completely reabsorbed. It is unknown whether the antibiotic elution characteristics of absorbable bone cements are similar to PMMA. This study (1) characterized antibiotic elution from synthetic, highly purified calcium sulfate cement beads of varying sizes against pathogenic bacteria both in liquid culture and seeded on agar plates, (2) tested calcium sulfate beads against PMMA beads loaded with the same antibiotics, and (3) analyzed the structural differences between how PMMA and calcium sulfate bind to antibiotics. In every assay, the calcium sulfate beads performed as well as, or better than, the PMMA beads in inhibition of bacterial growth and elution of vancomycin in vitro with complete elution observed from calcium sulfate within three days. These data suggest that calcium sulfate, functions, as well as PMMA in the patient setting for infection control.","author":[{"dropping-particle":"","family":"McConoughey","given":"Stephen J.","non-dropping-particle":"","parse-names":false,"suffix":""},{"dropping-particle":"","family":"Howlin","given":"Robert P.","non-dropping-particle":"","parse-names":false,"suffix":""},{"dropping-particle":"","family":"Wiseman","given":"Jessica","non-dropping-particle":"","parse-names":false,"suffix":""},{"dropping-particle":"","family":"Stoodley","given":"Paul","non-dropping-particle":"","parse-names":false,"suffix":""},{"dropping-particle":"","family":"Calhoun","given":"Jason H.","non-dropping-particle":"","parse-names":false,"suffix":""}],"container-title":"Journal of Biomedical Materials Research - Part B Applied Biomaterials","id":"ITEM-1","issue":"4","issued":{"date-parts":[["2015"]]},"page":"870-877","title":"Comparing PMMA and calcium sulfate as carriers for the local delivery of antibiotics to infected surgical sites","type":"article-journal","volume":"103"},"uris":["http://www.mendeley.com/documents/?uuid=53c22f9e-9506-4cac-a1d3-6319b557ed21"]}],"mendeley":{"formattedCitation":"&lt;sup&gt;26&lt;/sup&gt;","plainTextFormattedCitation":"26"},"properties":{"noteIndex":0},"schema":"https://github.com/citation-style-language/schema/raw/master/csl-citation.json"}</w:instrText>
      </w:r>
      <w:r w:rsidR="003D6530">
        <w:rPr>
          <w:rStyle w:val="LineNumber"/>
        </w:rPr>
        <w:fldChar w:fldCharType="separate"/>
      </w:r>
      <w:r w:rsidR="003D6530" w:rsidRPr="003D6530">
        <w:rPr>
          <w:rStyle w:val="LineNumber"/>
          <w:noProof/>
          <w:vertAlign w:val="superscript"/>
        </w:rPr>
        <w:t>26</w:t>
      </w:r>
      <w:r w:rsidR="003D6530">
        <w:rPr>
          <w:rStyle w:val="LineNumber"/>
        </w:rPr>
        <w:fldChar w:fldCharType="end"/>
      </w:r>
      <w:r w:rsidR="003D6530">
        <w:rPr>
          <w:rStyle w:val="LineNumber"/>
        </w:rPr>
        <w:t>]</w:t>
      </w:r>
      <w:r w:rsidR="00E22A8E">
        <w:rPr>
          <w:rStyle w:val="LineNumber"/>
        </w:rPr>
        <w:t xml:space="preserve">, though we </w:t>
      </w:r>
      <w:r w:rsidR="00E22827">
        <w:rPr>
          <w:rStyle w:val="LineNumber"/>
        </w:rPr>
        <w:t>did not investigate antibiotic-local chemistry interactions.</w:t>
      </w:r>
    </w:p>
    <w:p w14:paraId="4085CD5C" w14:textId="44222579" w:rsidR="003D6530" w:rsidRPr="00F25255" w:rsidRDefault="005A4EC6" w:rsidP="00F25255">
      <w:pPr>
        <w:spacing w:line="480" w:lineRule="auto"/>
        <w:ind w:firstLine="720"/>
        <w:rPr>
          <w:rStyle w:val="LineNumber"/>
        </w:rPr>
      </w:pPr>
      <w:r w:rsidRPr="005A4EC6">
        <w:rPr>
          <w:rStyle w:val="LineNumber"/>
        </w:rPr>
        <w:lastRenderedPageBreak/>
        <w:t xml:space="preserve">The results from </w:t>
      </w:r>
      <w:r w:rsidR="00E22827">
        <w:rPr>
          <w:rStyle w:val="LineNumber"/>
        </w:rPr>
        <w:t>our</w:t>
      </w:r>
      <w:r w:rsidR="00E22827" w:rsidRPr="005A4EC6">
        <w:rPr>
          <w:rStyle w:val="LineNumber"/>
        </w:rPr>
        <w:t xml:space="preserve"> </w:t>
      </w:r>
      <w:r w:rsidRPr="005A4EC6">
        <w:rPr>
          <w:rStyle w:val="LineNumber"/>
          <w:i/>
        </w:rPr>
        <w:t>in</w:t>
      </w:r>
      <w:r w:rsidR="00CB1942">
        <w:rPr>
          <w:rStyle w:val="LineNumber"/>
          <w:i/>
        </w:rPr>
        <w:t xml:space="preserve"> </w:t>
      </w:r>
      <w:r w:rsidRPr="005A4EC6">
        <w:rPr>
          <w:rStyle w:val="LineNumber"/>
          <w:i/>
        </w:rPr>
        <w:t xml:space="preserve">vitro </w:t>
      </w:r>
      <w:r w:rsidRPr="005A4EC6">
        <w:rPr>
          <w:rStyle w:val="LineNumber"/>
        </w:rPr>
        <w:t xml:space="preserve">study may support the adjuvant use of ALCS-B in the </w:t>
      </w:r>
      <w:r w:rsidR="00A5241C">
        <w:rPr>
          <w:rStyle w:val="LineNumber"/>
        </w:rPr>
        <w:t>management</w:t>
      </w:r>
      <w:r w:rsidRPr="005A4EC6">
        <w:rPr>
          <w:rStyle w:val="LineNumber"/>
        </w:rPr>
        <w:t xml:space="preserve"> of PJI, particularly for the </w:t>
      </w:r>
      <w:r w:rsidR="00A5241C">
        <w:rPr>
          <w:rStyle w:val="LineNumber"/>
        </w:rPr>
        <w:t>release</w:t>
      </w:r>
      <w:r w:rsidRPr="005A4EC6">
        <w:rPr>
          <w:rStyle w:val="LineNumber"/>
        </w:rPr>
        <w:t xml:space="preserve"> of antibiotics to the interstices of the periprosthetic joint space in light of limited PMMA diffusion with compromised vasculature. However, further work is required in order to determine how our </w:t>
      </w:r>
      <w:r w:rsidRPr="005A4EC6">
        <w:rPr>
          <w:rStyle w:val="LineNumber"/>
          <w:i/>
        </w:rPr>
        <w:t>in</w:t>
      </w:r>
      <w:r w:rsidR="004800A2">
        <w:rPr>
          <w:rStyle w:val="LineNumber"/>
          <w:i/>
        </w:rPr>
        <w:t xml:space="preserve"> </w:t>
      </w:r>
      <w:r w:rsidRPr="005A4EC6">
        <w:rPr>
          <w:rStyle w:val="LineNumber"/>
          <w:i/>
        </w:rPr>
        <w:t>vitro</w:t>
      </w:r>
      <w:r w:rsidRPr="005A4EC6">
        <w:rPr>
          <w:rStyle w:val="LineNumber"/>
        </w:rPr>
        <w:t xml:space="preserve"> findings relate to the spread of antibiotics in the human joint or may relate to clinical outcomes. Such studies are not trivial since measuring antibiotic concentrations at different locations in tissues and fluids in a joint space requires multiple samplings at different times</w:t>
      </w:r>
      <w:r w:rsidR="00A5241C">
        <w:rPr>
          <w:rStyle w:val="LineNumber"/>
        </w:rPr>
        <w:t>,</w:t>
      </w:r>
      <w:r w:rsidRPr="005A4EC6">
        <w:rPr>
          <w:rStyle w:val="LineNumber"/>
        </w:rPr>
        <w:t xml:space="preserve"> since </w:t>
      </w:r>
      <w:r w:rsidRPr="00A77D2E">
        <w:rPr>
          <w:rStyle w:val="LineNumber"/>
        </w:rPr>
        <w:t>sampling of joint fluid may not represent conditions everywhere bacteria or biofilm may be present.</w:t>
      </w:r>
      <w:r w:rsidR="002B22A3" w:rsidRPr="00A77D2E">
        <w:rPr>
          <w:rStyle w:val="LineNumber"/>
        </w:rPr>
        <w:t xml:space="preserve"> We are currently developing a continuous flow reactor system which can accommodate clinically relevant antibiotic loaded spacer </w:t>
      </w:r>
      <w:r w:rsidR="00092C33">
        <w:rPr>
          <w:rStyle w:val="LineNumber"/>
        </w:rPr>
        <w:t>mimic</w:t>
      </w:r>
      <w:r w:rsidR="002B22A3" w:rsidRPr="00A77D2E">
        <w:rPr>
          <w:rStyle w:val="LineNumber"/>
        </w:rPr>
        <w:t>s and beads</w:t>
      </w:r>
      <w:r w:rsidR="003D6530">
        <w:rPr>
          <w:rStyle w:val="LineNumber"/>
        </w:rPr>
        <w:t>,</w:t>
      </w:r>
      <w:r w:rsidR="002B22A3" w:rsidRPr="00A77D2E">
        <w:rPr>
          <w:rStyle w:val="LineNumber"/>
        </w:rPr>
        <w:t xml:space="preserve"> where we match the flow rate with reported clinical drainage rates following TKA revision. Such a system may provide further insight into the complex interplay between antibiotic release kinetics from various administration methods, including addition of antibiotic powder.</w:t>
      </w:r>
    </w:p>
    <w:p w14:paraId="75753663" w14:textId="77777777" w:rsidR="003B3874" w:rsidRPr="003B3874" w:rsidRDefault="003B3874" w:rsidP="002D7F83">
      <w:pPr>
        <w:spacing w:line="480" w:lineRule="auto"/>
        <w:ind w:firstLine="720"/>
        <w:rPr>
          <w:rStyle w:val="LineNumber"/>
        </w:rPr>
      </w:pPr>
    </w:p>
    <w:p w14:paraId="3F84D875" w14:textId="5A08DA51" w:rsidR="005173CF" w:rsidRPr="005173CF" w:rsidRDefault="005173CF" w:rsidP="005173CF">
      <w:pPr>
        <w:spacing w:line="480" w:lineRule="auto"/>
        <w:rPr>
          <w:rStyle w:val="LineNumber"/>
          <w:b/>
          <w:bCs/>
        </w:rPr>
      </w:pPr>
      <w:r w:rsidRPr="005173CF">
        <w:rPr>
          <w:rStyle w:val="LineNumber"/>
          <w:b/>
          <w:bCs/>
        </w:rPr>
        <w:t>Author contributions</w:t>
      </w:r>
    </w:p>
    <w:p w14:paraId="6670CAFB" w14:textId="2F7412F2" w:rsidR="005173CF" w:rsidRPr="005173CF" w:rsidRDefault="005173CF" w:rsidP="005173CF">
      <w:pPr>
        <w:spacing w:line="480" w:lineRule="auto"/>
        <w:rPr>
          <w:rFonts w:ascii="Times New Roman" w:hAnsi="Times New Roman"/>
        </w:rPr>
      </w:pPr>
      <w:r w:rsidRPr="005173CF">
        <w:rPr>
          <w:rFonts w:ascii="Times New Roman" w:hAnsi="Times New Roman"/>
        </w:rPr>
        <w:t>PS, DHD, JFG, ACS, JFG, EJP, SSA, PAL, CD conceived and designed the work. DHD oversaw laboratory experiments. JFG, ACS, EJP oversaw preparation of the PMMA spacers. TG measured the roughness of the coupons and interpreted data. JRB, KM performed the lab. experiments and collected data. JRB, DD, </w:t>
      </w:r>
      <w:r w:rsidR="000667E8" w:rsidRPr="005173CF">
        <w:rPr>
          <w:rFonts w:ascii="Times New Roman" w:hAnsi="Times New Roman"/>
        </w:rPr>
        <w:t>PS performed</w:t>
      </w:r>
      <w:r w:rsidRPr="005173CF">
        <w:rPr>
          <w:rFonts w:ascii="Times New Roman" w:hAnsi="Times New Roman"/>
        </w:rPr>
        <w:t xml:space="preserve"> data analysis and interpretation. JRB, DD,</w:t>
      </w:r>
      <w:r w:rsidR="000667E8">
        <w:rPr>
          <w:rFonts w:ascii="Times New Roman" w:hAnsi="Times New Roman"/>
        </w:rPr>
        <w:t xml:space="preserve"> </w:t>
      </w:r>
      <w:r w:rsidRPr="005173CF">
        <w:rPr>
          <w:rFonts w:ascii="Times New Roman" w:hAnsi="Times New Roman"/>
        </w:rPr>
        <w:t>PS drafted the article. JFG, ACS, EJP, MVP provided clinical perspective to data and draft narrative. PS, DHD, JFG, ACS, EJP, MVP, SSA, PAL, CD, JRB performed critical revision of the article. All authors gave final approval of the version to be submitted.</w:t>
      </w:r>
    </w:p>
    <w:p w14:paraId="66E82861" w14:textId="77777777" w:rsidR="005173CF" w:rsidRPr="002F7A30" w:rsidRDefault="005173CF" w:rsidP="005173CF">
      <w:pPr>
        <w:spacing w:line="480" w:lineRule="auto"/>
        <w:rPr>
          <w:rStyle w:val="LineNumber"/>
          <w:bCs/>
        </w:rPr>
      </w:pPr>
    </w:p>
    <w:p w14:paraId="736205C0" w14:textId="77777777" w:rsidR="00B92CAE" w:rsidRDefault="00B92CAE" w:rsidP="00B92CAE">
      <w:pPr>
        <w:snapToGrid w:val="0"/>
        <w:spacing w:line="480" w:lineRule="auto"/>
        <w:contextualSpacing/>
        <w:rPr>
          <w:rStyle w:val="LineNumber"/>
          <w:rFonts w:cs="Times New Roman"/>
          <w:b/>
          <w:bCs/>
        </w:rPr>
      </w:pPr>
      <w:r w:rsidRPr="00B92CAE">
        <w:rPr>
          <w:rStyle w:val="LineNumber"/>
          <w:rFonts w:cs="Times New Roman"/>
          <w:b/>
          <w:bCs/>
        </w:rPr>
        <w:lastRenderedPageBreak/>
        <w:t>References</w:t>
      </w:r>
    </w:p>
    <w:p w14:paraId="17C70A7E" w14:textId="229804F4" w:rsidR="003D6530" w:rsidRPr="003D6530" w:rsidRDefault="00D27747" w:rsidP="003D6530">
      <w:pPr>
        <w:widowControl w:val="0"/>
        <w:autoSpaceDE w:val="0"/>
        <w:autoSpaceDN w:val="0"/>
        <w:adjustRightInd w:val="0"/>
        <w:spacing w:line="480" w:lineRule="auto"/>
        <w:ind w:left="640" w:hanging="640"/>
        <w:rPr>
          <w:rFonts w:ascii="Times New Roman" w:hAnsi="Times New Roman" w:cs="Times New Roman"/>
          <w:noProof/>
        </w:rPr>
      </w:pPr>
      <w:r>
        <w:rPr>
          <w:rStyle w:val="LineNumber"/>
          <w:rFonts w:cs="Times New Roman"/>
          <w:b/>
          <w:bCs/>
        </w:rPr>
        <w:fldChar w:fldCharType="begin" w:fldLock="1"/>
      </w:r>
      <w:r>
        <w:rPr>
          <w:rStyle w:val="LineNumber"/>
          <w:rFonts w:cs="Times New Roman"/>
          <w:b/>
          <w:bCs/>
        </w:rPr>
        <w:instrText xml:space="preserve">ADDIN Mendeley Bibliography CSL_BIBLIOGRAPHY </w:instrText>
      </w:r>
      <w:r>
        <w:rPr>
          <w:rStyle w:val="LineNumber"/>
          <w:rFonts w:cs="Times New Roman"/>
          <w:b/>
          <w:bCs/>
        </w:rPr>
        <w:fldChar w:fldCharType="separate"/>
      </w:r>
      <w:r w:rsidR="003D6530" w:rsidRPr="003D6530">
        <w:rPr>
          <w:rFonts w:ascii="Times New Roman" w:hAnsi="Times New Roman" w:cs="Times New Roman"/>
          <w:noProof/>
        </w:rPr>
        <w:t xml:space="preserve">1. </w:t>
      </w:r>
      <w:r w:rsidR="003D6530" w:rsidRPr="003D6530">
        <w:rPr>
          <w:rFonts w:ascii="Times New Roman" w:hAnsi="Times New Roman" w:cs="Times New Roman"/>
          <w:noProof/>
        </w:rPr>
        <w:tab/>
        <w:t xml:space="preserve">Kurtz SM, Lau E, Watson H, Schmier JK, Parvizi J. Economic burden of periprosthetic joint infection in the united states. </w:t>
      </w:r>
      <w:r w:rsidR="003D6530" w:rsidRPr="003D6530">
        <w:rPr>
          <w:rFonts w:ascii="Times New Roman" w:hAnsi="Times New Roman" w:cs="Times New Roman"/>
          <w:i/>
          <w:iCs/>
          <w:noProof/>
        </w:rPr>
        <w:t>J Arthroplasty</w:t>
      </w:r>
      <w:r w:rsidR="003D6530" w:rsidRPr="003D6530">
        <w:rPr>
          <w:rFonts w:ascii="Times New Roman" w:hAnsi="Times New Roman" w:cs="Times New Roman"/>
          <w:noProof/>
        </w:rPr>
        <w:t>. 2012;27(8):61-65. doi:10.1016/j.arth.2012.02.022</w:t>
      </w:r>
    </w:p>
    <w:p w14:paraId="49EA5046"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 </w:t>
      </w:r>
      <w:r w:rsidRPr="003D6530">
        <w:rPr>
          <w:rFonts w:ascii="Times New Roman" w:hAnsi="Times New Roman" w:cs="Times New Roman"/>
          <w:noProof/>
        </w:rPr>
        <w:tab/>
        <w:t xml:space="preserve">Rasouli MR, Restrepo C, Maltenfort MG, Purtill JJ, Parvizi J. Risk factors for surgical site infection following total joint arthroplasty. </w:t>
      </w:r>
      <w:r w:rsidRPr="003D6530">
        <w:rPr>
          <w:rFonts w:ascii="Times New Roman" w:hAnsi="Times New Roman" w:cs="Times New Roman"/>
          <w:i/>
          <w:iCs/>
          <w:noProof/>
        </w:rPr>
        <w:t>J Bone Joint Surg Am</w:t>
      </w:r>
      <w:r w:rsidRPr="003D6530">
        <w:rPr>
          <w:rFonts w:ascii="Times New Roman" w:hAnsi="Times New Roman" w:cs="Times New Roman"/>
          <w:noProof/>
        </w:rPr>
        <w:t>. 2014;96(18):1570-1575. doi:10.2106/JBJS.M.01363</w:t>
      </w:r>
    </w:p>
    <w:p w14:paraId="3D1678BA"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 </w:t>
      </w:r>
      <w:r w:rsidRPr="003D6530">
        <w:rPr>
          <w:rFonts w:ascii="Times New Roman" w:hAnsi="Times New Roman" w:cs="Times New Roman"/>
          <w:noProof/>
        </w:rPr>
        <w:tab/>
        <w:t xml:space="preserve">Vrgoc G, Japjec M, Gulan G, Ravlić-Gulan J, Marinović M, Bandalović A. Periprosthetic infections after total hip and knee arthroplasty--a review. </w:t>
      </w:r>
      <w:r w:rsidRPr="003D6530">
        <w:rPr>
          <w:rFonts w:ascii="Times New Roman" w:hAnsi="Times New Roman" w:cs="Times New Roman"/>
          <w:i/>
          <w:iCs/>
          <w:noProof/>
        </w:rPr>
        <w:t>Coll Antropol</w:t>
      </w:r>
      <w:r w:rsidRPr="003D6530">
        <w:rPr>
          <w:rFonts w:ascii="Times New Roman" w:hAnsi="Times New Roman" w:cs="Times New Roman"/>
          <w:noProof/>
        </w:rPr>
        <w:t>. 2014;38(4):1259-1264.</w:t>
      </w:r>
    </w:p>
    <w:p w14:paraId="2222559C"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4. </w:t>
      </w:r>
      <w:r w:rsidRPr="003D6530">
        <w:rPr>
          <w:rFonts w:ascii="Times New Roman" w:hAnsi="Times New Roman" w:cs="Times New Roman"/>
          <w:noProof/>
        </w:rPr>
        <w:tab/>
        <w:t xml:space="preserve">Boddapati V, Fu MC, Mayman DJ, Su EP, Sculco PK, McLawhorn AS. Revision Total Knee Arthroplasty for Periprosthetic Joint Infection Is Associated With Increased Postoperative Morbidity and Mortality Relative to Noninfectious Revisions. </w:t>
      </w:r>
      <w:r w:rsidRPr="003D6530">
        <w:rPr>
          <w:rFonts w:ascii="Times New Roman" w:hAnsi="Times New Roman" w:cs="Times New Roman"/>
          <w:i/>
          <w:iCs/>
          <w:noProof/>
        </w:rPr>
        <w:t>J Arthroplasty</w:t>
      </w:r>
      <w:r w:rsidRPr="003D6530">
        <w:rPr>
          <w:rFonts w:ascii="Times New Roman" w:hAnsi="Times New Roman" w:cs="Times New Roman"/>
          <w:noProof/>
        </w:rPr>
        <w:t>. 2018;33(2):521-526. doi:10.1016/j.arth.2017.09.021</w:t>
      </w:r>
    </w:p>
    <w:p w14:paraId="1A3AF394"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5. </w:t>
      </w:r>
      <w:r w:rsidRPr="003D6530">
        <w:rPr>
          <w:rFonts w:ascii="Times New Roman" w:hAnsi="Times New Roman" w:cs="Times New Roman"/>
          <w:noProof/>
        </w:rPr>
        <w:tab/>
        <w:t xml:space="preserve">Zmistowski B, Karam JA, Durinka JB, Casper DS, Parvizi J. Periprosthetic joint infection increases the risk of one-year mortality. </w:t>
      </w:r>
      <w:r w:rsidRPr="003D6530">
        <w:rPr>
          <w:rFonts w:ascii="Times New Roman" w:hAnsi="Times New Roman" w:cs="Times New Roman"/>
          <w:i/>
          <w:iCs/>
          <w:noProof/>
        </w:rPr>
        <w:t>J Bone Joint Surg Am</w:t>
      </w:r>
      <w:r w:rsidRPr="003D6530">
        <w:rPr>
          <w:rFonts w:ascii="Times New Roman" w:hAnsi="Times New Roman" w:cs="Times New Roman"/>
          <w:noProof/>
        </w:rPr>
        <w:t>. 2013;95(24):2177-2184. doi:10.2106/JBJS.L.00789</w:t>
      </w:r>
    </w:p>
    <w:p w14:paraId="629F2731"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6. </w:t>
      </w:r>
      <w:r w:rsidRPr="003D6530">
        <w:rPr>
          <w:rFonts w:ascii="Times New Roman" w:hAnsi="Times New Roman" w:cs="Times New Roman"/>
          <w:noProof/>
        </w:rPr>
        <w:tab/>
        <w:t xml:space="preserve">Kamath AF, Ong KL, Lau E, et al. Quantifying the Burden of Revision Total Joint Arthroplasty for Periprosthetic Infection. </w:t>
      </w:r>
      <w:r w:rsidRPr="003D6530">
        <w:rPr>
          <w:rFonts w:ascii="Times New Roman" w:hAnsi="Times New Roman" w:cs="Times New Roman"/>
          <w:i/>
          <w:iCs/>
          <w:noProof/>
        </w:rPr>
        <w:t>J Arthroplasty</w:t>
      </w:r>
      <w:r w:rsidRPr="003D6530">
        <w:rPr>
          <w:rFonts w:ascii="Times New Roman" w:hAnsi="Times New Roman" w:cs="Times New Roman"/>
          <w:noProof/>
        </w:rPr>
        <w:t>. 2015;30(9):1492-1497. doi:10.1016/j.arth.2015.03.035</w:t>
      </w:r>
    </w:p>
    <w:p w14:paraId="0EAF6602"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7. </w:t>
      </w:r>
      <w:r w:rsidRPr="003D6530">
        <w:rPr>
          <w:rFonts w:ascii="Times New Roman" w:hAnsi="Times New Roman" w:cs="Times New Roman"/>
          <w:noProof/>
        </w:rPr>
        <w:tab/>
        <w:t xml:space="preserve">Gbejuade HO, Lovering AM, Webb JC. The role of microbial biofilms in prosthetic joint infections. </w:t>
      </w:r>
      <w:r w:rsidRPr="003D6530">
        <w:rPr>
          <w:rFonts w:ascii="Times New Roman" w:hAnsi="Times New Roman" w:cs="Times New Roman"/>
          <w:i/>
          <w:iCs/>
          <w:noProof/>
        </w:rPr>
        <w:t>Acta Orthop</w:t>
      </w:r>
      <w:r w:rsidRPr="003D6530">
        <w:rPr>
          <w:rFonts w:ascii="Times New Roman" w:hAnsi="Times New Roman" w:cs="Times New Roman"/>
          <w:noProof/>
        </w:rPr>
        <w:t>. 2015;86(2):147-158. doi:10.3109/17453674.2014.966290</w:t>
      </w:r>
    </w:p>
    <w:p w14:paraId="79E92115"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8. </w:t>
      </w:r>
      <w:r w:rsidRPr="003D6530">
        <w:rPr>
          <w:rFonts w:ascii="Times New Roman" w:hAnsi="Times New Roman" w:cs="Times New Roman"/>
          <w:noProof/>
        </w:rPr>
        <w:tab/>
        <w:t xml:space="preserve">McConoughey SJ, Howlin R, Granger JF, et al. Biofilms in periprosthetic orthopedic </w:t>
      </w:r>
      <w:r w:rsidRPr="003D6530">
        <w:rPr>
          <w:rFonts w:ascii="Times New Roman" w:hAnsi="Times New Roman" w:cs="Times New Roman"/>
          <w:noProof/>
        </w:rPr>
        <w:lastRenderedPageBreak/>
        <w:t xml:space="preserve">infections. </w:t>
      </w:r>
      <w:r w:rsidRPr="003D6530">
        <w:rPr>
          <w:rFonts w:ascii="Times New Roman" w:hAnsi="Times New Roman" w:cs="Times New Roman"/>
          <w:i/>
          <w:iCs/>
          <w:noProof/>
        </w:rPr>
        <w:t>Future Microbiol</w:t>
      </w:r>
      <w:r w:rsidRPr="003D6530">
        <w:rPr>
          <w:rFonts w:ascii="Times New Roman" w:hAnsi="Times New Roman" w:cs="Times New Roman"/>
          <w:noProof/>
        </w:rPr>
        <w:t>. 2014;9(8):987-1007. doi:10.2217/fmb.14.64</w:t>
      </w:r>
    </w:p>
    <w:p w14:paraId="7FA711F8"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9. </w:t>
      </w:r>
      <w:r w:rsidRPr="003D6530">
        <w:rPr>
          <w:rFonts w:ascii="Times New Roman" w:hAnsi="Times New Roman" w:cs="Times New Roman"/>
          <w:noProof/>
        </w:rPr>
        <w:tab/>
        <w:t xml:space="preserve">Zimmerli W. Clinical presentation and treatment of orthopaedic implant-associated infection. </w:t>
      </w:r>
      <w:r w:rsidRPr="003D6530">
        <w:rPr>
          <w:rFonts w:ascii="Times New Roman" w:hAnsi="Times New Roman" w:cs="Times New Roman"/>
          <w:i/>
          <w:iCs/>
          <w:noProof/>
        </w:rPr>
        <w:t>J Intern Med</w:t>
      </w:r>
      <w:r w:rsidRPr="003D6530">
        <w:rPr>
          <w:rFonts w:ascii="Times New Roman" w:hAnsi="Times New Roman" w:cs="Times New Roman"/>
          <w:noProof/>
        </w:rPr>
        <w:t>. 2014;276(2):111-119. doi:10.1111/joim.12233</w:t>
      </w:r>
    </w:p>
    <w:p w14:paraId="4769544C"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10. </w:t>
      </w:r>
      <w:r w:rsidRPr="003D6530">
        <w:rPr>
          <w:rFonts w:ascii="Times New Roman" w:hAnsi="Times New Roman" w:cs="Times New Roman"/>
          <w:noProof/>
        </w:rPr>
        <w:tab/>
        <w:t xml:space="preserve">Moley JP, McGrath MS, Granger JF, Sullivan AC, Stoodley P, Dusane DH. Mapping bacterial biofilms on recovered orthopaedic implants by a novel agar candle dip method. </w:t>
      </w:r>
      <w:r w:rsidRPr="003D6530">
        <w:rPr>
          <w:rFonts w:ascii="Times New Roman" w:hAnsi="Times New Roman" w:cs="Times New Roman"/>
          <w:i/>
          <w:iCs/>
          <w:noProof/>
        </w:rPr>
        <w:t>APMIS</w:t>
      </w:r>
      <w:r w:rsidRPr="003D6530">
        <w:rPr>
          <w:rFonts w:ascii="Times New Roman" w:hAnsi="Times New Roman" w:cs="Times New Roman"/>
          <w:noProof/>
        </w:rPr>
        <w:t>. 2019;127(3):123-130. doi:10.1111/apm.12923</w:t>
      </w:r>
    </w:p>
    <w:p w14:paraId="2ED3D588"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11. </w:t>
      </w:r>
      <w:r w:rsidRPr="003D6530">
        <w:rPr>
          <w:rFonts w:ascii="Times New Roman" w:hAnsi="Times New Roman" w:cs="Times New Roman"/>
          <w:noProof/>
        </w:rPr>
        <w:tab/>
        <w:t xml:space="preserve">Zmistowski B, Fedorka CJ, Sheehan E, Deirmengian G, Austin MS, Parvizi J. Prosthetic joint infection caused by gram-negative organisms. </w:t>
      </w:r>
      <w:r w:rsidRPr="003D6530">
        <w:rPr>
          <w:rFonts w:ascii="Times New Roman" w:hAnsi="Times New Roman" w:cs="Times New Roman"/>
          <w:i/>
          <w:iCs/>
          <w:noProof/>
        </w:rPr>
        <w:t>J Arthroplasty</w:t>
      </w:r>
      <w:r w:rsidRPr="003D6530">
        <w:rPr>
          <w:rFonts w:ascii="Times New Roman" w:hAnsi="Times New Roman" w:cs="Times New Roman"/>
          <w:noProof/>
        </w:rPr>
        <w:t>. 2011;26(6):104-108. doi:10.1016/j.arth.2011.03.044</w:t>
      </w:r>
    </w:p>
    <w:p w14:paraId="0FB387CB"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12. </w:t>
      </w:r>
      <w:r w:rsidRPr="003D6530">
        <w:rPr>
          <w:rFonts w:ascii="Times New Roman" w:hAnsi="Times New Roman" w:cs="Times New Roman"/>
          <w:noProof/>
        </w:rPr>
        <w:tab/>
        <w:t xml:space="preserve">Rodríguez-Pardo D, Pigrau C, Lora-Tamayo J, et al. Gram-negative prosthetic joint infection: Outcome of a debridement, antibiotics and implant retention approach. A large multicentre study. </w:t>
      </w:r>
      <w:r w:rsidRPr="003D6530">
        <w:rPr>
          <w:rFonts w:ascii="Times New Roman" w:hAnsi="Times New Roman" w:cs="Times New Roman"/>
          <w:i/>
          <w:iCs/>
          <w:noProof/>
        </w:rPr>
        <w:t>Clin Microbiol Infect</w:t>
      </w:r>
      <w:r w:rsidRPr="003D6530">
        <w:rPr>
          <w:rFonts w:ascii="Times New Roman" w:hAnsi="Times New Roman" w:cs="Times New Roman"/>
          <w:noProof/>
        </w:rPr>
        <w:t>. 2014;20(11):911-919. doi:10.1111/1469-0691.12649</w:t>
      </w:r>
    </w:p>
    <w:p w14:paraId="756D31DD"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13. </w:t>
      </w:r>
      <w:r w:rsidRPr="003D6530">
        <w:rPr>
          <w:rFonts w:ascii="Times New Roman" w:hAnsi="Times New Roman" w:cs="Times New Roman"/>
          <w:noProof/>
        </w:rPr>
        <w:tab/>
        <w:t xml:space="preserve">Dusane DH, Brooks JR, Sindeldecker D, et al. Complete killing of agar lawn biofilms by systematic spacing of antibiotic-loaded calcium sulfate beads. </w:t>
      </w:r>
      <w:r w:rsidRPr="003D6530">
        <w:rPr>
          <w:rFonts w:ascii="Times New Roman" w:hAnsi="Times New Roman" w:cs="Times New Roman"/>
          <w:i/>
          <w:iCs/>
          <w:noProof/>
        </w:rPr>
        <w:t>Materials (Basel)</w:t>
      </w:r>
      <w:r w:rsidRPr="003D6530">
        <w:rPr>
          <w:rFonts w:ascii="Times New Roman" w:hAnsi="Times New Roman" w:cs="Times New Roman"/>
          <w:noProof/>
        </w:rPr>
        <w:t>. 2019;12(24). doi:10.3390/MA12244052</w:t>
      </w:r>
    </w:p>
    <w:p w14:paraId="791ED12F"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14. </w:t>
      </w:r>
      <w:r w:rsidRPr="003D6530">
        <w:rPr>
          <w:rFonts w:ascii="Times New Roman" w:hAnsi="Times New Roman" w:cs="Times New Roman"/>
          <w:noProof/>
        </w:rPr>
        <w:tab/>
        <w:t xml:space="preserve">Kapadia BH, Berg RA, Daley JA, Fritz J, Bhave A, Mont MA. Periprosthetic joint infection. </w:t>
      </w:r>
      <w:r w:rsidRPr="003D6530">
        <w:rPr>
          <w:rFonts w:ascii="Times New Roman" w:hAnsi="Times New Roman" w:cs="Times New Roman"/>
          <w:i/>
          <w:iCs/>
          <w:noProof/>
        </w:rPr>
        <w:t>Lancet</w:t>
      </w:r>
      <w:r w:rsidRPr="003D6530">
        <w:rPr>
          <w:rFonts w:ascii="Times New Roman" w:hAnsi="Times New Roman" w:cs="Times New Roman"/>
          <w:noProof/>
        </w:rPr>
        <w:t>. 2016;387(10016):386-394. doi:10.1016/S0140-6736(14)61798-0</w:t>
      </w:r>
    </w:p>
    <w:p w14:paraId="2E4BF97A"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15. </w:t>
      </w:r>
      <w:r w:rsidRPr="003D6530">
        <w:rPr>
          <w:rFonts w:ascii="Times New Roman" w:hAnsi="Times New Roman" w:cs="Times New Roman"/>
          <w:noProof/>
        </w:rPr>
        <w:tab/>
        <w:t xml:space="preserve">Pulido L, Ghanem E, Joshi A, Purtill JJ, Parvizi J. Periprosthetic joint infection: The incidence, timing, and predisposing factors. </w:t>
      </w:r>
      <w:r w:rsidRPr="003D6530">
        <w:rPr>
          <w:rFonts w:ascii="Times New Roman" w:hAnsi="Times New Roman" w:cs="Times New Roman"/>
          <w:i/>
          <w:iCs/>
          <w:noProof/>
        </w:rPr>
        <w:t>Clin Orthop Relat Res</w:t>
      </w:r>
      <w:r w:rsidRPr="003D6530">
        <w:rPr>
          <w:rFonts w:ascii="Times New Roman" w:hAnsi="Times New Roman" w:cs="Times New Roman"/>
          <w:noProof/>
        </w:rPr>
        <w:t>. 2008;466(7):1710-1715. doi:10.1007/s11999-008-0209-4</w:t>
      </w:r>
    </w:p>
    <w:p w14:paraId="33AE8B79"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16. </w:t>
      </w:r>
      <w:r w:rsidRPr="003D6530">
        <w:rPr>
          <w:rFonts w:ascii="Times New Roman" w:hAnsi="Times New Roman" w:cs="Times New Roman"/>
          <w:noProof/>
        </w:rPr>
        <w:tab/>
        <w:t xml:space="preserve">Choi HR, Kwon YM, Freiberg AA, Nelson SB, Malchau H. Periprosthetic joint infection with negative culture results: Clinical characteristics and treatment outcome. </w:t>
      </w:r>
      <w:r w:rsidRPr="003D6530">
        <w:rPr>
          <w:rFonts w:ascii="Times New Roman" w:hAnsi="Times New Roman" w:cs="Times New Roman"/>
          <w:i/>
          <w:iCs/>
          <w:noProof/>
        </w:rPr>
        <w:t xml:space="preserve">J </w:t>
      </w:r>
      <w:r w:rsidRPr="003D6530">
        <w:rPr>
          <w:rFonts w:ascii="Times New Roman" w:hAnsi="Times New Roman" w:cs="Times New Roman"/>
          <w:i/>
          <w:iCs/>
          <w:noProof/>
        </w:rPr>
        <w:lastRenderedPageBreak/>
        <w:t>Arthroplasty</w:t>
      </w:r>
      <w:r w:rsidRPr="003D6530">
        <w:rPr>
          <w:rFonts w:ascii="Times New Roman" w:hAnsi="Times New Roman" w:cs="Times New Roman"/>
          <w:noProof/>
        </w:rPr>
        <w:t>. 2013;28:899-903. doi:10.1016/j.arth.2012.10.022</w:t>
      </w:r>
    </w:p>
    <w:p w14:paraId="4A2965BE"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17. </w:t>
      </w:r>
      <w:r w:rsidRPr="003D6530">
        <w:rPr>
          <w:rFonts w:ascii="Times New Roman" w:hAnsi="Times New Roman" w:cs="Times New Roman"/>
          <w:noProof/>
        </w:rPr>
        <w:tab/>
        <w:t xml:space="preserve">Ciofu O, Rojo-Molinero E, Macià MD, Oliver A. Antibiotic treatment of biofilm infections. </w:t>
      </w:r>
      <w:r w:rsidRPr="003D6530">
        <w:rPr>
          <w:rFonts w:ascii="Times New Roman" w:hAnsi="Times New Roman" w:cs="Times New Roman"/>
          <w:i/>
          <w:iCs/>
          <w:noProof/>
        </w:rPr>
        <w:t>APMIS</w:t>
      </w:r>
      <w:r w:rsidRPr="003D6530">
        <w:rPr>
          <w:rFonts w:ascii="Times New Roman" w:hAnsi="Times New Roman" w:cs="Times New Roman"/>
          <w:noProof/>
        </w:rPr>
        <w:t>. 2017;125(4):304-319. doi:10.1111/apm.12673</w:t>
      </w:r>
    </w:p>
    <w:p w14:paraId="3130FA1F"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18. </w:t>
      </w:r>
      <w:r w:rsidRPr="003D6530">
        <w:rPr>
          <w:rFonts w:ascii="Times New Roman" w:hAnsi="Times New Roman" w:cs="Times New Roman"/>
          <w:noProof/>
        </w:rPr>
        <w:tab/>
        <w:t xml:space="preserve">Hansen EN, Adeli B, Kenyon R, Parvizi J. Routine use of antibiotic laden bone cement for primary total knee arthroplasty: Impact on infecting microbial patterns and resistance profiles. </w:t>
      </w:r>
      <w:r w:rsidRPr="003D6530">
        <w:rPr>
          <w:rFonts w:ascii="Times New Roman" w:hAnsi="Times New Roman" w:cs="Times New Roman"/>
          <w:i/>
          <w:iCs/>
          <w:noProof/>
        </w:rPr>
        <w:t>J Arthroplasty</w:t>
      </w:r>
      <w:r w:rsidRPr="003D6530">
        <w:rPr>
          <w:rFonts w:ascii="Times New Roman" w:hAnsi="Times New Roman" w:cs="Times New Roman"/>
          <w:noProof/>
        </w:rPr>
        <w:t>. 2014;29(6):1123-1127. doi:10.1016/j.arth.2013.12.004</w:t>
      </w:r>
    </w:p>
    <w:p w14:paraId="3EF857C5"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19. </w:t>
      </w:r>
      <w:r w:rsidRPr="003D6530">
        <w:rPr>
          <w:rFonts w:ascii="Times New Roman" w:hAnsi="Times New Roman" w:cs="Times New Roman"/>
          <w:noProof/>
        </w:rPr>
        <w:tab/>
        <w:t xml:space="preserve">McPherson, MD FACS E, Dipane, BA M, Sherif, MD S. Dissolvable Antibiotic Beads in Treatment of Periprosthetic Joint Infection and Revision Arthroplasty - The Use of Synthetic Pure Calcium Sulfate (Stimulan®) Impregnated with Vancomycin &amp; Tobramycin. </w:t>
      </w:r>
      <w:r w:rsidRPr="003D6530">
        <w:rPr>
          <w:rFonts w:ascii="Times New Roman" w:hAnsi="Times New Roman" w:cs="Times New Roman"/>
          <w:i/>
          <w:iCs/>
          <w:noProof/>
        </w:rPr>
        <w:t>Reconstr Rev</w:t>
      </w:r>
      <w:r w:rsidRPr="003D6530">
        <w:rPr>
          <w:rFonts w:ascii="Times New Roman" w:hAnsi="Times New Roman" w:cs="Times New Roman"/>
          <w:noProof/>
        </w:rPr>
        <w:t>. 2013;3(1):32-43. doi:10.15438/rr.v3i1.27</w:t>
      </w:r>
    </w:p>
    <w:p w14:paraId="584BF89B"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20. </w:t>
      </w:r>
      <w:r w:rsidRPr="003D6530">
        <w:rPr>
          <w:rFonts w:ascii="Times New Roman" w:hAnsi="Times New Roman" w:cs="Times New Roman"/>
          <w:noProof/>
        </w:rPr>
        <w:tab/>
        <w:t xml:space="preserve">Mandell JB, Orr S, Koch J, et al. Large variations in clinical antibiotic activity against Staphylococcus aureus biofilms of periprosthetic joint infection isolates. </w:t>
      </w:r>
      <w:r w:rsidRPr="003D6530">
        <w:rPr>
          <w:rFonts w:ascii="Times New Roman" w:hAnsi="Times New Roman" w:cs="Times New Roman"/>
          <w:i/>
          <w:iCs/>
          <w:noProof/>
        </w:rPr>
        <w:t>J Orthop Res</w:t>
      </w:r>
      <w:r w:rsidRPr="003D6530">
        <w:rPr>
          <w:rFonts w:ascii="Times New Roman" w:hAnsi="Times New Roman" w:cs="Times New Roman"/>
          <w:noProof/>
        </w:rPr>
        <w:t>. 2019;37(7):1604-1609. doi:10.1002/jor.24291</w:t>
      </w:r>
    </w:p>
    <w:p w14:paraId="758D3C8E"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21. </w:t>
      </w:r>
      <w:r w:rsidRPr="003D6530">
        <w:rPr>
          <w:rFonts w:ascii="Times New Roman" w:hAnsi="Times New Roman" w:cs="Times New Roman"/>
          <w:noProof/>
        </w:rPr>
        <w:tab/>
        <w:t xml:space="preserve">Abosala A, Ali M. The Use of Calcium Sulphate beads in Periprosthetic Joint Infection, a systematic review. </w:t>
      </w:r>
      <w:r w:rsidRPr="003D6530">
        <w:rPr>
          <w:rFonts w:ascii="Times New Roman" w:hAnsi="Times New Roman" w:cs="Times New Roman"/>
          <w:i/>
          <w:iCs/>
          <w:noProof/>
        </w:rPr>
        <w:t>J Bone Joint Infect</w:t>
      </w:r>
      <w:r w:rsidRPr="003D6530">
        <w:rPr>
          <w:rFonts w:ascii="Times New Roman" w:hAnsi="Times New Roman" w:cs="Times New Roman"/>
          <w:noProof/>
        </w:rPr>
        <w:t>. 2020;5(1):43-49. doi:10.7150/jbji.41743</w:t>
      </w:r>
    </w:p>
    <w:p w14:paraId="46590327"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22. </w:t>
      </w:r>
      <w:r w:rsidRPr="003D6530">
        <w:rPr>
          <w:rFonts w:ascii="Times New Roman" w:hAnsi="Times New Roman" w:cs="Times New Roman"/>
          <w:noProof/>
        </w:rPr>
        <w:tab/>
        <w:t xml:space="preserve">Dusane DH, Diamond SM, Knecht CS, et al. Effects of loading concentration, blood and synovial fluid on antibiotic release and anti-biofilm activity of bone cement beads. </w:t>
      </w:r>
      <w:r w:rsidRPr="003D6530">
        <w:rPr>
          <w:rFonts w:ascii="Times New Roman" w:hAnsi="Times New Roman" w:cs="Times New Roman"/>
          <w:i/>
          <w:iCs/>
          <w:noProof/>
        </w:rPr>
        <w:t>J Control Release</w:t>
      </w:r>
      <w:r w:rsidRPr="003D6530">
        <w:rPr>
          <w:rFonts w:ascii="Times New Roman" w:hAnsi="Times New Roman" w:cs="Times New Roman"/>
          <w:noProof/>
        </w:rPr>
        <w:t>. 2017;248:24-32. doi:10.1016/j.jconrel.2017.01.005</w:t>
      </w:r>
    </w:p>
    <w:p w14:paraId="5FDADAD7"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23. </w:t>
      </w:r>
      <w:r w:rsidRPr="003D6530">
        <w:rPr>
          <w:rFonts w:ascii="Times New Roman" w:hAnsi="Times New Roman" w:cs="Times New Roman"/>
          <w:noProof/>
        </w:rPr>
        <w:tab/>
        <w:t>Biocomposites Ltd. Stimulan® Rapid Cure: Instructions for Use.</w:t>
      </w:r>
    </w:p>
    <w:p w14:paraId="6A0A449E"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24. </w:t>
      </w:r>
      <w:r w:rsidRPr="003D6530">
        <w:rPr>
          <w:rFonts w:ascii="Times New Roman" w:hAnsi="Times New Roman" w:cs="Times New Roman"/>
          <w:noProof/>
        </w:rPr>
        <w:tab/>
        <w:t xml:space="preserve">Anagnostakos K. Therapeutic Use of Antibiotic-loaded Bone Cement in the Treatment of Hip and Knee Joint Infections. </w:t>
      </w:r>
      <w:r w:rsidRPr="003D6530">
        <w:rPr>
          <w:rFonts w:ascii="Times New Roman" w:hAnsi="Times New Roman" w:cs="Times New Roman"/>
          <w:i/>
          <w:iCs/>
          <w:noProof/>
        </w:rPr>
        <w:t>J Bone Joint Infect</w:t>
      </w:r>
      <w:r w:rsidRPr="003D6530">
        <w:rPr>
          <w:rFonts w:ascii="Times New Roman" w:hAnsi="Times New Roman" w:cs="Times New Roman"/>
          <w:noProof/>
        </w:rPr>
        <w:t>. 2017;2(1):29-37. doi:10.7150/jbji.16067</w:t>
      </w:r>
    </w:p>
    <w:p w14:paraId="26F74B6C"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25. </w:t>
      </w:r>
      <w:r w:rsidRPr="003D6530">
        <w:rPr>
          <w:rFonts w:ascii="Times New Roman" w:hAnsi="Times New Roman" w:cs="Times New Roman"/>
          <w:noProof/>
        </w:rPr>
        <w:tab/>
        <w:t xml:space="preserve">Hanssen AD, Spangehl MJ. Practical applications of antibiotic-loaded bone cement for </w:t>
      </w:r>
      <w:r w:rsidRPr="003D6530">
        <w:rPr>
          <w:rFonts w:ascii="Times New Roman" w:hAnsi="Times New Roman" w:cs="Times New Roman"/>
          <w:noProof/>
        </w:rPr>
        <w:lastRenderedPageBreak/>
        <w:t xml:space="preserve">treatment of infected joint replacements. </w:t>
      </w:r>
      <w:r w:rsidRPr="003D6530">
        <w:rPr>
          <w:rFonts w:ascii="Times New Roman" w:hAnsi="Times New Roman" w:cs="Times New Roman"/>
          <w:i/>
          <w:iCs/>
          <w:noProof/>
        </w:rPr>
        <w:t>Clin Orthop Relat Res</w:t>
      </w:r>
      <w:r w:rsidRPr="003D6530">
        <w:rPr>
          <w:rFonts w:ascii="Times New Roman" w:hAnsi="Times New Roman" w:cs="Times New Roman"/>
          <w:noProof/>
        </w:rPr>
        <w:t>. 2004;427:79-85. doi:10.1097/01.blo.0000143806.72379.7d</w:t>
      </w:r>
    </w:p>
    <w:p w14:paraId="781548E5"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26. </w:t>
      </w:r>
      <w:r w:rsidRPr="003D6530">
        <w:rPr>
          <w:rFonts w:ascii="Times New Roman" w:hAnsi="Times New Roman" w:cs="Times New Roman"/>
          <w:noProof/>
        </w:rPr>
        <w:tab/>
        <w:t xml:space="preserve">McConoughey SJ, Howlin RP, Wiseman J, Stoodley P, Calhoun JH. Comparing PMMA and calcium sulfate as carriers for the local delivery of antibiotics to infected surgical sites. </w:t>
      </w:r>
      <w:r w:rsidRPr="003D6530">
        <w:rPr>
          <w:rFonts w:ascii="Times New Roman" w:hAnsi="Times New Roman" w:cs="Times New Roman"/>
          <w:i/>
          <w:iCs/>
          <w:noProof/>
        </w:rPr>
        <w:t>J Biomed Mater Res - Part B Appl Biomater</w:t>
      </w:r>
      <w:r w:rsidRPr="003D6530">
        <w:rPr>
          <w:rFonts w:ascii="Times New Roman" w:hAnsi="Times New Roman" w:cs="Times New Roman"/>
          <w:noProof/>
        </w:rPr>
        <w:t>. 2015;103(4):870-877. doi:10.1002/jbm.b.33247</w:t>
      </w:r>
    </w:p>
    <w:p w14:paraId="639A7126"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27. </w:t>
      </w:r>
      <w:r w:rsidRPr="003D6530">
        <w:rPr>
          <w:rFonts w:ascii="Times New Roman" w:hAnsi="Times New Roman" w:cs="Times New Roman"/>
          <w:noProof/>
        </w:rPr>
        <w:tab/>
        <w:t xml:space="preserve">Howlin RP, Winnard C, Frapwell CJ, et al. Biofilm prevention of gram-negative bacterial pathogens involved in periprosthetic infection by antibiotic-loaded calcium sulfate beads in vitro. </w:t>
      </w:r>
      <w:r w:rsidRPr="003D6530">
        <w:rPr>
          <w:rFonts w:ascii="Times New Roman" w:hAnsi="Times New Roman" w:cs="Times New Roman"/>
          <w:i/>
          <w:iCs/>
          <w:noProof/>
        </w:rPr>
        <w:t>Biomed Mater</w:t>
      </w:r>
      <w:r w:rsidRPr="003D6530">
        <w:rPr>
          <w:rFonts w:ascii="Times New Roman" w:hAnsi="Times New Roman" w:cs="Times New Roman"/>
          <w:noProof/>
        </w:rPr>
        <w:t>. 2017;12(1). doi:10.1088/1748-605X/12/1/015002</w:t>
      </w:r>
    </w:p>
    <w:p w14:paraId="36F3B7AA"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28. </w:t>
      </w:r>
      <w:r w:rsidRPr="003D6530">
        <w:rPr>
          <w:rFonts w:ascii="Times New Roman" w:hAnsi="Times New Roman" w:cs="Times New Roman"/>
          <w:noProof/>
        </w:rPr>
        <w:tab/>
        <w:t>Stryker® Howmedica Osteonics Corporation. Simplex</w:t>
      </w:r>
      <w:r w:rsidRPr="003D6530">
        <w:rPr>
          <w:rFonts w:ascii="Times New Roman" w:hAnsi="Times New Roman" w:cs="Times New Roman"/>
          <w:noProof/>
          <w:vertAlign w:val="superscript"/>
        </w:rPr>
        <w:t>TM</w:t>
      </w:r>
      <w:r w:rsidRPr="003D6530">
        <w:rPr>
          <w:rFonts w:ascii="Times New Roman" w:hAnsi="Times New Roman" w:cs="Times New Roman"/>
          <w:noProof/>
        </w:rPr>
        <w:t xml:space="preserve"> P SpeedSet</w:t>
      </w:r>
      <w:r w:rsidRPr="003D6530">
        <w:rPr>
          <w:rFonts w:ascii="Times New Roman" w:hAnsi="Times New Roman" w:cs="Times New Roman"/>
          <w:noProof/>
          <w:vertAlign w:val="superscript"/>
        </w:rPr>
        <w:t>TM</w:t>
      </w:r>
      <w:r w:rsidRPr="003D6530">
        <w:rPr>
          <w:rFonts w:ascii="Times New Roman" w:hAnsi="Times New Roman" w:cs="Times New Roman"/>
          <w:noProof/>
        </w:rPr>
        <w:t xml:space="preserve"> Radiopaque Bone Cement Instructions for Use.</w:t>
      </w:r>
    </w:p>
    <w:p w14:paraId="3ED9CE13"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29. </w:t>
      </w:r>
      <w:r w:rsidRPr="003D6530">
        <w:rPr>
          <w:rFonts w:ascii="Times New Roman" w:hAnsi="Times New Roman" w:cs="Times New Roman"/>
          <w:noProof/>
        </w:rPr>
        <w:tab/>
        <w:t xml:space="preserve">Moley JP, McGrath MS, Granger JF, Stoodley P, Dusane DH. Reduction in Pseudomonas aeruginosa and Staphylococcus aureus biofilms from implant materials in a diffusion dominated environment. </w:t>
      </w:r>
      <w:r w:rsidRPr="003D6530">
        <w:rPr>
          <w:rFonts w:ascii="Times New Roman" w:hAnsi="Times New Roman" w:cs="Times New Roman"/>
          <w:i/>
          <w:iCs/>
          <w:noProof/>
        </w:rPr>
        <w:t>J Orthop Res</w:t>
      </w:r>
      <w:r w:rsidRPr="003D6530">
        <w:rPr>
          <w:rFonts w:ascii="Times New Roman" w:hAnsi="Times New Roman" w:cs="Times New Roman"/>
          <w:noProof/>
        </w:rPr>
        <w:t>. 2018;36(11):3081-3085. doi:10.1002/jor.24074</w:t>
      </w:r>
    </w:p>
    <w:p w14:paraId="44C37629"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30. </w:t>
      </w:r>
      <w:r w:rsidRPr="003D6530">
        <w:rPr>
          <w:rFonts w:ascii="Times New Roman" w:hAnsi="Times New Roman" w:cs="Times New Roman"/>
          <w:noProof/>
        </w:rPr>
        <w:tab/>
        <w:t xml:space="preserve">Zimmerli W, Sendi P. Orthopaedic biofilm infections. </w:t>
      </w:r>
      <w:r w:rsidRPr="003D6530">
        <w:rPr>
          <w:rFonts w:ascii="Times New Roman" w:hAnsi="Times New Roman" w:cs="Times New Roman"/>
          <w:i/>
          <w:iCs/>
          <w:noProof/>
        </w:rPr>
        <w:t>APMIS</w:t>
      </w:r>
      <w:r w:rsidRPr="003D6530">
        <w:rPr>
          <w:rFonts w:ascii="Times New Roman" w:hAnsi="Times New Roman" w:cs="Times New Roman"/>
          <w:noProof/>
        </w:rPr>
        <w:t>. 2017;125(4):353-364. doi:10.1111/apm.12687</w:t>
      </w:r>
    </w:p>
    <w:p w14:paraId="1998D2C5"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31. </w:t>
      </w:r>
      <w:r w:rsidRPr="003D6530">
        <w:rPr>
          <w:rFonts w:ascii="Times New Roman" w:hAnsi="Times New Roman" w:cs="Times New Roman"/>
          <w:noProof/>
        </w:rPr>
        <w:tab/>
        <w:t xml:space="preserve">Jenkins PJ, Phillips SA, Gaston P, Dave J, Breusch SJ. Be vigilant for secondary periprosthetic joint infection. </w:t>
      </w:r>
      <w:r w:rsidRPr="003D6530">
        <w:rPr>
          <w:rFonts w:ascii="Times New Roman" w:hAnsi="Times New Roman" w:cs="Times New Roman"/>
          <w:i/>
          <w:iCs/>
          <w:noProof/>
        </w:rPr>
        <w:t>Practitioner</w:t>
      </w:r>
      <w:r w:rsidRPr="003D6530">
        <w:rPr>
          <w:rFonts w:ascii="Times New Roman" w:hAnsi="Times New Roman" w:cs="Times New Roman"/>
          <w:noProof/>
        </w:rPr>
        <w:t>. 2010;254(1733):28-32.</w:t>
      </w:r>
    </w:p>
    <w:p w14:paraId="16DA9B2C"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32. </w:t>
      </w:r>
      <w:r w:rsidRPr="003D6530">
        <w:rPr>
          <w:rFonts w:ascii="Times New Roman" w:hAnsi="Times New Roman" w:cs="Times New Roman"/>
          <w:noProof/>
        </w:rPr>
        <w:tab/>
        <w:t xml:space="preserve">Ma D, Shanks RMQ, Davis CM, et al. Viable bacteria persist on antibiotic spacers following two-stage revision for periprosthetic joint infection. </w:t>
      </w:r>
      <w:r w:rsidRPr="003D6530">
        <w:rPr>
          <w:rFonts w:ascii="Times New Roman" w:hAnsi="Times New Roman" w:cs="Times New Roman"/>
          <w:i/>
          <w:iCs/>
          <w:noProof/>
        </w:rPr>
        <w:t>J Orthop Res</w:t>
      </w:r>
      <w:r w:rsidRPr="003D6530">
        <w:rPr>
          <w:rFonts w:ascii="Times New Roman" w:hAnsi="Times New Roman" w:cs="Times New Roman"/>
          <w:noProof/>
        </w:rPr>
        <w:t>. 2018;36(1):452-458. doi:10.1002/jor.23611</w:t>
      </w:r>
    </w:p>
    <w:p w14:paraId="5B7FA506"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33. </w:t>
      </w:r>
      <w:r w:rsidRPr="003D6530">
        <w:rPr>
          <w:rFonts w:ascii="Times New Roman" w:hAnsi="Times New Roman" w:cs="Times New Roman"/>
          <w:noProof/>
        </w:rPr>
        <w:tab/>
        <w:t xml:space="preserve">Stoodley P, Nistico L, Johnson S, et al. Direct demonstration of viable Staphylococcus aureus biofilms in an infected total joint arthroplasty: A case report. </w:t>
      </w:r>
      <w:r w:rsidRPr="003D6530">
        <w:rPr>
          <w:rFonts w:ascii="Times New Roman" w:hAnsi="Times New Roman" w:cs="Times New Roman"/>
          <w:i/>
          <w:iCs/>
          <w:noProof/>
        </w:rPr>
        <w:t xml:space="preserve">J Bone Joint Surg </w:t>
      </w:r>
      <w:r w:rsidRPr="003D6530">
        <w:rPr>
          <w:rFonts w:ascii="Times New Roman" w:hAnsi="Times New Roman" w:cs="Times New Roman"/>
          <w:i/>
          <w:iCs/>
          <w:noProof/>
        </w:rPr>
        <w:lastRenderedPageBreak/>
        <w:t>Am</w:t>
      </w:r>
      <w:r w:rsidRPr="003D6530">
        <w:rPr>
          <w:rFonts w:ascii="Times New Roman" w:hAnsi="Times New Roman" w:cs="Times New Roman"/>
          <w:noProof/>
        </w:rPr>
        <w:t>. 2008;90(8):1751-1758. doi:10.2106/JBJS.G.00838</w:t>
      </w:r>
    </w:p>
    <w:p w14:paraId="4AEAC04E"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34. </w:t>
      </w:r>
      <w:r w:rsidRPr="003D6530">
        <w:rPr>
          <w:rFonts w:ascii="Times New Roman" w:hAnsi="Times New Roman" w:cs="Times New Roman"/>
          <w:noProof/>
        </w:rPr>
        <w:tab/>
        <w:t xml:space="preserve">Swearingen MC, Granger JF, Sullivan A, Stoodley P. Elution of antibiotics from poly(methyl methacrylate) bone cement after extended implantation does not necessarily clear the infection despite susceptibility of the clinical isolates. </w:t>
      </w:r>
      <w:r w:rsidRPr="003D6530">
        <w:rPr>
          <w:rFonts w:ascii="Times New Roman" w:hAnsi="Times New Roman" w:cs="Times New Roman"/>
          <w:i/>
          <w:iCs/>
          <w:noProof/>
        </w:rPr>
        <w:t>Pathog Dis</w:t>
      </w:r>
      <w:r w:rsidRPr="003D6530">
        <w:rPr>
          <w:rFonts w:ascii="Times New Roman" w:hAnsi="Times New Roman" w:cs="Times New Roman"/>
          <w:noProof/>
        </w:rPr>
        <w:t>. 2016;74(1):1-4. doi:10.1093/femspd/ftv103</w:t>
      </w:r>
    </w:p>
    <w:p w14:paraId="2AE0441B"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35. </w:t>
      </w:r>
      <w:r w:rsidRPr="003D6530">
        <w:rPr>
          <w:rFonts w:ascii="Times New Roman" w:hAnsi="Times New Roman" w:cs="Times New Roman"/>
          <w:noProof/>
        </w:rPr>
        <w:tab/>
        <w:t xml:space="preserve">Morgenstern M, Vallejo A, McNally MA, et al. The effect of local antibiotic prophylaxis when treating open limb fractures. </w:t>
      </w:r>
      <w:r w:rsidRPr="003D6530">
        <w:rPr>
          <w:rFonts w:ascii="Times New Roman" w:hAnsi="Times New Roman" w:cs="Times New Roman"/>
          <w:i/>
          <w:iCs/>
          <w:noProof/>
        </w:rPr>
        <w:t>Bone Joint Res</w:t>
      </w:r>
      <w:r w:rsidRPr="003D6530">
        <w:rPr>
          <w:rFonts w:ascii="Times New Roman" w:hAnsi="Times New Roman" w:cs="Times New Roman"/>
          <w:noProof/>
        </w:rPr>
        <w:t>. 2018;7(7):447-456. doi:10.1302/2046-3758.77.bjr-2018-0043.r1</w:t>
      </w:r>
    </w:p>
    <w:p w14:paraId="78A19C7E"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36. </w:t>
      </w:r>
      <w:r w:rsidRPr="003D6530">
        <w:rPr>
          <w:rFonts w:ascii="Times New Roman" w:hAnsi="Times New Roman" w:cs="Times New Roman"/>
          <w:noProof/>
        </w:rPr>
        <w:tab/>
        <w:t xml:space="preserve">Howlin RP, Brayford MJ, Webb JS, Cooper JJ, Aiken SS, Stoodley P. Antibiotic-loaded synthetic calcium sulfate beads for prevention of bacterial colonization and biofilm formation in periprosthetic infections. </w:t>
      </w:r>
      <w:r w:rsidRPr="003D6530">
        <w:rPr>
          <w:rFonts w:ascii="Times New Roman" w:hAnsi="Times New Roman" w:cs="Times New Roman"/>
          <w:i/>
          <w:iCs/>
          <w:noProof/>
        </w:rPr>
        <w:t>Antimicrob Agents Chemother</w:t>
      </w:r>
      <w:r w:rsidRPr="003D6530">
        <w:rPr>
          <w:rFonts w:ascii="Times New Roman" w:hAnsi="Times New Roman" w:cs="Times New Roman"/>
          <w:noProof/>
        </w:rPr>
        <w:t>. 2015;59(1):111-120. doi:10.1128/AAC.03676-14</w:t>
      </w:r>
    </w:p>
    <w:p w14:paraId="6AFD820F"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37. </w:t>
      </w:r>
      <w:r w:rsidRPr="003D6530">
        <w:rPr>
          <w:rFonts w:ascii="Times New Roman" w:hAnsi="Times New Roman" w:cs="Times New Roman"/>
          <w:noProof/>
        </w:rPr>
        <w:tab/>
        <w:t xml:space="preserve">Laycock PA, Cooper JJ, Howlin RP, Delury C, Aiken S, Stoodley P. In vitro efficacy of antibiotics released from calcium sulfate bone void filler beads. </w:t>
      </w:r>
      <w:r w:rsidRPr="003D6530">
        <w:rPr>
          <w:rFonts w:ascii="Times New Roman" w:hAnsi="Times New Roman" w:cs="Times New Roman"/>
          <w:i/>
          <w:iCs/>
          <w:noProof/>
        </w:rPr>
        <w:t>Materials (Basel)</w:t>
      </w:r>
      <w:r w:rsidRPr="003D6530">
        <w:rPr>
          <w:rFonts w:ascii="Times New Roman" w:hAnsi="Times New Roman" w:cs="Times New Roman"/>
          <w:noProof/>
        </w:rPr>
        <w:t>. 2018;11(11):2265. doi:10.3390/ma11112265</w:t>
      </w:r>
    </w:p>
    <w:p w14:paraId="1A73760F"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38. </w:t>
      </w:r>
      <w:r w:rsidRPr="003D6530">
        <w:rPr>
          <w:rFonts w:ascii="Times New Roman" w:hAnsi="Times New Roman" w:cs="Times New Roman"/>
          <w:noProof/>
        </w:rPr>
        <w:tab/>
        <w:t xml:space="preserve">Knecht CS, Moley JP, McGrath MS, Granger JF, Stoodley P, Dusane DH. Antibiotic loaded calcium sulfate bead and pulse lavage eradicates biofilms on metal implant materials in vitro. </w:t>
      </w:r>
      <w:r w:rsidRPr="003D6530">
        <w:rPr>
          <w:rFonts w:ascii="Times New Roman" w:hAnsi="Times New Roman" w:cs="Times New Roman"/>
          <w:i/>
          <w:iCs/>
          <w:noProof/>
        </w:rPr>
        <w:t>J Orthop Res</w:t>
      </w:r>
      <w:r w:rsidRPr="003D6530">
        <w:rPr>
          <w:rFonts w:ascii="Times New Roman" w:hAnsi="Times New Roman" w:cs="Times New Roman"/>
          <w:noProof/>
        </w:rPr>
        <w:t>. 2018;36(9):2349-2354. doi:10.1002/jor.23903</w:t>
      </w:r>
    </w:p>
    <w:p w14:paraId="5A84D39F"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39. </w:t>
      </w:r>
      <w:r w:rsidRPr="003D6530">
        <w:rPr>
          <w:rFonts w:ascii="Times New Roman" w:hAnsi="Times New Roman" w:cs="Times New Roman"/>
          <w:noProof/>
        </w:rPr>
        <w:tab/>
        <w:t xml:space="preserve">Hayes GM, Gibson TWG, Moens NMM, Monteiro B, Johnson RJ. Intra-Articular Pharmacokinetics of a Gentamicin Impregnated Collagen Sponge in the Canine Stifle: An Experimental Study. </w:t>
      </w:r>
      <w:r w:rsidRPr="003D6530">
        <w:rPr>
          <w:rFonts w:ascii="Times New Roman" w:hAnsi="Times New Roman" w:cs="Times New Roman"/>
          <w:i/>
          <w:iCs/>
          <w:noProof/>
        </w:rPr>
        <w:t>Vet Surg</w:t>
      </w:r>
      <w:r w:rsidRPr="003D6530">
        <w:rPr>
          <w:rFonts w:ascii="Times New Roman" w:hAnsi="Times New Roman" w:cs="Times New Roman"/>
          <w:noProof/>
        </w:rPr>
        <w:t>. 2014;43(2):166-173. doi:10.1111/j.1532-950X.2014.12115.x</w:t>
      </w:r>
    </w:p>
    <w:p w14:paraId="34B7611D"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40. </w:t>
      </w:r>
      <w:r w:rsidRPr="003D6530">
        <w:rPr>
          <w:rFonts w:ascii="Times New Roman" w:hAnsi="Times New Roman" w:cs="Times New Roman"/>
          <w:noProof/>
        </w:rPr>
        <w:tab/>
        <w:t xml:space="preserve">Fu Y, Kao WJ. Drug release kinetics and transport mechanisms of non-degradable and </w:t>
      </w:r>
      <w:r w:rsidRPr="003D6530">
        <w:rPr>
          <w:rFonts w:ascii="Times New Roman" w:hAnsi="Times New Roman" w:cs="Times New Roman"/>
          <w:noProof/>
        </w:rPr>
        <w:lastRenderedPageBreak/>
        <w:t xml:space="preserve">degradable polymeric delivery systems. </w:t>
      </w:r>
      <w:r w:rsidRPr="003D6530">
        <w:rPr>
          <w:rFonts w:ascii="Times New Roman" w:hAnsi="Times New Roman" w:cs="Times New Roman"/>
          <w:i/>
          <w:iCs/>
          <w:noProof/>
        </w:rPr>
        <w:t>Expert Opin Drug Deliv</w:t>
      </w:r>
      <w:r w:rsidRPr="003D6530">
        <w:rPr>
          <w:rFonts w:ascii="Times New Roman" w:hAnsi="Times New Roman" w:cs="Times New Roman"/>
          <w:noProof/>
        </w:rPr>
        <w:t>. 2010;7(4):429-444. doi:10.1517/17425241003602259</w:t>
      </w:r>
    </w:p>
    <w:p w14:paraId="7A157404"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41. </w:t>
      </w:r>
      <w:r w:rsidRPr="003D6530">
        <w:rPr>
          <w:rFonts w:ascii="Times New Roman" w:hAnsi="Times New Roman" w:cs="Times New Roman"/>
          <w:noProof/>
        </w:rPr>
        <w:tab/>
        <w:t xml:space="preserve">Levick JR. Microvascular Architecture and Exchange in Synovial Joints. </w:t>
      </w:r>
      <w:r w:rsidRPr="003D6530">
        <w:rPr>
          <w:rFonts w:ascii="Times New Roman" w:hAnsi="Times New Roman" w:cs="Times New Roman"/>
          <w:i/>
          <w:iCs/>
          <w:noProof/>
        </w:rPr>
        <w:t>Microcirculation</w:t>
      </w:r>
      <w:r w:rsidRPr="003D6530">
        <w:rPr>
          <w:rFonts w:ascii="Times New Roman" w:hAnsi="Times New Roman" w:cs="Times New Roman"/>
          <w:noProof/>
        </w:rPr>
        <w:t>. 1995;2(3):217-233. doi:10.3109/10739689509146768</w:t>
      </w:r>
    </w:p>
    <w:p w14:paraId="2410BF88" w14:textId="77777777" w:rsidR="003D6530" w:rsidRPr="003D6530" w:rsidRDefault="003D6530" w:rsidP="003D6530">
      <w:pPr>
        <w:widowControl w:val="0"/>
        <w:autoSpaceDE w:val="0"/>
        <w:autoSpaceDN w:val="0"/>
        <w:adjustRightInd w:val="0"/>
        <w:spacing w:line="480" w:lineRule="auto"/>
        <w:ind w:left="640" w:hanging="640"/>
        <w:rPr>
          <w:rFonts w:ascii="Times New Roman" w:hAnsi="Times New Roman" w:cs="Times New Roman"/>
          <w:noProof/>
        </w:rPr>
      </w:pPr>
      <w:r w:rsidRPr="003D6530">
        <w:rPr>
          <w:rFonts w:ascii="Times New Roman" w:hAnsi="Times New Roman" w:cs="Times New Roman"/>
          <w:noProof/>
        </w:rPr>
        <w:t xml:space="preserve">42. </w:t>
      </w:r>
      <w:r w:rsidRPr="003D6530">
        <w:rPr>
          <w:rFonts w:ascii="Times New Roman" w:hAnsi="Times New Roman" w:cs="Times New Roman"/>
          <w:noProof/>
        </w:rPr>
        <w:tab/>
        <w:t xml:space="preserve">Thabit AK, Fatani DF, Bamakhrama MS, Barnawi OA, Basudan LO, Alhejaili SF. Antibiotic penetration into bone and joints: An updated review. </w:t>
      </w:r>
      <w:r w:rsidRPr="003D6530">
        <w:rPr>
          <w:rFonts w:ascii="Times New Roman" w:hAnsi="Times New Roman" w:cs="Times New Roman"/>
          <w:i/>
          <w:iCs/>
          <w:noProof/>
        </w:rPr>
        <w:t>Int J Infect Dis</w:t>
      </w:r>
      <w:r w:rsidRPr="003D6530">
        <w:rPr>
          <w:rFonts w:ascii="Times New Roman" w:hAnsi="Times New Roman" w:cs="Times New Roman"/>
          <w:noProof/>
        </w:rPr>
        <w:t>. 2019;81:128-136. doi:10.1016/j.ijid.2019.02.005</w:t>
      </w:r>
    </w:p>
    <w:p w14:paraId="645873AC" w14:textId="31908479" w:rsidR="00E813C2" w:rsidRDefault="00D27747" w:rsidP="003D6530">
      <w:pPr>
        <w:widowControl w:val="0"/>
        <w:autoSpaceDE w:val="0"/>
        <w:autoSpaceDN w:val="0"/>
        <w:adjustRightInd w:val="0"/>
        <w:spacing w:line="480" w:lineRule="auto"/>
        <w:ind w:left="640" w:hanging="640"/>
        <w:rPr>
          <w:rStyle w:val="LineNumber"/>
          <w:rFonts w:cs="Times New Roman"/>
          <w:b/>
          <w:bCs/>
        </w:rPr>
      </w:pPr>
      <w:r>
        <w:rPr>
          <w:rStyle w:val="LineNumber"/>
          <w:rFonts w:cs="Times New Roman"/>
          <w:b/>
          <w:bCs/>
        </w:rPr>
        <w:fldChar w:fldCharType="end"/>
      </w:r>
    </w:p>
    <w:p w14:paraId="7436BD15" w14:textId="77777777" w:rsidR="00E813C2" w:rsidRDefault="00E813C2">
      <w:pPr>
        <w:rPr>
          <w:rStyle w:val="LineNumber"/>
          <w:rFonts w:cs="Times New Roman"/>
          <w:b/>
          <w:bCs/>
        </w:rPr>
      </w:pPr>
      <w:r>
        <w:rPr>
          <w:rStyle w:val="LineNumber"/>
          <w:rFonts w:cs="Times New Roman"/>
          <w:b/>
          <w:bCs/>
        </w:rPr>
        <w:br w:type="page"/>
      </w:r>
    </w:p>
    <w:p w14:paraId="63D6F82B" w14:textId="0C2F8B9D" w:rsidR="00A77A88" w:rsidRDefault="00E813C2" w:rsidP="00EE7C6A">
      <w:pPr>
        <w:widowControl w:val="0"/>
        <w:autoSpaceDE w:val="0"/>
        <w:autoSpaceDN w:val="0"/>
        <w:adjustRightInd w:val="0"/>
        <w:spacing w:line="480" w:lineRule="auto"/>
        <w:ind w:left="640" w:hanging="640"/>
        <w:rPr>
          <w:rStyle w:val="LineNumber"/>
          <w:rFonts w:cs="Times New Roman"/>
          <w:b/>
          <w:bCs/>
        </w:rPr>
      </w:pPr>
      <w:r>
        <w:rPr>
          <w:rStyle w:val="LineNumber"/>
          <w:rFonts w:cs="Times New Roman"/>
          <w:b/>
          <w:bCs/>
        </w:rPr>
        <w:lastRenderedPageBreak/>
        <w:t>Figure Captions</w:t>
      </w:r>
    </w:p>
    <w:p w14:paraId="055E1155" w14:textId="77777777" w:rsidR="003D6530" w:rsidRPr="00631AC1" w:rsidRDefault="003D6530" w:rsidP="002D7F83">
      <w:pPr>
        <w:spacing w:line="480" w:lineRule="auto"/>
        <w:rPr>
          <w:rFonts w:ascii="Times New Roman" w:hAnsi="Times New Roman" w:cs="Times New Roman"/>
        </w:rPr>
      </w:pPr>
      <w:r w:rsidRPr="002D7F83">
        <w:rPr>
          <w:rFonts w:ascii="Times New Roman" w:hAnsi="Times New Roman" w:cs="Times New Roman"/>
          <w:b/>
          <w:bCs/>
        </w:rPr>
        <w:t>Figure 1.</w:t>
      </w:r>
      <w:r w:rsidRPr="00631AC1">
        <w:rPr>
          <w:rFonts w:ascii="Times New Roman" w:hAnsi="Times New Roman" w:cs="Times New Roman"/>
        </w:rPr>
        <w:t xml:space="preserve"> Side view schematic showing the construction of the large plate agar </w:t>
      </w:r>
      <w:r>
        <w:rPr>
          <w:rFonts w:ascii="Times New Roman" w:hAnsi="Times New Roman" w:cs="Times New Roman"/>
        </w:rPr>
        <w:t xml:space="preserve">model. This </w:t>
      </w:r>
      <w:r w:rsidRPr="00631AC1">
        <w:rPr>
          <w:rFonts w:ascii="Times New Roman" w:hAnsi="Times New Roman" w:cs="Times New Roman"/>
        </w:rPr>
        <w:t>model</w:t>
      </w:r>
      <w:r>
        <w:rPr>
          <w:rFonts w:ascii="Times New Roman" w:hAnsi="Times New Roman" w:cs="Times New Roman"/>
        </w:rPr>
        <w:t xml:space="preserve"> allows</w:t>
      </w:r>
      <w:r w:rsidRPr="00631AC1">
        <w:rPr>
          <w:rFonts w:ascii="Times New Roman" w:hAnsi="Times New Roman" w:cs="Times New Roman"/>
        </w:rPr>
        <w:t xml:space="preserve"> </w:t>
      </w:r>
      <w:r>
        <w:rPr>
          <w:rFonts w:ascii="Times New Roman" w:hAnsi="Times New Roman" w:cs="Times New Roman"/>
        </w:rPr>
        <w:t xml:space="preserve">for the spread of </w:t>
      </w:r>
      <w:r w:rsidRPr="00631AC1">
        <w:rPr>
          <w:rFonts w:ascii="Times New Roman" w:hAnsi="Times New Roman" w:cs="Times New Roman"/>
        </w:rPr>
        <w:t xml:space="preserve">antibiotic </w:t>
      </w:r>
      <w:r>
        <w:rPr>
          <w:rFonts w:ascii="Times New Roman" w:hAnsi="Times New Roman" w:cs="Times New Roman"/>
        </w:rPr>
        <w:t>released</w:t>
      </w:r>
      <w:r w:rsidRPr="00631AC1">
        <w:rPr>
          <w:rFonts w:ascii="Times New Roman" w:hAnsi="Times New Roman" w:cs="Times New Roman"/>
        </w:rPr>
        <w:t xml:space="preserve"> from ALCS-B and an antibiotic loaded spacer </w:t>
      </w:r>
      <w:r>
        <w:rPr>
          <w:rFonts w:ascii="Times New Roman" w:hAnsi="Times New Roman" w:cs="Times New Roman"/>
        </w:rPr>
        <w:t>(ALBC-S) as it diffuses through the agar</w:t>
      </w:r>
      <w:r w:rsidRPr="00631AC1">
        <w:rPr>
          <w:rFonts w:ascii="Times New Roman" w:hAnsi="Times New Roman" w:cs="Times New Roman"/>
        </w:rPr>
        <w:t xml:space="preserve">. Three discs of each material containing 3-day biofilms, were placed at distances of 1, 3, and 5 cm radiating linearly from the edge of the PMMA spacer </w:t>
      </w:r>
      <w:r>
        <w:rPr>
          <w:rFonts w:ascii="Times New Roman" w:hAnsi="Times New Roman" w:cs="Times New Roman"/>
        </w:rPr>
        <w:t>mimic</w:t>
      </w:r>
      <w:r w:rsidRPr="00631AC1">
        <w:rPr>
          <w:rFonts w:ascii="Times New Roman" w:hAnsi="Times New Roman" w:cs="Times New Roman"/>
        </w:rPr>
        <w:t>. ALCS-B were only included in the LS+ALCS-B antibiotic condition.</w:t>
      </w:r>
    </w:p>
    <w:p w14:paraId="170BCEF1" w14:textId="07B20A33" w:rsidR="00E813C2" w:rsidRDefault="00E813C2" w:rsidP="003D6530">
      <w:pPr>
        <w:widowControl w:val="0"/>
        <w:autoSpaceDE w:val="0"/>
        <w:autoSpaceDN w:val="0"/>
        <w:adjustRightInd w:val="0"/>
        <w:spacing w:line="480" w:lineRule="auto"/>
        <w:ind w:left="640" w:hanging="640"/>
        <w:rPr>
          <w:rStyle w:val="LineNumber"/>
          <w:rFonts w:cs="Times New Roman"/>
          <w:b/>
          <w:bCs/>
        </w:rPr>
      </w:pPr>
    </w:p>
    <w:p w14:paraId="6888CF7D" w14:textId="77777777" w:rsidR="003D6530" w:rsidRPr="00F34C37" w:rsidRDefault="003D6530" w:rsidP="002D7F83">
      <w:pPr>
        <w:spacing w:line="480" w:lineRule="auto"/>
        <w:rPr>
          <w:rFonts w:ascii="Times New Roman" w:hAnsi="Times New Roman" w:cs="Times New Roman"/>
        </w:rPr>
      </w:pPr>
      <w:r w:rsidRPr="002D7F83">
        <w:rPr>
          <w:rFonts w:ascii="Times New Roman" w:hAnsi="Times New Roman" w:cs="Times New Roman"/>
          <w:b/>
          <w:bCs/>
        </w:rPr>
        <w:t>Figure 2A-B.</w:t>
      </w:r>
      <w:r w:rsidRPr="00F34C37">
        <w:rPr>
          <w:rFonts w:ascii="Times New Roman" w:hAnsi="Times New Roman" w:cs="Times New Roman"/>
        </w:rPr>
        <w:t xml:space="preserve"> IVIS (A) and white light (B) images tracking the suppression of </w:t>
      </w:r>
      <w:r w:rsidRPr="00F34C37">
        <w:rPr>
          <w:rFonts w:ascii="Times New Roman" w:hAnsi="Times New Roman" w:cs="Times New Roman"/>
          <w:i/>
          <w:iCs/>
        </w:rPr>
        <w:t xml:space="preserve">P. aeruginosa </w:t>
      </w:r>
      <w:r w:rsidRPr="00F34C37">
        <w:rPr>
          <w:rFonts w:ascii="Times New Roman" w:hAnsi="Times New Roman" w:cs="Times New Roman"/>
        </w:rPr>
        <w:t>Xen41 biofilm spread from biofilm colonized discs of four different orthopedic materials for three different antibiotic conditions. Plates were imaged every 24 hours for 5 days.</w:t>
      </w:r>
      <w:r>
        <w:rPr>
          <w:rFonts w:ascii="Times New Roman" w:hAnsi="Times New Roman" w:cs="Times New Roman"/>
        </w:rPr>
        <w:t xml:space="preserve"> At the periphery of all plates, there is a loss of bioluminescence over time, even in the non-antibiotic control. We believe that this is due to nutrient depletion and a loss of metabolic activity in this region.</w:t>
      </w:r>
    </w:p>
    <w:p w14:paraId="543DEEEA" w14:textId="5DDFB6A2" w:rsidR="00E813C2" w:rsidRDefault="00E813C2" w:rsidP="00E813C2">
      <w:pPr>
        <w:widowControl w:val="0"/>
        <w:autoSpaceDE w:val="0"/>
        <w:autoSpaceDN w:val="0"/>
        <w:adjustRightInd w:val="0"/>
        <w:spacing w:line="480" w:lineRule="auto"/>
        <w:ind w:left="640" w:hanging="640"/>
        <w:rPr>
          <w:rStyle w:val="LineNumber"/>
          <w:rFonts w:cs="Times New Roman"/>
          <w:b/>
          <w:bCs/>
        </w:rPr>
      </w:pPr>
    </w:p>
    <w:p w14:paraId="1CACF929" w14:textId="77777777" w:rsidR="00E813C2" w:rsidRPr="00F34C37" w:rsidRDefault="00E813C2" w:rsidP="00E813C2">
      <w:pPr>
        <w:spacing w:line="480" w:lineRule="auto"/>
        <w:rPr>
          <w:rFonts w:ascii="Times New Roman" w:hAnsi="Times New Roman" w:cs="Times New Roman"/>
        </w:rPr>
      </w:pPr>
      <w:r w:rsidRPr="00E813C2">
        <w:rPr>
          <w:rFonts w:ascii="Times New Roman" w:hAnsi="Times New Roman" w:cs="Times New Roman"/>
          <w:b/>
          <w:bCs/>
        </w:rPr>
        <w:t>Figure 3.</w:t>
      </w:r>
      <w:r w:rsidRPr="00F34C37">
        <w:rPr>
          <w:rFonts w:ascii="Times New Roman" w:hAnsi="Times New Roman" w:cs="Times New Roman"/>
          <w:i/>
          <w:iCs/>
        </w:rPr>
        <w:t xml:space="preserve"> </w:t>
      </w:r>
      <w:r w:rsidRPr="00F34C37">
        <w:rPr>
          <w:rFonts w:ascii="Times New Roman" w:hAnsi="Times New Roman" w:cs="Times New Roman"/>
        </w:rPr>
        <w:t xml:space="preserve">Quantification of viable bacteria (by CFU) on discs containing </w:t>
      </w:r>
      <w:r w:rsidRPr="00F34C37">
        <w:rPr>
          <w:rFonts w:ascii="Times New Roman" w:hAnsi="Times New Roman" w:cs="Times New Roman"/>
          <w:i/>
          <w:iCs/>
        </w:rPr>
        <w:t xml:space="preserve">P. aeruginosa </w:t>
      </w:r>
      <w:r w:rsidRPr="00F34C37">
        <w:rPr>
          <w:rFonts w:ascii="Times New Roman" w:hAnsi="Times New Roman" w:cs="Times New Roman"/>
        </w:rPr>
        <w:t>Xen41 3-day biofilm. Counts are reported in terms of log</w:t>
      </w:r>
      <w:r w:rsidRPr="00F34C37">
        <w:rPr>
          <w:rFonts w:ascii="Times New Roman" w:hAnsi="Times New Roman" w:cs="Times New Roman"/>
          <w:vertAlign w:val="subscript"/>
        </w:rPr>
        <w:t>10</w:t>
      </w:r>
      <w:r w:rsidRPr="00F34C37">
        <w:rPr>
          <w:rFonts w:ascii="Times New Roman" w:hAnsi="Times New Roman" w:cs="Times New Roman"/>
        </w:rPr>
        <w:t>CFU per surface area of the disc (in cm</w:t>
      </w:r>
      <w:r w:rsidRPr="00F34C37">
        <w:rPr>
          <w:rFonts w:ascii="Times New Roman" w:hAnsi="Times New Roman" w:cs="Times New Roman"/>
          <w:vertAlign w:val="superscript"/>
        </w:rPr>
        <w:t>2</w:t>
      </w:r>
      <w:r w:rsidRPr="00F34C37">
        <w:rPr>
          <w:rFonts w:ascii="Times New Roman" w:hAnsi="Times New Roman" w:cs="Times New Roman"/>
        </w:rPr>
        <w:t>).</w:t>
      </w:r>
    </w:p>
    <w:p w14:paraId="6A6E4B20" w14:textId="6DC3B083" w:rsidR="00E813C2" w:rsidRDefault="00E813C2" w:rsidP="00E813C2">
      <w:pPr>
        <w:widowControl w:val="0"/>
        <w:autoSpaceDE w:val="0"/>
        <w:autoSpaceDN w:val="0"/>
        <w:adjustRightInd w:val="0"/>
        <w:spacing w:line="480" w:lineRule="auto"/>
        <w:ind w:left="640" w:hanging="640"/>
        <w:rPr>
          <w:rStyle w:val="LineNumber"/>
          <w:rFonts w:cs="Times New Roman"/>
          <w:b/>
          <w:bCs/>
        </w:rPr>
      </w:pPr>
    </w:p>
    <w:p w14:paraId="0BC78C8D" w14:textId="0B5AE977" w:rsidR="00E813C2" w:rsidRPr="002F7A30" w:rsidRDefault="00E813C2" w:rsidP="002D7F83">
      <w:pPr>
        <w:spacing w:line="480" w:lineRule="auto"/>
        <w:rPr>
          <w:rStyle w:val="LineNumber"/>
          <w:rFonts w:cs="Times New Roman"/>
          <w:b/>
          <w:bCs/>
        </w:rPr>
      </w:pPr>
      <w:r w:rsidRPr="00E813C2">
        <w:rPr>
          <w:rFonts w:ascii="Times New Roman" w:hAnsi="Times New Roman" w:cs="Times New Roman"/>
          <w:b/>
          <w:bCs/>
        </w:rPr>
        <w:t>Figure 4.</w:t>
      </w:r>
      <w:r>
        <w:rPr>
          <w:rFonts w:ascii="Times New Roman" w:hAnsi="Times New Roman" w:cs="Times New Roman"/>
        </w:rPr>
        <w:t xml:space="preserve"> </w:t>
      </w:r>
      <w:r w:rsidRPr="00F25255">
        <w:rPr>
          <w:rFonts w:ascii="Times New Roman" w:hAnsi="Times New Roman" w:cs="Times New Roman"/>
        </w:rPr>
        <w:t xml:space="preserve">Log reduction of </w:t>
      </w:r>
      <w:r w:rsidRPr="00F25255">
        <w:rPr>
          <w:rFonts w:ascii="Times New Roman" w:hAnsi="Times New Roman" w:cs="Times New Roman"/>
          <w:i/>
          <w:iCs/>
        </w:rPr>
        <w:t xml:space="preserve">P. aeruginosa </w:t>
      </w:r>
      <w:r w:rsidRPr="00F25255">
        <w:rPr>
          <w:rFonts w:ascii="Times New Roman" w:hAnsi="Times New Roman" w:cs="Times New Roman"/>
        </w:rPr>
        <w:t>Xen41 biofilms, after being grown for 3 days in TSB media and then introduced into the large plate model against one of three antibiotic conditions for 5 days. CFU counts of SS-316 (A), Ti (B), HA (C), and UHMWPE (D) from the biofilm colonized discs, varying in distance from the edge of the PMMA spacer, were compared to those on an unloaded spacer (US) control. ≥ denotes discs eradicated of biofilm bacteria to below the CFU detection limit (3.54 log</w:t>
      </w:r>
      <w:r w:rsidRPr="00F25255">
        <w:rPr>
          <w:rFonts w:ascii="Times New Roman" w:hAnsi="Times New Roman" w:cs="Times New Roman"/>
          <w:vertAlign w:val="subscript"/>
        </w:rPr>
        <w:t>10</w:t>
      </w:r>
      <w:r w:rsidRPr="00F25255">
        <w:rPr>
          <w:rFonts w:ascii="Times New Roman" w:hAnsi="Times New Roman" w:cs="Times New Roman"/>
        </w:rPr>
        <w:t>CFU/cm</w:t>
      </w:r>
      <w:r w:rsidRPr="00F25255">
        <w:rPr>
          <w:rFonts w:ascii="Times New Roman" w:hAnsi="Times New Roman" w:cs="Times New Roman"/>
          <w:vertAlign w:val="superscript"/>
        </w:rPr>
        <w:t>2</w:t>
      </w:r>
      <w:r w:rsidRPr="00F25255">
        <w:rPr>
          <w:rFonts w:ascii="Times New Roman" w:hAnsi="Times New Roman" w:cs="Times New Roman"/>
        </w:rPr>
        <w:t xml:space="preserve">) and indicates that the reduction could be greater than </w:t>
      </w:r>
      <w:r w:rsidRPr="00F25255">
        <w:rPr>
          <w:rFonts w:ascii="Times New Roman" w:hAnsi="Times New Roman" w:cs="Times New Roman"/>
        </w:rPr>
        <w:lastRenderedPageBreak/>
        <w:t>or equal to the value listed in the graph. * represents statistically significant (p&lt;0.05) differences in log reductions between LS and LS+ALCS-B antibiotic conditions.</w:t>
      </w:r>
      <w:bookmarkEnd w:id="0"/>
    </w:p>
    <w:sectPr w:rsidR="00E813C2" w:rsidRPr="002F7A30" w:rsidSect="00447890">
      <w:footerReference w:type="even" r:id="rId16"/>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F5724" w14:textId="77777777" w:rsidR="008031A3" w:rsidRDefault="008031A3" w:rsidP="00FE3F1E">
      <w:r>
        <w:separator/>
      </w:r>
    </w:p>
  </w:endnote>
  <w:endnote w:type="continuationSeparator" w:id="0">
    <w:p w14:paraId="71700672" w14:textId="77777777" w:rsidR="008031A3" w:rsidRDefault="008031A3" w:rsidP="00FE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vOT596495f2">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6195628"/>
      <w:docPartObj>
        <w:docPartGallery w:val="Page Numbers (Bottom of Page)"/>
        <w:docPartUnique/>
      </w:docPartObj>
    </w:sdtPr>
    <w:sdtEndPr>
      <w:rPr>
        <w:rStyle w:val="PageNumber"/>
      </w:rPr>
    </w:sdtEndPr>
    <w:sdtContent>
      <w:p w14:paraId="66A3AF81" w14:textId="77777777" w:rsidR="00AF3FBE" w:rsidRDefault="00AF3FBE" w:rsidP="003B68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90C54D" w14:textId="77777777" w:rsidR="00AF3FBE" w:rsidRDefault="00AF3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3530995"/>
      <w:docPartObj>
        <w:docPartGallery w:val="Page Numbers (Bottom of Page)"/>
        <w:docPartUnique/>
      </w:docPartObj>
    </w:sdtPr>
    <w:sdtEndPr>
      <w:rPr>
        <w:rStyle w:val="PageNumber"/>
        <w:rFonts w:ascii="Times New Roman" w:hAnsi="Times New Roman" w:cs="Times New Roman"/>
      </w:rPr>
    </w:sdtEndPr>
    <w:sdtContent>
      <w:p w14:paraId="0CFE61F5" w14:textId="77777777" w:rsidR="00AF3FBE" w:rsidRPr="00FE3F1E" w:rsidRDefault="00AF3FBE" w:rsidP="003B680A">
        <w:pPr>
          <w:pStyle w:val="Footer"/>
          <w:framePr w:wrap="none" w:vAnchor="text" w:hAnchor="margin" w:xAlign="center" w:y="1"/>
          <w:rPr>
            <w:rStyle w:val="PageNumber"/>
            <w:rFonts w:ascii="Times New Roman" w:hAnsi="Times New Roman" w:cs="Times New Roman"/>
          </w:rPr>
        </w:pPr>
        <w:r w:rsidRPr="00FE3F1E">
          <w:rPr>
            <w:rStyle w:val="PageNumber"/>
            <w:rFonts w:ascii="Times New Roman" w:hAnsi="Times New Roman" w:cs="Times New Roman"/>
          </w:rPr>
          <w:fldChar w:fldCharType="begin"/>
        </w:r>
        <w:r w:rsidRPr="00FE3F1E">
          <w:rPr>
            <w:rStyle w:val="PageNumber"/>
            <w:rFonts w:ascii="Times New Roman" w:hAnsi="Times New Roman" w:cs="Times New Roman"/>
          </w:rPr>
          <w:instrText xml:space="preserve"> PAGE </w:instrText>
        </w:r>
        <w:r w:rsidRPr="00FE3F1E">
          <w:rPr>
            <w:rStyle w:val="PageNumber"/>
            <w:rFonts w:ascii="Times New Roman" w:hAnsi="Times New Roman" w:cs="Times New Roman"/>
          </w:rPr>
          <w:fldChar w:fldCharType="separate"/>
        </w:r>
        <w:r>
          <w:rPr>
            <w:rStyle w:val="PageNumber"/>
            <w:rFonts w:ascii="Times New Roman" w:hAnsi="Times New Roman" w:cs="Times New Roman"/>
            <w:noProof/>
          </w:rPr>
          <w:t>1</w:t>
        </w:r>
        <w:r w:rsidRPr="00FE3F1E">
          <w:rPr>
            <w:rStyle w:val="PageNumber"/>
            <w:rFonts w:ascii="Times New Roman" w:hAnsi="Times New Roman" w:cs="Times New Roman"/>
          </w:rPr>
          <w:fldChar w:fldCharType="end"/>
        </w:r>
      </w:p>
    </w:sdtContent>
  </w:sdt>
  <w:p w14:paraId="1600ADDA" w14:textId="77777777" w:rsidR="00AF3FBE" w:rsidRPr="00FE3F1E" w:rsidRDefault="00AF3FB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BE3E4" w14:textId="77777777" w:rsidR="008031A3" w:rsidRDefault="008031A3" w:rsidP="00FE3F1E">
      <w:r>
        <w:separator/>
      </w:r>
    </w:p>
  </w:footnote>
  <w:footnote w:type="continuationSeparator" w:id="0">
    <w:p w14:paraId="79B423D6" w14:textId="77777777" w:rsidR="008031A3" w:rsidRDefault="008031A3" w:rsidP="00FE3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AA0D0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0627F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7E35E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994AB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D162F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4465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D82E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56D6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58A4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BE0B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F60"/>
    <w:multiLevelType w:val="multilevel"/>
    <w:tmpl w:val="F468CA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201CBB"/>
    <w:multiLevelType w:val="multilevel"/>
    <w:tmpl w:val="C7E087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1A3890"/>
    <w:multiLevelType w:val="multilevel"/>
    <w:tmpl w:val="67A0C1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1"/>
  </w:num>
  <w:num w:numId="3">
    <w:abstractNumId w:val="10"/>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vyspri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trzawpgzfvwjea5w2pxft39z9fpre9weze&quot;&gt;Nat Revs Intro Stoodley&lt;record-ids&gt;&lt;item&gt;3211&lt;/item&gt;&lt;/record-ids&gt;&lt;/item&gt;&lt;/Libraries&gt;"/>
  </w:docVars>
  <w:rsids>
    <w:rsidRoot w:val="00FE3F1E"/>
    <w:rsid w:val="000053D6"/>
    <w:rsid w:val="00022E6A"/>
    <w:rsid w:val="00030B46"/>
    <w:rsid w:val="00037C3E"/>
    <w:rsid w:val="00043130"/>
    <w:rsid w:val="000441F0"/>
    <w:rsid w:val="000526A3"/>
    <w:rsid w:val="00052718"/>
    <w:rsid w:val="000529ED"/>
    <w:rsid w:val="000535C8"/>
    <w:rsid w:val="00053635"/>
    <w:rsid w:val="00053F3A"/>
    <w:rsid w:val="00054B58"/>
    <w:rsid w:val="00055422"/>
    <w:rsid w:val="00060698"/>
    <w:rsid w:val="000614D0"/>
    <w:rsid w:val="00061A94"/>
    <w:rsid w:val="000667E8"/>
    <w:rsid w:val="00070DAE"/>
    <w:rsid w:val="000735B7"/>
    <w:rsid w:val="00076AF0"/>
    <w:rsid w:val="00082C14"/>
    <w:rsid w:val="000832DF"/>
    <w:rsid w:val="000838F4"/>
    <w:rsid w:val="000872B3"/>
    <w:rsid w:val="00092C33"/>
    <w:rsid w:val="000932B0"/>
    <w:rsid w:val="00095D3A"/>
    <w:rsid w:val="000A265E"/>
    <w:rsid w:val="000B6684"/>
    <w:rsid w:val="000E498B"/>
    <w:rsid w:val="000E501D"/>
    <w:rsid w:val="000E7702"/>
    <w:rsid w:val="00102C45"/>
    <w:rsid w:val="0011070F"/>
    <w:rsid w:val="00111106"/>
    <w:rsid w:val="0011221C"/>
    <w:rsid w:val="00112C3E"/>
    <w:rsid w:val="00114BD5"/>
    <w:rsid w:val="001178CF"/>
    <w:rsid w:val="0012372D"/>
    <w:rsid w:val="00127519"/>
    <w:rsid w:val="00132843"/>
    <w:rsid w:val="00134188"/>
    <w:rsid w:val="00140E63"/>
    <w:rsid w:val="00141ECF"/>
    <w:rsid w:val="00143B67"/>
    <w:rsid w:val="001460E9"/>
    <w:rsid w:val="0014666D"/>
    <w:rsid w:val="00151C17"/>
    <w:rsid w:val="00153496"/>
    <w:rsid w:val="00153A64"/>
    <w:rsid w:val="00155FFF"/>
    <w:rsid w:val="00156894"/>
    <w:rsid w:val="0016099B"/>
    <w:rsid w:val="0016567D"/>
    <w:rsid w:val="00166867"/>
    <w:rsid w:val="00174EC4"/>
    <w:rsid w:val="00177E51"/>
    <w:rsid w:val="001954E6"/>
    <w:rsid w:val="00196B74"/>
    <w:rsid w:val="001A4085"/>
    <w:rsid w:val="001A451F"/>
    <w:rsid w:val="001A4970"/>
    <w:rsid w:val="001A55E4"/>
    <w:rsid w:val="001A5CF6"/>
    <w:rsid w:val="001B564C"/>
    <w:rsid w:val="001C2419"/>
    <w:rsid w:val="001D132E"/>
    <w:rsid w:val="001D2B05"/>
    <w:rsid w:val="001D3DCE"/>
    <w:rsid w:val="001E0169"/>
    <w:rsid w:val="001F3CFC"/>
    <w:rsid w:val="00204EBA"/>
    <w:rsid w:val="0020777E"/>
    <w:rsid w:val="00207804"/>
    <w:rsid w:val="00214348"/>
    <w:rsid w:val="00214CB9"/>
    <w:rsid w:val="00217BED"/>
    <w:rsid w:val="00217DEF"/>
    <w:rsid w:val="00220CA1"/>
    <w:rsid w:val="0024764E"/>
    <w:rsid w:val="00253D45"/>
    <w:rsid w:val="0025665A"/>
    <w:rsid w:val="00256698"/>
    <w:rsid w:val="00260E57"/>
    <w:rsid w:val="00265FA4"/>
    <w:rsid w:val="00275ABA"/>
    <w:rsid w:val="00282BB1"/>
    <w:rsid w:val="002870DC"/>
    <w:rsid w:val="002923B4"/>
    <w:rsid w:val="002B1480"/>
    <w:rsid w:val="002B22A3"/>
    <w:rsid w:val="002B31FC"/>
    <w:rsid w:val="002B4D96"/>
    <w:rsid w:val="002C0346"/>
    <w:rsid w:val="002C0B1F"/>
    <w:rsid w:val="002C31D0"/>
    <w:rsid w:val="002C457A"/>
    <w:rsid w:val="002D762E"/>
    <w:rsid w:val="002D7D75"/>
    <w:rsid w:val="002D7F83"/>
    <w:rsid w:val="002E703E"/>
    <w:rsid w:val="002F4FD1"/>
    <w:rsid w:val="002F5D22"/>
    <w:rsid w:val="002F7A30"/>
    <w:rsid w:val="00302729"/>
    <w:rsid w:val="003076D2"/>
    <w:rsid w:val="00315667"/>
    <w:rsid w:val="0032091E"/>
    <w:rsid w:val="00322AAF"/>
    <w:rsid w:val="00323E3B"/>
    <w:rsid w:val="00324D57"/>
    <w:rsid w:val="003251A7"/>
    <w:rsid w:val="00333F1B"/>
    <w:rsid w:val="00341EC1"/>
    <w:rsid w:val="00344FB9"/>
    <w:rsid w:val="00345431"/>
    <w:rsid w:val="00346657"/>
    <w:rsid w:val="00346876"/>
    <w:rsid w:val="00346EC9"/>
    <w:rsid w:val="0035031D"/>
    <w:rsid w:val="00350ABC"/>
    <w:rsid w:val="00365C17"/>
    <w:rsid w:val="00372716"/>
    <w:rsid w:val="00381151"/>
    <w:rsid w:val="00381802"/>
    <w:rsid w:val="00384CB0"/>
    <w:rsid w:val="00386971"/>
    <w:rsid w:val="00390998"/>
    <w:rsid w:val="003934F3"/>
    <w:rsid w:val="003A50EF"/>
    <w:rsid w:val="003A770E"/>
    <w:rsid w:val="003B1272"/>
    <w:rsid w:val="003B3047"/>
    <w:rsid w:val="003B3874"/>
    <w:rsid w:val="003B58F7"/>
    <w:rsid w:val="003B680A"/>
    <w:rsid w:val="003B7139"/>
    <w:rsid w:val="003C1D88"/>
    <w:rsid w:val="003C2D59"/>
    <w:rsid w:val="003C6F69"/>
    <w:rsid w:val="003D278E"/>
    <w:rsid w:val="003D3736"/>
    <w:rsid w:val="003D3D42"/>
    <w:rsid w:val="003D6530"/>
    <w:rsid w:val="003D6D53"/>
    <w:rsid w:val="003E0596"/>
    <w:rsid w:val="003E2017"/>
    <w:rsid w:val="003E39D8"/>
    <w:rsid w:val="003E43F3"/>
    <w:rsid w:val="003F4957"/>
    <w:rsid w:val="00400A7F"/>
    <w:rsid w:val="0040201D"/>
    <w:rsid w:val="00405720"/>
    <w:rsid w:val="00410B6A"/>
    <w:rsid w:val="00410BA1"/>
    <w:rsid w:val="00410FB1"/>
    <w:rsid w:val="00411DED"/>
    <w:rsid w:val="004124F1"/>
    <w:rsid w:val="00412C82"/>
    <w:rsid w:val="00417D09"/>
    <w:rsid w:val="00420119"/>
    <w:rsid w:val="00424F94"/>
    <w:rsid w:val="00431FF5"/>
    <w:rsid w:val="004419D4"/>
    <w:rsid w:val="0044299D"/>
    <w:rsid w:val="00447890"/>
    <w:rsid w:val="00464BD7"/>
    <w:rsid w:val="0046718A"/>
    <w:rsid w:val="00471483"/>
    <w:rsid w:val="00475740"/>
    <w:rsid w:val="004800A2"/>
    <w:rsid w:val="004935C2"/>
    <w:rsid w:val="0049693C"/>
    <w:rsid w:val="0049734A"/>
    <w:rsid w:val="004A00D5"/>
    <w:rsid w:val="004A126E"/>
    <w:rsid w:val="004A212E"/>
    <w:rsid w:val="004A55EC"/>
    <w:rsid w:val="004A7A51"/>
    <w:rsid w:val="004B3E80"/>
    <w:rsid w:val="004C1BB0"/>
    <w:rsid w:val="004C79E5"/>
    <w:rsid w:val="004D524E"/>
    <w:rsid w:val="004D5650"/>
    <w:rsid w:val="004D577C"/>
    <w:rsid w:val="004D5EFC"/>
    <w:rsid w:val="004E6285"/>
    <w:rsid w:val="004E7F67"/>
    <w:rsid w:val="004F0F87"/>
    <w:rsid w:val="004F3A4F"/>
    <w:rsid w:val="00505354"/>
    <w:rsid w:val="00506031"/>
    <w:rsid w:val="00510AA2"/>
    <w:rsid w:val="005173CF"/>
    <w:rsid w:val="00521BF3"/>
    <w:rsid w:val="005222A1"/>
    <w:rsid w:val="005239A6"/>
    <w:rsid w:val="0052618C"/>
    <w:rsid w:val="00543178"/>
    <w:rsid w:val="0054636E"/>
    <w:rsid w:val="00547F3C"/>
    <w:rsid w:val="00555825"/>
    <w:rsid w:val="005601AC"/>
    <w:rsid w:val="00562BF6"/>
    <w:rsid w:val="00562FA3"/>
    <w:rsid w:val="00566207"/>
    <w:rsid w:val="00566524"/>
    <w:rsid w:val="0056689D"/>
    <w:rsid w:val="00566F88"/>
    <w:rsid w:val="005700CD"/>
    <w:rsid w:val="00581D65"/>
    <w:rsid w:val="00582DB3"/>
    <w:rsid w:val="0059291E"/>
    <w:rsid w:val="0059607F"/>
    <w:rsid w:val="005A47C7"/>
    <w:rsid w:val="005A4EC6"/>
    <w:rsid w:val="005B09F3"/>
    <w:rsid w:val="005B2BD8"/>
    <w:rsid w:val="005C732B"/>
    <w:rsid w:val="005D0A63"/>
    <w:rsid w:val="005D1482"/>
    <w:rsid w:val="005D2E89"/>
    <w:rsid w:val="005D3FAD"/>
    <w:rsid w:val="005D4D05"/>
    <w:rsid w:val="005D7115"/>
    <w:rsid w:val="005E0F2E"/>
    <w:rsid w:val="005E3464"/>
    <w:rsid w:val="00612C52"/>
    <w:rsid w:val="0061694F"/>
    <w:rsid w:val="0062129E"/>
    <w:rsid w:val="00626C7D"/>
    <w:rsid w:val="00626E59"/>
    <w:rsid w:val="006318F4"/>
    <w:rsid w:val="00631AC1"/>
    <w:rsid w:val="006406F2"/>
    <w:rsid w:val="00654322"/>
    <w:rsid w:val="00655CFD"/>
    <w:rsid w:val="00665765"/>
    <w:rsid w:val="00665F5D"/>
    <w:rsid w:val="00672F11"/>
    <w:rsid w:val="00681F6D"/>
    <w:rsid w:val="00692CED"/>
    <w:rsid w:val="006942BC"/>
    <w:rsid w:val="006A3156"/>
    <w:rsid w:val="006A587F"/>
    <w:rsid w:val="006A6E7F"/>
    <w:rsid w:val="006B7DD4"/>
    <w:rsid w:val="006C2FC3"/>
    <w:rsid w:val="006C6636"/>
    <w:rsid w:val="006C77DF"/>
    <w:rsid w:val="006D47C6"/>
    <w:rsid w:val="006D51D2"/>
    <w:rsid w:val="006D56DE"/>
    <w:rsid w:val="006E5CF4"/>
    <w:rsid w:val="006E66EE"/>
    <w:rsid w:val="006F3FDC"/>
    <w:rsid w:val="006F7581"/>
    <w:rsid w:val="006F7AA4"/>
    <w:rsid w:val="007054DC"/>
    <w:rsid w:val="00707037"/>
    <w:rsid w:val="0072252F"/>
    <w:rsid w:val="00722C43"/>
    <w:rsid w:val="00730104"/>
    <w:rsid w:val="00742282"/>
    <w:rsid w:val="00742C88"/>
    <w:rsid w:val="00744603"/>
    <w:rsid w:val="0075111A"/>
    <w:rsid w:val="00751152"/>
    <w:rsid w:val="0075265F"/>
    <w:rsid w:val="007535D8"/>
    <w:rsid w:val="00776688"/>
    <w:rsid w:val="007876B0"/>
    <w:rsid w:val="0078797D"/>
    <w:rsid w:val="007A15B0"/>
    <w:rsid w:val="007A5398"/>
    <w:rsid w:val="007A7FF1"/>
    <w:rsid w:val="007C09ED"/>
    <w:rsid w:val="007C0E0A"/>
    <w:rsid w:val="007D3E8B"/>
    <w:rsid w:val="007D699E"/>
    <w:rsid w:val="007E345C"/>
    <w:rsid w:val="007E4FFA"/>
    <w:rsid w:val="007E5FAC"/>
    <w:rsid w:val="007E62BA"/>
    <w:rsid w:val="007F448F"/>
    <w:rsid w:val="007F780E"/>
    <w:rsid w:val="008031A3"/>
    <w:rsid w:val="00806EF4"/>
    <w:rsid w:val="0081080C"/>
    <w:rsid w:val="00817153"/>
    <w:rsid w:val="008239B4"/>
    <w:rsid w:val="0082538C"/>
    <w:rsid w:val="00827DD9"/>
    <w:rsid w:val="00840430"/>
    <w:rsid w:val="00844E46"/>
    <w:rsid w:val="0084614E"/>
    <w:rsid w:val="008468E7"/>
    <w:rsid w:val="00847D34"/>
    <w:rsid w:val="00852A1A"/>
    <w:rsid w:val="0085514B"/>
    <w:rsid w:val="00856EE1"/>
    <w:rsid w:val="00857576"/>
    <w:rsid w:val="00864D59"/>
    <w:rsid w:val="008656A3"/>
    <w:rsid w:val="00867610"/>
    <w:rsid w:val="00867A89"/>
    <w:rsid w:val="00867C85"/>
    <w:rsid w:val="008803F7"/>
    <w:rsid w:val="00881BFD"/>
    <w:rsid w:val="00884506"/>
    <w:rsid w:val="008A0F85"/>
    <w:rsid w:val="008A42F8"/>
    <w:rsid w:val="008A7A93"/>
    <w:rsid w:val="008B0E23"/>
    <w:rsid w:val="008B57C6"/>
    <w:rsid w:val="008C49D9"/>
    <w:rsid w:val="008C6D05"/>
    <w:rsid w:val="008C6F59"/>
    <w:rsid w:val="008D03DB"/>
    <w:rsid w:val="008E2001"/>
    <w:rsid w:val="008E2339"/>
    <w:rsid w:val="008F0FD9"/>
    <w:rsid w:val="008F3010"/>
    <w:rsid w:val="008F457E"/>
    <w:rsid w:val="00903676"/>
    <w:rsid w:val="00905523"/>
    <w:rsid w:val="0090747C"/>
    <w:rsid w:val="00915E6C"/>
    <w:rsid w:val="00917180"/>
    <w:rsid w:val="00923090"/>
    <w:rsid w:val="009311D6"/>
    <w:rsid w:val="00935426"/>
    <w:rsid w:val="009457B3"/>
    <w:rsid w:val="00945A6C"/>
    <w:rsid w:val="00954B2D"/>
    <w:rsid w:val="00965495"/>
    <w:rsid w:val="00973D3E"/>
    <w:rsid w:val="0097720F"/>
    <w:rsid w:val="0098420A"/>
    <w:rsid w:val="00991381"/>
    <w:rsid w:val="00991C20"/>
    <w:rsid w:val="009A0D5F"/>
    <w:rsid w:val="009A5D9B"/>
    <w:rsid w:val="009A7136"/>
    <w:rsid w:val="009B1EE6"/>
    <w:rsid w:val="009B699D"/>
    <w:rsid w:val="009B7500"/>
    <w:rsid w:val="009B7706"/>
    <w:rsid w:val="009C0D29"/>
    <w:rsid w:val="009C1489"/>
    <w:rsid w:val="009C2AD6"/>
    <w:rsid w:val="009D016D"/>
    <w:rsid w:val="009D0A0F"/>
    <w:rsid w:val="009D2384"/>
    <w:rsid w:val="009D38BC"/>
    <w:rsid w:val="009E061B"/>
    <w:rsid w:val="009E53FB"/>
    <w:rsid w:val="009F439E"/>
    <w:rsid w:val="009F4992"/>
    <w:rsid w:val="009F6688"/>
    <w:rsid w:val="00A00CA5"/>
    <w:rsid w:val="00A02225"/>
    <w:rsid w:val="00A11280"/>
    <w:rsid w:val="00A21E06"/>
    <w:rsid w:val="00A22C4F"/>
    <w:rsid w:val="00A25E96"/>
    <w:rsid w:val="00A31AEA"/>
    <w:rsid w:val="00A32155"/>
    <w:rsid w:val="00A3236C"/>
    <w:rsid w:val="00A427B8"/>
    <w:rsid w:val="00A44F5D"/>
    <w:rsid w:val="00A5022A"/>
    <w:rsid w:val="00A5241C"/>
    <w:rsid w:val="00A53BE4"/>
    <w:rsid w:val="00A603D0"/>
    <w:rsid w:val="00A63522"/>
    <w:rsid w:val="00A660DF"/>
    <w:rsid w:val="00A7156E"/>
    <w:rsid w:val="00A7722C"/>
    <w:rsid w:val="00A77558"/>
    <w:rsid w:val="00A77A88"/>
    <w:rsid w:val="00A77D2E"/>
    <w:rsid w:val="00A8015C"/>
    <w:rsid w:val="00A83646"/>
    <w:rsid w:val="00AA1FE3"/>
    <w:rsid w:val="00AA5407"/>
    <w:rsid w:val="00AA5F81"/>
    <w:rsid w:val="00AB405C"/>
    <w:rsid w:val="00AB4A48"/>
    <w:rsid w:val="00AB5249"/>
    <w:rsid w:val="00AB7B2B"/>
    <w:rsid w:val="00AC0CB7"/>
    <w:rsid w:val="00AE5F53"/>
    <w:rsid w:val="00AF3FBE"/>
    <w:rsid w:val="00B00769"/>
    <w:rsid w:val="00B05645"/>
    <w:rsid w:val="00B05B64"/>
    <w:rsid w:val="00B1151B"/>
    <w:rsid w:val="00B12CA3"/>
    <w:rsid w:val="00B13E7D"/>
    <w:rsid w:val="00B15B2E"/>
    <w:rsid w:val="00B2333C"/>
    <w:rsid w:val="00B32824"/>
    <w:rsid w:val="00B33B84"/>
    <w:rsid w:val="00B34B42"/>
    <w:rsid w:val="00B358D8"/>
    <w:rsid w:val="00B373C0"/>
    <w:rsid w:val="00B75585"/>
    <w:rsid w:val="00B755E0"/>
    <w:rsid w:val="00B7652D"/>
    <w:rsid w:val="00B80FF8"/>
    <w:rsid w:val="00B81612"/>
    <w:rsid w:val="00B81FAB"/>
    <w:rsid w:val="00B86E25"/>
    <w:rsid w:val="00B92CAE"/>
    <w:rsid w:val="00B94D95"/>
    <w:rsid w:val="00B955C9"/>
    <w:rsid w:val="00B95D60"/>
    <w:rsid w:val="00B95E79"/>
    <w:rsid w:val="00B960AB"/>
    <w:rsid w:val="00B963ED"/>
    <w:rsid w:val="00B96465"/>
    <w:rsid w:val="00B96A77"/>
    <w:rsid w:val="00BA01FD"/>
    <w:rsid w:val="00BA074F"/>
    <w:rsid w:val="00BA5A56"/>
    <w:rsid w:val="00BC69DE"/>
    <w:rsid w:val="00BC77F7"/>
    <w:rsid w:val="00BD71BF"/>
    <w:rsid w:val="00BF2584"/>
    <w:rsid w:val="00BF5391"/>
    <w:rsid w:val="00C14357"/>
    <w:rsid w:val="00C165E4"/>
    <w:rsid w:val="00C21C7F"/>
    <w:rsid w:val="00C22D16"/>
    <w:rsid w:val="00C26837"/>
    <w:rsid w:val="00C27B15"/>
    <w:rsid w:val="00C30C45"/>
    <w:rsid w:val="00C42AAE"/>
    <w:rsid w:val="00C43FC6"/>
    <w:rsid w:val="00C4477B"/>
    <w:rsid w:val="00C45896"/>
    <w:rsid w:val="00C45A24"/>
    <w:rsid w:val="00C52C43"/>
    <w:rsid w:val="00C53C22"/>
    <w:rsid w:val="00C5548E"/>
    <w:rsid w:val="00C57DAE"/>
    <w:rsid w:val="00C61E13"/>
    <w:rsid w:val="00C65668"/>
    <w:rsid w:val="00C663D9"/>
    <w:rsid w:val="00C707D2"/>
    <w:rsid w:val="00C71DA6"/>
    <w:rsid w:val="00C72AC8"/>
    <w:rsid w:val="00C804E8"/>
    <w:rsid w:val="00C80600"/>
    <w:rsid w:val="00C829D9"/>
    <w:rsid w:val="00C83A6C"/>
    <w:rsid w:val="00C8634E"/>
    <w:rsid w:val="00C92764"/>
    <w:rsid w:val="00C92A86"/>
    <w:rsid w:val="00C95011"/>
    <w:rsid w:val="00CA1228"/>
    <w:rsid w:val="00CA57B8"/>
    <w:rsid w:val="00CB1942"/>
    <w:rsid w:val="00CC0FCD"/>
    <w:rsid w:val="00CC4DBC"/>
    <w:rsid w:val="00CC61EB"/>
    <w:rsid w:val="00CD2F9F"/>
    <w:rsid w:val="00CD7712"/>
    <w:rsid w:val="00CE31F9"/>
    <w:rsid w:val="00CE4FDA"/>
    <w:rsid w:val="00CE5051"/>
    <w:rsid w:val="00CF0F3D"/>
    <w:rsid w:val="00D01616"/>
    <w:rsid w:val="00D06777"/>
    <w:rsid w:val="00D133B2"/>
    <w:rsid w:val="00D16642"/>
    <w:rsid w:val="00D22F46"/>
    <w:rsid w:val="00D27747"/>
    <w:rsid w:val="00D30387"/>
    <w:rsid w:val="00D3257A"/>
    <w:rsid w:val="00D36494"/>
    <w:rsid w:val="00D405EA"/>
    <w:rsid w:val="00D43125"/>
    <w:rsid w:val="00D469E5"/>
    <w:rsid w:val="00D50117"/>
    <w:rsid w:val="00D52751"/>
    <w:rsid w:val="00D52BEF"/>
    <w:rsid w:val="00D54330"/>
    <w:rsid w:val="00D55548"/>
    <w:rsid w:val="00D56F24"/>
    <w:rsid w:val="00D62CA0"/>
    <w:rsid w:val="00D66EE1"/>
    <w:rsid w:val="00D7135F"/>
    <w:rsid w:val="00D7237F"/>
    <w:rsid w:val="00D72785"/>
    <w:rsid w:val="00D741A2"/>
    <w:rsid w:val="00D779B0"/>
    <w:rsid w:val="00D816DE"/>
    <w:rsid w:val="00D90B6E"/>
    <w:rsid w:val="00D95D96"/>
    <w:rsid w:val="00D96B49"/>
    <w:rsid w:val="00DA0456"/>
    <w:rsid w:val="00DA5862"/>
    <w:rsid w:val="00DB3031"/>
    <w:rsid w:val="00DB5B5F"/>
    <w:rsid w:val="00DC5A51"/>
    <w:rsid w:val="00DD3CE9"/>
    <w:rsid w:val="00DD6A6A"/>
    <w:rsid w:val="00E01909"/>
    <w:rsid w:val="00E15015"/>
    <w:rsid w:val="00E16C19"/>
    <w:rsid w:val="00E20724"/>
    <w:rsid w:val="00E2220E"/>
    <w:rsid w:val="00E22827"/>
    <w:rsid w:val="00E22A8E"/>
    <w:rsid w:val="00E27B0D"/>
    <w:rsid w:val="00E4151B"/>
    <w:rsid w:val="00E421D0"/>
    <w:rsid w:val="00E4337E"/>
    <w:rsid w:val="00E43C40"/>
    <w:rsid w:val="00E44573"/>
    <w:rsid w:val="00E449E6"/>
    <w:rsid w:val="00E52198"/>
    <w:rsid w:val="00E535E2"/>
    <w:rsid w:val="00E546B9"/>
    <w:rsid w:val="00E57758"/>
    <w:rsid w:val="00E6366C"/>
    <w:rsid w:val="00E63D6E"/>
    <w:rsid w:val="00E75B9A"/>
    <w:rsid w:val="00E76E4A"/>
    <w:rsid w:val="00E813C2"/>
    <w:rsid w:val="00E86261"/>
    <w:rsid w:val="00E876ED"/>
    <w:rsid w:val="00E87D9D"/>
    <w:rsid w:val="00E907A3"/>
    <w:rsid w:val="00E948E4"/>
    <w:rsid w:val="00EA0B91"/>
    <w:rsid w:val="00EA6FCD"/>
    <w:rsid w:val="00EB3A40"/>
    <w:rsid w:val="00EC3774"/>
    <w:rsid w:val="00EC63BD"/>
    <w:rsid w:val="00EE1435"/>
    <w:rsid w:val="00EE1830"/>
    <w:rsid w:val="00EE7C6A"/>
    <w:rsid w:val="00EF22BE"/>
    <w:rsid w:val="00EF3AF1"/>
    <w:rsid w:val="00EF499E"/>
    <w:rsid w:val="00F006CF"/>
    <w:rsid w:val="00F018DB"/>
    <w:rsid w:val="00F0322D"/>
    <w:rsid w:val="00F1684F"/>
    <w:rsid w:val="00F211A0"/>
    <w:rsid w:val="00F22DE5"/>
    <w:rsid w:val="00F23D2C"/>
    <w:rsid w:val="00F25255"/>
    <w:rsid w:val="00F26EE2"/>
    <w:rsid w:val="00F34C37"/>
    <w:rsid w:val="00F4006C"/>
    <w:rsid w:val="00F478E2"/>
    <w:rsid w:val="00F52BA4"/>
    <w:rsid w:val="00F53A87"/>
    <w:rsid w:val="00F56B43"/>
    <w:rsid w:val="00F56D43"/>
    <w:rsid w:val="00F671F9"/>
    <w:rsid w:val="00F678A4"/>
    <w:rsid w:val="00F725FF"/>
    <w:rsid w:val="00F72874"/>
    <w:rsid w:val="00F77783"/>
    <w:rsid w:val="00F8183A"/>
    <w:rsid w:val="00F81AD3"/>
    <w:rsid w:val="00F85BFA"/>
    <w:rsid w:val="00F860A9"/>
    <w:rsid w:val="00F86E91"/>
    <w:rsid w:val="00FA0FE2"/>
    <w:rsid w:val="00FA2B54"/>
    <w:rsid w:val="00FB3AC9"/>
    <w:rsid w:val="00FB6921"/>
    <w:rsid w:val="00FC1D13"/>
    <w:rsid w:val="00FD292C"/>
    <w:rsid w:val="00FD3A13"/>
    <w:rsid w:val="00FE1864"/>
    <w:rsid w:val="00FE2340"/>
    <w:rsid w:val="00FE2722"/>
    <w:rsid w:val="00FE3630"/>
    <w:rsid w:val="00FE3F1E"/>
    <w:rsid w:val="00FE53AB"/>
    <w:rsid w:val="00FE645F"/>
    <w:rsid w:val="00FF3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7097B"/>
  <w15:docId w15:val="{222FF066-4B3A-489B-A08F-D6E017EA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E3F1E"/>
    <w:pPr>
      <w:tabs>
        <w:tab w:val="center" w:pos="4680"/>
        <w:tab w:val="right" w:pos="9360"/>
      </w:tabs>
    </w:pPr>
  </w:style>
  <w:style w:type="character" w:customStyle="1" w:styleId="FooterChar">
    <w:name w:val="Footer Char"/>
    <w:basedOn w:val="DefaultParagraphFont"/>
    <w:link w:val="Footer"/>
    <w:uiPriority w:val="99"/>
    <w:rsid w:val="00FE3F1E"/>
  </w:style>
  <w:style w:type="character" w:styleId="PageNumber">
    <w:name w:val="page number"/>
    <w:basedOn w:val="DefaultParagraphFont"/>
    <w:uiPriority w:val="99"/>
    <w:semiHidden/>
    <w:unhideWhenUsed/>
    <w:rsid w:val="00FE3F1E"/>
  </w:style>
  <w:style w:type="paragraph" w:styleId="Header">
    <w:name w:val="header"/>
    <w:basedOn w:val="Normal"/>
    <w:link w:val="HeaderChar"/>
    <w:uiPriority w:val="99"/>
    <w:unhideWhenUsed/>
    <w:rsid w:val="00FE3F1E"/>
    <w:pPr>
      <w:tabs>
        <w:tab w:val="center" w:pos="4680"/>
        <w:tab w:val="right" w:pos="9360"/>
      </w:tabs>
    </w:pPr>
  </w:style>
  <w:style w:type="character" w:customStyle="1" w:styleId="HeaderChar">
    <w:name w:val="Header Char"/>
    <w:basedOn w:val="DefaultParagraphFont"/>
    <w:link w:val="Header"/>
    <w:uiPriority w:val="99"/>
    <w:rsid w:val="00FE3F1E"/>
  </w:style>
  <w:style w:type="paragraph" w:styleId="NormalWeb">
    <w:name w:val="Normal (Web)"/>
    <w:basedOn w:val="Normal"/>
    <w:uiPriority w:val="99"/>
    <w:unhideWhenUsed/>
    <w:rsid w:val="00FE3F1E"/>
    <w:pPr>
      <w:spacing w:before="100" w:beforeAutospacing="1" w:after="100" w:afterAutospacing="1"/>
    </w:pPr>
    <w:rPr>
      <w:rFonts w:ascii="Times New Roman" w:eastAsia="Times New Roman" w:hAnsi="Times New Roman" w:cs="Times New Roman"/>
    </w:rPr>
  </w:style>
  <w:style w:type="character" w:styleId="LineNumber">
    <w:name w:val="line number"/>
    <w:basedOn w:val="DefaultParagraphFont"/>
    <w:uiPriority w:val="99"/>
    <w:unhideWhenUsed/>
    <w:qFormat/>
    <w:rsid w:val="000832DF"/>
    <w:rPr>
      <w:rFonts w:ascii="Times New Roman" w:hAnsi="Times New Roman"/>
      <w:b w:val="0"/>
      <w:sz w:val="24"/>
    </w:rPr>
  </w:style>
  <w:style w:type="character" w:styleId="Hyperlink">
    <w:name w:val="Hyperlink"/>
    <w:basedOn w:val="DefaultParagraphFont"/>
    <w:uiPriority w:val="99"/>
    <w:unhideWhenUsed/>
    <w:rsid w:val="00991381"/>
    <w:rPr>
      <w:color w:val="0563C1" w:themeColor="hyperlink"/>
      <w:u w:val="single"/>
    </w:rPr>
  </w:style>
  <w:style w:type="character" w:customStyle="1" w:styleId="UnresolvedMention1">
    <w:name w:val="Unresolved Mention1"/>
    <w:basedOn w:val="DefaultParagraphFont"/>
    <w:uiPriority w:val="99"/>
    <w:rsid w:val="00991381"/>
    <w:rPr>
      <w:color w:val="605E5C"/>
      <w:shd w:val="clear" w:color="auto" w:fill="E1DFDD"/>
    </w:rPr>
  </w:style>
  <w:style w:type="character" w:styleId="FollowedHyperlink">
    <w:name w:val="FollowedHyperlink"/>
    <w:basedOn w:val="DefaultParagraphFont"/>
    <w:uiPriority w:val="99"/>
    <w:semiHidden/>
    <w:unhideWhenUsed/>
    <w:rsid w:val="00991381"/>
    <w:rPr>
      <w:color w:val="954F72" w:themeColor="followedHyperlink"/>
      <w:u w:val="single"/>
    </w:rPr>
  </w:style>
  <w:style w:type="paragraph" w:styleId="BalloonText">
    <w:name w:val="Balloon Text"/>
    <w:basedOn w:val="Normal"/>
    <w:link w:val="BalloonTextChar"/>
    <w:uiPriority w:val="99"/>
    <w:semiHidden/>
    <w:unhideWhenUsed/>
    <w:rsid w:val="008F30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3010"/>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C30C45"/>
    <w:rPr>
      <w:sz w:val="20"/>
      <w:szCs w:val="20"/>
    </w:rPr>
  </w:style>
  <w:style w:type="character" w:customStyle="1" w:styleId="FootnoteTextChar">
    <w:name w:val="Footnote Text Char"/>
    <w:basedOn w:val="DefaultParagraphFont"/>
    <w:link w:val="FootnoteText"/>
    <w:uiPriority w:val="99"/>
    <w:semiHidden/>
    <w:rsid w:val="00C30C45"/>
    <w:rPr>
      <w:sz w:val="20"/>
      <w:szCs w:val="20"/>
    </w:rPr>
  </w:style>
  <w:style w:type="character" w:styleId="FootnoteReference">
    <w:name w:val="footnote reference"/>
    <w:basedOn w:val="DefaultParagraphFont"/>
    <w:uiPriority w:val="99"/>
    <w:semiHidden/>
    <w:unhideWhenUsed/>
    <w:rsid w:val="00C30C45"/>
    <w:rPr>
      <w:vertAlign w:val="superscript"/>
    </w:rPr>
  </w:style>
  <w:style w:type="paragraph" w:styleId="EndnoteText">
    <w:name w:val="endnote text"/>
    <w:basedOn w:val="Normal"/>
    <w:link w:val="EndnoteTextChar"/>
    <w:uiPriority w:val="99"/>
    <w:semiHidden/>
    <w:unhideWhenUsed/>
    <w:rsid w:val="00C30C45"/>
    <w:rPr>
      <w:sz w:val="20"/>
      <w:szCs w:val="20"/>
    </w:rPr>
  </w:style>
  <w:style w:type="character" w:customStyle="1" w:styleId="EndnoteTextChar">
    <w:name w:val="Endnote Text Char"/>
    <w:basedOn w:val="DefaultParagraphFont"/>
    <w:link w:val="EndnoteText"/>
    <w:uiPriority w:val="99"/>
    <w:semiHidden/>
    <w:rsid w:val="00C30C45"/>
    <w:rPr>
      <w:sz w:val="20"/>
      <w:szCs w:val="20"/>
    </w:rPr>
  </w:style>
  <w:style w:type="character" w:styleId="EndnoteReference">
    <w:name w:val="endnote reference"/>
    <w:basedOn w:val="DefaultParagraphFont"/>
    <w:uiPriority w:val="99"/>
    <w:semiHidden/>
    <w:unhideWhenUsed/>
    <w:rsid w:val="00C30C45"/>
    <w:rPr>
      <w:vertAlign w:val="superscript"/>
    </w:rPr>
  </w:style>
  <w:style w:type="character" w:styleId="CommentReference">
    <w:name w:val="annotation reference"/>
    <w:basedOn w:val="DefaultParagraphFont"/>
    <w:uiPriority w:val="99"/>
    <w:semiHidden/>
    <w:unhideWhenUsed/>
    <w:rsid w:val="004F3A4F"/>
    <w:rPr>
      <w:sz w:val="16"/>
      <w:szCs w:val="16"/>
    </w:rPr>
  </w:style>
  <w:style w:type="paragraph" w:styleId="CommentText">
    <w:name w:val="annotation text"/>
    <w:basedOn w:val="Normal"/>
    <w:link w:val="CommentTextChar"/>
    <w:uiPriority w:val="99"/>
    <w:semiHidden/>
    <w:unhideWhenUsed/>
    <w:rsid w:val="004F3A4F"/>
    <w:rPr>
      <w:sz w:val="20"/>
      <w:szCs w:val="20"/>
    </w:rPr>
  </w:style>
  <w:style w:type="character" w:customStyle="1" w:styleId="CommentTextChar">
    <w:name w:val="Comment Text Char"/>
    <w:basedOn w:val="DefaultParagraphFont"/>
    <w:link w:val="CommentText"/>
    <w:uiPriority w:val="99"/>
    <w:semiHidden/>
    <w:rsid w:val="004F3A4F"/>
    <w:rPr>
      <w:sz w:val="20"/>
      <w:szCs w:val="20"/>
    </w:rPr>
  </w:style>
  <w:style w:type="paragraph" w:styleId="CommentSubject">
    <w:name w:val="annotation subject"/>
    <w:basedOn w:val="CommentText"/>
    <w:next w:val="CommentText"/>
    <w:link w:val="CommentSubjectChar"/>
    <w:uiPriority w:val="99"/>
    <w:semiHidden/>
    <w:unhideWhenUsed/>
    <w:rsid w:val="00AA1FE3"/>
    <w:rPr>
      <w:b/>
      <w:bCs/>
    </w:rPr>
  </w:style>
  <w:style w:type="character" w:customStyle="1" w:styleId="CommentSubjectChar">
    <w:name w:val="Comment Subject Char"/>
    <w:basedOn w:val="CommentTextChar"/>
    <w:link w:val="CommentSubject"/>
    <w:uiPriority w:val="99"/>
    <w:semiHidden/>
    <w:rsid w:val="00AA1FE3"/>
    <w:rPr>
      <w:b/>
      <w:bCs/>
      <w:sz w:val="20"/>
      <w:szCs w:val="20"/>
    </w:rPr>
  </w:style>
  <w:style w:type="paragraph" w:styleId="Revision">
    <w:name w:val="Revision"/>
    <w:hidden/>
    <w:uiPriority w:val="99"/>
    <w:semiHidden/>
    <w:rsid w:val="006942BC"/>
  </w:style>
  <w:style w:type="character" w:customStyle="1" w:styleId="fontstyle01">
    <w:name w:val="fontstyle01"/>
    <w:basedOn w:val="DefaultParagraphFont"/>
    <w:rsid w:val="00E20724"/>
    <w:rPr>
      <w:rFonts w:ascii="AdvOT596495f2" w:hAnsi="AdvOT596495f2" w:hint="default"/>
      <w:b w:val="0"/>
      <w:bCs w:val="0"/>
      <w:i w:val="0"/>
      <w:iCs w:val="0"/>
      <w:color w:val="000000"/>
      <w:sz w:val="16"/>
      <w:szCs w:val="16"/>
    </w:rPr>
  </w:style>
  <w:style w:type="paragraph" w:customStyle="1" w:styleId="EndNoteBibliographyTitle">
    <w:name w:val="EndNote Bibliography Title"/>
    <w:basedOn w:val="Normal"/>
    <w:link w:val="EndNoteBibliographyTitleChar"/>
    <w:rsid w:val="00F23D2C"/>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F23D2C"/>
    <w:rPr>
      <w:rFonts w:ascii="Times New Roman" w:hAnsi="Times New Roman" w:cs="Times New Roman"/>
      <w:noProof/>
    </w:rPr>
  </w:style>
  <w:style w:type="paragraph" w:customStyle="1" w:styleId="EndNoteBibliography">
    <w:name w:val="EndNote Bibliography"/>
    <w:basedOn w:val="Normal"/>
    <w:link w:val="EndNoteBibliographyChar"/>
    <w:rsid w:val="00F23D2C"/>
    <w:rPr>
      <w:rFonts w:ascii="Times New Roman" w:hAnsi="Times New Roman" w:cs="Times New Roman"/>
      <w:noProof/>
    </w:rPr>
  </w:style>
  <w:style w:type="character" w:customStyle="1" w:styleId="EndNoteBibliographyChar">
    <w:name w:val="EndNote Bibliography Char"/>
    <w:basedOn w:val="DefaultParagraphFont"/>
    <w:link w:val="EndNoteBibliography"/>
    <w:rsid w:val="00F23D2C"/>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07534">
      <w:bodyDiv w:val="1"/>
      <w:marLeft w:val="0"/>
      <w:marRight w:val="0"/>
      <w:marTop w:val="0"/>
      <w:marBottom w:val="0"/>
      <w:divBdr>
        <w:top w:val="none" w:sz="0" w:space="0" w:color="auto"/>
        <w:left w:val="none" w:sz="0" w:space="0" w:color="auto"/>
        <w:bottom w:val="none" w:sz="0" w:space="0" w:color="auto"/>
        <w:right w:val="none" w:sz="0" w:space="0" w:color="auto"/>
      </w:divBdr>
    </w:div>
    <w:div w:id="295530786">
      <w:bodyDiv w:val="1"/>
      <w:marLeft w:val="0"/>
      <w:marRight w:val="0"/>
      <w:marTop w:val="0"/>
      <w:marBottom w:val="0"/>
      <w:divBdr>
        <w:top w:val="none" w:sz="0" w:space="0" w:color="auto"/>
        <w:left w:val="none" w:sz="0" w:space="0" w:color="auto"/>
        <w:bottom w:val="none" w:sz="0" w:space="0" w:color="auto"/>
        <w:right w:val="none" w:sz="0" w:space="0" w:color="auto"/>
      </w:divBdr>
    </w:div>
    <w:div w:id="562835494">
      <w:bodyDiv w:val="1"/>
      <w:marLeft w:val="0"/>
      <w:marRight w:val="0"/>
      <w:marTop w:val="0"/>
      <w:marBottom w:val="0"/>
      <w:divBdr>
        <w:top w:val="none" w:sz="0" w:space="0" w:color="auto"/>
        <w:left w:val="none" w:sz="0" w:space="0" w:color="auto"/>
        <w:bottom w:val="none" w:sz="0" w:space="0" w:color="auto"/>
        <w:right w:val="none" w:sz="0" w:space="0" w:color="auto"/>
      </w:divBdr>
      <w:divsChild>
        <w:div w:id="1098788388">
          <w:marLeft w:val="0"/>
          <w:marRight w:val="0"/>
          <w:marTop w:val="0"/>
          <w:marBottom w:val="0"/>
          <w:divBdr>
            <w:top w:val="none" w:sz="0" w:space="0" w:color="auto"/>
            <w:left w:val="none" w:sz="0" w:space="0" w:color="auto"/>
            <w:bottom w:val="none" w:sz="0" w:space="0" w:color="auto"/>
            <w:right w:val="none" w:sz="0" w:space="0" w:color="auto"/>
          </w:divBdr>
          <w:divsChild>
            <w:div w:id="2076313809">
              <w:marLeft w:val="0"/>
              <w:marRight w:val="0"/>
              <w:marTop w:val="0"/>
              <w:marBottom w:val="0"/>
              <w:divBdr>
                <w:top w:val="none" w:sz="0" w:space="0" w:color="auto"/>
                <w:left w:val="none" w:sz="0" w:space="0" w:color="auto"/>
                <w:bottom w:val="none" w:sz="0" w:space="0" w:color="auto"/>
                <w:right w:val="none" w:sz="0" w:space="0" w:color="auto"/>
              </w:divBdr>
              <w:divsChild>
                <w:div w:id="687218406">
                  <w:marLeft w:val="0"/>
                  <w:marRight w:val="0"/>
                  <w:marTop w:val="0"/>
                  <w:marBottom w:val="0"/>
                  <w:divBdr>
                    <w:top w:val="none" w:sz="0" w:space="0" w:color="auto"/>
                    <w:left w:val="none" w:sz="0" w:space="0" w:color="auto"/>
                    <w:bottom w:val="none" w:sz="0" w:space="0" w:color="auto"/>
                    <w:right w:val="none" w:sz="0" w:space="0" w:color="auto"/>
                  </w:divBdr>
                  <w:divsChild>
                    <w:div w:id="9111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127409">
      <w:bodyDiv w:val="1"/>
      <w:marLeft w:val="0"/>
      <w:marRight w:val="0"/>
      <w:marTop w:val="0"/>
      <w:marBottom w:val="0"/>
      <w:divBdr>
        <w:top w:val="none" w:sz="0" w:space="0" w:color="auto"/>
        <w:left w:val="none" w:sz="0" w:space="0" w:color="auto"/>
        <w:bottom w:val="none" w:sz="0" w:space="0" w:color="auto"/>
        <w:right w:val="none" w:sz="0" w:space="0" w:color="auto"/>
      </w:divBdr>
    </w:div>
    <w:div w:id="1056588182">
      <w:bodyDiv w:val="1"/>
      <w:marLeft w:val="0"/>
      <w:marRight w:val="0"/>
      <w:marTop w:val="0"/>
      <w:marBottom w:val="0"/>
      <w:divBdr>
        <w:top w:val="none" w:sz="0" w:space="0" w:color="auto"/>
        <w:left w:val="none" w:sz="0" w:space="0" w:color="auto"/>
        <w:bottom w:val="none" w:sz="0" w:space="0" w:color="auto"/>
        <w:right w:val="none" w:sz="0" w:space="0" w:color="auto"/>
      </w:divBdr>
      <w:divsChild>
        <w:div w:id="265506546">
          <w:marLeft w:val="0"/>
          <w:marRight w:val="0"/>
          <w:marTop w:val="0"/>
          <w:marBottom w:val="0"/>
          <w:divBdr>
            <w:top w:val="none" w:sz="0" w:space="0" w:color="auto"/>
            <w:left w:val="none" w:sz="0" w:space="0" w:color="auto"/>
            <w:bottom w:val="none" w:sz="0" w:space="0" w:color="auto"/>
            <w:right w:val="none" w:sz="0" w:space="0" w:color="auto"/>
          </w:divBdr>
          <w:divsChild>
            <w:div w:id="345406987">
              <w:marLeft w:val="0"/>
              <w:marRight w:val="0"/>
              <w:marTop w:val="0"/>
              <w:marBottom w:val="0"/>
              <w:divBdr>
                <w:top w:val="none" w:sz="0" w:space="0" w:color="auto"/>
                <w:left w:val="none" w:sz="0" w:space="0" w:color="auto"/>
                <w:bottom w:val="none" w:sz="0" w:space="0" w:color="auto"/>
                <w:right w:val="none" w:sz="0" w:space="0" w:color="auto"/>
              </w:divBdr>
              <w:divsChild>
                <w:div w:id="256523165">
                  <w:marLeft w:val="0"/>
                  <w:marRight w:val="0"/>
                  <w:marTop w:val="0"/>
                  <w:marBottom w:val="0"/>
                  <w:divBdr>
                    <w:top w:val="none" w:sz="0" w:space="0" w:color="auto"/>
                    <w:left w:val="none" w:sz="0" w:space="0" w:color="auto"/>
                    <w:bottom w:val="none" w:sz="0" w:space="0" w:color="auto"/>
                    <w:right w:val="none" w:sz="0" w:space="0" w:color="auto"/>
                  </w:divBdr>
                  <w:divsChild>
                    <w:div w:id="17011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80801">
      <w:bodyDiv w:val="1"/>
      <w:marLeft w:val="0"/>
      <w:marRight w:val="0"/>
      <w:marTop w:val="0"/>
      <w:marBottom w:val="0"/>
      <w:divBdr>
        <w:top w:val="none" w:sz="0" w:space="0" w:color="auto"/>
        <w:left w:val="none" w:sz="0" w:space="0" w:color="auto"/>
        <w:bottom w:val="none" w:sz="0" w:space="0" w:color="auto"/>
        <w:right w:val="none" w:sz="0" w:space="0" w:color="auto"/>
      </w:divBdr>
    </w:div>
    <w:div w:id="1240289223">
      <w:bodyDiv w:val="1"/>
      <w:marLeft w:val="0"/>
      <w:marRight w:val="0"/>
      <w:marTop w:val="0"/>
      <w:marBottom w:val="0"/>
      <w:divBdr>
        <w:top w:val="none" w:sz="0" w:space="0" w:color="auto"/>
        <w:left w:val="none" w:sz="0" w:space="0" w:color="auto"/>
        <w:bottom w:val="none" w:sz="0" w:space="0" w:color="auto"/>
        <w:right w:val="none" w:sz="0" w:space="0" w:color="auto"/>
      </w:divBdr>
      <w:divsChild>
        <w:div w:id="614561872">
          <w:marLeft w:val="0"/>
          <w:marRight w:val="0"/>
          <w:marTop w:val="0"/>
          <w:marBottom w:val="0"/>
          <w:divBdr>
            <w:top w:val="none" w:sz="0" w:space="0" w:color="auto"/>
            <w:left w:val="none" w:sz="0" w:space="0" w:color="auto"/>
            <w:bottom w:val="none" w:sz="0" w:space="0" w:color="auto"/>
            <w:right w:val="none" w:sz="0" w:space="0" w:color="auto"/>
          </w:divBdr>
          <w:divsChild>
            <w:div w:id="1086654155">
              <w:marLeft w:val="0"/>
              <w:marRight w:val="0"/>
              <w:marTop w:val="0"/>
              <w:marBottom w:val="0"/>
              <w:divBdr>
                <w:top w:val="none" w:sz="0" w:space="0" w:color="auto"/>
                <w:left w:val="none" w:sz="0" w:space="0" w:color="auto"/>
                <w:bottom w:val="none" w:sz="0" w:space="0" w:color="auto"/>
                <w:right w:val="none" w:sz="0" w:space="0" w:color="auto"/>
              </w:divBdr>
              <w:divsChild>
                <w:div w:id="124392604">
                  <w:marLeft w:val="0"/>
                  <w:marRight w:val="0"/>
                  <w:marTop w:val="0"/>
                  <w:marBottom w:val="0"/>
                  <w:divBdr>
                    <w:top w:val="none" w:sz="0" w:space="0" w:color="auto"/>
                    <w:left w:val="none" w:sz="0" w:space="0" w:color="auto"/>
                    <w:bottom w:val="none" w:sz="0" w:space="0" w:color="auto"/>
                    <w:right w:val="none" w:sz="0" w:space="0" w:color="auto"/>
                  </w:divBdr>
                  <w:divsChild>
                    <w:div w:id="21277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11713">
      <w:bodyDiv w:val="1"/>
      <w:marLeft w:val="0"/>
      <w:marRight w:val="0"/>
      <w:marTop w:val="0"/>
      <w:marBottom w:val="0"/>
      <w:divBdr>
        <w:top w:val="none" w:sz="0" w:space="0" w:color="auto"/>
        <w:left w:val="none" w:sz="0" w:space="0" w:color="auto"/>
        <w:bottom w:val="none" w:sz="0" w:space="0" w:color="auto"/>
        <w:right w:val="none" w:sz="0" w:space="0" w:color="auto"/>
      </w:divBdr>
    </w:div>
    <w:div w:id="1512066334">
      <w:bodyDiv w:val="1"/>
      <w:marLeft w:val="0"/>
      <w:marRight w:val="0"/>
      <w:marTop w:val="0"/>
      <w:marBottom w:val="0"/>
      <w:divBdr>
        <w:top w:val="none" w:sz="0" w:space="0" w:color="auto"/>
        <w:left w:val="none" w:sz="0" w:space="0" w:color="auto"/>
        <w:bottom w:val="none" w:sz="0" w:space="0" w:color="auto"/>
        <w:right w:val="none" w:sz="0" w:space="0" w:color="auto"/>
      </w:divBdr>
    </w:div>
    <w:div w:id="1736319405">
      <w:bodyDiv w:val="1"/>
      <w:marLeft w:val="0"/>
      <w:marRight w:val="0"/>
      <w:marTop w:val="0"/>
      <w:marBottom w:val="0"/>
      <w:divBdr>
        <w:top w:val="none" w:sz="0" w:space="0" w:color="auto"/>
        <w:left w:val="none" w:sz="0" w:space="0" w:color="auto"/>
        <w:bottom w:val="none" w:sz="0" w:space="0" w:color="auto"/>
        <w:right w:val="none" w:sz="0" w:space="0" w:color="auto"/>
      </w:divBdr>
      <w:divsChild>
        <w:div w:id="751584423">
          <w:marLeft w:val="0"/>
          <w:marRight w:val="0"/>
          <w:marTop w:val="0"/>
          <w:marBottom w:val="0"/>
          <w:divBdr>
            <w:top w:val="none" w:sz="0" w:space="0" w:color="auto"/>
            <w:left w:val="none" w:sz="0" w:space="0" w:color="auto"/>
            <w:bottom w:val="none" w:sz="0" w:space="0" w:color="auto"/>
            <w:right w:val="none" w:sz="0" w:space="0" w:color="auto"/>
          </w:divBdr>
          <w:divsChild>
            <w:div w:id="949625566">
              <w:marLeft w:val="0"/>
              <w:marRight w:val="0"/>
              <w:marTop w:val="0"/>
              <w:marBottom w:val="0"/>
              <w:divBdr>
                <w:top w:val="none" w:sz="0" w:space="0" w:color="auto"/>
                <w:left w:val="none" w:sz="0" w:space="0" w:color="auto"/>
                <w:bottom w:val="none" w:sz="0" w:space="0" w:color="auto"/>
                <w:right w:val="none" w:sz="0" w:space="0" w:color="auto"/>
              </w:divBdr>
              <w:divsChild>
                <w:div w:id="1945922566">
                  <w:marLeft w:val="0"/>
                  <w:marRight w:val="0"/>
                  <w:marTop w:val="0"/>
                  <w:marBottom w:val="0"/>
                  <w:divBdr>
                    <w:top w:val="none" w:sz="0" w:space="0" w:color="auto"/>
                    <w:left w:val="none" w:sz="0" w:space="0" w:color="auto"/>
                    <w:bottom w:val="none" w:sz="0" w:space="0" w:color="auto"/>
                    <w:right w:val="none" w:sz="0" w:space="0" w:color="auto"/>
                  </w:divBdr>
                  <w:divsChild>
                    <w:div w:id="3619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67814">
      <w:bodyDiv w:val="1"/>
      <w:marLeft w:val="0"/>
      <w:marRight w:val="0"/>
      <w:marTop w:val="0"/>
      <w:marBottom w:val="0"/>
      <w:divBdr>
        <w:top w:val="none" w:sz="0" w:space="0" w:color="auto"/>
        <w:left w:val="none" w:sz="0" w:space="0" w:color="auto"/>
        <w:bottom w:val="none" w:sz="0" w:space="0" w:color="auto"/>
        <w:right w:val="none" w:sz="0" w:space="0" w:color="auto"/>
      </w:divBdr>
      <w:divsChild>
        <w:div w:id="1018896649">
          <w:marLeft w:val="0"/>
          <w:marRight w:val="0"/>
          <w:marTop w:val="0"/>
          <w:marBottom w:val="0"/>
          <w:divBdr>
            <w:top w:val="none" w:sz="0" w:space="0" w:color="auto"/>
            <w:left w:val="none" w:sz="0" w:space="0" w:color="auto"/>
            <w:bottom w:val="none" w:sz="0" w:space="0" w:color="auto"/>
            <w:right w:val="none" w:sz="0" w:space="0" w:color="auto"/>
          </w:divBdr>
          <w:divsChild>
            <w:div w:id="680937735">
              <w:marLeft w:val="0"/>
              <w:marRight w:val="0"/>
              <w:marTop w:val="0"/>
              <w:marBottom w:val="0"/>
              <w:divBdr>
                <w:top w:val="none" w:sz="0" w:space="0" w:color="auto"/>
                <w:left w:val="none" w:sz="0" w:space="0" w:color="auto"/>
                <w:bottom w:val="none" w:sz="0" w:space="0" w:color="auto"/>
                <w:right w:val="none" w:sz="0" w:space="0" w:color="auto"/>
              </w:divBdr>
              <w:divsChild>
                <w:div w:id="1333071864">
                  <w:marLeft w:val="0"/>
                  <w:marRight w:val="0"/>
                  <w:marTop w:val="0"/>
                  <w:marBottom w:val="0"/>
                  <w:divBdr>
                    <w:top w:val="none" w:sz="0" w:space="0" w:color="auto"/>
                    <w:left w:val="none" w:sz="0" w:space="0" w:color="auto"/>
                    <w:bottom w:val="none" w:sz="0" w:space="0" w:color="auto"/>
                    <w:right w:val="none" w:sz="0" w:space="0" w:color="auto"/>
                  </w:divBdr>
                  <w:divsChild>
                    <w:div w:id="2215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565280">
      <w:bodyDiv w:val="1"/>
      <w:marLeft w:val="0"/>
      <w:marRight w:val="0"/>
      <w:marTop w:val="0"/>
      <w:marBottom w:val="0"/>
      <w:divBdr>
        <w:top w:val="none" w:sz="0" w:space="0" w:color="auto"/>
        <w:left w:val="none" w:sz="0" w:space="0" w:color="auto"/>
        <w:bottom w:val="none" w:sz="0" w:space="0" w:color="auto"/>
        <w:right w:val="none" w:sz="0" w:space="0" w:color="auto"/>
      </w:divBdr>
      <w:divsChild>
        <w:div w:id="845480970">
          <w:marLeft w:val="0"/>
          <w:marRight w:val="0"/>
          <w:marTop w:val="0"/>
          <w:marBottom w:val="0"/>
          <w:divBdr>
            <w:top w:val="none" w:sz="0" w:space="0" w:color="auto"/>
            <w:left w:val="none" w:sz="0" w:space="0" w:color="auto"/>
            <w:bottom w:val="none" w:sz="0" w:space="0" w:color="auto"/>
            <w:right w:val="none" w:sz="0" w:space="0" w:color="auto"/>
          </w:divBdr>
          <w:divsChild>
            <w:div w:id="1384407945">
              <w:marLeft w:val="0"/>
              <w:marRight w:val="0"/>
              <w:marTop w:val="0"/>
              <w:marBottom w:val="0"/>
              <w:divBdr>
                <w:top w:val="none" w:sz="0" w:space="0" w:color="auto"/>
                <w:left w:val="none" w:sz="0" w:space="0" w:color="auto"/>
                <w:bottom w:val="none" w:sz="0" w:space="0" w:color="auto"/>
                <w:right w:val="none" w:sz="0" w:space="0" w:color="auto"/>
              </w:divBdr>
              <w:divsChild>
                <w:div w:id="304042832">
                  <w:marLeft w:val="0"/>
                  <w:marRight w:val="0"/>
                  <w:marTop w:val="0"/>
                  <w:marBottom w:val="0"/>
                  <w:divBdr>
                    <w:top w:val="none" w:sz="0" w:space="0" w:color="auto"/>
                    <w:left w:val="none" w:sz="0" w:space="0" w:color="auto"/>
                    <w:bottom w:val="none" w:sz="0" w:space="0" w:color="auto"/>
                    <w:right w:val="none" w:sz="0" w:space="0" w:color="auto"/>
                  </w:divBdr>
                  <w:divsChild>
                    <w:div w:id="3297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ul.Stoodley@osumc.edu" TargetMode="Externa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DFAB077514984D83D2385CA03015AA" ma:contentTypeVersion="10" ma:contentTypeDescription="Create a new document." ma:contentTypeScope="" ma:versionID="4fa0be0ada38ce2837ab3da491a29fcd">
  <xsd:schema xmlns:xsd="http://www.w3.org/2001/XMLSchema" xmlns:xs="http://www.w3.org/2001/XMLSchema" xmlns:p="http://schemas.microsoft.com/office/2006/metadata/properties" xmlns:ns3="b20a403b-6500-4220-9c68-ea45d15fbed6" targetNamespace="http://schemas.microsoft.com/office/2006/metadata/properties" ma:root="true" ma:fieldsID="931c42ff1724c8aa1bf05d281f8c2b2d" ns3:_="">
    <xsd:import namespace="b20a403b-6500-4220-9c68-ea45d15fbe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a403b-6500-4220-9c68-ea45d15fb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01DDBC-8A43-46B4-900F-3C57A2E23CB7}">
  <ds:schemaRefs>
    <ds:schemaRef ds:uri="http://schemas.microsoft.com/sharepoint/v3/contenttype/forms"/>
  </ds:schemaRefs>
</ds:datastoreItem>
</file>

<file path=customXml/itemProps2.xml><?xml version="1.0" encoding="utf-8"?>
<ds:datastoreItem xmlns:ds="http://schemas.openxmlformats.org/officeDocument/2006/customXml" ds:itemID="{C53A15E0-C606-47A0-BCE5-59A529E6F60B}">
  <ds:schemaRefs>
    <ds:schemaRef ds:uri="http://schemas.openxmlformats.org/officeDocument/2006/bibliography"/>
  </ds:schemaRefs>
</ds:datastoreItem>
</file>

<file path=customXml/itemProps3.xml><?xml version="1.0" encoding="utf-8"?>
<ds:datastoreItem xmlns:ds="http://schemas.openxmlformats.org/officeDocument/2006/customXml" ds:itemID="{B00226FF-E110-462A-846A-54E23D91E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a403b-6500-4220-9c68-ea45d15fb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A43E70-9434-40D9-9278-74EA9B11B3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26</Pages>
  <Words>31233</Words>
  <Characters>178033</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Jacob R.</dc:creator>
  <cp:keywords/>
  <dc:description/>
  <cp:lastModifiedBy>Brooks, Jack</cp:lastModifiedBy>
  <cp:revision>8</cp:revision>
  <cp:lastPrinted>2020-06-03T16:07:00Z</cp:lastPrinted>
  <dcterms:created xsi:type="dcterms:W3CDTF">2021-02-27T00:42:00Z</dcterms:created>
  <dcterms:modified xsi:type="dcterms:W3CDTF">2021-02-27T03:07:00Z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http://www.zotero.org/styles/the-journal-of-bone-and-joint-surgery</vt:lpwstr>
  </property>
  <property fmtid="{D5CDD505-2E9C-101B-9397-08002B2CF9AE}" pid="21" name="Mendeley Recent Style Name 9_1">
    <vt:lpwstr>The Journal of Bone &amp; Joint Surgery</vt:lpwstr>
  </property>
  <property fmtid="{D5CDD505-2E9C-101B-9397-08002B2CF9AE}" pid="22" name="Mendeley Document_1">
    <vt:lpwstr>True</vt:lpwstr>
  </property>
  <property fmtid="{D5CDD505-2E9C-101B-9397-08002B2CF9AE}" pid="23" name="Mendeley Unique User Id_1">
    <vt:lpwstr>32bc6f91-2b55-3208-9ed7-26a214d860ab</vt:lpwstr>
  </property>
  <property fmtid="{D5CDD505-2E9C-101B-9397-08002B2CF9AE}" pid="24" name="Mendeley Citation Style_1">
    <vt:lpwstr>http://www.zotero.org/styles/american-medical-association</vt:lpwstr>
  </property>
  <property fmtid="{D5CDD505-2E9C-101B-9397-08002B2CF9AE}" pid="25" name="ContentTypeId">
    <vt:lpwstr>0x010100BCDFAB077514984D83D2385CA03015AA</vt:lpwstr>
  </property>
</Properties>
</file>