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507A2" w14:textId="5DEDDF24" w:rsidR="00854933" w:rsidRDefault="00854933" w:rsidP="00854933">
      <w:pPr>
        <w:pStyle w:val="PlainText"/>
      </w:pPr>
      <w:r>
        <w:rPr>
          <w:rFonts w:cstheme="minorHAnsi"/>
          <w:b/>
          <w:bCs/>
          <w:lang w:val="en-US"/>
        </w:rPr>
        <w:t xml:space="preserve">Critical evaluation of the methodology used by </w:t>
      </w:r>
      <w:r w:rsidR="009C46BD" w:rsidRPr="00010FF4">
        <w:rPr>
          <w:rFonts w:cstheme="minorHAnsi"/>
          <w:b/>
          <w:bCs/>
        </w:rPr>
        <w:t xml:space="preserve">Wilson-Davies </w:t>
      </w:r>
      <w:r w:rsidR="009C46BD" w:rsidRPr="00010FF4">
        <w:rPr>
          <w:rFonts w:cstheme="minorHAnsi"/>
          <w:b/>
          <w:bCs/>
          <w:i/>
          <w:iCs/>
        </w:rPr>
        <w:t xml:space="preserve">et al., </w:t>
      </w:r>
      <w:r w:rsidRPr="00854933">
        <w:rPr>
          <w:rFonts w:cstheme="minorHAnsi"/>
          <w:b/>
          <w:bCs/>
        </w:rPr>
        <w:t>(2020)</w:t>
      </w:r>
      <w:r>
        <w:rPr>
          <w:rFonts w:cstheme="minorHAnsi"/>
          <w:b/>
          <w:bCs/>
          <w:i/>
          <w:iCs/>
        </w:rPr>
        <w:t xml:space="preserve"> </w:t>
      </w:r>
      <w:r w:rsidR="009C46BD" w:rsidRPr="00763BEB">
        <w:rPr>
          <w:rFonts w:cstheme="minorHAnsi"/>
          <w:b/>
          <w:bCs/>
        </w:rPr>
        <w:t>entitled</w:t>
      </w:r>
      <w:r w:rsidR="009C46BD" w:rsidRPr="00854933">
        <w:rPr>
          <w:rFonts w:cstheme="minorHAnsi"/>
          <w:b/>
          <w:bCs/>
          <w:i/>
          <w:iCs/>
        </w:rPr>
        <w:t xml:space="preserve"> “</w:t>
      </w:r>
      <w:r w:rsidRPr="00854933">
        <w:rPr>
          <w:b/>
          <w:bCs/>
        </w:rPr>
        <w:t>Concerning the OptiGene Direct LAMP assay, and it`s use in at-risk groups and hospital staff”</w:t>
      </w:r>
    </w:p>
    <w:p w14:paraId="425B6C4F" w14:textId="7F42D75F" w:rsidR="009C46BD" w:rsidRDefault="009C46BD" w:rsidP="009C46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102E0E0" w14:textId="1679F567" w:rsidR="00F77D8B" w:rsidRDefault="00F77D8B" w:rsidP="009C46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FBC0277" w14:textId="3674D7ED" w:rsidR="00F77D8B" w:rsidRPr="00421E7C" w:rsidRDefault="00F77D8B" w:rsidP="00F77D8B">
      <w:bookmarkStart w:id="0" w:name="_Hlk59966802"/>
      <w:r>
        <w:t>Dr Veronica Fowler</w:t>
      </w:r>
      <w:r w:rsidR="00E62D65">
        <w:rPr>
          <w:vertAlign w:val="superscript"/>
        </w:rPr>
        <w:t>1</w:t>
      </w:r>
      <w:r>
        <w:t xml:space="preserve">, </w:t>
      </w:r>
      <w:r w:rsidR="00275B11">
        <w:t xml:space="preserve">Dr </w:t>
      </w:r>
      <w:r>
        <w:t>Angela Douglas</w:t>
      </w:r>
      <w:r w:rsidR="00E62D65">
        <w:rPr>
          <w:vertAlign w:val="superscript"/>
        </w:rPr>
        <w:t>1</w:t>
      </w:r>
      <w:r>
        <w:t>, Professor Keith Godfrey</w:t>
      </w:r>
      <w:r w:rsidR="00E62D65">
        <w:rPr>
          <w:vertAlign w:val="superscript"/>
        </w:rPr>
        <w:t>2</w:t>
      </w:r>
      <w:r>
        <w:t>, Professor Anthony Williams</w:t>
      </w:r>
      <w:r w:rsidR="00E62D65">
        <w:rPr>
          <w:vertAlign w:val="superscript"/>
        </w:rPr>
        <w:t>3</w:t>
      </w:r>
      <w:r w:rsidR="00E62D65">
        <w:t xml:space="preserve">, </w:t>
      </w:r>
      <w:r>
        <w:t>Professor Andrew Beggs</w:t>
      </w:r>
      <w:r w:rsidR="00E62D65">
        <w:rPr>
          <w:vertAlign w:val="superscript"/>
        </w:rPr>
        <w:t>4</w:t>
      </w:r>
      <w:r w:rsidR="00E62D65">
        <w:t xml:space="preserve">, </w:t>
      </w:r>
      <w:r>
        <w:t>Stephen Kidd</w:t>
      </w:r>
      <w:r w:rsidR="001E75DB" w:rsidRPr="00C23517">
        <w:rPr>
          <w:vertAlign w:val="superscript"/>
        </w:rPr>
        <w:t>1,</w:t>
      </w:r>
      <w:r w:rsidR="001E75DB">
        <w:rPr>
          <w:vertAlign w:val="superscript"/>
        </w:rPr>
        <w:t xml:space="preserve"> </w:t>
      </w:r>
      <w:r w:rsidR="00C23517">
        <w:rPr>
          <w:vertAlign w:val="superscript"/>
        </w:rPr>
        <w:t>5</w:t>
      </w:r>
      <w:r w:rsidR="00626526">
        <w:t xml:space="preserve">, </w:t>
      </w:r>
      <w:r w:rsidR="001A1ED9">
        <w:t xml:space="preserve">Dr </w:t>
      </w:r>
      <w:r>
        <w:t>Nick Cortes</w:t>
      </w:r>
      <w:r w:rsidR="00C23517">
        <w:rPr>
          <w:vertAlign w:val="superscript"/>
        </w:rPr>
        <w:t>5</w:t>
      </w:r>
      <w:r w:rsidR="00134987">
        <w:rPr>
          <w:vertAlign w:val="superscript"/>
        </w:rPr>
        <w:t>, 7</w:t>
      </w:r>
      <w:r w:rsidR="00626526">
        <w:t xml:space="preserve">, </w:t>
      </w:r>
      <w:r w:rsidR="00626526" w:rsidRPr="00C23FBF">
        <w:t>Professor Mark Wilcox</w:t>
      </w:r>
      <w:r w:rsidR="00C23517">
        <w:rPr>
          <w:vertAlign w:val="superscript"/>
        </w:rPr>
        <w:t>6</w:t>
      </w:r>
      <w:r w:rsidR="006864AD" w:rsidRPr="003D282E">
        <w:t xml:space="preserve">, </w:t>
      </w:r>
      <w:r w:rsidR="00626526" w:rsidRPr="003D282E">
        <w:t xml:space="preserve">Dr Kerrie </w:t>
      </w:r>
      <w:r w:rsidR="00626526" w:rsidRPr="00A91ED8">
        <w:t>Davies</w:t>
      </w:r>
      <w:r w:rsidR="00C23517" w:rsidRPr="00F61352">
        <w:rPr>
          <w:vertAlign w:val="superscript"/>
        </w:rPr>
        <w:t>6</w:t>
      </w:r>
      <w:r w:rsidR="00A91ED8">
        <w:t xml:space="preserve">, </w:t>
      </w:r>
      <w:r w:rsidR="006864AD" w:rsidRPr="00A91ED8">
        <w:t>Melanie</w:t>
      </w:r>
      <w:r w:rsidR="006864AD" w:rsidRPr="003D282E">
        <w:t xml:space="preserve"> Smith</w:t>
      </w:r>
      <w:r w:rsidR="003D282E" w:rsidRPr="003D282E">
        <w:rPr>
          <w:vertAlign w:val="superscript"/>
        </w:rPr>
        <w:t>1</w:t>
      </w:r>
      <w:r w:rsidR="00C23517">
        <w:rPr>
          <w:vertAlign w:val="superscript"/>
        </w:rPr>
        <w:t>, 8</w:t>
      </w:r>
      <w:r w:rsidR="00A91ED8">
        <w:t xml:space="preserve"> and</w:t>
      </w:r>
      <w:r w:rsidR="00421E7C">
        <w:t xml:space="preserve"> Professor Dame Sue Hill</w:t>
      </w:r>
      <w:r w:rsidR="00421E7C">
        <w:rPr>
          <w:vertAlign w:val="superscript"/>
        </w:rPr>
        <w:t>1</w:t>
      </w:r>
      <w:r w:rsidR="00421E7C">
        <w:t>.</w:t>
      </w:r>
    </w:p>
    <w:bookmarkEnd w:id="0"/>
    <w:p w14:paraId="5FC825FD" w14:textId="47C3E8A0" w:rsidR="00F77D8B" w:rsidRPr="00E62D65" w:rsidRDefault="00E62D65" w:rsidP="009C46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2D65">
        <w:rPr>
          <w:rFonts w:cstheme="minorHAnsi"/>
          <w:vertAlign w:val="superscript"/>
        </w:rPr>
        <w:t xml:space="preserve">1 </w:t>
      </w:r>
      <w:r>
        <w:rPr>
          <w:rFonts w:eastAsia="Times New Roman"/>
        </w:rPr>
        <w:t xml:space="preserve">DHSC and </w:t>
      </w:r>
      <w:r w:rsidR="00626526">
        <w:rPr>
          <w:rFonts w:eastAsia="Times New Roman"/>
        </w:rPr>
        <w:t xml:space="preserve">NHS </w:t>
      </w:r>
      <w:r>
        <w:rPr>
          <w:rFonts w:eastAsia="Times New Roman"/>
        </w:rPr>
        <w:t>Test and Trace</w:t>
      </w:r>
      <w:r w:rsidR="00EE11C8">
        <w:rPr>
          <w:rFonts w:eastAsia="Times New Roman"/>
        </w:rPr>
        <w:t>, UK</w:t>
      </w:r>
      <w:r w:rsidR="003431BA">
        <w:rPr>
          <w:rFonts w:eastAsia="Times New Roman"/>
        </w:rPr>
        <w:t xml:space="preserve">; </w:t>
      </w:r>
      <w:hyperlink r:id="rId6" w:history="1">
        <w:r w:rsidR="003431BA" w:rsidRPr="00E82A03">
          <w:rPr>
            <w:rStyle w:val="Hyperlink"/>
            <w:rFonts w:eastAsia="Times New Roman"/>
          </w:rPr>
          <w:t>veronica.fowler@dhsc.gov.uk</w:t>
        </w:r>
      </w:hyperlink>
      <w:r w:rsidR="003431BA">
        <w:rPr>
          <w:rFonts w:eastAsia="Times New Roman"/>
        </w:rPr>
        <w:t xml:space="preserve">; </w:t>
      </w:r>
      <w:r>
        <w:rPr>
          <w:rFonts w:eastAsia="Times New Roman"/>
        </w:rPr>
        <w:t xml:space="preserve"> </w:t>
      </w:r>
    </w:p>
    <w:p w14:paraId="7FC7B150" w14:textId="5861FDEA" w:rsidR="00E62D65" w:rsidRDefault="00E62D65" w:rsidP="009C46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2D65">
        <w:rPr>
          <w:rFonts w:cstheme="minorHAnsi"/>
          <w:vertAlign w:val="superscript"/>
        </w:rPr>
        <w:t xml:space="preserve">2 </w:t>
      </w:r>
      <w:r w:rsidR="001D1335" w:rsidRPr="001D1335">
        <w:rPr>
          <w:rFonts w:cstheme="minorHAnsi"/>
        </w:rPr>
        <w:t>MRC Lifecourse Epidemiology Unit and NIHR Southampton Biomedical Research Centre, University of Southampton and University Hospital Southampton NHS Foundation Trust</w:t>
      </w:r>
      <w:r w:rsidR="00EE11C8">
        <w:rPr>
          <w:rFonts w:cstheme="minorHAnsi"/>
        </w:rPr>
        <w:t>, UK</w:t>
      </w:r>
    </w:p>
    <w:p w14:paraId="26764F4C" w14:textId="616880BD" w:rsidR="00E62D65" w:rsidRPr="00E62D65" w:rsidRDefault="00E62D65" w:rsidP="00E62D6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</w:t>
      </w:r>
      <w:r w:rsidR="001A1ED9">
        <w:rPr>
          <w:rFonts w:cstheme="minorHAnsi"/>
        </w:rPr>
        <w:t>Faculty of Medicine, University of Southampton</w:t>
      </w:r>
      <w:r w:rsidR="00EE11C8">
        <w:rPr>
          <w:rFonts w:cstheme="minorHAnsi"/>
        </w:rPr>
        <w:t>.UK</w:t>
      </w:r>
    </w:p>
    <w:p w14:paraId="4700616F" w14:textId="6043DF47" w:rsidR="00E62D65" w:rsidRPr="00626526" w:rsidRDefault="00E62D65" w:rsidP="006265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26526">
        <w:rPr>
          <w:rFonts w:cstheme="minorHAnsi"/>
          <w:vertAlign w:val="superscript"/>
        </w:rPr>
        <w:t>4</w:t>
      </w:r>
      <w:r w:rsidRPr="00E62D65">
        <w:rPr>
          <w:rFonts w:cstheme="minorHAnsi"/>
        </w:rPr>
        <w:t xml:space="preserve"> </w:t>
      </w:r>
      <w:r w:rsidRPr="00626526">
        <w:rPr>
          <w:rFonts w:cstheme="minorHAnsi"/>
        </w:rPr>
        <w:t>Institute of Cancer &amp; Genomic Science, University of Birmingham</w:t>
      </w:r>
      <w:r w:rsidR="00EE11C8">
        <w:rPr>
          <w:rFonts w:cstheme="minorHAnsi"/>
        </w:rPr>
        <w:t>, UK</w:t>
      </w:r>
    </w:p>
    <w:p w14:paraId="6EAD0D82" w14:textId="558F18A5" w:rsidR="00626526" w:rsidRDefault="00626526" w:rsidP="006265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26526">
        <w:rPr>
          <w:rFonts w:cstheme="minorHAnsi"/>
          <w:vertAlign w:val="superscript"/>
        </w:rPr>
        <w:t>5</w:t>
      </w:r>
      <w:r w:rsidRPr="00626526">
        <w:rPr>
          <w:rFonts w:cstheme="minorHAnsi"/>
        </w:rPr>
        <w:t xml:space="preserve"> </w:t>
      </w:r>
      <w:r w:rsidR="00C23517">
        <w:rPr>
          <w:rFonts w:cstheme="minorHAnsi"/>
        </w:rPr>
        <w:t>Microbiology Department, Basingstoke and North Hampshire Hospital, Hampshire Hospitals NHS Foundation Trust</w:t>
      </w:r>
      <w:r w:rsidR="00EE11C8">
        <w:rPr>
          <w:rFonts w:cstheme="minorHAnsi"/>
        </w:rPr>
        <w:t>, UK</w:t>
      </w:r>
    </w:p>
    <w:p w14:paraId="721DD2EA" w14:textId="2D48321C" w:rsidR="001E75DB" w:rsidRDefault="001E75DB" w:rsidP="006265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23517">
        <w:rPr>
          <w:rFonts w:cstheme="minorHAnsi"/>
          <w:vertAlign w:val="superscript"/>
        </w:rPr>
        <w:t>6</w:t>
      </w:r>
      <w:r>
        <w:rPr>
          <w:rFonts w:cstheme="minorHAnsi"/>
        </w:rPr>
        <w:t xml:space="preserve"> </w:t>
      </w:r>
      <w:r w:rsidR="00C23517" w:rsidRPr="00C23FBF">
        <w:rPr>
          <w:rFonts w:cstheme="minorHAnsi"/>
        </w:rPr>
        <w:t>University of Leeds</w:t>
      </w:r>
      <w:r w:rsidR="00C23517">
        <w:rPr>
          <w:rFonts w:cstheme="minorHAnsi"/>
        </w:rPr>
        <w:t xml:space="preserve"> and </w:t>
      </w:r>
      <w:r w:rsidR="00C23517" w:rsidRPr="00C23FBF">
        <w:rPr>
          <w:rFonts w:cstheme="minorHAnsi"/>
        </w:rPr>
        <w:t>Leeds Teaching Hospitals NHS Trust</w:t>
      </w:r>
      <w:r w:rsidR="00EE11C8">
        <w:rPr>
          <w:rFonts w:cstheme="minorHAnsi"/>
        </w:rPr>
        <w:t>, UK</w:t>
      </w:r>
    </w:p>
    <w:p w14:paraId="5B5726CA" w14:textId="4BAE24C7" w:rsidR="00894335" w:rsidRDefault="00894335" w:rsidP="006265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23517">
        <w:rPr>
          <w:rFonts w:cstheme="minorHAnsi"/>
          <w:vertAlign w:val="superscript"/>
        </w:rPr>
        <w:t>7</w:t>
      </w:r>
      <w:r>
        <w:rPr>
          <w:rFonts w:cstheme="minorHAnsi"/>
        </w:rPr>
        <w:t xml:space="preserve"> St B</w:t>
      </w:r>
      <w:r w:rsidR="004F21BA">
        <w:rPr>
          <w:rFonts w:cstheme="minorHAnsi"/>
        </w:rPr>
        <w:t>e</w:t>
      </w:r>
      <w:r>
        <w:rPr>
          <w:rFonts w:cstheme="minorHAnsi"/>
        </w:rPr>
        <w:t>rnar</w:t>
      </w:r>
      <w:r w:rsidR="004F21BA">
        <w:rPr>
          <w:rFonts w:cstheme="minorHAnsi"/>
        </w:rPr>
        <w:t xml:space="preserve">d’s Hospital, </w:t>
      </w:r>
      <w:r w:rsidR="00134987">
        <w:rPr>
          <w:rFonts w:cstheme="minorHAnsi"/>
        </w:rPr>
        <w:t>Gibraltar</w:t>
      </w:r>
      <w:r w:rsidR="004F21BA">
        <w:rPr>
          <w:rFonts w:cstheme="minorHAnsi"/>
        </w:rPr>
        <w:t xml:space="preserve"> Health Authority</w:t>
      </w:r>
      <w:r w:rsidR="002F1072">
        <w:rPr>
          <w:rFonts w:cstheme="minorHAnsi"/>
        </w:rPr>
        <w:t>, Gibraltar, UK</w:t>
      </w:r>
    </w:p>
    <w:p w14:paraId="72C5D69C" w14:textId="6E3329E2" w:rsidR="00C23517" w:rsidRDefault="00C23517" w:rsidP="006265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23517">
        <w:rPr>
          <w:rFonts w:cstheme="minorHAnsi"/>
          <w:vertAlign w:val="superscript"/>
        </w:rPr>
        <w:t>8</w:t>
      </w:r>
      <w:r w:rsidRPr="00C23517">
        <w:rPr>
          <w:rFonts w:eastAsia="Times New Roman"/>
        </w:rPr>
        <w:t xml:space="preserve"> </w:t>
      </w:r>
      <w:r>
        <w:rPr>
          <w:rFonts w:eastAsia="Times New Roman"/>
        </w:rPr>
        <w:t xml:space="preserve">National </w:t>
      </w:r>
      <w:r w:rsidR="00EE11C8">
        <w:rPr>
          <w:rFonts w:eastAsia="Times New Roman"/>
        </w:rPr>
        <w:t>I</w:t>
      </w:r>
      <w:r>
        <w:rPr>
          <w:rFonts w:eastAsia="Times New Roman"/>
        </w:rPr>
        <w:t xml:space="preserve">nfection </w:t>
      </w:r>
      <w:r w:rsidR="00EE11C8">
        <w:rPr>
          <w:rFonts w:eastAsia="Times New Roman"/>
        </w:rPr>
        <w:t>S</w:t>
      </w:r>
      <w:r>
        <w:rPr>
          <w:rFonts w:eastAsia="Times New Roman"/>
        </w:rPr>
        <w:t>ervice, Public Health England</w:t>
      </w:r>
      <w:r w:rsidR="00EE11C8">
        <w:rPr>
          <w:rFonts w:eastAsia="Times New Roman"/>
        </w:rPr>
        <w:t>, UK</w:t>
      </w:r>
    </w:p>
    <w:p w14:paraId="0163F971" w14:textId="2371A6AA" w:rsidR="009C46BD" w:rsidRDefault="009C46BD" w:rsidP="009C46BD">
      <w:pPr>
        <w:rPr>
          <w:lang w:val="en-US"/>
        </w:rPr>
      </w:pPr>
    </w:p>
    <w:p w14:paraId="09107E8A" w14:textId="5DD523F9" w:rsidR="009C46BD" w:rsidRDefault="009C46BD" w:rsidP="00091148">
      <w:pPr>
        <w:jc w:val="both"/>
        <w:rPr>
          <w:lang w:val="en-US"/>
        </w:rPr>
      </w:pPr>
      <w:r>
        <w:rPr>
          <w:lang w:val="en-US"/>
        </w:rPr>
        <w:t>Dear Editor</w:t>
      </w:r>
      <w:r w:rsidR="00626526">
        <w:rPr>
          <w:lang w:val="en-US"/>
        </w:rPr>
        <w:t>-in-Chief</w:t>
      </w:r>
      <w:r>
        <w:rPr>
          <w:lang w:val="en-US"/>
        </w:rPr>
        <w:t xml:space="preserve">, </w:t>
      </w:r>
    </w:p>
    <w:p w14:paraId="4FB18845" w14:textId="181156F7" w:rsidR="00A91ED8" w:rsidRDefault="00A91ED8" w:rsidP="00091148">
      <w:pPr>
        <w:jc w:val="both"/>
        <w:rPr>
          <w:lang w:val="en-US"/>
        </w:rPr>
      </w:pPr>
      <w:r>
        <w:rPr>
          <w:lang w:val="en-US"/>
        </w:rPr>
        <w:t>As part of a multi-institution pilot project across various sites in England and Gibraltar, on the 1</w:t>
      </w:r>
      <w:r w:rsidRPr="00C4758F">
        <w:rPr>
          <w:vertAlign w:val="superscript"/>
          <w:lang w:val="en-US"/>
        </w:rPr>
        <w:t>st</w:t>
      </w:r>
      <w:r>
        <w:rPr>
          <w:lang w:val="en-US"/>
        </w:rPr>
        <w:t xml:space="preserve"> of December, in conjunction with NHS Test and Trace and the Department of Health and Social Care (DHSC) we published the diagnostic sensitivity (</w:t>
      </w:r>
      <w:proofErr w:type="spellStart"/>
      <w:r>
        <w:rPr>
          <w:lang w:val="en-US"/>
        </w:rPr>
        <w:t>DSe</w:t>
      </w:r>
      <w:proofErr w:type="spellEnd"/>
      <w:r>
        <w:rPr>
          <w:lang w:val="en-US"/>
        </w:rPr>
        <w:t>) and specificity (</w:t>
      </w:r>
      <w:proofErr w:type="spellStart"/>
      <w:r>
        <w:rPr>
          <w:lang w:val="en-US"/>
        </w:rPr>
        <w:t>DSp</w:t>
      </w:r>
      <w:proofErr w:type="spellEnd"/>
      <w:r>
        <w:rPr>
          <w:lang w:val="en-US"/>
        </w:rPr>
        <w:t xml:space="preserve">) of the </w:t>
      </w:r>
      <w:r>
        <w:t xml:space="preserve">OptiGene Direct PLUS </w:t>
      </w:r>
      <w:r>
        <w:rPr>
          <w:lang w:val="en-US"/>
        </w:rPr>
        <w:t>RT-LAMP assay (OptiGene) on both swabs and saliva</w:t>
      </w:r>
      <w:r>
        <w:rPr>
          <w:vertAlign w:val="superscript"/>
          <w:lang w:val="en-US"/>
        </w:rPr>
        <w:t>1</w:t>
      </w:r>
      <w:r>
        <w:rPr>
          <w:lang w:val="en-US"/>
        </w:rPr>
        <w:t>.</w:t>
      </w:r>
    </w:p>
    <w:p w14:paraId="65CDBE94" w14:textId="01A39514" w:rsidR="006A1A06" w:rsidRDefault="009C46BD" w:rsidP="00091148">
      <w:pPr>
        <w:jc w:val="both"/>
        <w:rPr>
          <w:lang w:val="en-US"/>
        </w:rPr>
      </w:pPr>
      <w:r>
        <w:rPr>
          <w:lang w:val="en-US"/>
        </w:rPr>
        <w:t xml:space="preserve">We write with concern regarding the recent letter from </w:t>
      </w:r>
      <w:r w:rsidRPr="00A91ED8">
        <w:rPr>
          <w:lang w:val="en-US"/>
        </w:rPr>
        <w:t>Wilson-Davies</w:t>
      </w:r>
      <w:r w:rsidRPr="00161748">
        <w:rPr>
          <w:i/>
          <w:iCs/>
          <w:lang w:val="en-US"/>
        </w:rPr>
        <w:t xml:space="preserve"> et al</w:t>
      </w:r>
      <w:r w:rsidR="00161748" w:rsidRPr="00161748">
        <w:rPr>
          <w:i/>
          <w:iCs/>
          <w:lang w:val="en-US"/>
        </w:rPr>
        <w:t>.</w:t>
      </w:r>
      <w:r>
        <w:rPr>
          <w:lang w:val="en-US"/>
        </w:rPr>
        <w:t xml:space="preserve"> </w:t>
      </w:r>
      <w:r w:rsidR="006A1A06">
        <w:rPr>
          <w:lang w:val="en-US"/>
        </w:rPr>
        <w:t xml:space="preserve">who have </w:t>
      </w:r>
      <w:r w:rsidR="006A1A06">
        <w:rPr>
          <w:rFonts w:cstheme="minorHAnsi"/>
          <w:bCs/>
        </w:rPr>
        <w:t xml:space="preserve">carried out an evaluation of the performance of the OptiGene Swab Direct RT-LAMP assay against the CDC N1/N2 SARS-CoV-2 RT-qPCR and have used that data to suggest that the </w:t>
      </w:r>
      <w:r w:rsidR="006A1A06">
        <w:rPr>
          <w:lang w:val="en-US"/>
        </w:rPr>
        <w:t>OptiGene Direct Saliva PLUS RT-LAMP assay is significantly less than published</w:t>
      </w:r>
      <w:r w:rsidR="006A1A06">
        <w:rPr>
          <w:vertAlign w:val="superscript"/>
          <w:lang w:val="en-US"/>
        </w:rPr>
        <w:t>1</w:t>
      </w:r>
      <w:r w:rsidR="006A1A06">
        <w:rPr>
          <w:lang w:val="en-US"/>
        </w:rPr>
        <w:t xml:space="preserve">. </w:t>
      </w:r>
    </w:p>
    <w:p w14:paraId="09B52D7D" w14:textId="3BB43118" w:rsidR="003074BA" w:rsidRPr="00985515" w:rsidRDefault="009C46BD" w:rsidP="009C46BD">
      <w:pPr>
        <w:jc w:val="both"/>
        <w:rPr>
          <w:rFonts w:cstheme="minorHAnsi"/>
        </w:rPr>
      </w:pPr>
      <w:r>
        <w:rPr>
          <w:rFonts w:cstheme="minorHAnsi"/>
          <w:bCs/>
          <w:iCs/>
        </w:rPr>
        <w:t xml:space="preserve">Firstly, the authors </w:t>
      </w:r>
      <w:r w:rsidR="003074BA" w:rsidRPr="003074BA">
        <w:rPr>
          <w:rFonts w:cstheme="minorHAnsi"/>
        </w:rPr>
        <w:t>cite</w:t>
      </w:r>
      <w:r w:rsidR="003074BA" w:rsidRPr="003074BA">
        <w:rPr>
          <w:rFonts w:cstheme="minorHAnsi"/>
          <w:i/>
          <w:iCs/>
        </w:rPr>
        <w:t xml:space="preserve"> </w:t>
      </w:r>
      <w:r w:rsidR="003074BA" w:rsidRPr="003074BA">
        <w:rPr>
          <w:rFonts w:cstheme="minorHAnsi"/>
        </w:rPr>
        <w:t xml:space="preserve">Fowler </w:t>
      </w:r>
      <w:r w:rsidR="003074BA" w:rsidRPr="00161748">
        <w:rPr>
          <w:rFonts w:cstheme="minorHAnsi"/>
          <w:i/>
          <w:iCs/>
        </w:rPr>
        <w:t>et al.</w:t>
      </w:r>
      <w:r w:rsidR="00EB6D0E">
        <w:rPr>
          <w:rFonts w:cstheme="minorHAnsi"/>
          <w:vertAlign w:val="superscript"/>
        </w:rPr>
        <w:t>2</w:t>
      </w:r>
      <w:r w:rsidR="003074BA">
        <w:rPr>
          <w:rFonts w:cstheme="minorHAnsi"/>
          <w:vertAlign w:val="superscript"/>
        </w:rPr>
        <w:t xml:space="preserve"> </w:t>
      </w:r>
      <w:r w:rsidR="003074BA">
        <w:rPr>
          <w:rFonts w:cstheme="minorHAnsi"/>
        </w:rPr>
        <w:t xml:space="preserve">as the </w:t>
      </w:r>
      <w:r w:rsidR="00A91ED8">
        <w:rPr>
          <w:rFonts w:cstheme="minorHAnsi"/>
        </w:rPr>
        <w:t>publication of topic in the letter</w:t>
      </w:r>
      <w:r w:rsidR="003074BA">
        <w:rPr>
          <w:rFonts w:cstheme="minorHAnsi"/>
        </w:rPr>
        <w:t xml:space="preserve">. </w:t>
      </w:r>
      <w:r w:rsidR="00C619FC">
        <w:rPr>
          <w:rFonts w:cstheme="minorHAnsi"/>
        </w:rPr>
        <w:t xml:space="preserve">This </w:t>
      </w:r>
      <w:r w:rsidR="003074BA">
        <w:rPr>
          <w:rFonts w:cstheme="minorHAnsi"/>
        </w:rPr>
        <w:t xml:space="preserve">is </w:t>
      </w:r>
      <w:r w:rsidR="003074BA" w:rsidRPr="00632EB0">
        <w:rPr>
          <w:rFonts w:cstheme="minorHAnsi"/>
        </w:rPr>
        <w:t>not</w:t>
      </w:r>
      <w:r w:rsidR="003074BA">
        <w:rPr>
          <w:rFonts w:cstheme="minorHAnsi"/>
        </w:rPr>
        <w:t xml:space="preserve"> the </w:t>
      </w:r>
      <w:r w:rsidR="00C619FC">
        <w:rPr>
          <w:rFonts w:cstheme="minorHAnsi"/>
        </w:rPr>
        <w:t>assay</w:t>
      </w:r>
      <w:r w:rsidR="003074BA">
        <w:rPr>
          <w:rFonts w:cstheme="minorHAnsi"/>
        </w:rPr>
        <w:t xml:space="preserve"> format evaluated by</w:t>
      </w:r>
      <w:r w:rsidR="00407EAE">
        <w:rPr>
          <w:rFonts w:cstheme="minorHAnsi"/>
        </w:rPr>
        <w:t xml:space="preserve"> the </w:t>
      </w:r>
      <w:bookmarkStart w:id="1" w:name="_Hlk59695911"/>
      <w:r w:rsidR="00407EAE">
        <w:rPr>
          <w:rFonts w:cstheme="minorHAnsi"/>
        </w:rPr>
        <w:t>Test and Trace/</w:t>
      </w:r>
      <w:r w:rsidR="003074BA">
        <w:rPr>
          <w:rFonts w:cstheme="minorHAnsi"/>
        </w:rPr>
        <w:t>DHSC</w:t>
      </w:r>
      <w:r w:rsidR="00407EAE">
        <w:rPr>
          <w:rFonts w:cstheme="minorHAnsi"/>
        </w:rPr>
        <w:t xml:space="preserve"> pilot</w:t>
      </w:r>
      <w:bookmarkEnd w:id="1"/>
      <w:r w:rsidR="0001361B" w:rsidRPr="0001361B">
        <w:rPr>
          <w:rFonts w:cstheme="minorHAnsi"/>
        </w:rPr>
        <w:t xml:space="preserve"> </w:t>
      </w:r>
      <w:r w:rsidR="0001361B">
        <w:rPr>
          <w:rFonts w:cstheme="minorHAnsi"/>
        </w:rPr>
        <w:t>for wider application</w:t>
      </w:r>
      <w:r w:rsidR="0001361B">
        <w:rPr>
          <w:rFonts w:cstheme="minorHAnsi"/>
          <w:vertAlign w:val="superscript"/>
        </w:rPr>
        <w:t>1</w:t>
      </w:r>
      <w:r w:rsidR="003074BA">
        <w:rPr>
          <w:rFonts w:cstheme="minorHAnsi"/>
        </w:rPr>
        <w:t xml:space="preserve">. The </w:t>
      </w:r>
      <w:r w:rsidR="00161748">
        <w:rPr>
          <w:rFonts w:cstheme="minorHAnsi"/>
        </w:rPr>
        <w:t>D</w:t>
      </w:r>
      <w:r w:rsidR="003074BA">
        <w:rPr>
          <w:rFonts w:cstheme="minorHAnsi"/>
        </w:rPr>
        <w:t>irect</w:t>
      </w:r>
      <w:r w:rsidR="006A1A06">
        <w:rPr>
          <w:rFonts w:cstheme="minorHAnsi"/>
        </w:rPr>
        <w:t xml:space="preserve"> </w:t>
      </w:r>
      <w:r w:rsidR="003074BA">
        <w:rPr>
          <w:rFonts w:cstheme="minorHAnsi"/>
        </w:rPr>
        <w:t xml:space="preserve">RT-LAMP assay described in </w:t>
      </w:r>
      <w:r w:rsidR="00421E7C">
        <w:rPr>
          <w:rFonts w:cstheme="minorHAnsi"/>
        </w:rPr>
        <w:t xml:space="preserve">the Fowler </w:t>
      </w:r>
      <w:r w:rsidR="00421E7C" w:rsidRPr="00421E7C">
        <w:rPr>
          <w:rFonts w:cstheme="minorHAnsi"/>
          <w:i/>
          <w:iCs/>
        </w:rPr>
        <w:t>et al.</w:t>
      </w:r>
      <w:r w:rsidR="003074BA">
        <w:rPr>
          <w:rFonts w:cstheme="minorHAnsi"/>
        </w:rPr>
        <w:t xml:space="preserve"> publication</w:t>
      </w:r>
      <w:r w:rsidR="002B10AF">
        <w:rPr>
          <w:rFonts w:cstheme="minorHAnsi"/>
          <w:vertAlign w:val="superscript"/>
        </w:rPr>
        <w:t>2</w:t>
      </w:r>
      <w:r w:rsidR="003074BA">
        <w:rPr>
          <w:rFonts w:cstheme="minorHAnsi"/>
        </w:rPr>
        <w:t xml:space="preserve"> was</w:t>
      </w:r>
      <w:r w:rsidR="006A1A06">
        <w:rPr>
          <w:rFonts w:cstheme="minorHAnsi"/>
        </w:rPr>
        <w:t xml:space="preserve"> for use on swabs and was</w:t>
      </w:r>
      <w:r w:rsidR="003074BA">
        <w:rPr>
          <w:rFonts w:cstheme="minorHAnsi"/>
        </w:rPr>
        <w:t xml:space="preserve"> superseded with a new sample preparation method</w:t>
      </w:r>
      <w:r w:rsidR="00421E7C">
        <w:rPr>
          <w:rFonts w:cstheme="minorHAnsi"/>
        </w:rPr>
        <w:t xml:space="preserve"> (</w:t>
      </w:r>
      <w:r w:rsidR="00421E7C">
        <w:t xml:space="preserve">Direct PLUS </w:t>
      </w:r>
      <w:r w:rsidR="00421E7C">
        <w:rPr>
          <w:lang w:val="en-US"/>
        </w:rPr>
        <w:t>RT-LAMP assay)</w:t>
      </w:r>
      <w:r w:rsidR="003074BA">
        <w:rPr>
          <w:rFonts w:cstheme="minorHAnsi"/>
        </w:rPr>
        <w:t xml:space="preserve"> </w:t>
      </w:r>
      <w:r w:rsidR="006A1A06">
        <w:rPr>
          <w:rFonts w:cstheme="minorHAnsi"/>
        </w:rPr>
        <w:t>to enable the Direct RT-LAMP assay to be performed on swabs and saliva. It was the</w:t>
      </w:r>
      <w:r w:rsidR="006A1A06" w:rsidRPr="006A1A06">
        <w:t xml:space="preserve"> </w:t>
      </w:r>
      <w:r w:rsidR="006A1A06">
        <w:t xml:space="preserve">Direct PLUS </w:t>
      </w:r>
      <w:r w:rsidR="006A1A06">
        <w:rPr>
          <w:lang w:val="en-US"/>
        </w:rPr>
        <w:t>RT-LAMP assay</w:t>
      </w:r>
      <w:r w:rsidR="002B10AF">
        <w:rPr>
          <w:rFonts w:cstheme="minorHAnsi"/>
        </w:rPr>
        <w:t xml:space="preserve"> </w:t>
      </w:r>
      <w:r w:rsidR="00E363D6">
        <w:rPr>
          <w:rFonts w:cstheme="minorHAnsi"/>
        </w:rPr>
        <w:t>that was</w:t>
      </w:r>
      <w:r w:rsidR="0025671F">
        <w:rPr>
          <w:rFonts w:cstheme="minorHAnsi"/>
        </w:rPr>
        <w:t xml:space="preserve"> in </w:t>
      </w:r>
      <w:r w:rsidR="002B10AF">
        <w:rPr>
          <w:rFonts w:cstheme="minorHAnsi"/>
        </w:rPr>
        <w:t xml:space="preserve">use </w:t>
      </w:r>
      <w:r w:rsidR="001A1ED9">
        <w:rPr>
          <w:rFonts w:cstheme="minorHAnsi"/>
        </w:rPr>
        <w:t>at all the sites</w:t>
      </w:r>
      <w:r w:rsidR="002B10AF">
        <w:rPr>
          <w:rFonts w:cstheme="minorHAnsi"/>
        </w:rPr>
        <w:t xml:space="preserve"> which participated in the studies reported in the</w:t>
      </w:r>
      <w:r w:rsidR="002B10AF" w:rsidRPr="002B10AF">
        <w:rPr>
          <w:lang w:val="en-US"/>
        </w:rPr>
        <w:t xml:space="preserve"> </w:t>
      </w:r>
      <w:r w:rsidR="002B10AF">
        <w:rPr>
          <w:lang w:val="en-US"/>
        </w:rPr>
        <w:t xml:space="preserve">NHS Test and Trace and the </w:t>
      </w:r>
      <w:r w:rsidR="0001361B">
        <w:rPr>
          <w:lang w:val="en-US"/>
        </w:rPr>
        <w:t>DHSC</w:t>
      </w:r>
      <w:r w:rsidR="002B10AF">
        <w:rPr>
          <w:lang w:val="en-US"/>
        </w:rPr>
        <w:t xml:space="preserve"> report</w:t>
      </w:r>
      <w:r w:rsidR="002B10AF">
        <w:rPr>
          <w:vertAlign w:val="superscript"/>
          <w:lang w:val="en-US"/>
        </w:rPr>
        <w:t>1</w:t>
      </w:r>
      <w:r w:rsidR="003074BA">
        <w:rPr>
          <w:rFonts w:cstheme="minorHAnsi"/>
        </w:rPr>
        <w:t xml:space="preserve">.  </w:t>
      </w:r>
    </w:p>
    <w:p w14:paraId="22A58818" w14:textId="36BB11C8" w:rsidR="005A302A" w:rsidRPr="00F73966" w:rsidRDefault="009C46BD" w:rsidP="009C46BD">
      <w:pPr>
        <w:jc w:val="both"/>
        <w:rPr>
          <w:rFonts w:cstheme="minorHAnsi"/>
        </w:rPr>
      </w:pPr>
      <w:r>
        <w:rPr>
          <w:rFonts w:cstheme="minorHAnsi"/>
        </w:rPr>
        <w:t xml:space="preserve">Secondly, </w:t>
      </w:r>
      <w:bookmarkStart w:id="2" w:name="_Hlk59967147"/>
      <w:r w:rsidR="00161748" w:rsidRPr="009C46BD">
        <w:rPr>
          <w:rFonts w:cstheme="minorHAnsi"/>
          <w:bCs/>
        </w:rPr>
        <w:t xml:space="preserve">Wilson-Davies </w:t>
      </w:r>
      <w:r w:rsidR="00161748" w:rsidRPr="009C46BD">
        <w:rPr>
          <w:rFonts w:cstheme="minorHAnsi"/>
          <w:bCs/>
          <w:i/>
          <w:iCs/>
        </w:rPr>
        <w:t>et al</w:t>
      </w:r>
      <w:r w:rsidR="00161748" w:rsidRPr="004219E7">
        <w:rPr>
          <w:rFonts w:cstheme="minorHAnsi"/>
        </w:rPr>
        <w:t xml:space="preserve"> </w:t>
      </w:r>
      <w:bookmarkEnd w:id="2"/>
      <w:r w:rsidR="003074BA" w:rsidRPr="004219E7">
        <w:rPr>
          <w:rFonts w:cstheme="minorHAnsi"/>
        </w:rPr>
        <w:t xml:space="preserve">state that the </w:t>
      </w:r>
      <w:r w:rsidR="00161748">
        <w:rPr>
          <w:rFonts w:cstheme="minorHAnsi"/>
        </w:rPr>
        <w:t xml:space="preserve">Direct </w:t>
      </w:r>
      <w:r w:rsidR="00A91ED8">
        <w:rPr>
          <w:rFonts w:cstheme="minorHAnsi"/>
        </w:rPr>
        <w:t xml:space="preserve">PLUS </w:t>
      </w:r>
      <w:r w:rsidR="00161748">
        <w:rPr>
          <w:rFonts w:cstheme="minorHAnsi"/>
        </w:rPr>
        <w:t xml:space="preserve">RT-LAMP </w:t>
      </w:r>
      <w:r w:rsidR="003074BA" w:rsidRPr="004219E7">
        <w:rPr>
          <w:rFonts w:cstheme="minorHAnsi"/>
        </w:rPr>
        <w:t>assay “failed to detect</w:t>
      </w:r>
      <w:r w:rsidR="003074BA" w:rsidRPr="004219E7">
        <w:rPr>
          <w:rFonts w:cstheme="minorHAnsi"/>
          <w:b/>
          <w:bCs/>
          <w:i/>
          <w:iCs/>
        </w:rPr>
        <w:t xml:space="preserve"> </w:t>
      </w:r>
      <w:r w:rsidR="00010FF4" w:rsidRPr="004219E7">
        <w:rPr>
          <w:rFonts w:cstheme="minorHAnsi"/>
        </w:rPr>
        <w:t>more than 50% of saliva positive cases in a pilot in Greater Manchester</w:t>
      </w:r>
      <w:r w:rsidR="003074BA" w:rsidRPr="004219E7">
        <w:rPr>
          <w:rFonts w:cstheme="minorHAnsi"/>
        </w:rPr>
        <w:t xml:space="preserve">” and use the Guardian </w:t>
      </w:r>
      <w:r w:rsidR="006D0AE2">
        <w:rPr>
          <w:rFonts w:cstheme="minorHAnsi"/>
        </w:rPr>
        <w:t xml:space="preserve">newspaper </w:t>
      </w:r>
      <w:r w:rsidR="003074BA" w:rsidRPr="004219E7">
        <w:rPr>
          <w:rFonts w:cstheme="minorHAnsi"/>
        </w:rPr>
        <w:t>a</w:t>
      </w:r>
      <w:r w:rsidR="006D0AE2">
        <w:rPr>
          <w:rFonts w:cstheme="minorHAnsi"/>
        </w:rPr>
        <w:t xml:space="preserve">s </w:t>
      </w:r>
      <w:r w:rsidR="003074BA" w:rsidRPr="004219E7">
        <w:rPr>
          <w:rFonts w:cstheme="minorHAnsi"/>
        </w:rPr>
        <w:t xml:space="preserve">their source of </w:t>
      </w:r>
      <w:r w:rsidR="006D0AE2">
        <w:rPr>
          <w:rFonts w:cstheme="minorHAnsi"/>
        </w:rPr>
        <w:t>evidence</w:t>
      </w:r>
      <w:r w:rsidR="00EB6D0E">
        <w:rPr>
          <w:rFonts w:cstheme="minorHAnsi"/>
          <w:vertAlign w:val="superscript"/>
        </w:rPr>
        <w:t>3</w:t>
      </w:r>
      <w:r w:rsidR="003074BA" w:rsidRPr="004219E7">
        <w:rPr>
          <w:rFonts w:cstheme="minorHAnsi"/>
        </w:rPr>
        <w:t>. The Guardian reported</w:t>
      </w:r>
      <w:r w:rsidR="0001361B">
        <w:rPr>
          <w:rFonts w:cstheme="minorHAnsi"/>
        </w:rPr>
        <w:t>,</w:t>
      </w:r>
      <w:r w:rsidR="003074BA" w:rsidRPr="004219E7">
        <w:rPr>
          <w:rFonts w:cstheme="minorHAnsi"/>
        </w:rPr>
        <w:t xml:space="preserve"> </w:t>
      </w:r>
      <w:r w:rsidR="008B4A84" w:rsidRPr="004219E7">
        <w:rPr>
          <w:rFonts w:cstheme="minorHAnsi"/>
        </w:rPr>
        <w:t>out of context</w:t>
      </w:r>
      <w:r w:rsidR="008B4A84">
        <w:rPr>
          <w:rFonts w:cstheme="minorHAnsi"/>
        </w:rPr>
        <w:t>,</w:t>
      </w:r>
      <w:r w:rsidR="008B4A84" w:rsidRPr="004219E7">
        <w:rPr>
          <w:rFonts w:cstheme="minorHAnsi"/>
        </w:rPr>
        <w:t xml:space="preserve"> </w:t>
      </w:r>
      <w:r w:rsidR="003074BA" w:rsidRPr="004219E7">
        <w:rPr>
          <w:rFonts w:cstheme="minorHAnsi"/>
        </w:rPr>
        <w:t>a subset of data</w:t>
      </w:r>
      <w:r w:rsidR="00A91ED8">
        <w:rPr>
          <w:rFonts w:cstheme="minorHAnsi"/>
        </w:rPr>
        <w:t xml:space="preserve"> </w:t>
      </w:r>
      <w:r w:rsidR="0001361B">
        <w:rPr>
          <w:rFonts w:cstheme="minorHAnsi"/>
        </w:rPr>
        <w:t xml:space="preserve">selectively extracted </w:t>
      </w:r>
      <w:r w:rsidR="008B4A84">
        <w:rPr>
          <w:rFonts w:cstheme="minorHAnsi"/>
        </w:rPr>
        <w:t xml:space="preserve">from within the Test and Trace/DHSC </w:t>
      </w:r>
      <w:r w:rsidR="007A35C3">
        <w:rPr>
          <w:rFonts w:cstheme="minorHAnsi"/>
        </w:rPr>
        <w:t>pilot</w:t>
      </w:r>
      <w:r w:rsidR="00E363D6">
        <w:rPr>
          <w:rFonts w:cstheme="minorHAnsi"/>
          <w:vertAlign w:val="superscript"/>
        </w:rPr>
        <w:t>1</w:t>
      </w:r>
      <w:r>
        <w:rPr>
          <w:rFonts w:cstheme="minorHAnsi"/>
        </w:rPr>
        <w:t>.</w:t>
      </w:r>
      <w:r w:rsidR="003074BA" w:rsidRPr="004219E7">
        <w:rPr>
          <w:rFonts w:cstheme="minorHAnsi"/>
        </w:rPr>
        <w:t xml:space="preserve"> </w:t>
      </w:r>
      <w:r w:rsidR="001A1ED9">
        <w:rPr>
          <w:rFonts w:cstheme="minorHAnsi"/>
        </w:rPr>
        <w:t>Notably, th</w:t>
      </w:r>
      <w:r w:rsidR="003074BA" w:rsidRPr="004219E7">
        <w:rPr>
          <w:rFonts w:cstheme="minorHAnsi"/>
        </w:rPr>
        <w:t xml:space="preserve">e data generated </w:t>
      </w:r>
      <w:r w:rsidR="00161748">
        <w:rPr>
          <w:rFonts w:cstheme="minorHAnsi"/>
        </w:rPr>
        <w:t>by the</w:t>
      </w:r>
      <w:r w:rsidR="006D0AE2">
        <w:rPr>
          <w:rFonts w:cstheme="minorHAnsi"/>
        </w:rPr>
        <w:t xml:space="preserve"> </w:t>
      </w:r>
      <w:r w:rsidR="00161748">
        <w:rPr>
          <w:rFonts w:cstheme="minorHAnsi"/>
        </w:rPr>
        <w:t>Manchester</w:t>
      </w:r>
      <w:r w:rsidR="00161748" w:rsidRPr="002B10AF">
        <w:rPr>
          <w:rFonts w:cstheme="minorHAnsi"/>
        </w:rPr>
        <w:t xml:space="preserve"> </w:t>
      </w:r>
      <w:r w:rsidR="00161748" w:rsidRPr="005A302A">
        <w:rPr>
          <w:rFonts w:cstheme="minorHAnsi"/>
        </w:rPr>
        <w:t>Regional Virus Laboratory</w:t>
      </w:r>
      <w:r w:rsidR="00161748">
        <w:rPr>
          <w:rFonts w:cstheme="minorHAnsi"/>
        </w:rPr>
        <w:t xml:space="preserve"> team</w:t>
      </w:r>
      <w:r w:rsidR="00421E7C">
        <w:rPr>
          <w:rFonts w:cstheme="minorHAnsi"/>
        </w:rPr>
        <w:t>,</w:t>
      </w:r>
      <w:r w:rsidR="00161748">
        <w:rPr>
          <w:rFonts w:cstheme="minorHAnsi"/>
        </w:rPr>
        <w:t xml:space="preserve"> </w:t>
      </w:r>
      <w:r w:rsidR="00421E7C">
        <w:rPr>
          <w:rFonts w:cstheme="minorHAnsi"/>
        </w:rPr>
        <w:t xml:space="preserve">contrary to </w:t>
      </w:r>
      <w:r w:rsidR="00625859">
        <w:rPr>
          <w:rFonts w:cstheme="minorHAnsi"/>
        </w:rPr>
        <w:t xml:space="preserve">the statement by </w:t>
      </w:r>
      <w:r w:rsidR="00421E7C" w:rsidRPr="009C46BD">
        <w:rPr>
          <w:rFonts w:cstheme="minorHAnsi"/>
          <w:bCs/>
        </w:rPr>
        <w:t xml:space="preserve">Wilson-Davies </w:t>
      </w:r>
      <w:r w:rsidR="00421E7C" w:rsidRPr="009C46BD">
        <w:rPr>
          <w:rFonts w:cstheme="minorHAnsi"/>
          <w:bCs/>
          <w:i/>
          <w:iCs/>
        </w:rPr>
        <w:t>et al</w:t>
      </w:r>
      <w:r w:rsidR="00421E7C">
        <w:rPr>
          <w:rFonts w:cstheme="minorHAnsi"/>
        </w:rPr>
        <w:t xml:space="preserve">, </w:t>
      </w:r>
      <w:r w:rsidR="00E363D6">
        <w:rPr>
          <w:rFonts w:cstheme="minorHAnsi"/>
        </w:rPr>
        <w:t>verified</w:t>
      </w:r>
      <w:r w:rsidR="003074BA" w:rsidRPr="004219E7">
        <w:rPr>
          <w:rFonts w:cstheme="minorHAnsi"/>
        </w:rPr>
        <w:t xml:space="preserve"> the test</w:t>
      </w:r>
      <w:r w:rsidR="00F73966">
        <w:rPr>
          <w:rFonts w:cstheme="minorHAnsi"/>
        </w:rPr>
        <w:t xml:space="preserve"> performance, achieving </w:t>
      </w:r>
      <w:r w:rsidR="003074BA" w:rsidRPr="004219E7">
        <w:rPr>
          <w:rFonts w:cstheme="minorHAnsi"/>
        </w:rPr>
        <w:t xml:space="preserve">100% </w:t>
      </w:r>
      <w:proofErr w:type="spellStart"/>
      <w:r w:rsidR="003074BA" w:rsidRPr="004219E7">
        <w:rPr>
          <w:rFonts w:cstheme="minorHAnsi"/>
        </w:rPr>
        <w:t>DSp</w:t>
      </w:r>
      <w:proofErr w:type="spellEnd"/>
      <w:r w:rsidR="003074BA" w:rsidRPr="004219E7">
        <w:rPr>
          <w:rFonts w:cstheme="minorHAnsi"/>
        </w:rPr>
        <w:t xml:space="preserve"> and 100% </w:t>
      </w:r>
      <w:proofErr w:type="spellStart"/>
      <w:r w:rsidR="003074BA" w:rsidRPr="004219E7">
        <w:rPr>
          <w:rFonts w:cstheme="minorHAnsi"/>
        </w:rPr>
        <w:t>DSe</w:t>
      </w:r>
      <w:proofErr w:type="spellEnd"/>
      <w:r w:rsidR="003074BA" w:rsidRPr="004219E7">
        <w:rPr>
          <w:rFonts w:cstheme="minorHAnsi"/>
        </w:rPr>
        <w:t xml:space="preserve"> </w:t>
      </w:r>
      <w:r w:rsidR="002B10AF">
        <w:rPr>
          <w:rFonts w:cstheme="minorHAnsi"/>
        </w:rPr>
        <w:t>(</w:t>
      </w:r>
      <w:r>
        <w:rPr>
          <w:rFonts w:cstheme="minorHAnsi"/>
        </w:rPr>
        <w:t>C</w:t>
      </w:r>
      <w:r w:rsidR="006A1A06" w:rsidRPr="006A1A06">
        <w:rPr>
          <w:rFonts w:cstheme="minorHAnsi"/>
          <w:vertAlign w:val="subscript"/>
        </w:rPr>
        <w:t>T</w:t>
      </w:r>
      <w:r>
        <w:rPr>
          <w:rFonts w:cstheme="minorHAnsi"/>
        </w:rPr>
        <w:t xml:space="preserve"> </w:t>
      </w:r>
      <w:r w:rsidR="003074BA" w:rsidRPr="00EB6D0E">
        <w:rPr>
          <w:rFonts w:cstheme="minorHAnsi"/>
          <w:u w:val="single"/>
        </w:rPr>
        <w:t>&lt;</w:t>
      </w:r>
      <w:r w:rsidR="003074BA" w:rsidRPr="004219E7">
        <w:rPr>
          <w:rFonts w:cstheme="minorHAnsi"/>
        </w:rPr>
        <w:t>25</w:t>
      </w:r>
      <w:r w:rsidR="002B10AF">
        <w:rPr>
          <w:rFonts w:cstheme="minorHAnsi"/>
        </w:rPr>
        <w:t>)</w:t>
      </w:r>
      <w:r w:rsidR="005A302A">
        <w:rPr>
          <w:rFonts w:cstheme="minorHAnsi"/>
        </w:rPr>
        <w:t>,</w:t>
      </w:r>
      <w:r w:rsidR="002B10AF">
        <w:rPr>
          <w:rFonts w:cstheme="minorHAnsi"/>
        </w:rPr>
        <w:t xml:space="preserve"> </w:t>
      </w:r>
      <w:r w:rsidR="00091148" w:rsidRPr="004219E7">
        <w:rPr>
          <w:rFonts w:cstheme="minorHAnsi"/>
        </w:rPr>
        <w:t>well within the confidence intervals</w:t>
      </w:r>
      <w:r w:rsidR="00116519" w:rsidRPr="004219E7">
        <w:rPr>
          <w:rFonts w:cstheme="minorHAnsi"/>
        </w:rPr>
        <w:t xml:space="preserve"> </w:t>
      </w:r>
      <w:r w:rsidR="00091148" w:rsidRPr="004219E7">
        <w:rPr>
          <w:rFonts w:cstheme="minorHAnsi"/>
        </w:rPr>
        <w:t>reported in the government publication</w:t>
      </w:r>
      <w:r w:rsidR="008B4A84">
        <w:rPr>
          <w:rFonts w:cstheme="minorHAnsi"/>
        </w:rPr>
        <w:t>, which includes th</w:t>
      </w:r>
      <w:r w:rsidR="00632EB0">
        <w:rPr>
          <w:rFonts w:cstheme="minorHAnsi"/>
        </w:rPr>
        <w:t>e</w:t>
      </w:r>
      <w:r w:rsidR="008B4A84">
        <w:rPr>
          <w:rFonts w:cstheme="minorHAnsi"/>
        </w:rPr>
        <w:t xml:space="preserve"> Manchester pilot data</w:t>
      </w:r>
      <w:r w:rsidR="00161748">
        <w:rPr>
          <w:rFonts w:cstheme="minorHAnsi"/>
          <w:vertAlign w:val="superscript"/>
        </w:rPr>
        <w:t>1</w:t>
      </w:r>
      <w:r w:rsidR="003074BA" w:rsidRPr="004219E7">
        <w:rPr>
          <w:rFonts w:cstheme="minorHAnsi"/>
        </w:rPr>
        <w:t xml:space="preserve">. </w:t>
      </w:r>
      <w:r w:rsidR="005A302A">
        <w:rPr>
          <w:rFonts w:cstheme="minorHAnsi"/>
        </w:rPr>
        <w:t xml:space="preserve"> </w:t>
      </w:r>
      <w:r w:rsidR="00116519" w:rsidRPr="004219E7">
        <w:rPr>
          <w:rFonts w:cstheme="minorHAnsi"/>
        </w:rPr>
        <w:t xml:space="preserve">The </w:t>
      </w:r>
      <w:r w:rsidR="00EA6FD8">
        <w:rPr>
          <w:rFonts w:cstheme="minorHAnsi"/>
        </w:rPr>
        <w:t>Manchester subset analysis included</w:t>
      </w:r>
      <w:r w:rsidR="00161748">
        <w:rPr>
          <w:rFonts w:cstheme="minorHAnsi"/>
        </w:rPr>
        <w:t xml:space="preserve"> 15 positive samples</w:t>
      </w:r>
      <w:r w:rsidR="00B652D0">
        <w:rPr>
          <w:rFonts w:cstheme="minorHAnsi"/>
        </w:rPr>
        <w:t>,</w:t>
      </w:r>
      <w:r w:rsidR="00161748">
        <w:rPr>
          <w:rFonts w:cstheme="minorHAnsi"/>
        </w:rPr>
        <w:t xml:space="preserve"> of which only six had a</w:t>
      </w:r>
      <w:r w:rsidR="00116519" w:rsidRPr="004219E7">
        <w:rPr>
          <w:rFonts w:cstheme="minorHAnsi"/>
        </w:rPr>
        <w:t xml:space="preserve"> high-to-medium viral load</w:t>
      </w:r>
      <w:r w:rsidR="001A1ED9">
        <w:rPr>
          <w:rFonts w:cstheme="minorHAnsi"/>
        </w:rPr>
        <w:t xml:space="preserve"> (C</w:t>
      </w:r>
      <w:r w:rsidR="001A1ED9" w:rsidRPr="008B4A84">
        <w:rPr>
          <w:rFonts w:cstheme="minorHAnsi"/>
          <w:vertAlign w:val="subscript"/>
        </w:rPr>
        <w:t>T</w:t>
      </w:r>
      <w:r w:rsidR="001A1ED9">
        <w:rPr>
          <w:rFonts w:cstheme="minorHAnsi"/>
        </w:rPr>
        <w:t xml:space="preserve"> </w:t>
      </w:r>
      <w:r w:rsidR="001A1ED9" w:rsidRPr="001A1ED9">
        <w:rPr>
          <w:rFonts w:cstheme="minorHAnsi"/>
          <w:u w:val="single"/>
        </w:rPr>
        <w:t>&lt;</w:t>
      </w:r>
      <w:r w:rsidR="001A1ED9">
        <w:rPr>
          <w:rFonts w:cstheme="minorHAnsi"/>
        </w:rPr>
        <w:t>25).</w:t>
      </w:r>
      <w:r w:rsidR="00116519" w:rsidRPr="004219E7">
        <w:rPr>
          <w:rFonts w:cstheme="minorHAnsi"/>
        </w:rPr>
        <w:t xml:space="preserve"> </w:t>
      </w:r>
      <w:r w:rsidR="006A1A06" w:rsidRPr="004219E7">
        <w:rPr>
          <w:rFonts w:cstheme="minorHAnsi"/>
        </w:rPr>
        <w:t>The nine low</w:t>
      </w:r>
      <w:r w:rsidR="006A1A06">
        <w:rPr>
          <w:rFonts w:cstheme="minorHAnsi"/>
        </w:rPr>
        <w:t>er</w:t>
      </w:r>
      <w:r w:rsidR="006A1A06" w:rsidRPr="004219E7">
        <w:rPr>
          <w:rFonts w:cstheme="minorHAnsi"/>
        </w:rPr>
        <w:t xml:space="preserve"> viral load samples</w:t>
      </w:r>
      <w:r w:rsidR="006A1A06">
        <w:rPr>
          <w:rFonts w:cstheme="minorHAnsi"/>
        </w:rPr>
        <w:t xml:space="preserve"> (C</w:t>
      </w:r>
      <w:r w:rsidR="006A1A06" w:rsidRPr="008B4A84">
        <w:rPr>
          <w:rFonts w:cstheme="minorHAnsi"/>
          <w:vertAlign w:val="subscript"/>
        </w:rPr>
        <w:t>T</w:t>
      </w:r>
      <w:r w:rsidR="006A1A06">
        <w:rPr>
          <w:rFonts w:cstheme="minorHAnsi"/>
        </w:rPr>
        <w:t xml:space="preserve"> &gt;25)</w:t>
      </w:r>
      <w:r w:rsidR="00116519" w:rsidRPr="004219E7">
        <w:rPr>
          <w:rFonts w:cstheme="minorHAnsi"/>
        </w:rPr>
        <w:t xml:space="preserve"> artificially skewed the overall sensitivity of the test as the categories were not balanced</w:t>
      </w:r>
      <w:r w:rsidR="0025671F" w:rsidRPr="0025671F">
        <w:rPr>
          <w:rFonts w:cstheme="minorHAnsi"/>
        </w:rPr>
        <w:t xml:space="preserve"> </w:t>
      </w:r>
      <w:r w:rsidR="0025671F">
        <w:rPr>
          <w:rFonts w:cstheme="minorHAnsi"/>
        </w:rPr>
        <w:t>(exhibiting the full dynamic range in equal proportions of high medium and low C</w:t>
      </w:r>
      <w:r w:rsidR="0025671F" w:rsidRPr="0025671F">
        <w:rPr>
          <w:rFonts w:cstheme="minorHAnsi"/>
          <w:vertAlign w:val="subscript"/>
        </w:rPr>
        <w:t>T</w:t>
      </w:r>
      <w:r w:rsidR="0025671F">
        <w:rPr>
          <w:rFonts w:cstheme="minorHAnsi"/>
        </w:rPr>
        <w:t xml:space="preserve"> values)</w:t>
      </w:r>
      <w:r w:rsidR="00116519" w:rsidRPr="004219E7">
        <w:rPr>
          <w:rFonts w:cstheme="minorHAnsi"/>
        </w:rPr>
        <w:t>.</w:t>
      </w:r>
      <w:r w:rsidR="008B4A84">
        <w:rPr>
          <w:rFonts w:cstheme="minorHAnsi"/>
        </w:rPr>
        <w:t xml:space="preserve"> </w:t>
      </w:r>
    </w:p>
    <w:p w14:paraId="5A8AB880" w14:textId="603A2B8B" w:rsidR="00F66DEE" w:rsidRDefault="005A302A" w:rsidP="005A302A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Thirdly, </w:t>
      </w:r>
      <w:r w:rsidRPr="005A302A">
        <w:rPr>
          <w:rFonts w:cstheme="minorHAnsi"/>
        </w:rPr>
        <w:t>W</w:t>
      </w:r>
      <w:r w:rsidR="00EB6D0E" w:rsidRPr="005A302A">
        <w:rPr>
          <w:rFonts w:cstheme="minorHAnsi"/>
        </w:rPr>
        <w:t xml:space="preserve">ilson-Davies </w:t>
      </w:r>
      <w:r w:rsidR="00EB6D0E" w:rsidRPr="005A302A">
        <w:rPr>
          <w:rFonts w:cstheme="minorHAnsi"/>
          <w:i/>
          <w:iCs/>
        </w:rPr>
        <w:t>et al.</w:t>
      </w:r>
      <w:r w:rsidR="00EB6D0E" w:rsidRPr="005A302A">
        <w:rPr>
          <w:rFonts w:cstheme="minorHAnsi"/>
          <w:b/>
          <w:bCs/>
          <w:i/>
          <w:iCs/>
        </w:rPr>
        <w:t xml:space="preserve"> </w:t>
      </w:r>
      <w:r w:rsidR="00EB6D0E" w:rsidRPr="005A302A">
        <w:rPr>
          <w:rFonts w:cstheme="minorHAnsi"/>
        </w:rPr>
        <w:t>state</w:t>
      </w:r>
      <w:r w:rsidR="00EB6D0E" w:rsidRPr="00EB6D0E">
        <w:t xml:space="preserve"> </w:t>
      </w:r>
      <w:r w:rsidR="00EB6D0E">
        <w:t>“</w:t>
      </w:r>
      <w:bookmarkStart w:id="3" w:name="_Hlk59645921"/>
      <w:r w:rsidR="00EB6D0E">
        <w:t>c</w:t>
      </w:r>
      <w:r w:rsidR="00EB6D0E" w:rsidRPr="005A302A">
        <w:rPr>
          <w:rFonts w:cstheme="minorHAnsi"/>
        </w:rPr>
        <w:t xml:space="preserve">onsistent with results from the Manchester Regional Virus </w:t>
      </w:r>
      <w:bookmarkEnd w:id="3"/>
      <w:r w:rsidR="00EB6D0E" w:rsidRPr="005A302A">
        <w:rPr>
          <w:rFonts w:cstheme="minorHAnsi"/>
        </w:rPr>
        <w:t xml:space="preserve">Laboratory, we have been unable to replicate the sensitivity”. </w:t>
      </w:r>
      <w:r>
        <w:rPr>
          <w:rFonts w:cstheme="minorHAnsi"/>
        </w:rPr>
        <w:t xml:space="preserve">However, as we have stated, </w:t>
      </w:r>
      <w:r w:rsidR="00EB6D0E" w:rsidRPr="00F66DEE">
        <w:rPr>
          <w:rFonts w:cstheme="minorHAnsi"/>
        </w:rPr>
        <w:t>the Manchester Regional Virus Laboratory produced results that were consistent with the performance of the test within the range of detection for its intended use case</w:t>
      </w:r>
      <w:r w:rsidR="00F73966">
        <w:rPr>
          <w:rFonts w:cstheme="minorHAnsi"/>
          <w:vertAlign w:val="superscript"/>
        </w:rPr>
        <w:t>1</w:t>
      </w:r>
      <w:r w:rsidR="00F73966">
        <w:rPr>
          <w:rFonts w:cstheme="minorHAnsi"/>
        </w:rPr>
        <w:t>, therefore</w:t>
      </w:r>
      <w:r w:rsidR="00F73966" w:rsidRPr="00F73966">
        <w:rPr>
          <w:rFonts w:cstheme="minorHAnsi"/>
        </w:rPr>
        <w:t xml:space="preserve"> </w:t>
      </w:r>
      <w:r w:rsidR="00F73966" w:rsidRPr="005A302A">
        <w:rPr>
          <w:rFonts w:cstheme="minorHAnsi"/>
        </w:rPr>
        <w:t>Wilson-</w:t>
      </w:r>
      <w:r w:rsidR="00F73966" w:rsidRPr="006A1A06">
        <w:rPr>
          <w:rFonts w:cstheme="minorHAnsi"/>
        </w:rPr>
        <w:t xml:space="preserve">Davies </w:t>
      </w:r>
      <w:r w:rsidR="00F73966" w:rsidRPr="006A1A06">
        <w:rPr>
          <w:rFonts w:cstheme="minorHAnsi"/>
          <w:i/>
          <w:iCs/>
        </w:rPr>
        <w:t xml:space="preserve">et al </w:t>
      </w:r>
      <w:r w:rsidR="00F73966" w:rsidRPr="006A1A06">
        <w:rPr>
          <w:rFonts w:cstheme="minorHAnsi"/>
        </w:rPr>
        <w:t xml:space="preserve">data is not consistent with the Manchester </w:t>
      </w:r>
      <w:bookmarkStart w:id="4" w:name="_Hlk59969886"/>
      <w:r w:rsidR="00F73966" w:rsidRPr="006A1A06">
        <w:rPr>
          <w:rFonts w:cstheme="minorHAnsi"/>
        </w:rPr>
        <w:t>Region</w:t>
      </w:r>
      <w:r w:rsidR="002F1072" w:rsidRPr="006A1A06">
        <w:rPr>
          <w:rFonts w:cstheme="minorHAnsi"/>
        </w:rPr>
        <w:t>al</w:t>
      </w:r>
      <w:r w:rsidR="00F73966" w:rsidRPr="006A1A06">
        <w:rPr>
          <w:rFonts w:cstheme="minorHAnsi"/>
        </w:rPr>
        <w:t xml:space="preserve"> Virus</w:t>
      </w:r>
      <w:r w:rsidR="002F1072" w:rsidRPr="006A1A06">
        <w:rPr>
          <w:rFonts w:cstheme="minorHAnsi"/>
        </w:rPr>
        <w:t xml:space="preserve"> Laboratory</w:t>
      </w:r>
      <w:r w:rsidR="00F73966" w:rsidRPr="006A1A06">
        <w:rPr>
          <w:rFonts w:cstheme="minorHAnsi"/>
        </w:rPr>
        <w:t xml:space="preserve"> data</w:t>
      </w:r>
      <w:bookmarkEnd w:id="4"/>
      <w:r w:rsidR="00EB6D0E" w:rsidRPr="006A1A06">
        <w:rPr>
          <w:rFonts w:cstheme="minorHAnsi"/>
        </w:rPr>
        <w:t xml:space="preserve">. </w:t>
      </w:r>
      <w:r w:rsidR="002B10AF" w:rsidRPr="006A1A06">
        <w:rPr>
          <w:rFonts w:cstheme="minorHAnsi"/>
        </w:rPr>
        <w:t xml:space="preserve">In addition, the Manchester Regional Virus Laboratory evaluated the performance of the Direct </w:t>
      </w:r>
      <w:r w:rsidR="00632EB0" w:rsidRPr="006A1A06">
        <w:rPr>
          <w:rFonts w:cstheme="minorHAnsi"/>
        </w:rPr>
        <w:t xml:space="preserve">PLUS </w:t>
      </w:r>
      <w:r w:rsidR="002B10AF" w:rsidRPr="006A1A06">
        <w:rPr>
          <w:rFonts w:cstheme="minorHAnsi"/>
        </w:rPr>
        <w:t>RT-LAMP assay</w:t>
      </w:r>
      <w:r w:rsidR="00F73966" w:rsidRPr="006A1A06">
        <w:rPr>
          <w:rFonts w:cstheme="minorHAnsi"/>
        </w:rPr>
        <w:t xml:space="preserve"> </w:t>
      </w:r>
      <w:r w:rsidR="002B10AF" w:rsidRPr="006A1A06">
        <w:rPr>
          <w:rFonts w:cstheme="minorHAnsi"/>
        </w:rPr>
        <w:t>on saliva</w:t>
      </w:r>
      <w:r w:rsidR="002B10AF">
        <w:rPr>
          <w:rFonts w:cstheme="minorHAnsi"/>
        </w:rPr>
        <w:t xml:space="preserve"> and not on swabs</w:t>
      </w:r>
      <w:r w:rsidR="00B652D0">
        <w:rPr>
          <w:rFonts w:cstheme="minorHAnsi"/>
        </w:rPr>
        <w:t xml:space="preserve"> </w:t>
      </w:r>
      <w:r w:rsidR="00625859">
        <w:rPr>
          <w:rFonts w:cstheme="minorHAnsi"/>
        </w:rPr>
        <w:t xml:space="preserve">as </w:t>
      </w:r>
      <w:r w:rsidR="00632EB0">
        <w:rPr>
          <w:rFonts w:cstheme="minorHAnsi"/>
        </w:rPr>
        <w:t>used by</w:t>
      </w:r>
      <w:r w:rsidR="00B652D0">
        <w:rPr>
          <w:rFonts w:cstheme="minorHAnsi"/>
        </w:rPr>
        <w:t xml:space="preserve"> </w:t>
      </w:r>
      <w:r w:rsidR="00B652D0" w:rsidRPr="006A1A06">
        <w:rPr>
          <w:lang w:val="en-US"/>
        </w:rPr>
        <w:t>Wilson-Davies</w:t>
      </w:r>
      <w:r w:rsidR="00B652D0" w:rsidRPr="00161748">
        <w:rPr>
          <w:i/>
          <w:iCs/>
          <w:lang w:val="en-US"/>
        </w:rPr>
        <w:t xml:space="preserve"> et al</w:t>
      </w:r>
      <w:r w:rsidR="002B10AF" w:rsidRPr="00B652D0">
        <w:rPr>
          <w:rFonts w:cstheme="minorHAnsi"/>
        </w:rPr>
        <w:t>.</w:t>
      </w:r>
      <w:r w:rsidR="002B10AF">
        <w:rPr>
          <w:rFonts w:cstheme="minorHAnsi"/>
        </w:rPr>
        <w:t xml:space="preserve"> The performance of a test differs depending on the sample matrix (saliva or swab) being analysed</w:t>
      </w:r>
      <w:r w:rsidR="00B652D0">
        <w:rPr>
          <w:rFonts w:cstheme="minorHAnsi"/>
        </w:rPr>
        <w:t xml:space="preserve"> (see table </w:t>
      </w:r>
      <w:r w:rsidR="00C619FC">
        <w:rPr>
          <w:rFonts w:cstheme="minorHAnsi"/>
        </w:rPr>
        <w:t>4</w:t>
      </w:r>
      <w:r w:rsidR="00B652D0">
        <w:rPr>
          <w:rFonts w:cstheme="minorHAnsi"/>
        </w:rPr>
        <w:t xml:space="preserve"> </w:t>
      </w:r>
      <w:r w:rsidR="00C619FC">
        <w:rPr>
          <w:rFonts w:cstheme="minorHAnsi"/>
        </w:rPr>
        <w:t xml:space="preserve">and paragraphs below </w:t>
      </w:r>
      <w:r w:rsidR="00B652D0">
        <w:rPr>
          <w:rFonts w:cstheme="minorHAnsi"/>
        </w:rPr>
        <w:t xml:space="preserve">for further </w:t>
      </w:r>
      <w:r w:rsidR="00C619FC">
        <w:rPr>
          <w:rFonts w:cstheme="minorHAnsi"/>
        </w:rPr>
        <w:t>explanation</w:t>
      </w:r>
      <w:r w:rsidR="00B652D0">
        <w:rPr>
          <w:rFonts w:cstheme="minorHAnsi"/>
        </w:rPr>
        <w:t>)</w:t>
      </w:r>
      <w:r w:rsidR="002B10AF">
        <w:rPr>
          <w:rFonts w:cstheme="minorHAnsi"/>
        </w:rPr>
        <w:t xml:space="preserve">. </w:t>
      </w:r>
    </w:p>
    <w:p w14:paraId="56BD3456" w14:textId="3654BE6B" w:rsidR="00F73966" w:rsidRDefault="005A302A" w:rsidP="008B4A84">
      <w:pPr>
        <w:jc w:val="both"/>
        <w:rPr>
          <w:rFonts w:cstheme="minorHAnsi"/>
        </w:rPr>
      </w:pPr>
      <w:r>
        <w:rPr>
          <w:lang w:val="en-US"/>
        </w:rPr>
        <w:t xml:space="preserve">Fourthly, </w:t>
      </w:r>
      <w:r w:rsidR="00EB6D0E" w:rsidRPr="00F66DEE">
        <w:rPr>
          <w:rFonts w:cstheme="minorHAnsi"/>
        </w:rPr>
        <w:t>Wi</w:t>
      </w:r>
      <w:r w:rsidR="006E1F7C" w:rsidRPr="00F66DEE">
        <w:rPr>
          <w:rFonts w:cstheme="minorHAnsi"/>
        </w:rPr>
        <w:t xml:space="preserve">lson-Davies </w:t>
      </w:r>
      <w:r w:rsidR="006E1F7C" w:rsidRPr="00F66DEE">
        <w:rPr>
          <w:rFonts w:cstheme="minorHAnsi"/>
          <w:i/>
          <w:iCs/>
        </w:rPr>
        <w:t>et al.</w:t>
      </w:r>
      <w:r w:rsidR="006E1F7C" w:rsidRPr="00F66DEE">
        <w:rPr>
          <w:rFonts w:cstheme="minorHAnsi"/>
        </w:rPr>
        <w:t xml:space="preserve"> have</w:t>
      </w:r>
      <w:r w:rsidR="006E1F7C" w:rsidRPr="00F66DEE">
        <w:rPr>
          <w:rFonts w:ascii="ArialMT" w:hAnsi="ArialMT" w:cs="ArialMT"/>
        </w:rPr>
        <w:t xml:space="preserve"> </w:t>
      </w:r>
      <w:r w:rsidR="006E1F7C" w:rsidRPr="00F66DEE">
        <w:rPr>
          <w:lang w:val="en-US"/>
        </w:rPr>
        <w:t>e</w:t>
      </w:r>
      <w:r w:rsidR="008E70E6" w:rsidRPr="00F66DEE">
        <w:rPr>
          <w:lang w:val="en-US"/>
        </w:rPr>
        <w:t>stimated</w:t>
      </w:r>
      <w:r w:rsidR="006E1F7C" w:rsidRPr="00F66DEE">
        <w:rPr>
          <w:lang w:val="en-US"/>
        </w:rPr>
        <w:t xml:space="preserve"> genome copies (digital copies</w:t>
      </w:r>
      <w:r w:rsidR="008E70E6" w:rsidRPr="00F66DEE">
        <w:rPr>
          <w:lang w:val="en-US"/>
        </w:rPr>
        <w:t xml:space="preserve"> </w:t>
      </w:r>
      <w:r w:rsidR="006E1F7C" w:rsidRPr="00F66DEE">
        <w:rPr>
          <w:lang w:val="en-US"/>
        </w:rPr>
        <w:t xml:space="preserve">per </w:t>
      </w:r>
      <w:r>
        <w:rPr>
          <w:lang w:val="en-US"/>
        </w:rPr>
        <w:t>milliliter</w:t>
      </w:r>
      <w:r w:rsidR="006E1F7C" w:rsidRPr="00F66DEE">
        <w:rPr>
          <w:lang w:val="en-US"/>
        </w:rPr>
        <w:t xml:space="preserve">: </w:t>
      </w:r>
      <w:r w:rsidR="008E70E6" w:rsidRPr="00F66DEE">
        <w:rPr>
          <w:lang w:val="en-US"/>
        </w:rPr>
        <w:t>dc/mL</w:t>
      </w:r>
      <w:r w:rsidR="006E1F7C" w:rsidRPr="00F66DEE">
        <w:rPr>
          <w:lang w:val="en-US"/>
        </w:rPr>
        <w:t>)</w:t>
      </w:r>
      <w:r w:rsidR="008E70E6" w:rsidRPr="00F66DEE">
        <w:rPr>
          <w:lang w:val="en-US"/>
        </w:rPr>
        <w:t xml:space="preserve"> </w:t>
      </w:r>
      <w:r w:rsidR="006E1F7C" w:rsidRPr="00F66DEE">
        <w:rPr>
          <w:lang w:val="en-US"/>
        </w:rPr>
        <w:t>using</w:t>
      </w:r>
      <w:r w:rsidR="008E70E6" w:rsidRPr="00F66DEE">
        <w:rPr>
          <w:lang w:val="en-US"/>
        </w:rPr>
        <w:t xml:space="preserve"> </w:t>
      </w:r>
      <w:r w:rsidR="006E1F7C" w:rsidRPr="00F66DEE">
        <w:rPr>
          <w:lang w:val="en-US"/>
        </w:rPr>
        <w:t>the nucleocapsid (</w:t>
      </w:r>
      <w:r w:rsidR="008E70E6" w:rsidRPr="00F66DEE">
        <w:rPr>
          <w:lang w:val="en-US"/>
        </w:rPr>
        <w:t>N</w:t>
      </w:r>
      <w:r w:rsidR="006E1F7C" w:rsidRPr="00F66DEE">
        <w:rPr>
          <w:lang w:val="en-US"/>
        </w:rPr>
        <w:t>)</w:t>
      </w:r>
      <w:r>
        <w:rPr>
          <w:lang w:val="en-US"/>
        </w:rPr>
        <w:t xml:space="preserve"> gene target</w:t>
      </w:r>
      <w:r w:rsidR="006E1F7C" w:rsidRPr="00F66DEE">
        <w:rPr>
          <w:lang w:val="en-US"/>
        </w:rPr>
        <w:t xml:space="preserve">. </w:t>
      </w:r>
      <w:r w:rsidR="008E70E6" w:rsidRPr="00F66DEE">
        <w:rPr>
          <w:lang w:val="en-US"/>
        </w:rPr>
        <w:t xml:space="preserve"> </w:t>
      </w:r>
      <w:r w:rsidR="006C79C9" w:rsidRPr="00F66DEE">
        <w:rPr>
          <w:lang w:val="en-US"/>
        </w:rPr>
        <w:t xml:space="preserve">The Direct </w:t>
      </w:r>
      <w:r w:rsidR="00F73966">
        <w:rPr>
          <w:lang w:val="en-US"/>
        </w:rPr>
        <w:t xml:space="preserve">PLUS </w:t>
      </w:r>
      <w:r w:rsidR="006C79C9" w:rsidRPr="00F66DEE">
        <w:rPr>
          <w:lang w:val="en-US"/>
        </w:rPr>
        <w:t>RT-LAMP assay targets the viral genomic RNA which is only present during active replication.</w:t>
      </w:r>
      <w:r w:rsidR="00DD639B" w:rsidRPr="00F66DEE">
        <w:rPr>
          <w:lang w:val="en-US"/>
        </w:rPr>
        <w:t xml:space="preserve"> Tests targeting</w:t>
      </w:r>
      <w:r w:rsidR="006A1A06">
        <w:rPr>
          <w:lang w:val="en-US"/>
        </w:rPr>
        <w:t xml:space="preserve"> regions of the</w:t>
      </w:r>
      <w:r w:rsidR="00DD639B" w:rsidRPr="00F66DEE">
        <w:rPr>
          <w:lang w:val="en-US"/>
        </w:rPr>
        <w:t xml:space="preserve"> viral genomic RNA</w:t>
      </w:r>
      <w:r w:rsidR="006A1A06">
        <w:rPr>
          <w:lang w:val="en-US"/>
        </w:rPr>
        <w:t xml:space="preserve"> which are not present </w:t>
      </w:r>
      <w:r w:rsidR="00E363D6">
        <w:rPr>
          <w:lang w:val="en-US"/>
        </w:rPr>
        <w:t xml:space="preserve">also </w:t>
      </w:r>
      <w:r w:rsidR="006A1A06">
        <w:rPr>
          <w:lang w:val="en-US"/>
        </w:rPr>
        <w:t xml:space="preserve">as </w:t>
      </w:r>
      <w:proofErr w:type="spellStart"/>
      <w:r w:rsidR="006A1A06">
        <w:rPr>
          <w:lang w:val="en-US"/>
        </w:rPr>
        <w:t>subgenomic</w:t>
      </w:r>
      <w:proofErr w:type="spellEnd"/>
      <w:r w:rsidR="006A1A06">
        <w:rPr>
          <w:lang w:val="en-US"/>
        </w:rPr>
        <w:t xml:space="preserve"> mRNAs (</w:t>
      </w:r>
      <w:r w:rsidR="00EA6FD8">
        <w:rPr>
          <w:lang w:val="en-US"/>
        </w:rPr>
        <w:t xml:space="preserve">e.g., </w:t>
      </w:r>
      <w:r w:rsidR="001562B9">
        <w:rPr>
          <w:lang w:val="en-US"/>
        </w:rPr>
        <w:t>ORF</w:t>
      </w:r>
      <w:r w:rsidR="002B10AF">
        <w:rPr>
          <w:lang w:val="en-US"/>
        </w:rPr>
        <w:t>1ab)</w:t>
      </w:r>
      <w:r w:rsidR="00DD639B" w:rsidRPr="00F66DEE">
        <w:rPr>
          <w:lang w:val="en-US"/>
        </w:rPr>
        <w:t xml:space="preserve"> are the most accurate approximates of actual number of viral genom</w:t>
      </w:r>
      <w:r w:rsidR="00632EB0">
        <w:rPr>
          <w:lang w:val="en-US"/>
        </w:rPr>
        <w:t>es</w:t>
      </w:r>
      <w:r w:rsidR="00DD639B" w:rsidRPr="00F66DEE">
        <w:rPr>
          <w:lang w:val="en-US"/>
        </w:rPr>
        <w:t xml:space="preserve"> present.  In contrast,</w:t>
      </w:r>
      <w:r w:rsidR="006C79C9" w:rsidRPr="00F66DEE">
        <w:rPr>
          <w:lang w:val="en-US"/>
        </w:rPr>
        <w:t xml:space="preserve"> </w:t>
      </w:r>
      <w:r w:rsidR="006E1F7C" w:rsidRPr="00F66DEE">
        <w:rPr>
          <w:lang w:val="en-US"/>
        </w:rPr>
        <w:t>N gene R</w:t>
      </w:r>
      <w:r w:rsidR="008E70E6" w:rsidRPr="00F66DEE">
        <w:rPr>
          <w:lang w:val="en-US"/>
        </w:rPr>
        <w:t>NAs are</w:t>
      </w:r>
      <w:r w:rsidR="00DD639B" w:rsidRPr="00F66DEE">
        <w:rPr>
          <w:lang w:val="en-US"/>
        </w:rPr>
        <w:t xml:space="preserve"> </w:t>
      </w:r>
      <w:r w:rsidR="006E1F7C" w:rsidRPr="00F66DEE">
        <w:rPr>
          <w:lang w:val="en-US"/>
        </w:rPr>
        <w:t xml:space="preserve">present </w:t>
      </w:r>
      <w:r w:rsidR="008E70E6" w:rsidRPr="00F66DEE">
        <w:rPr>
          <w:lang w:val="en-US"/>
        </w:rPr>
        <w:t>in abundan</w:t>
      </w:r>
      <w:r w:rsidR="00DD639B" w:rsidRPr="00F66DEE">
        <w:rPr>
          <w:lang w:val="en-US"/>
        </w:rPr>
        <w:t>ce as</w:t>
      </w:r>
      <w:r w:rsidR="008E70E6" w:rsidRPr="00F66DEE">
        <w:rPr>
          <w:lang w:val="en-US"/>
        </w:rPr>
        <w:t xml:space="preserve"> </w:t>
      </w:r>
      <w:proofErr w:type="spellStart"/>
      <w:r w:rsidR="008E70E6" w:rsidRPr="00F66DEE">
        <w:rPr>
          <w:lang w:val="en-US"/>
        </w:rPr>
        <w:t>subgenomic</w:t>
      </w:r>
      <w:proofErr w:type="spellEnd"/>
      <w:r w:rsidR="008E70E6" w:rsidRPr="00F66DEE">
        <w:rPr>
          <w:lang w:val="en-US"/>
        </w:rPr>
        <w:t xml:space="preserve"> mRNAs</w:t>
      </w:r>
      <w:r w:rsidR="002847D5">
        <w:rPr>
          <w:lang w:val="en-US"/>
        </w:rPr>
        <w:t xml:space="preserve"> and</w:t>
      </w:r>
      <w:r w:rsidR="008E70E6" w:rsidRPr="00F66DEE">
        <w:rPr>
          <w:lang w:val="en-US"/>
        </w:rPr>
        <w:t xml:space="preserve"> </w:t>
      </w:r>
      <w:r>
        <w:rPr>
          <w:lang w:val="en-US"/>
        </w:rPr>
        <w:t xml:space="preserve">because of increased copy number, </w:t>
      </w:r>
      <w:r w:rsidR="008E70E6" w:rsidRPr="00F66DEE">
        <w:rPr>
          <w:lang w:val="en-US"/>
        </w:rPr>
        <w:t>lead to overestimation</w:t>
      </w:r>
      <w:r w:rsidR="002847D5">
        <w:rPr>
          <w:lang w:val="en-US"/>
        </w:rPr>
        <w:t>s</w:t>
      </w:r>
      <w:r w:rsidR="008E70E6" w:rsidRPr="00F66DEE">
        <w:rPr>
          <w:lang w:val="en-US"/>
        </w:rPr>
        <w:t xml:space="preserve"> of the number of actual viral genomes by </w:t>
      </w:r>
      <w:r w:rsidR="008E70E6" w:rsidRPr="00F66DEE">
        <w:rPr>
          <w:rFonts w:ascii="Cambria Math" w:hAnsi="Cambria Math" w:cs="Cambria Math"/>
          <w:lang w:val="en-US"/>
        </w:rPr>
        <w:t>∼</w:t>
      </w:r>
      <w:r w:rsidR="008E70E6" w:rsidRPr="00F66DEE">
        <w:rPr>
          <w:lang w:val="en-US"/>
        </w:rPr>
        <w:t>100-1000</w:t>
      </w:r>
      <w:r w:rsidR="00625859">
        <w:rPr>
          <w:lang w:val="en-US"/>
        </w:rPr>
        <w:t xml:space="preserve"> times</w:t>
      </w:r>
      <w:r w:rsidR="003C5EE1">
        <w:rPr>
          <w:vertAlign w:val="superscript"/>
          <w:lang w:val="en-US"/>
        </w:rPr>
        <w:t>4</w:t>
      </w:r>
      <w:r w:rsidR="006E1F7C" w:rsidRPr="00F66DEE">
        <w:rPr>
          <w:lang w:val="en-US"/>
        </w:rPr>
        <w:t>.</w:t>
      </w:r>
      <w:r w:rsidR="009424D0">
        <w:rPr>
          <w:lang w:val="en-US"/>
        </w:rPr>
        <w:t xml:space="preserve"> In addition to thi</w:t>
      </w:r>
      <w:r w:rsidR="001562B9">
        <w:rPr>
          <w:lang w:val="en-US"/>
        </w:rPr>
        <w:t>s,</w:t>
      </w:r>
      <w:r w:rsidR="009424D0">
        <w:rPr>
          <w:lang w:val="en-US"/>
        </w:rPr>
        <w:t xml:space="preserve"> </w:t>
      </w:r>
      <w:r w:rsidR="006D0AE2">
        <w:rPr>
          <w:lang w:val="en-US"/>
        </w:rPr>
        <w:t xml:space="preserve">the </w:t>
      </w:r>
      <w:r w:rsidR="009424D0">
        <w:rPr>
          <w:lang w:val="en-US"/>
        </w:rPr>
        <w:t>N gene has been reported by many to persist well beyond ORF1ab</w:t>
      </w:r>
      <w:r w:rsidR="009424D0">
        <w:rPr>
          <w:rFonts w:cstheme="minorHAnsi"/>
          <w:vertAlign w:val="superscript"/>
        </w:rPr>
        <w:t>4, 5, 6, 7</w:t>
      </w:r>
      <w:r w:rsidR="002847D5">
        <w:rPr>
          <w:rFonts w:cstheme="minorHAnsi"/>
          <w:vertAlign w:val="superscript"/>
        </w:rPr>
        <w:t xml:space="preserve"> </w:t>
      </w:r>
      <w:r w:rsidR="002847D5">
        <w:rPr>
          <w:rFonts w:cstheme="minorHAnsi"/>
        </w:rPr>
        <w:t>and is therefore a poor indicator of active replication</w:t>
      </w:r>
      <w:r w:rsidR="00F73966">
        <w:rPr>
          <w:rFonts w:cstheme="minorHAnsi"/>
        </w:rPr>
        <w:t xml:space="preserve"> when present as the only target in the RT-qPCR</w:t>
      </w:r>
      <w:r w:rsidR="002847D5">
        <w:rPr>
          <w:rFonts w:cstheme="minorHAnsi"/>
        </w:rPr>
        <w:t>. T</w:t>
      </w:r>
      <w:r w:rsidR="009424D0">
        <w:rPr>
          <w:rFonts w:cstheme="minorHAnsi"/>
        </w:rPr>
        <w:t>he swab samples listed in table 1</w:t>
      </w:r>
      <w:r w:rsidR="002847D5">
        <w:rPr>
          <w:rFonts w:cstheme="minorHAnsi"/>
        </w:rPr>
        <w:t xml:space="preserve"> therefore</w:t>
      </w:r>
      <w:r w:rsidR="009424D0">
        <w:rPr>
          <w:rFonts w:cstheme="minorHAnsi"/>
        </w:rPr>
        <w:t xml:space="preserve">, could </w:t>
      </w:r>
      <w:r w:rsidR="002847D5">
        <w:rPr>
          <w:rFonts w:cstheme="minorHAnsi"/>
        </w:rPr>
        <w:t>include samples which were</w:t>
      </w:r>
      <w:r w:rsidR="009424D0">
        <w:rPr>
          <w:rFonts w:cstheme="minorHAnsi"/>
        </w:rPr>
        <w:t xml:space="preserve"> N gene positive and </w:t>
      </w:r>
      <w:r w:rsidR="001562B9">
        <w:rPr>
          <w:rFonts w:cstheme="minorHAnsi"/>
        </w:rPr>
        <w:t>ORF1ab</w:t>
      </w:r>
      <w:r w:rsidR="009424D0">
        <w:rPr>
          <w:rFonts w:cstheme="minorHAnsi"/>
        </w:rPr>
        <w:t xml:space="preserve"> negative</w:t>
      </w:r>
      <w:r w:rsidR="009424D0">
        <w:rPr>
          <w:lang w:val="en-US"/>
        </w:rPr>
        <w:t>.</w:t>
      </w:r>
      <w:r w:rsidR="006E1F7C" w:rsidRPr="00F66DEE">
        <w:rPr>
          <w:lang w:val="en-US"/>
        </w:rPr>
        <w:t xml:space="preserve"> </w:t>
      </w:r>
      <w:r w:rsidR="00EA6FD8">
        <w:rPr>
          <w:lang w:val="en-US"/>
        </w:rPr>
        <w:t>If the same genomic region is not used</w:t>
      </w:r>
      <w:r w:rsidR="001562B9">
        <w:rPr>
          <w:lang w:val="en-US"/>
        </w:rPr>
        <w:t xml:space="preserve"> when comparing different chemistries, the </w:t>
      </w:r>
      <w:proofErr w:type="spellStart"/>
      <w:r w:rsidR="001562B9">
        <w:rPr>
          <w:lang w:val="en-US"/>
        </w:rPr>
        <w:t>DSe</w:t>
      </w:r>
      <w:proofErr w:type="spellEnd"/>
      <w:r w:rsidR="001562B9">
        <w:rPr>
          <w:lang w:val="en-US"/>
        </w:rPr>
        <w:t xml:space="preserve"> and </w:t>
      </w:r>
      <w:proofErr w:type="spellStart"/>
      <w:r w:rsidR="001562B9">
        <w:rPr>
          <w:lang w:val="en-US"/>
        </w:rPr>
        <w:t>DSp</w:t>
      </w:r>
      <w:proofErr w:type="spellEnd"/>
      <w:r w:rsidR="001562B9">
        <w:rPr>
          <w:lang w:val="en-US"/>
        </w:rPr>
        <w:t xml:space="preserve"> can be significantly miscalculated. </w:t>
      </w:r>
      <w:r w:rsidR="001D58A2" w:rsidRPr="00F66DEE">
        <w:rPr>
          <w:rFonts w:cstheme="minorHAnsi"/>
        </w:rPr>
        <w:t xml:space="preserve">Wilson-Davies </w:t>
      </w:r>
      <w:r w:rsidR="001D58A2" w:rsidRPr="00F66DEE">
        <w:rPr>
          <w:rFonts w:cstheme="minorHAnsi"/>
          <w:i/>
          <w:iCs/>
        </w:rPr>
        <w:t>et al.</w:t>
      </w:r>
      <w:r w:rsidR="001D58A2">
        <w:rPr>
          <w:rFonts w:cstheme="minorHAnsi"/>
          <w:i/>
          <w:iCs/>
        </w:rPr>
        <w:t xml:space="preserve"> </w:t>
      </w:r>
      <w:r w:rsidR="001D58A2">
        <w:rPr>
          <w:rFonts w:cstheme="minorHAnsi"/>
        </w:rPr>
        <w:t xml:space="preserve">have </w:t>
      </w:r>
      <w:r w:rsidR="00EA6FD8">
        <w:rPr>
          <w:rFonts w:cstheme="minorHAnsi"/>
        </w:rPr>
        <w:t xml:space="preserve">previously </w:t>
      </w:r>
      <w:r w:rsidR="001D58A2">
        <w:rPr>
          <w:rFonts w:cstheme="minorHAnsi"/>
        </w:rPr>
        <w:t xml:space="preserve">used RT-qPCR assays including ORF1ab for outbreak management in NHS staff and therefore could have easily made </w:t>
      </w:r>
      <w:r w:rsidR="006A1A06">
        <w:rPr>
          <w:rFonts w:cstheme="minorHAnsi"/>
        </w:rPr>
        <w:t>more appropriate</w:t>
      </w:r>
      <w:r w:rsidR="001D58A2">
        <w:rPr>
          <w:rFonts w:cstheme="minorHAnsi"/>
        </w:rPr>
        <w:t xml:space="preserve"> </w:t>
      </w:r>
      <w:r w:rsidR="00A91ED8">
        <w:rPr>
          <w:rFonts w:cstheme="minorHAnsi"/>
        </w:rPr>
        <w:t>calculations and comparisons</w:t>
      </w:r>
      <w:r w:rsidR="006A1A06">
        <w:rPr>
          <w:rFonts w:cstheme="minorHAnsi"/>
        </w:rPr>
        <w:t xml:space="preserve"> based on the use case of this test which is to identify </w:t>
      </w:r>
      <w:r w:rsidR="00C948F2">
        <w:rPr>
          <w:rFonts w:cstheme="minorHAnsi"/>
        </w:rPr>
        <w:t>individuals</w:t>
      </w:r>
      <w:r w:rsidR="006A1A06">
        <w:rPr>
          <w:rFonts w:cstheme="minorHAnsi"/>
        </w:rPr>
        <w:t xml:space="preserve"> who </w:t>
      </w:r>
      <w:r w:rsidR="00C948F2">
        <w:rPr>
          <w:rFonts w:cstheme="minorHAnsi"/>
        </w:rPr>
        <w:t>are likely to be infectious</w:t>
      </w:r>
      <w:r w:rsidR="00A91ED8">
        <w:rPr>
          <w:rFonts w:cstheme="minorHAnsi"/>
          <w:vertAlign w:val="superscript"/>
        </w:rPr>
        <w:t>8</w:t>
      </w:r>
      <w:r w:rsidR="00A91ED8">
        <w:rPr>
          <w:rFonts w:cstheme="minorHAnsi"/>
        </w:rPr>
        <w:t xml:space="preserve">. </w:t>
      </w:r>
      <w:r w:rsidR="00EA6FD8">
        <w:rPr>
          <w:lang w:val="en-US"/>
        </w:rPr>
        <w:t xml:space="preserve"> </w:t>
      </w:r>
      <w:r w:rsidR="009424D0">
        <w:rPr>
          <w:lang w:val="en-US"/>
        </w:rPr>
        <w:t>Nevertheless, i</w:t>
      </w:r>
      <w:r w:rsidR="006E1F7C" w:rsidRPr="00F66DEE">
        <w:rPr>
          <w:lang w:val="en-US"/>
        </w:rPr>
        <w:t xml:space="preserve">f the data </w:t>
      </w:r>
      <w:r w:rsidR="0097067D" w:rsidRPr="00F66DEE">
        <w:rPr>
          <w:lang w:val="en-US"/>
        </w:rPr>
        <w:t xml:space="preserve">by </w:t>
      </w:r>
      <w:r w:rsidR="0097067D" w:rsidRPr="00F66DEE">
        <w:rPr>
          <w:rFonts w:cstheme="minorHAnsi"/>
        </w:rPr>
        <w:t xml:space="preserve">Wilson-Davies </w:t>
      </w:r>
      <w:r w:rsidR="0097067D" w:rsidRPr="00F66DEE">
        <w:rPr>
          <w:rFonts w:cstheme="minorHAnsi"/>
          <w:i/>
          <w:iCs/>
        </w:rPr>
        <w:t xml:space="preserve">et al. </w:t>
      </w:r>
      <w:r w:rsidR="0097067D" w:rsidRPr="00F66DEE">
        <w:rPr>
          <w:rFonts w:cstheme="minorHAnsi"/>
        </w:rPr>
        <w:t>is adjusted in line with the</w:t>
      </w:r>
      <w:r w:rsidR="00715EDA">
        <w:rPr>
          <w:rFonts w:cstheme="minorHAnsi"/>
        </w:rPr>
        <w:t xml:space="preserve"> likely</w:t>
      </w:r>
      <w:r w:rsidR="0097067D" w:rsidRPr="00F66DEE">
        <w:rPr>
          <w:rFonts w:cstheme="minorHAnsi"/>
        </w:rPr>
        <w:t xml:space="preserve"> overestimation </w:t>
      </w:r>
      <w:r w:rsidR="00DD639B" w:rsidRPr="00F66DEE">
        <w:rPr>
          <w:rFonts w:cstheme="minorHAnsi"/>
        </w:rPr>
        <w:t xml:space="preserve">of genome copies </w:t>
      </w:r>
      <w:r w:rsidR="00715EDA">
        <w:rPr>
          <w:rFonts w:cstheme="minorHAnsi"/>
        </w:rPr>
        <w:t>c</w:t>
      </w:r>
      <w:r w:rsidR="00F66DEE">
        <w:rPr>
          <w:rFonts w:cstheme="minorHAnsi"/>
        </w:rPr>
        <w:t>alculated</w:t>
      </w:r>
      <w:r w:rsidR="00DD639B" w:rsidRPr="00F66DEE">
        <w:rPr>
          <w:rFonts w:cstheme="minorHAnsi"/>
        </w:rPr>
        <w:t xml:space="preserve"> from</w:t>
      </w:r>
      <w:r w:rsidR="0097067D" w:rsidRPr="00F66DEE">
        <w:rPr>
          <w:rFonts w:cstheme="minorHAnsi"/>
        </w:rPr>
        <w:t xml:space="preserve"> using</w:t>
      </w:r>
      <w:r w:rsidR="00F66DEE">
        <w:rPr>
          <w:rFonts w:cstheme="minorHAnsi"/>
        </w:rPr>
        <w:t xml:space="preserve"> </w:t>
      </w:r>
      <w:r w:rsidR="0097067D" w:rsidRPr="00F66DEE">
        <w:rPr>
          <w:rFonts w:cstheme="minorHAnsi"/>
        </w:rPr>
        <w:t>N gene</w:t>
      </w:r>
      <w:r w:rsidR="00EA6FD8">
        <w:rPr>
          <w:rFonts w:cstheme="minorHAnsi"/>
          <w:vertAlign w:val="superscript"/>
        </w:rPr>
        <w:t xml:space="preserve">4 </w:t>
      </w:r>
      <w:r w:rsidR="00EA6FD8">
        <w:rPr>
          <w:rFonts w:cstheme="minorHAnsi"/>
        </w:rPr>
        <w:t>(Table 1)</w:t>
      </w:r>
      <w:r w:rsidR="0097067D" w:rsidRPr="00F66DEE">
        <w:rPr>
          <w:rFonts w:cstheme="minorHAnsi"/>
        </w:rPr>
        <w:t xml:space="preserve">, the analytical sensitivity is </w:t>
      </w:r>
      <w:r w:rsidR="001562B9">
        <w:rPr>
          <w:rFonts w:cstheme="minorHAnsi"/>
        </w:rPr>
        <w:t>representative of</w:t>
      </w:r>
      <w:r w:rsidR="0097067D" w:rsidRPr="00F66DEE">
        <w:rPr>
          <w:rFonts w:cstheme="minorHAnsi"/>
        </w:rPr>
        <w:t xml:space="preserve"> </w:t>
      </w:r>
      <w:r w:rsidR="00DD639B" w:rsidRPr="00F66DEE">
        <w:rPr>
          <w:rFonts w:cstheme="minorHAnsi"/>
        </w:rPr>
        <w:t>the Direct</w:t>
      </w:r>
      <w:r w:rsidR="00F73966">
        <w:rPr>
          <w:rFonts w:cstheme="minorHAnsi"/>
        </w:rPr>
        <w:t xml:space="preserve"> PLUS</w:t>
      </w:r>
      <w:r w:rsidR="00DD639B" w:rsidRPr="00F66DEE">
        <w:rPr>
          <w:rFonts w:cstheme="minorHAnsi"/>
        </w:rPr>
        <w:t xml:space="preserve"> RT-LAMP assay</w:t>
      </w:r>
      <w:r w:rsidR="00985515">
        <w:rPr>
          <w:rFonts w:cstheme="minorHAnsi"/>
        </w:rPr>
        <w:t xml:space="preserve"> </w:t>
      </w:r>
      <w:r w:rsidR="00DD639B" w:rsidRPr="00EA6FD8">
        <w:rPr>
          <w:rFonts w:cstheme="minorHAnsi"/>
        </w:rPr>
        <w:t>reported performance (</w:t>
      </w:r>
      <w:r w:rsidR="00F73966" w:rsidRPr="00EA6FD8">
        <w:rPr>
          <w:rFonts w:cstheme="minorHAnsi"/>
        </w:rPr>
        <w:t>&lt;</w:t>
      </w:r>
      <w:r w:rsidR="00DD639B" w:rsidRPr="00EA6FD8">
        <w:rPr>
          <w:rFonts w:cstheme="minorHAnsi"/>
        </w:rPr>
        <w:t xml:space="preserve"> 10</w:t>
      </w:r>
      <w:r w:rsidR="00DD639B" w:rsidRPr="00EA6FD8">
        <w:rPr>
          <w:rFonts w:cstheme="minorHAnsi"/>
          <w:vertAlign w:val="superscript"/>
        </w:rPr>
        <w:t>3</w:t>
      </w:r>
      <w:r w:rsidR="00EA6FD8" w:rsidRPr="00EA6FD8">
        <w:rPr>
          <w:rFonts w:cstheme="minorHAnsi"/>
        </w:rPr>
        <w:t>)</w:t>
      </w:r>
      <w:r w:rsidR="00F66DEE" w:rsidRPr="00EA6FD8">
        <w:rPr>
          <w:rFonts w:cstheme="minorHAnsi"/>
          <w:vertAlign w:val="superscript"/>
        </w:rPr>
        <w:t>1,</w:t>
      </w:r>
      <w:r w:rsidR="00E016E3" w:rsidRPr="00EA6FD8">
        <w:rPr>
          <w:rFonts w:cstheme="minorHAnsi"/>
          <w:vertAlign w:val="superscript"/>
        </w:rPr>
        <w:t xml:space="preserve"> </w:t>
      </w:r>
      <w:r w:rsidR="00EA6FD8" w:rsidRPr="00EA6FD8">
        <w:rPr>
          <w:rFonts w:cstheme="minorHAnsi"/>
          <w:vertAlign w:val="superscript"/>
        </w:rPr>
        <w:t>2</w:t>
      </w:r>
      <w:r w:rsidR="00DD639B" w:rsidRPr="00EA6FD8">
        <w:rPr>
          <w:rFonts w:cstheme="minorHAnsi"/>
        </w:rPr>
        <w:t>.</w:t>
      </w:r>
      <w:r w:rsidR="00DD639B" w:rsidRPr="00F66DEE">
        <w:rPr>
          <w:rFonts w:cstheme="minorHAnsi"/>
        </w:rPr>
        <w:t xml:space="preserve"> </w:t>
      </w:r>
      <w:r w:rsidR="00C26282">
        <w:rPr>
          <w:rFonts w:cstheme="minorHAnsi"/>
        </w:rPr>
        <w:t xml:space="preserve"> </w:t>
      </w:r>
    </w:p>
    <w:p w14:paraId="6C19DF0B" w14:textId="77777777" w:rsidR="007D4EEE" w:rsidRPr="00EA6FD8" w:rsidRDefault="007D4EEE" w:rsidP="008B4A84">
      <w:pPr>
        <w:jc w:val="both"/>
        <w:rPr>
          <w:lang w:val="en-US"/>
        </w:rPr>
      </w:pPr>
    </w:p>
    <w:tbl>
      <w:tblPr>
        <w:tblStyle w:val="TableGrid"/>
        <w:tblW w:w="9416" w:type="dxa"/>
        <w:jc w:val="center"/>
        <w:tblBorders>
          <w:bottom w:val="thinThickSmallGap" w:sz="12" w:space="0" w:color="auto"/>
        </w:tblBorders>
        <w:tblLook w:val="04A0" w:firstRow="1" w:lastRow="0" w:firstColumn="1" w:lastColumn="0" w:noHBand="0" w:noVBand="1"/>
      </w:tblPr>
      <w:tblGrid>
        <w:gridCol w:w="2654"/>
        <w:gridCol w:w="936"/>
        <w:gridCol w:w="14"/>
        <w:gridCol w:w="1765"/>
        <w:gridCol w:w="14"/>
        <w:gridCol w:w="1664"/>
        <w:gridCol w:w="14"/>
        <w:gridCol w:w="2341"/>
        <w:gridCol w:w="14"/>
      </w:tblGrid>
      <w:tr w:rsidR="006C79C9" w14:paraId="416CD5BA" w14:textId="143A8F8C" w:rsidTr="00451634">
        <w:trPr>
          <w:jc w:val="center"/>
        </w:trPr>
        <w:tc>
          <w:tcPr>
            <w:tcW w:w="3604" w:type="dxa"/>
            <w:gridSpan w:val="3"/>
          </w:tcPr>
          <w:p w14:paraId="3E5C767A" w14:textId="678089D8" w:rsidR="006C79C9" w:rsidRDefault="006C79C9" w:rsidP="006C79C9">
            <w:pPr>
              <w:rPr>
                <w:lang w:val="en-US"/>
              </w:rPr>
            </w:pPr>
            <w:r>
              <w:rPr>
                <w:lang w:val="en-US"/>
              </w:rPr>
              <w:t>SARS-CoV-2 Viral load estimated using CDC N1/N2</w:t>
            </w:r>
            <w:r w:rsidR="00EA6FD8">
              <w:rPr>
                <w:lang w:val="en-US"/>
              </w:rPr>
              <w:t xml:space="preserve"> </w:t>
            </w:r>
            <w:r>
              <w:rPr>
                <w:lang w:val="en-US"/>
              </w:rPr>
              <w:t>PCR</w:t>
            </w:r>
          </w:p>
        </w:tc>
        <w:tc>
          <w:tcPr>
            <w:tcW w:w="1779" w:type="dxa"/>
            <w:gridSpan w:val="2"/>
          </w:tcPr>
          <w:p w14:paraId="59FF413A" w14:textId="7CA1D28D" w:rsidR="006C79C9" w:rsidRDefault="006C79C9" w:rsidP="006C79C9">
            <w:pPr>
              <w:rPr>
                <w:lang w:val="en-US"/>
              </w:rPr>
            </w:pPr>
            <w:r>
              <w:rPr>
                <w:lang w:val="en-US"/>
              </w:rPr>
              <w:t>Number of positive samples</w:t>
            </w:r>
          </w:p>
        </w:tc>
        <w:tc>
          <w:tcPr>
            <w:tcW w:w="1678" w:type="dxa"/>
            <w:gridSpan w:val="2"/>
          </w:tcPr>
          <w:p w14:paraId="50604659" w14:textId="77777777" w:rsidR="006C79C9" w:rsidRDefault="006C79C9" w:rsidP="006C79C9">
            <w:pPr>
              <w:rPr>
                <w:lang w:val="en-US"/>
              </w:rPr>
            </w:pPr>
            <w:r>
              <w:rPr>
                <w:lang w:val="en-US"/>
              </w:rPr>
              <w:t>Adjusted dc/mL</w:t>
            </w:r>
          </w:p>
          <w:p w14:paraId="3076321A" w14:textId="6F29E5A5" w:rsidR="006C79C9" w:rsidRDefault="006C79C9" w:rsidP="006C79C9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1562B9">
              <w:rPr>
                <w:lang w:val="en-US"/>
              </w:rPr>
              <w:t>X overestimation</w:t>
            </w:r>
          </w:p>
        </w:tc>
        <w:tc>
          <w:tcPr>
            <w:tcW w:w="2355" w:type="dxa"/>
            <w:gridSpan w:val="2"/>
          </w:tcPr>
          <w:p w14:paraId="4718084A" w14:textId="77777777" w:rsidR="006C79C9" w:rsidRDefault="006C79C9" w:rsidP="006C79C9">
            <w:pPr>
              <w:rPr>
                <w:lang w:val="en-US"/>
              </w:rPr>
            </w:pPr>
            <w:r>
              <w:rPr>
                <w:lang w:val="en-US"/>
              </w:rPr>
              <w:t>Adjusted dc/mL</w:t>
            </w:r>
          </w:p>
          <w:p w14:paraId="20CC0E0A" w14:textId="77777777" w:rsidR="006C79C9" w:rsidRDefault="006C79C9" w:rsidP="006C79C9">
            <w:pPr>
              <w:ind w:right="700"/>
              <w:rPr>
                <w:lang w:val="en-US"/>
              </w:rPr>
            </w:pPr>
            <w:r>
              <w:rPr>
                <w:lang w:val="en-US"/>
              </w:rPr>
              <w:t>1000X</w:t>
            </w:r>
          </w:p>
          <w:p w14:paraId="25A1BB1D" w14:textId="2118A1D2" w:rsidR="001562B9" w:rsidRDefault="001562B9" w:rsidP="006C79C9">
            <w:pPr>
              <w:ind w:right="700"/>
              <w:rPr>
                <w:lang w:val="en-US"/>
              </w:rPr>
            </w:pPr>
            <w:r>
              <w:rPr>
                <w:lang w:val="en-US"/>
              </w:rPr>
              <w:t>overestimation</w:t>
            </w:r>
          </w:p>
        </w:tc>
      </w:tr>
      <w:tr w:rsidR="006C79C9" w14:paraId="6FC6380F" w14:textId="4894056D" w:rsidTr="00451634">
        <w:trPr>
          <w:gridAfter w:val="1"/>
          <w:wAfter w:w="14" w:type="dxa"/>
          <w:jc w:val="center"/>
        </w:trPr>
        <w:tc>
          <w:tcPr>
            <w:tcW w:w="2654" w:type="dxa"/>
          </w:tcPr>
          <w:p w14:paraId="075028F3" w14:textId="1A1B6DAE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 000 - &lt;10,000</w:t>
            </w:r>
          </w:p>
        </w:tc>
        <w:tc>
          <w:tcPr>
            <w:tcW w:w="936" w:type="dxa"/>
          </w:tcPr>
          <w:p w14:paraId="293FA6BB" w14:textId="49F0EDD2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5E5F45"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-10</w:t>
            </w:r>
            <w:r w:rsidRPr="005E5F45">
              <w:rPr>
                <w:vertAlign w:val="superscript"/>
                <w:lang w:val="en-US"/>
              </w:rPr>
              <w:t>4</w:t>
            </w:r>
          </w:p>
        </w:tc>
        <w:tc>
          <w:tcPr>
            <w:tcW w:w="1779" w:type="dxa"/>
            <w:gridSpan w:val="2"/>
          </w:tcPr>
          <w:p w14:paraId="3FBF8EFD" w14:textId="03FF2306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0/18</w:t>
            </w:r>
          </w:p>
        </w:tc>
        <w:tc>
          <w:tcPr>
            <w:tcW w:w="1678" w:type="dxa"/>
            <w:gridSpan w:val="2"/>
          </w:tcPr>
          <w:p w14:paraId="32DD5302" w14:textId="6AA195A5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97067D">
              <w:rPr>
                <w:vertAlign w:val="superscript"/>
                <w:lang w:val="en-US"/>
              </w:rPr>
              <w:t>1</w:t>
            </w:r>
            <w:r>
              <w:rPr>
                <w:lang w:val="en-US"/>
              </w:rPr>
              <w:t>-10</w:t>
            </w:r>
            <w:r w:rsidRPr="0097067D">
              <w:rPr>
                <w:vertAlign w:val="superscript"/>
                <w:lang w:val="en-US"/>
              </w:rPr>
              <w:t>2</w:t>
            </w:r>
          </w:p>
        </w:tc>
        <w:tc>
          <w:tcPr>
            <w:tcW w:w="2355" w:type="dxa"/>
            <w:gridSpan w:val="2"/>
          </w:tcPr>
          <w:p w14:paraId="71A101C8" w14:textId="0E24FD44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97067D"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1</w:t>
            </w:r>
          </w:p>
        </w:tc>
      </w:tr>
      <w:tr w:rsidR="006C79C9" w14:paraId="17EBB652" w14:textId="48CE5808" w:rsidTr="00451634">
        <w:trPr>
          <w:gridAfter w:val="1"/>
          <w:wAfter w:w="14" w:type="dxa"/>
          <w:jc w:val="center"/>
        </w:trPr>
        <w:tc>
          <w:tcPr>
            <w:tcW w:w="2654" w:type="dxa"/>
          </w:tcPr>
          <w:p w14:paraId="22618A77" w14:textId="3309E14F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 100 - &lt;100,000</w:t>
            </w:r>
          </w:p>
        </w:tc>
        <w:tc>
          <w:tcPr>
            <w:tcW w:w="936" w:type="dxa"/>
          </w:tcPr>
          <w:p w14:paraId="1309CA2E" w14:textId="3EAC0C76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5</w:t>
            </w:r>
          </w:p>
        </w:tc>
        <w:tc>
          <w:tcPr>
            <w:tcW w:w="1779" w:type="dxa"/>
            <w:gridSpan w:val="2"/>
          </w:tcPr>
          <w:p w14:paraId="3D03F011" w14:textId="16D59261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0/20</w:t>
            </w:r>
          </w:p>
        </w:tc>
        <w:tc>
          <w:tcPr>
            <w:tcW w:w="1678" w:type="dxa"/>
            <w:gridSpan w:val="2"/>
          </w:tcPr>
          <w:p w14:paraId="5B1D8E5F" w14:textId="1FAB645B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2355" w:type="dxa"/>
            <w:gridSpan w:val="2"/>
          </w:tcPr>
          <w:p w14:paraId="2F1406D8" w14:textId="6B4DC346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1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2</w:t>
            </w:r>
          </w:p>
        </w:tc>
      </w:tr>
      <w:tr w:rsidR="006C79C9" w14:paraId="3269D194" w14:textId="2E576170" w:rsidTr="00451634">
        <w:trPr>
          <w:gridAfter w:val="1"/>
          <w:wAfter w:w="14" w:type="dxa"/>
          <w:jc w:val="center"/>
        </w:trPr>
        <w:tc>
          <w:tcPr>
            <w:tcW w:w="2654" w:type="dxa"/>
          </w:tcPr>
          <w:p w14:paraId="48BE192B" w14:textId="6A32D22E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100,000 - &lt;1, 000,000</w:t>
            </w:r>
          </w:p>
        </w:tc>
        <w:tc>
          <w:tcPr>
            <w:tcW w:w="936" w:type="dxa"/>
          </w:tcPr>
          <w:p w14:paraId="3FD854FF" w14:textId="7FC986E0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5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6</w:t>
            </w:r>
          </w:p>
        </w:tc>
        <w:tc>
          <w:tcPr>
            <w:tcW w:w="1779" w:type="dxa"/>
            <w:gridSpan w:val="2"/>
          </w:tcPr>
          <w:p w14:paraId="13E41E41" w14:textId="74D2FBF2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6/17</w:t>
            </w:r>
          </w:p>
        </w:tc>
        <w:tc>
          <w:tcPr>
            <w:tcW w:w="1678" w:type="dxa"/>
            <w:gridSpan w:val="2"/>
          </w:tcPr>
          <w:p w14:paraId="31695EE2" w14:textId="123A4C6A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-10</w:t>
            </w:r>
            <w:r w:rsidRPr="0097067D">
              <w:rPr>
                <w:vertAlign w:val="superscript"/>
                <w:lang w:val="en-US"/>
              </w:rPr>
              <w:t>4</w:t>
            </w:r>
          </w:p>
        </w:tc>
        <w:tc>
          <w:tcPr>
            <w:tcW w:w="2355" w:type="dxa"/>
            <w:gridSpan w:val="2"/>
          </w:tcPr>
          <w:p w14:paraId="6941DEC6" w14:textId="121AAD0C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97067D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3</w:t>
            </w:r>
          </w:p>
        </w:tc>
      </w:tr>
      <w:tr w:rsidR="006C79C9" w14:paraId="2252AB4C" w14:textId="1F0C5103" w:rsidTr="00451634">
        <w:trPr>
          <w:gridAfter w:val="1"/>
          <w:wAfter w:w="14" w:type="dxa"/>
          <w:jc w:val="center"/>
        </w:trPr>
        <w:tc>
          <w:tcPr>
            <w:tcW w:w="2654" w:type="dxa"/>
          </w:tcPr>
          <w:p w14:paraId="2099ED90" w14:textId="212121DD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&lt;1, 000,000 - &lt;10,000,000</w:t>
            </w:r>
          </w:p>
        </w:tc>
        <w:tc>
          <w:tcPr>
            <w:tcW w:w="936" w:type="dxa"/>
          </w:tcPr>
          <w:p w14:paraId="4C3B7C23" w14:textId="4BBB4F98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6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7</w:t>
            </w:r>
          </w:p>
        </w:tc>
        <w:tc>
          <w:tcPr>
            <w:tcW w:w="1779" w:type="dxa"/>
            <w:gridSpan w:val="2"/>
          </w:tcPr>
          <w:p w14:paraId="6A03A791" w14:textId="2EE6B23A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18/25</w:t>
            </w:r>
          </w:p>
        </w:tc>
        <w:tc>
          <w:tcPr>
            <w:tcW w:w="1678" w:type="dxa"/>
            <w:gridSpan w:val="2"/>
          </w:tcPr>
          <w:p w14:paraId="2940498F" w14:textId="45DB1383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97067D"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5</w:t>
            </w:r>
          </w:p>
        </w:tc>
        <w:tc>
          <w:tcPr>
            <w:tcW w:w="2355" w:type="dxa"/>
            <w:gridSpan w:val="2"/>
          </w:tcPr>
          <w:p w14:paraId="368C95F7" w14:textId="2E672340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4</w:t>
            </w:r>
          </w:p>
        </w:tc>
      </w:tr>
      <w:tr w:rsidR="006C79C9" w14:paraId="4003A2EE" w14:textId="4A61EF35" w:rsidTr="00451634">
        <w:trPr>
          <w:gridAfter w:val="1"/>
          <w:wAfter w:w="14" w:type="dxa"/>
          <w:jc w:val="center"/>
        </w:trPr>
        <w:tc>
          <w:tcPr>
            <w:tcW w:w="2654" w:type="dxa"/>
          </w:tcPr>
          <w:p w14:paraId="58824CDD" w14:textId="243D56F0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&gt;10,000,000</w:t>
            </w:r>
          </w:p>
        </w:tc>
        <w:tc>
          <w:tcPr>
            <w:tcW w:w="936" w:type="dxa"/>
          </w:tcPr>
          <w:p w14:paraId="19CB945A" w14:textId="3AE88F61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7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8</w:t>
            </w:r>
          </w:p>
        </w:tc>
        <w:tc>
          <w:tcPr>
            <w:tcW w:w="1779" w:type="dxa"/>
            <w:gridSpan w:val="2"/>
          </w:tcPr>
          <w:p w14:paraId="51BAB7AC" w14:textId="1DC27E53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5/6</w:t>
            </w:r>
          </w:p>
        </w:tc>
        <w:tc>
          <w:tcPr>
            <w:tcW w:w="1678" w:type="dxa"/>
            <w:gridSpan w:val="2"/>
          </w:tcPr>
          <w:p w14:paraId="032510D6" w14:textId="49EFE5A2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5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6</w:t>
            </w:r>
          </w:p>
        </w:tc>
        <w:tc>
          <w:tcPr>
            <w:tcW w:w="2355" w:type="dxa"/>
            <w:gridSpan w:val="2"/>
          </w:tcPr>
          <w:p w14:paraId="2A22B339" w14:textId="6854FFC3" w:rsidR="006C79C9" w:rsidRDefault="006C79C9" w:rsidP="00156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>-10</w:t>
            </w:r>
            <w:r>
              <w:rPr>
                <w:vertAlign w:val="superscript"/>
                <w:lang w:val="en-US"/>
              </w:rPr>
              <w:t>5</w:t>
            </w:r>
          </w:p>
        </w:tc>
      </w:tr>
    </w:tbl>
    <w:p w14:paraId="1A0A2159" w14:textId="378E9079" w:rsidR="009C6FDD" w:rsidRDefault="006C79C9" w:rsidP="00083506">
      <w:pPr>
        <w:jc w:val="center"/>
        <w:rPr>
          <w:rFonts w:cstheme="minorHAnsi"/>
        </w:rPr>
      </w:pPr>
      <w:bookmarkStart w:id="5" w:name="_Hlk59698192"/>
      <w:r w:rsidRPr="00DD639B">
        <w:rPr>
          <w:b/>
          <w:bCs/>
          <w:lang w:val="en-US"/>
        </w:rPr>
        <w:t>Table</w:t>
      </w:r>
      <w:r w:rsidR="00B4244C">
        <w:rPr>
          <w:b/>
          <w:bCs/>
          <w:lang w:val="en-US"/>
        </w:rPr>
        <w:t xml:space="preserve"> </w:t>
      </w:r>
      <w:r w:rsidRPr="00DD639B">
        <w:rPr>
          <w:b/>
          <w:bCs/>
          <w:lang w:val="en-US"/>
        </w:rPr>
        <w:t>1</w:t>
      </w:r>
      <w:r w:rsidR="00DD639B" w:rsidRPr="00DD639B"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bookmarkEnd w:id="5"/>
      <w:r w:rsidR="00DD639B">
        <w:rPr>
          <w:lang w:val="en-US"/>
        </w:rPr>
        <w:t>Analytical</w:t>
      </w:r>
      <w:r w:rsidR="00083506">
        <w:rPr>
          <w:lang w:val="en-US"/>
        </w:rPr>
        <w:t>/Diagnostic</w:t>
      </w:r>
      <w:r w:rsidR="00DD639B">
        <w:rPr>
          <w:lang w:val="en-US"/>
        </w:rPr>
        <w:t xml:space="preserve"> sensitivity reported by </w:t>
      </w:r>
      <w:r w:rsidRPr="006E1F7C">
        <w:rPr>
          <w:rFonts w:cstheme="minorHAnsi"/>
        </w:rPr>
        <w:t xml:space="preserve">Wilson-Davies </w:t>
      </w:r>
      <w:r w:rsidRPr="006E1F7C">
        <w:rPr>
          <w:rFonts w:cstheme="minorHAnsi"/>
          <w:i/>
          <w:iCs/>
        </w:rPr>
        <w:t>et al.,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with </w:t>
      </w:r>
      <w:r w:rsidR="00DD639B">
        <w:rPr>
          <w:rFonts w:cstheme="minorHAnsi"/>
        </w:rPr>
        <w:t xml:space="preserve">the </w:t>
      </w:r>
      <w:r>
        <w:rPr>
          <w:rFonts w:cstheme="minorHAnsi"/>
        </w:rPr>
        <w:t>dc/ml adjusted for overestimation of actual viral genome copies.</w:t>
      </w:r>
    </w:p>
    <w:p w14:paraId="734945F3" w14:textId="77777777" w:rsidR="007D4EEE" w:rsidRDefault="007D4EEE" w:rsidP="00083506">
      <w:pPr>
        <w:jc w:val="center"/>
        <w:rPr>
          <w:rFonts w:cstheme="minorHAnsi"/>
        </w:rPr>
      </w:pPr>
    </w:p>
    <w:p w14:paraId="14CA5F9E" w14:textId="36944457" w:rsidR="00083506" w:rsidRDefault="00F66DEE" w:rsidP="00083506">
      <w:pPr>
        <w:jc w:val="both"/>
        <w:rPr>
          <w:lang w:val="en-US"/>
        </w:rPr>
      </w:pPr>
      <w:r>
        <w:rPr>
          <w:lang w:val="en-US"/>
        </w:rPr>
        <w:t xml:space="preserve">We have further </w:t>
      </w:r>
      <w:r w:rsidR="00BB73DB">
        <w:rPr>
          <w:lang w:val="en-US"/>
        </w:rPr>
        <w:t xml:space="preserve">independently </w:t>
      </w:r>
      <w:r>
        <w:rPr>
          <w:lang w:val="en-US"/>
        </w:rPr>
        <w:t xml:space="preserve">explored the analytical sensitivity of the Direct </w:t>
      </w:r>
      <w:r w:rsidR="00185EC4">
        <w:rPr>
          <w:lang w:val="en-US"/>
        </w:rPr>
        <w:t xml:space="preserve">PLUS </w:t>
      </w:r>
      <w:r>
        <w:rPr>
          <w:lang w:val="en-US"/>
        </w:rPr>
        <w:t xml:space="preserve">RT-LAMP assay using UV treated virus as this causes much less </w:t>
      </w:r>
      <w:r w:rsidR="005A302A">
        <w:rPr>
          <w:lang w:val="en-US"/>
        </w:rPr>
        <w:t>fragmentation</w:t>
      </w:r>
      <w:r>
        <w:rPr>
          <w:lang w:val="en-US"/>
        </w:rPr>
        <w:t xml:space="preserve"> to RNA when compared to chemically and heat inactivated virus</w:t>
      </w:r>
      <w:r w:rsidR="001562B9">
        <w:rPr>
          <w:lang w:val="en-US"/>
        </w:rPr>
        <w:t xml:space="preserve"> such as the </w:t>
      </w:r>
      <w:r>
        <w:rPr>
          <w:lang w:val="en-US"/>
        </w:rPr>
        <w:t xml:space="preserve">NIBSC blinded panel as reported 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. </w:t>
      </w:r>
      <w:r w:rsidR="00083506">
        <w:rPr>
          <w:lang w:val="en-US"/>
        </w:rPr>
        <w:t xml:space="preserve">The analytical sensitivity of the Direct </w:t>
      </w:r>
      <w:r w:rsidR="00185EC4">
        <w:rPr>
          <w:lang w:val="en-US"/>
        </w:rPr>
        <w:t xml:space="preserve">PLUS </w:t>
      </w:r>
      <w:r w:rsidR="00083506">
        <w:rPr>
          <w:lang w:val="en-US"/>
        </w:rPr>
        <w:t xml:space="preserve">RT-LAMP assay was </w:t>
      </w:r>
      <w:r w:rsidR="00EA6FD8">
        <w:rPr>
          <w:lang w:val="en-US"/>
        </w:rPr>
        <w:t xml:space="preserve">determined to be between </w:t>
      </w:r>
      <w:r w:rsidR="00083506">
        <w:rPr>
          <w:lang w:val="en-US"/>
        </w:rPr>
        <w:t>1,000</w:t>
      </w:r>
      <w:r w:rsidR="00EA6FD8">
        <w:rPr>
          <w:lang w:val="en-US"/>
        </w:rPr>
        <w:t xml:space="preserve"> and 100</w:t>
      </w:r>
      <w:r w:rsidR="00083506">
        <w:rPr>
          <w:lang w:val="en-US"/>
        </w:rPr>
        <w:t xml:space="preserve"> </w:t>
      </w:r>
      <w:r w:rsidR="001562B9">
        <w:rPr>
          <w:lang w:val="en-US"/>
        </w:rPr>
        <w:t>plaque forming unit</w:t>
      </w:r>
      <w:r w:rsidR="00EA6FD8">
        <w:rPr>
          <w:lang w:val="en-US"/>
        </w:rPr>
        <w:t>s</w:t>
      </w:r>
      <w:r w:rsidR="001562B9">
        <w:rPr>
          <w:lang w:val="en-US"/>
        </w:rPr>
        <w:t xml:space="preserve"> [</w:t>
      </w:r>
      <w:r w:rsidR="00083506">
        <w:rPr>
          <w:lang w:val="en-US"/>
        </w:rPr>
        <w:t>PFU</w:t>
      </w:r>
      <w:r w:rsidR="001562B9">
        <w:rPr>
          <w:lang w:val="en-US"/>
        </w:rPr>
        <w:t>]</w:t>
      </w:r>
      <w:r w:rsidR="00083506">
        <w:rPr>
          <w:lang w:val="en-US"/>
        </w:rPr>
        <w:t>/ml (</w:t>
      </w:r>
      <w:r w:rsidR="00EA6FD8">
        <w:rPr>
          <w:lang w:val="en-US"/>
        </w:rPr>
        <w:t>0.5-</w:t>
      </w:r>
      <w:r w:rsidR="00083506">
        <w:rPr>
          <w:lang w:val="en-US"/>
        </w:rPr>
        <w:t>2 PFU/reaction)</w:t>
      </w:r>
      <w:r w:rsidR="00EA6FD8">
        <w:rPr>
          <w:lang w:val="en-US"/>
        </w:rPr>
        <w:t xml:space="preserve"> (Table 2) which translates to 100-1000 copies of infections virus/ml </w:t>
      </w:r>
      <w:r w:rsidR="00B60345">
        <w:rPr>
          <w:lang w:val="en-US"/>
        </w:rPr>
        <w:t>g</w:t>
      </w:r>
      <w:r w:rsidR="00EA6FD8">
        <w:rPr>
          <w:lang w:val="en-US"/>
        </w:rPr>
        <w:t>iven that o</w:t>
      </w:r>
      <w:r w:rsidR="00083506">
        <w:rPr>
          <w:lang w:val="en-US"/>
        </w:rPr>
        <w:t xml:space="preserve">ne </w:t>
      </w:r>
      <w:r w:rsidR="00B60345">
        <w:rPr>
          <w:lang w:val="en-US"/>
        </w:rPr>
        <w:t>PFU represent progeny derived from one infectious virion. This sensitivity is</w:t>
      </w:r>
      <w:r w:rsidR="00083506">
        <w:rPr>
          <w:lang w:val="en-US"/>
        </w:rPr>
        <w:t xml:space="preserve"> consistent </w:t>
      </w:r>
      <w:r w:rsidR="00083506">
        <w:rPr>
          <w:lang w:val="en-US"/>
        </w:rPr>
        <w:lastRenderedPageBreak/>
        <w:t xml:space="preserve">with </w:t>
      </w:r>
      <w:r w:rsidR="0025671F">
        <w:rPr>
          <w:lang w:val="en-US"/>
        </w:rPr>
        <w:t>the</w:t>
      </w:r>
      <w:r w:rsidR="00083506">
        <w:rPr>
          <w:lang w:val="en-US"/>
        </w:rPr>
        <w:t xml:space="preserve"> previous publications</w:t>
      </w:r>
      <w:r w:rsidR="00083506">
        <w:rPr>
          <w:vertAlign w:val="superscript"/>
          <w:lang w:val="en-US"/>
        </w:rPr>
        <w:t xml:space="preserve">1 </w:t>
      </w:r>
      <w:r w:rsidR="00083506">
        <w:rPr>
          <w:lang w:val="en-US"/>
        </w:rPr>
        <w:t xml:space="preserve">and further emphasize </w:t>
      </w:r>
      <w:r w:rsidR="0025671F">
        <w:rPr>
          <w:lang w:val="en-US"/>
        </w:rPr>
        <w:t xml:space="preserve">the </w:t>
      </w:r>
      <w:r w:rsidR="00C948F2">
        <w:rPr>
          <w:lang w:val="en-US"/>
        </w:rPr>
        <w:t>methodological problems</w:t>
      </w:r>
      <w:r w:rsidR="0025671F">
        <w:rPr>
          <w:lang w:val="en-US"/>
        </w:rPr>
        <w:t xml:space="preserve"> in the</w:t>
      </w:r>
      <w:r w:rsidR="00083506">
        <w:rPr>
          <w:lang w:val="en-US"/>
        </w:rPr>
        <w:t xml:space="preserve"> conclusions drawn by </w:t>
      </w:r>
      <w:r w:rsidR="00083506" w:rsidRPr="003074BA">
        <w:rPr>
          <w:rFonts w:cstheme="minorHAnsi"/>
        </w:rPr>
        <w:t xml:space="preserve">Wilson-Davies </w:t>
      </w:r>
      <w:r w:rsidR="00083506" w:rsidRPr="003074BA">
        <w:rPr>
          <w:rFonts w:cstheme="minorHAnsi"/>
          <w:i/>
          <w:iCs/>
        </w:rPr>
        <w:t>et al</w:t>
      </w:r>
      <w:r w:rsidR="00083506">
        <w:rPr>
          <w:rFonts w:cstheme="minorHAnsi"/>
          <w:i/>
          <w:iCs/>
        </w:rPr>
        <w:t xml:space="preserve"> </w:t>
      </w:r>
      <w:r w:rsidR="00083506" w:rsidRPr="00083506">
        <w:rPr>
          <w:rFonts w:cstheme="minorHAnsi"/>
        </w:rPr>
        <w:t>in their original table 1</w:t>
      </w:r>
      <w:r w:rsidR="00083506" w:rsidRPr="00083506">
        <w:rPr>
          <w:lang w:val="en-US"/>
        </w:rPr>
        <w:t>.</w:t>
      </w:r>
      <w:r w:rsidR="00083506">
        <w:rPr>
          <w:lang w:val="en-US"/>
        </w:rPr>
        <w:t xml:space="preserve"> </w:t>
      </w:r>
    </w:p>
    <w:p w14:paraId="040D2222" w14:textId="5D0D6CDE" w:rsidR="00C948F2" w:rsidRDefault="00C948F2" w:rsidP="00083506">
      <w:pPr>
        <w:jc w:val="both"/>
        <w:rPr>
          <w:lang w:val="en-US"/>
        </w:rPr>
      </w:pPr>
    </w:p>
    <w:p w14:paraId="67166892" w14:textId="77777777" w:rsidR="007D4EEE" w:rsidRDefault="007D4EEE" w:rsidP="00083506">
      <w:pPr>
        <w:jc w:val="both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8"/>
        <w:gridCol w:w="1440"/>
        <w:gridCol w:w="1288"/>
        <w:gridCol w:w="1288"/>
        <w:gridCol w:w="1288"/>
      </w:tblGrid>
      <w:tr w:rsidR="00083506" w14:paraId="2EEFB249" w14:textId="77777777" w:rsidTr="00083506">
        <w:trPr>
          <w:jc w:val="center"/>
        </w:trPr>
        <w:tc>
          <w:tcPr>
            <w:tcW w:w="1288" w:type="dxa"/>
          </w:tcPr>
          <w:p w14:paraId="226AE31C" w14:textId="5C4E6F42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PFU/ml</w:t>
            </w:r>
          </w:p>
        </w:tc>
        <w:tc>
          <w:tcPr>
            <w:tcW w:w="1440" w:type="dxa"/>
          </w:tcPr>
          <w:p w14:paraId="79976F4D" w14:textId="32C320D6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PFU/Reaction </w:t>
            </w:r>
          </w:p>
        </w:tc>
        <w:tc>
          <w:tcPr>
            <w:tcW w:w="1288" w:type="dxa"/>
          </w:tcPr>
          <w:p w14:paraId="2D69D810" w14:textId="6798C254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Replicate 1</w:t>
            </w:r>
          </w:p>
        </w:tc>
        <w:tc>
          <w:tcPr>
            <w:tcW w:w="1288" w:type="dxa"/>
          </w:tcPr>
          <w:p w14:paraId="50929D33" w14:textId="07A872BC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Replicate 2</w:t>
            </w:r>
          </w:p>
        </w:tc>
        <w:tc>
          <w:tcPr>
            <w:tcW w:w="1288" w:type="dxa"/>
          </w:tcPr>
          <w:p w14:paraId="23A5A0FE" w14:textId="1509193A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Replicate 3</w:t>
            </w:r>
          </w:p>
        </w:tc>
      </w:tr>
      <w:tr w:rsidR="00083506" w14:paraId="0B6EF27F" w14:textId="77777777" w:rsidTr="00083506">
        <w:trPr>
          <w:jc w:val="center"/>
        </w:trPr>
        <w:tc>
          <w:tcPr>
            <w:tcW w:w="1288" w:type="dxa"/>
          </w:tcPr>
          <w:p w14:paraId="3C9775C8" w14:textId="396EC636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100,000</w:t>
            </w:r>
          </w:p>
        </w:tc>
        <w:tc>
          <w:tcPr>
            <w:tcW w:w="1440" w:type="dxa"/>
          </w:tcPr>
          <w:p w14:paraId="198E5CA4" w14:textId="771A1CBF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288" w:type="dxa"/>
          </w:tcPr>
          <w:p w14:paraId="4E885540" w14:textId="272C0A48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  <w:tc>
          <w:tcPr>
            <w:tcW w:w="1288" w:type="dxa"/>
          </w:tcPr>
          <w:p w14:paraId="5F3B4DD1" w14:textId="5017C12F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  <w:tc>
          <w:tcPr>
            <w:tcW w:w="1288" w:type="dxa"/>
          </w:tcPr>
          <w:p w14:paraId="01253567" w14:textId="50B2DC30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</w:tr>
      <w:tr w:rsidR="00083506" w14:paraId="6BC8CB9C" w14:textId="77777777" w:rsidTr="00083506">
        <w:trPr>
          <w:jc w:val="center"/>
        </w:trPr>
        <w:tc>
          <w:tcPr>
            <w:tcW w:w="1288" w:type="dxa"/>
          </w:tcPr>
          <w:p w14:paraId="3A59ABF2" w14:textId="2925380B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10,000</w:t>
            </w:r>
          </w:p>
        </w:tc>
        <w:tc>
          <w:tcPr>
            <w:tcW w:w="1440" w:type="dxa"/>
          </w:tcPr>
          <w:p w14:paraId="1D262EC8" w14:textId="523991EF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288" w:type="dxa"/>
          </w:tcPr>
          <w:p w14:paraId="366908BD" w14:textId="3E65DD9F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  <w:tc>
          <w:tcPr>
            <w:tcW w:w="1288" w:type="dxa"/>
          </w:tcPr>
          <w:p w14:paraId="7680FA7F" w14:textId="3A5B03F0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  <w:tc>
          <w:tcPr>
            <w:tcW w:w="1288" w:type="dxa"/>
          </w:tcPr>
          <w:p w14:paraId="4D16D10C" w14:textId="78B5FAA5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</w:tr>
      <w:tr w:rsidR="00083506" w14:paraId="391C373C" w14:textId="77777777" w:rsidTr="00083506">
        <w:trPr>
          <w:jc w:val="center"/>
        </w:trPr>
        <w:tc>
          <w:tcPr>
            <w:tcW w:w="1288" w:type="dxa"/>
          </w:tcPr>
          <w:p w14:paraId="11380833" w14:textId="625B3CF1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1440" w:type="dxa"/>
          </w:tcPr>
          <w:p w14:paraId="2D9F4EFD" w14:textId="05A058A4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88" w:type="dxa"/>
          </w:tcPr>
          <w:p w14:paraId="26E044CB" w14:textId="191A8589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  <w:tc>
          <w:tcPr>
            <w:tcW w:w="1288" w:type="dxa"/>
          </w:tcPr>
          <w:p w14:paraId="04BBEC2D" w14:textId="37C65E2D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  <w:tc>
          <w:tcPr>
            <w:tcW w:w="1288" w:type="dxa"/>
          </w:tcPr>
          <w:p w14:paraId="38603850" w14:textId="4DC91F66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</w:tr>
      <w:tr w:rsidR="00083506" w14:paraId="5B3094BE" w14:textId="77777777" w:rsidTr="00083506">
        <w:trPr>
          <w:jc w:val="center"/>
        </w:trPr>
        <w:tc>
          <w:tcPr>
            <w:tcW w:w="1288" w:type="dxa"/>
          </w:tcPr>
          <w:p w14:paraId="0A7FD51D" w14:textId="62270DCE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40" w:type="dxa"/>
          </w:tcPr>
          <w:p w14:paraId="651F649E" w14:textId="1AC9D4B5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288" w:type="dxa"/>
          </w:tcPr>
          <w:p w14:paraId="146B077A" w14:textId="2981855B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  <w:tc>
          <w:tcPr>
            <w:tcW w:w="1288" w:type="dxa"/>
          </w:tcPr>
          <w:p w14:paraId="690A9DF3" w14:textId="2BFD5948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  <w:tc>
          <w:tcPr>
            <w:tcW w:w="1288" w:type="dxa"/>
          </w:tcPr>
          <w:p w14:paraId="575A5830" w14:textId="68E5AA74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</w:tc>
      </w:tr>
      <w:tr w:rsidR="00083506" w14:paraId="1248604F" w14:textId="77777777" w:rsidTr="00083506">
        <w:trPr>
          <w:jc w:val="center"/>
        </w:trPr>
        <w:tc>
          <w:tcPr>
            <w:tcW w:w="1288" w:type="dxa"/>
          </w:tcPr>
          <w:p w14:paraId="757FCF49" w14:textId="1318C34D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40" w:type="dxa"/>
          </w:tcPr>
          <w:p w14:paraId="43400899" w14:textId="3A7E9B4B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</w:tc>
        <w:tc>
          <w:tcPr>
            <w:tcW w:w="1288" w:type="dxa"/>
          </w:tcPr>
          <w:p w14:paraId="52085194" w14:textId="34E62A1C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  <w:tc>
          <w:tcPr>
            <w:tcW w:w="1288" w:type="dxa"/>
          </w:tcPr>
          <w:p w14:paraId="242E76B4" w14:textId="7F459E02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  <w:tc>
          <w:tcPr>
            <w:tcW w:w="1288" w:type="dxa"/>
          </w:tcPr>
          <w:p w14:paraId="258CAC5C" w14:textId="5CE745B1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</w:tr>
      <w:tr w:rsidR="00083506" w14:paraId="7A55077A" w14:textId="77777777" w:rsidTr="00083506">
        <w:trPr>
          <w:jc w:val="center"/>
        </w:trPr>
        <w:tc>
          <w:tcPr>
            <w:tcW w:w="1288" w:type="dxa"/>
          </w:tcPr>
          <w:p w14:paraId="732ACF49" w14:textId="38092AB4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0" w:type="dxa"/>
          </w:tcPr>
          <w:p w14:paraId="4C5F0A78" w14:textId="6CC1BD3C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1288" w:type="dxa"/>
          </w:tcPr>
          <w:p w14:paraId="234288B8" w14:textId="470EC9A1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  <w:tc>
          <w:tcPr>
            <w:tcW w:w="1288" w:type="dxa"/>
          </w:tcPr>
          <w:p w14:paraId="4A83B5D0" w14:textId="3B75CE60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  <w:tc>
          <w:tcPr>
            <w:tcW w:w="1288" w:type="dxa"/>
          </w:tcPr>
          <w:p w14:paraId="39E2C487" w14:textId="0C405C0F" w:rsidR="00083506" w:rsidRDefault="00083506" w:rsidP="00083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</w:tr>
    </w:tbl>
    <w:p w14:paraId="2101C76B" w14:textId="76AF16B7" w:rsidR="005E5F45" w:rsidRDefault="00083506" w:rsidP="00083506">
      <w:pPr>
        <w:jc w:val="center"/>
        <w:rPr>
          <w:lang w:val="en-US"/>
        </w:rPr>
      </w:pPr>
      <w:r w:rsidRPr="00083506">
        <w:rPr>
          <w:b/>
          <w:bCs/>
          <w:lang w:val="en-US"/>
        </w:rPr>
        <w:t>Table 2</w:t>
      </w:r>
      <w:r>
        <w:rPr>
          <w:lang w:val="en-US"/>
        </w:rPr>
        <w:t>. Analytical sensitivity using UV inactivated SARS-CoV-2</w:t>
      </w:r>
    </w:p>
    <w:p w14:paraId="3728A577" w14:textId="77777777" w:rsidR="007D4EEE" w:rsidRDefault="007D4EEE" w:rsidP="00DE3B30">
      <w:pPr>
        <w:jc w:val="both"/>
        <w:rPr>
          <w:lang w:val="en-US"/>
        </w:rPr>
      </w:pPr>
    </w:p>
    <w:p w14:paraId="2AB4F681" w14:textId="61B6A6C4" w:rsidR="00DE3B30" w:rsidRDefault="00DE3B30" w:rsidP="00DE3B30">
      <w:pPr>
        <w:jc w:val="both"/>
        <w:rPr>
          <w:lang w:val="en-US"/>
        </w:rPr>
      </w:pPr>
      <w:r w:rsidRPr="00DE3B30">
        <w:rPr>
          <w:lang w:val="en-US"/>
        </w:rPr>
        <w:t xml:space="preserve">It is also </w:t>
      </w:r>
      <w:r w:rsidR="0024666E">
        <w:rPr>
          <w:lang w:val="en-US"/>
        </w:rPr>
        <w:t>important</w:t>
      </w:r>
      <w:r w:rsidR="0024666E" w:rsidRPr="00DE3B30">
        <w:rPr>
          <w:lang w:val="en-US"/>
        </w:rPr>
        <w:t xml:space="preserve"> </w:t>
      </w:r>
      <w:r w:rsidRPr="00DE3B30">
        <w:rPr>
          <w:lang w:val="en-US"/>
        </w:rPr>
        <w:t xml:space="preserve">to note that the swab samples used for analysis by Wilson-Davies </w:t>
      </w:r>
      <w:r w:rsidRPr="00B652D0">
        <w:rPr>
          <w:i/>
          <w:iCs/>
          <w:lang w:val="en-US"/>
        </w:rPr>
        <w:t>et al</w:t>
      </w:r>
      <w:r w:rsidR="00B652D0" w:rsidRPr="00B652D0">
        <w:rPr>
          <w:i/>
          <w:iCs/>
          <w:lang w:val="en-US"/>
        </w:rPr>
        <w:t>.</w:t>
      </w:r>
      <w:r w:rsidRPr="00DE3B30">
        <w:rPr>
          <w:lang w:val="en-US"/>
        </w:rPr>
        <w:t xml:space="preserve"> had not been tested </w:t>
      </w:r>
      <w:r w:rsidR="00B60345" w:rsidRPr="00DE3B30">
        <w:rPr>
          <w:lang w:val="en-US"/>
        </w:rPr>
        <w:t>fresh but</w:t>
      </w:r>
      <w:r w:rsidRPr="00DE3B30">
        <w:rPr>
          <w:lang w:val="en-US"/>
        </w:rPr>
        <w:t xml:space="preserve"> </w:t>
      </w:r>
      <w:r w:rsidR="00087522">
        <w:rPr>
          <w:lang w:val="en-US"/>
        </w:rPr>
        <w:t xml:space="preserve">had been </w:t>
      </w:r>
      <w:r w:rsidRPr="00DE3B30">
        <w:rPr>
          <w:lang w:val="en-US"/>
        </w:rPr>
        <w:t>stored at 4</w:t>
      </w:r>
      <w:r w:rsidRPr="001145A1">
        <w:rPr>
          <w:vertAlign w:val="superscript"/>
          <w:lang w:val="en-US"/>
        </w:rPr>
        <w:t>o</w:t>
      </w:r>
      <w:r w:rsidRPr="00DE3B30">
        <w:rPr>
          <w:lang w:val="en-US"/>
        </w:rPr>
        <w:t>C for up to 36 hours prior to being frozen at -80</w:t>
      </w:r>
      <w:r w:rsidRPr="001145A1">
        <w:rPr>
          <w:vertAlign w:val="superscript"/>
          <w:lang w:val="en-US"/>
        </w:rPr>
        <w:t>o</w:t>
      </w:r>
      <w:r w:rsidRPr="00DE3B30">
        <w:rPr>
          <w:lang w:val="en-US"/>
        </w:rPr>
        <w:t xml:space="preserve">C. The Direct </w:t>
      </w:r>
      <w:r w:rsidR="00185EC4">
        <w:rPr>
          <w:lang w:val="en-US"/>
        </w:rPr>
        <w:t xml:space="preserve">PLUS </w:t>
      </w:r>
      <w:r w:rsidRPr="00DE3B30">
        <w:rPr>
          <w:lang w:val="en-US"/>
        </w:rPr>
        <w:t>RT-LAMP assay has been validated for use on fresh, non-freeze thawed samples</w:t>
      </w:r>
      <w:r w:rsidR="002847D5">
        <w:rPr>
          <w:lang w:val="en-US"/>
        </w:rPr>
        <w:t xml:space="preserve"> (saliva and swabs)</w:t>
      </w:r>
      <w:r w:rsidRPr="00DE3B30">
        <w:rPr>
          <w:lang w:val="en-US"/>
        </w:rPr>
        <w:t xml:space="preserve"> and there is a dedicated sample collection standard operating procedure (SOP) to reflect this requirement. Wilson-Davies </w:t>
      </w:r>
      <w:r w:rsidR="002847D5" w:rsidRPr="002847D5">
        <w:rPr>
          <w:i/>
          <w:iCs/>
          <w:lang w:val="en-US"/>
        </w:rPr>
        <w:t>et al.</w:t>
      </w:r>
      <w:r w:rsidRPr="00DE3B30">
        <w:rPr>
          <w:lang w:val="en-US"/>
        </w:rPr>
        <w:t xml:space="preserve"> did not collect</w:t>
      </w:r>
      <w:r w:rsidR="00FD7052">
        <w:rPr>
          <w:lang w:val="en-US"/>
        </w:rPr>
        <w:t xml:space="preserve"> and </w:t>
      </w:r>
      <w:r w:rsidRPr="00DE3B30">
        <w:rPr>
          <w:lang w:val="en-US"/>
        </w:rPr>
        <w:t xml:space="preserve">store their samples according to this SOP. </w:t>
      </w:r>
    </w:p>
    <w:p w14:paraId="2A0A760A" w14:textId="414611C1" w:rsidR="00B60345" w:rsidRDefault="000D4A91" w:rsidP="00B60345">
      <w:pPr>
        <w:jc w:val="both"/>
        <w:rPr>
          <w:rFonts w:cstheme="minorHAnsi"/>
        </w:rPr>
      </w:pPr>
      <w:r>
        <w:rPr>
          <w:lang w:val="en-US"/>
        </w:rPr>
        <w:t>T</w:t>
      </w:r>
      <w:r w:rsidR="009D2CD9">
        <w:rPr>
          <w:lang w:val="en-US"/>
        </w:rPr>
        <w:t>o understand the effect of freeze thaw on success rates</w:t>
      </w:r>
      <w:r w:rsidR="00B60345">
        <w:rPr>
          <w:lang w:val="en-US"/>
        </w:rPr>
        <w:t xml:space="preserve"> and to inform the SOP</w:t>
      </w:r>
      <w:r w:rsidR="009D2CD9">
        <w:rPr>
          <w:lang w:val="en-US"/>
        </w:rPr>
        <w:t xml:space="preserve">, we </w:t>
      </w:r>
      <w:proofErr w:type="spellStart"/>
      <w:r w:rsidR="009D2CD9">
        <w:rPr>
          <w:lang w:val="en-US"/>
        </w:rPr>
        <w:t>analysed</w:t>
      </w:r>
      <w:proofErr w:type="spellEnd"/>
      <w:r w:rsidR="009D2CD9">
        <w:rPr>
          <w:lang w:val="en-US"/>
        </w:rPr>
        <w:t xml:space="preserve"> t</w:t>
      </w:r>
      <w:r w:rsidR="00DE3B30" w:rsidRPr="00DE3B30">
        <w:rPr>
          <w:lang w:val="en-US"/>
        </w:rPr>
        <w:t xml:space="preserve">wenty positive saliva samples from asymptomatic individuals detected by Direct </w:t>
      </w:r>
      <w:r w:rsidR="00185EC4">
        <w:rPr>
          <w:lang w:val="en-US"/>
        </w:rPr>
        <w:t xml:space="preserve">PLUS </w:t>
      </w:r>
      <w:r w:rsidR="00DE3B30" w:rsidRPr="00DE3B30">
        <w:rPr>
          <w:lang w:val="en-US"/>
        </w:rPr>
        <w:t>RT-LAMP and confirmed by RT-qPCR</w:t>
      </w:r>
      <w:r w:rsidR="002847D5">
        <w:rPr>
          <w:lang w:val="en-US"/>
        </w:rPr>
        <w:t xml:space="preserve"> when performed on freshly collected, non-freeze thawed samples</w:t>
      </w:r>
      <w:r w:rsidR="009D2CD9">
        <w:rPr>
          <w:lang w:val="en-US"/>
        </w:rPr>
        <w:t>. These</w:t>
      </w:r>
      <w:r w:rsidR="00DE3B30" w:rsidRPr="00DE3B30">
        <w:rPr>
          <w:lang w:val="en-US"/>
        </w:rPr>
        <w:t xml:space="preserve"> were re-</w:t>
      </w:r>
      <w:proofErr w:type="spellStart"/>
      <w:r w:rsidR="00DE3B30" w:rsidRPr="00DE3B30">
        <w:rPr>
          <w:lang w:val="en-US"/>
        </w:rPr>
        <w:t>analysed</w:t>
      </w:r>
      <w:proofErr w:type="spellEnd"/>
      <w:r w:rsidR="00DE3B30" w:rsidRPr="00DE3B30">
        <w:rPr>
          <w:lang w:val="en-US"/>
        </w:rPr>
        <w:t xml:space="preserve"> in triplicate after the sample had </w:t>
      </w:r>
      <w:r w:rsidR="00FD5D5A">
        <w:rPr>
          <w:lang w:val="en-US"/>
        </w:rPr>
        <w:t xml:space="preserve">been frozen for at least a week and then </w:t>
      </w:r>
      <w:r w:rsidR="00DE3B30" w:rsidRPr="00DE3B30">
        <w:rPr>
          <w:lang w:val="en-US"/>
        </w:rPr>
        <w:t>received one freeze thaw</w:t>
      </w:r>
      <w:r w:rsidR="00FD5D5A">
        <w:rPr>
          <w:lang w:val="en-US"/>
        </w:rPr>
        <w:t xml:space="preserve"> </w:t>
      </w:r>
      <w:r w:rsidR="00DE3B30" w:rsidRPr="00DE3B30">
        <w:rPr>
          <w:lang w:val="en-US"/>
        </w:rPr>
        <w:t xml:space="preserve">(Table </w:t>
      </w:r>
      <w:r w:rsidR="00DE3B30">
        <w:rPr>
          <w:lang w:val="en-US"/>
        </w:rPr>
        <w:t>3</w:t>
      </w:r>
      <w:r w:rsidR="00DE3B30" w:rsidRPr="00DE3B30">
        <w:rPr>
          <w:lang w:val="en-US"/>
        </w:rPr>
        <w:t xml:space="preserve">). </w:t>
      </w:r>
      <w:r w:rsidR="00B60345">
        <w:rPr>
          <w:lang w:val="en-US"/>
        </w:rPr>
        <w:t xml:space="preserve">Only eight of the twenty samples remained positive in all replicates following freeze thaw. </w:t>
      </w:r>
      <w:r w:rsidR="00DE3B30" w:rsidRPr="00DE3B30">
        <w:rPr>
          <w:lang w:val="en-US"/>
        </w:rPr>
        <w:t>Th</w:t>
      </w:r>
      <w:r w:rsidR="00802A00">
        <w:rPr>
          <w:lang w:val="en-US"/>
        </w:rPr>
        <w:t xml:space="preserve">is highlights </w:t>
      </w:r>
      <w:r w:rsidR="00B60345">
        <w:rPr>
          <w:lang w:val="en-US"/>
        </w:rPr>
        <w:t>the</w:t>
      </w:r>
      <w:r w:rsidR="00DE3B30" w:rsidRPr="00DE3B30">
        <w:rPr>
          <w:lang w:val="en-US"/>
        </w:rPr>
        <w:t xml:space="preserve"> </w:t>
      </w:r>
      <w:r w:rsidR="002A15C1">
        <w:rPr>
          <w:lang w:val="en-US"/>
        </w:rPr>
        <w:t>considerable</w:t>
      </w:r>
      <w:r w:rsidR="002A15C1" w:rsidRPr="00DE3B30">
        <w:rPr>
          <w:lang w:val="en-US"/>
        </w:rPr>
        <w:t xml:space="preserve"> </w:t>
      </w:r>
      <w:r w:rsidR="00DE3B30" w:rsidRPr="00DE3B30">
        <w:rPr>
          <w:lang w:val="en-US"/>
        </w:rPr>
        <w:t xml:space="preserve">effect of freeze thawing on the performance of the Direct </w:t>
      </w:r>
      <w:r w:rsidR="00B60345">
        <w:rPr>
          <w:lang w:val="en-US"/>
        </w:rPr>
        <w:t xml:space="preserve">PLUS </w:t>
      </w:r>
      <w:r w:rsidR="00DE3B30" w:rsidRPr="00DE3B30">
        <w:rPr>
          <w:lang w:val="en-US"/>
        </w:rPr>
        <w:t>RT-LAMP assay</w:t>
      </w:r>
      <w:r w:rsidR="00B60345">
        <w:rPr>
          <w:lang w:val="en-US"/>
        </w:rPr>
        <w:t xml:space="preserve"> due</w:t>
      </w:r>
      <w:r w:rsidR="00DE3B30" w:rsidRPr="00DE3B30">
        <w:rPr>
          <w:lang w:val="en-US"/>
        </w:rPr>
        <w:t xml:space="preserve"> fragment</w:t>
      </w:r>
      <w:r w:rsidR="00B60345">
        <w:rPr>
          <w:lang w:val="en-US"/>
        </w:rPr>
        <w:t>ation of</w:t>
      </w:r>
      <w:r w:rsidR="00DE3B30" w:rsidRPr="00DE3B30">
        <w:rPr>
          <w:lang w:val="en-US"/>
        </w:rPr>
        <w:t xml:space="preserve"> RNA</w:t>
      </w:r>
      <w:r w:rsidR="00B60345">
        <w:rPr>
          <w:lang w:val="en-US"/>
        </w:rPr>
        <w:t xml:space="preserve"> (LAMP amplifies much larger fragments when compared to RT-qPCR and is therefore susceptible to sample degradation). </w:t>
      </w:r>
      <w:r w:rsidR="00DE3B30">
        <w:rPr>
          <w:lang w:val="en-US"/>
        </w:rPr>
        <w:t>Whilst this stability data was performed on saliva,</w:t>
      </w:r>
      <w:r w:rsidR="003C5EE1">
        <w:rPr>
          <w:lang w:val="en-US"/>
        </w:rPr>
        <w:t xml:space="preserve"> we would anticipate </w:t>
      </w:r>
      <w:r w:rsidR="00DE3B30">
        <w:rPr>
          <w:lang w:val="en-US"/>
        </w:rPr>
        <w:t xml:space="preserve">the </w:t>
      </w:r>
      <w:r w:rsidR="003C5EE1">
        <w:rPr>
          <w:lang w:val="en-US"/>
        </w:rPr>
        <w:t xml:space="preserve">same </w:t>
      </w:r>
      <w:r w:rsidR="00DE3B30">
        <w:rPr>
          <w:lang w:val="en-US"/>
        </w:rPr>
        <w:t xml:space="preserve">effect </w:t>
      </w:r>
      <w:r w:rsidR="00FD5D5A">
        <w:rPr>
          <w:lang w:val="en-US"/>
        </w:rPr>
        <w:t>on</w:t>
      </w:r>
      <w:r w:rsidR="00DE3B30">
        <w:rPr>
          <w:lang w:val="en-US"/>
        </w:rPr>
        <w:t xml:space="preserve"> swabs since the process of </w:t>
      </w:r>
      <w:r w:rsidR="00C948F2">
        <w:rPr>
          <w:lang w:val="en-US"/>
        </w:rPr>
        <w:t>degradation</w:t>
      </w:r>
      <w:r w:rsidR="00DE3B30">
        <w:rPr>
          <w:lang w:val="en-US"/>
        </w:rPr>
        <w:t xml:space="preserve"> by freeze thaw </w:t>
      </w:r>
      <w:r w:rsidR="004032E4">
        <w:rPr>
          <w:lang w:val="en-US"/>
        </w:rPr>
        <w:t xml:space="preserve">is </w:t>
      </w:r>
      <w:r w:rsidR="00185EC4">
        <w:rPr>
          <w:lang w:val="en-US"/>
        </w:rPr>
        <w:t xml:space="preserve">no different </w:t>
      </w:r>
      <w:r w:rsidR="003C5EE1">
        <w:rPr>
          <w:lang w:val="en-US"/>
        </w:rPr>
        <w:t>between</w:t>
      </w:r>
      <w:r w:rsidR="00185EC4">
        <w:rPr>
          <w:lang w:val="en-US"/>
        </w:rPr>
        <w:t xml:space="preserve"> sample types</w:t>
      </w:r>
      <w:r w:rsidR="00050BE1">
        <w:rPr>
          <w:lang w:val="en-US"/>
        </w:rPr>
        <w:t xml:space="preserve"> when considering LAMP based amplification</w:t>
      </w:r>
      <w:r w:rsidR="00DE3B30">
        <w:rPr>
          <w:lang w:val="en-US"/>
        </w:rPr>
        <w:t>.</w:t>
      </w:r>
      <w:r w:rsidR="00DE3B30" w:rsidRPr="00DE3B30">
        <w:rPr>
          <w:lang w:val="en-US"/>
        </w:rPr>
        <w:t xml:space="preserve"> Given that all samples used in table 1 of Wilson-Davies </w:t>
      </w:r>
      <w:r w:rsidR="00DE3B30" w:rsidRPr="00166E4C">
        <w:rPr>
          <w:i/>
          <w:iCs/>
          <w:lang w:val="en-US"/>
        </w:rPr>
        <w:t>et al.</w:t>
      </w:r>
      <w:r w:rsidR="00DE3B30" w:rsidRPr="00DE3B30">
        <w:rPr>
          <w:lang w:val="en-US"/>
        </w:rPr>
        <w:t xml:space="preserve"> were freeze thawed prior to analysis the data is not representative of samples which would </w:t>
      </w:r>
      <w:r w:rsidR="00DE3B30">
        <w:rPr>
          <w:lang w:val="en-US"/>
        </w:rPr>
        <w:t xml:space="preserve">be </w:t>
      </w:r>
      <w:r w:rsidR="00DE3B30" w:rsidRPr="00DE3B30">
        <w:rPr>
          <w:lang w:val="en-US"/>
        </w:rPr>
        <w:t xml:space="preserve">used in the </w:t>
      </w:r>
      <w:r w:rsidR="00DC1CB4">
        <w:rPr>
          <w:lang w:val="en-US"/>
        </w:rPr>
        <w:t xml:space="preserve">designated </w:t>
      </w:r>
      <w:r w:rsidR="00DE3B30" w:rsidRPr="00DE3B30">
        <w:rPr>
          <w:lang w:val="en-US"/>
        </w:rPr>
        <w:t>use case of this assay.</w:t>
      </w:r>
      <w:r w:rsidR="008E2597">
        <w:rPr>
          <w:lang w:val="en-US"/>
        </w:rPr>
        <w:t xml:space="preserve"> </w:t>
      </w:r>
      <w:r w:rsidR="00185EC4">
        <w:rPr>
          <w:lang w:val="en-US"/>
        </w:rPr>
        <w:t xml:space="preserve">Storing samples </w:t>
      </w:r>
      <w:r w:rsidR="008E2597">
        <w:rPr>
          <w:lang w:val="en-US"/>
        </w:rPr>
        <w:t>at 4</w:t>
      </w:r>
      <w:r w:rsidR="008E2597" w:rsidRPr="001145A1">
        <w:rPr>
          <w:vertAlign w:val="superscript"/>
          <w:lang w:val="en-US"/>
        </w:rPr>
        <w:t>o</w:t>
      </w:r>
      <w:r w:rsidR="008E2597">
        <w:rPr>
          <w:lang w:val="en-US"/>
        </w:rPr>
        <w:t xml:space="preserve">C </w:t>
      </w:r>
      <w:r w:rsidR="00185EC4">
        <w:rPr>
          <w:lang w:val="en-US"/>
        </w:rPr>
        <w:t>was</w:t>
      </w:r>
      <w:r w:rsidR="008E2597">
        <w:rPr>
          <w:lang w:val="en-US"/>
        </w:rPr>
        <w:t xml:space="preserve"> also more greatly affected than those stored at room temperature</w:t>
      </w:r>
      <w:r w:rsidR="00185EC4">
        <w:rPr>
          <w:lang w:val="en-US"/>
        </w:rPr>
        <w:t xml:space="preserve">, which is also what </w:t>
      </w:r>
      <w:r w:rsidR="00185EC4" w:rsidRPr="00DE3B30">
        <w:rPr>
          <w:lang w:val="en-US"/>
        </w:rPr>
        <w:t xml:space="preserve">Wilson-Davies </w:t>
      </w:r>
      <w:r w:rsidR="00185EC4" w:rsidRPr="00166E4C">
        <w:rPr>
          <w:i/>
          <w:iCs/>
          <w:lang w:val="en-US"/>
        </w:rPr>
        <w:t>et al.</w:t>
      </w:r>
      <w:r w:rsidR="00185EC4" w:rsidRPr="00DE3B30">
        <w:rPr>
          <w:lang w:val="en-US"/>
        </w:rPr>
        <w:t xml:space="preserve"> </w:t>
      </w:r>
      <w:r w:rsidR="00185EC4">
        <w:rPr>
          <w:lang w:val="en-US"/>
        </w:rPr>
        <w:t>did prior to freezing</w:t>
      </w:r>
      <w:r w:rsidR="008E2597">
        <w:rPr>
          <w:lang w:val="en-US"/>
        </w:rPr>
        <w:t xml:space="preserve">. </w:t>
      </w:r>
      <w:r w:rsidR="00B60345">
        <w:rPr>
          <w:lang w:val="en-US"/>
        </w:rPr>
        <w:t xml:space="preserve">We also assume that the swabs used </w:t>
      </w:r>
      <w:r w:rsidR="00B60345">
        <w:rPr>
          <w:rFonts w:cstheme="minorHAnsi"/>
        </w:rPr>
        <w:t>were nasopharyngeal/</w:t>
      </w:r>
      <w:proofErr w:type="spellStart"/>
      <w:r w:rsidR="00B60345">
        <w:rPr>
          <w:rFonts w:cstheme="minorHAnsi"/>
        </w:rPr>
        <w:t>orophayngeal</w:t>
      </w:r>
      <w:proofErr w:type="spellEnd"/>
      <w:r w:rsidR="00B60345">
        <w:rPr>
          <w:rFonts w:cstheme="minorHAnsi"/>
        </w:rPr>
        <w:t xml:space="preserve"> collected in VTM which is a IFU requirement.  Any other diluent or type of swab (including anterior nasal swabs) would also impact the performance. </w:t>
      </w:r>
    </w:p>
    <w:p w14:paraId="38A94EB8" w14:textId="2D608E2A" w:rsidR="00B60345" w:rsidRDefault="00B60345" w:rsidP="00DE3B30">
      <w:pPr>
        <w:jc w:val="both"/>
        <w:rPr>
          <w:lang w:val="en-US"/>
        </w:rPr>
      </w:pPr>
    </w:p>
    <w:p w14:paraId="6C3AA31E" w14:textId="2090A924" w:rsidR="007D4EEE" w:rsidRDefault="007D4EEE" w:rsidP="00DE3B30">
      <w:pPr>
        <w:jc w:val="both"/>
        <w:rPr>
          <w:lang w:val="en-US"/>
        </w:rPr>
      </w:pPr>
    </w:p>
    <w:p w14:paraId="68B58BA3" w14:textId="17BAE9F3" w:rsidR="007D4EEE" w:rsidRDefault="007D4EEE" w:rsidP="00DE3B30">
      <w:pPr>
        <w:jc w:val="both"/>
        <w:rPr>
          <w:lang w:val="en-US"/>
        </w:rPr>
      </w:pPr>
    </w:p>
    <w:p w14:paraId="78ADBACF" w14:textId="3BE4857F" w:rsidR="007D4EEE" w:rsidRDefault="007D4EEE" w:rsidP="00DE3B30">
      <w:pPr>
        <w:jc w:val="both"/>
        <w:rPr>
          <w:lang w:val="en-US"/>
        </w:rPr>
      </w:pPr>
    </w:p>
    <w:p w14:paraId="48E21B00" w14:textId="25329BE1" w:rsidR="007D4EEE" w:rsidRDefault="007D4EEE" w:rsidP="00DE3B30">
      <w:pPr>
        <w:jc w:val="both"/>
        <w:rPr>
          <w:lang w:val="en-US"/>
        </w:rPr>
      </w:pPr>
    </w:p>
    <w:p w14:paraId="2192C827" w14:textId="77777777" w:rsidR="007D4EEE" w:rsidRDefault="007D4EEE" w:rsidP="00DE3B30">
      <w:pPr>
        <w:jc w:val="both"/>
        <w:rPr>
          <w:lang w:val="en-US"/>
        </w:rPr>
      </w:pPr>
    </w:p>
    <w:tbl>
      <w:tblPr>
        <w:tblW w:w="6681" w:type="dxa"/>
        <w:jc w:val="center"/>
        <w:tblLook w:val="04A0" w:firstRow="1" w:lastRow="0" w:firstColumn="1" w:lastColumn="0" w:noHBand="0" w:noVBand="1"/>
      </w:tblPr>
      <w:tblGrid>
        <w:gridCol w:w="1020"/>
        <w:gridCol w:w="1047"/>
        <w:gridCol w:w="1113"/>
        <w:gridCol w:w="1167"/>
        <w:gridCol w:w="1167"/>
        <w:gridCol w:w="1167"/>
      </w:tblGrid>
      <w:tr w:rsidR="00DE3B30" w:rsidRPr="009273A2" w14:paraId="0E31B62A" w14:textId="77777777" w:rsidTr="007A35C3">
        <w:trPr>
          <w:trHeight w:val="31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5C84" w14:textId="77777777" w:rsidR="00DE3B30" w:rsidRPr="009273A2" w:rsidRDefault="00DE3B30" w:rsidP="007A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D229F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Fresh</w:t>
            </w:r>
          </w:p>
        </w:tc>
        <w:tc>
          <w:tcPr>
            <w:tcW w:w="35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62978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One freeze thaw</w:t>
            </w:r>
          </w:p>
        </w:tc>
      </w:tr>
      <w:tr w:rsidR="00DE3B30" w:rsidRPr="009273A2" w14:paraId="248F38E5" w14:textId="77777777" w:rsidTr="007A35C3">
        <w:trPr>
          <w:trHeight w:val="315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62D5F" w14:textId="77777777" w:rsidR="00DE3B30" w:rsidRPr="009273A2" w:rsidRDefault="00DE3B30" w:rsidP="007A3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Sample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74D42" w14:textId="77777777" w:rsidR="00DE3B30" w:rsidRPr="009273A2" w:rsidRDefault="00DE3B30" w:rsidP="007A3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RT-qPCR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BBC37" w14:textId="77777777" w:rsidR="00DE3B30" w:rsidRPr="009273A2" w:rsidRDefault="00DE3B30" w:rsidP="007A3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LAMP 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0384A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LAMP 2A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C2C19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LAMP2B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4A448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LAMP 2C</w:t>
            </w:r>
          </w:p>
        </w:tc>
      </w:tr>
      <w:tr w:rsidR="00DE3B30" w:rsidRPr="009273A2" w14:paraId="67339166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81C2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CBDC7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94E04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B74F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2F6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2B201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26BAEA54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DE95F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A9E4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87B80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B816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14FC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EDE16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09958C96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C676A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8319D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2149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D1C6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741F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47EEA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18A7B76D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F0519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692D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695B3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D045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8B2F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352AE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449153C5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49EBF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F088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A8804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EFF8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FA39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643BC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5B732EE3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7898E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4D005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D3BF1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4425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3719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EBD5C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62110949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AAAB4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3BF58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23.33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04180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9D9E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B99A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FE85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15BCA68F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E0E9C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34F63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23.61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96534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465E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731F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12031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5D858419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7C9E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F6382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23.93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94F36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BFE1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FED8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671B8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56730E12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98E45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3C914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5E034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FFDC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7402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96FCE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5F702323" w14:textId="77777777" w:rsidTr="001A1ED9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FB962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7AD36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A479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5DBE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2D2C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4C115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</w:tr>
      <w:tr w:rsidR="00DE3B30" w:rsidRPr="009273A2" w14:paraId="63F26816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0CDC1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24F5C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6C25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7452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666C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2828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725DF947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000DC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DF533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27.47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9A57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DC44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DC52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FF16F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</w:tr>
      <w:tr w:rsidR="00DE3B30" w:rsidRPr="009273A2" w14:paraId="774C35F7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0FD59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102E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27.49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8E2D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298A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8121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9B58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</w:tr>
      <w:tr w:rsidR="00DE3B30" w:rsidRPr="009273A2" w14:paraId="3208810D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F2B02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1C351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27.60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EE13A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001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F959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AB401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</w:tr>
      <w:tr w:rsidR="00DE3B30" w:rsidRPr="009273A2" w14:paraId="5F6BD144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B9EC7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DD9B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06EAE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EE4A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6800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E76AE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</w:tr>
      <w:tr w:rsidR="00DE3B30" w:rsidRPr="009273A2" w14:paraId="3F92BCDF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818A9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6E801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28.14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F5BAE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22F0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2D6D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57913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</w:tr>
      <w:tr w:rsidR="00DE3B30" w:rsidRPr="009273A2" w14:paraId="32309954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49139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42C38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28.14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14B90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D0BD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E58F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38561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</w:tr>
      <w:tr w:rsidR="00DE3B30" w:rsidRPr="009273A2" w14:paraId="10A4F980" w14:textId="77777777" w:rsidTr="001A1ED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7031C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F099D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28.22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0879B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084B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0DEC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8E70E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</w:tr>
      <w:tr w:rsidR="00DE3B30" w:rsidRPr="009273A2" w14:paraId="650FEFC8" w14:textId="77777777" w:rsidTr="001A1ED9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46F41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CDC97" w14:textId="77777777" w:rsidR="00DE3B30" w:rsidRPr="009273A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273A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28.89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6DBD" w14:textId="77777777" w:rsidR="00DE3B30" w:rsidRPr="00953742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3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C02F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7A5A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C024" w14:textId="77777777" w:rsidR="00DE3B30" w:rsidRPr="001A1ED9" w:rsidRDefault="00DE3B30" w:rsidP="007A3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NEGATIVE</w:t>
            </w:r>
          </w:p>
        </w:tc>
      </w:tr>
    </w:tbl>
    <w:p w14:paraId="2F6EA92B" w14:textId="541E853B" w:rsidR="00DE3B30" w:rsidRDefault="00DE3B30" w:rsidP="00DE3B30">
      <w:pPr>
        <w:jc w:val="center"/>
        <w:rPr>
          <w:lang w:val="en-US"/>
        </w:rPr>
      </w:pPr>
      <w:r w:rsidRPr="00DD639B">
        <w:rPr>
          <w:b/>
          <w:bCs/>
          <w:lang w:val="en-US"/>
        </w:rPr>
        <w:t>Table</w:t>
      </w:r>
      <w:r>
        <w:rPr>
          <w:b/>
          <w:bCs/>
          <w:lang w:val="en-US"/>
        </w:rPr>
        <w:t xml:space="preserve"> 3</w:t>
      </w:r>
      <w:r w:rsidRPr="00DD639B"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 w:rsidRPr="00DE3B30">
        <w:rPr>
          <w:lang w:val="en-US"/>
        </w:rPr>
        <w:t>Effect of one freeze thaw on the ability to detect SARS-CoV-2 by Direct RT-LAMP assay</w:t>
      </w:r>
    </w:p>
    <w:p w14:paraId="26B54CB9" w14:textId="77777777" w:rsidR="007D4EEE" w:rsidRDefault="007D4EEE" w:rsidP="005A302A">
      <w:pPr>
        <w:jc w:val="both"/>
        <w:rPr>
          <w:rFonts w:cstheme="minorHAnsi"/>
        </w:rPr>
      </w:pPr>
    </w:p>
    <w:p w14:paraId="6756CDEC" w14:textId="1715499A" w:rsidR="005A302A" w:rsidRPr="00FD5D5A" w:rsidRDefault="00083506" w:rsidP="005A302A">
      <w:pPr>
        <w:jc w:val="both"/>
        <w:rPr>
          <w:lang w:val="en-US"/>
        </w:rPr>
      </w:pPr>
      <w:r w:rsidRPr="005A302A">
        <w:rPr>
          <w:rFonts w:cstheme="minorHAnsi"/>
        </w:rPr>
        <w:t xml:space="preserve">Wilson-Davies </w:t>
      </w:r>
      <w:r w:rsidRPr="005A302A">
        <w:rPr>
          <w:rFonts w:cstheme="minorHAnsi"/>
          <w:i/>
          <w:iCs/>
        </w:rPr>
        <w:t>et al.</w:t>
      </w:r>
      <w:r w:rsidRPr="005A302A">
        <w:rPr>
          <w:rFonts w:cstheme="minorHAnsi"/>
          <w:b/>
          <w:bCs/>
          <w:i/>
          <w:iCs/>
        </w:rPr>
        <w:t xml:space="preserve"> </w:t>
      </w:r>
      <w:r w:rsidRPr="005A302A">
        <w:rPr>
          <w:rFonts w:cstheme="minorHAnsi"/>
        </w:rPr>
        <w:t>state</w:t>
      </w:r>
      <w:r w:rsidR="00BB73DB" w:rsidRPr="005A302A">
        <w:rPr>
          <w:rFonts w:cstheme="minorHAnsi"/>
        </w:rPr>
        <w:t xml:space="preserve"> “A sample of &gt;10,000,000 (&gt;10</w:t>
      </w:r>
      <w:r w:rsidR="00BB73DB" w:rsidRPr="005A302A">
        <w:rPr>
          <w:rFonts w:cstheme="minorHAnsi"/>
          <w:vertAlign w:val="superscript"/>
        </w:rPr>
        <w:t>7</w:t>
      </w:r>
      <w:r w:rsidR="00BB73DB" w:rsidRPr="005A302A">
        <w:rPr>
          <w:rFonts w:cstheme="minorHAnsi"/>
        </w:rPr>
        <w:t xml:space="preserve">) digital copies/mL (dc/mL), collected from a symptomatic NHS staff member, swabbed on day one of symptoms, produced a negative result when tested by the OptiGene </w:t>
      </w:r>
      <w:r w:rsidR="00B81C07">
        <w:rPr>
          <w:rFonts w:cstheme="minorHAnsi"/>
        </w:rPr>
        <w:t>D</w:t>
      </w:r>
      <w:r w:rsidR="00BB73DB" w:rsidRPr="005A302A">
        <w:rPr>
          <w:rFonts w:cstheme="minorHAnsi"/>
        </w:rPr>
        <w:t>irect LAMP method. Similarly, a swab from an asymptomatic staff member, a target group for this assay, with 2,500,000 (2.5x10</w:t>
      </w:r>
      <w:r w:rsidR="00BB73DB" w:rsidRPr="005A302A">
        <w:rPr>
          <w:rFonts w:cstheme="minorHAnsi"/>
          <w:vertAlign w:val="superscript"/>
        </w:rPr>
        <w:t>6</w:t>
      </w:r>
      <w:r w:rsidR="00BB73DB" w:rsidRPr="005A302A">
        <w:rPr>
          <w:rFonts w:cstheme="minorHAnsi"/>
        </w:rPr>
        <w:t>) dc/mL was missed. A false negative result, with a high viral load, is a patient safety risk, particularly if the sample belongs to an asymptomatic member of staff”. Taking the adjusted dc/ml from Table 1, these two samples would be</w:t>
      </w:r>
      <w:r w:rsidR="001562B9">
        <w:rPr>
          <w:rFonts w:cstheme="minorHAnsi"/>
        </w:rPr>
        <w:t>:</w:t>
      </w:r>
      <w:r w:rsidR="00BB73DB" w:rsidRPr="005A302A">
        <w:rPr>
          <w:rFonts w:cstheme="minorHAnsi"/>
        </w:rPr>
        <w:t xml:space="preserve"> symptomatic: </w:t>
      </w:r>
      <w:r w:rsidR="001562B9">
        <w:rPr>
          <w:rFonts w:cstheme="minorHAnsi"/>
        </w:rPr>
        <w:t>[</w:t>
      </w:r>
      <w:r w:rsidR="00BB73DB" w:rsidRPr="005A302A">
        <w:rPr>
          <w:rFonts w:cstheme="minorHAnsi"/>
        </w:rPr>
        <w:t>10</w:t>
      </w:r>
      <w:r w:rsidR="00BB73DB" w:rsidRPr="005A302A">
        <w:rPr>
          <w:rFonts w:cstheme="minorHAnsi"/>
          <w:vertAlign w:val="superscript"/>
        </w:rPr>
        <w:t>4</w:t>
      </w:r>
      <w:r w:rsidR="00BB73DB" w:rsidRPr="005A302A">
        <w:rPr>
          <w:rFonts w:cstheme="minorHAnsi"/>
        </w:rPr>
        <w:t>-10</w:t>
      </w:r>
      <w:r w:rsidR="00BB73DB" w:rsidRPr="005A302A">
        <w:rPr>
          <w:rFonts w:cstheme="minorHAnsi"/>
          <w:vertAlign w:val="superscript"/>
        </w:rPr>
        <w:t>6</w:t>
      </w:r>
      <w:r w:rsidR="001562B9">
        <w:rPr>
          <w:rFonts w:cstheme="minorHAnsi"/>
        </w:rPr>
        <w:t>]</w:t>
      </w:r>
      <w:r w:rsidR="00BB73DB" w:rsidRPr="005A302A">
        <w:rPr>
          <w:rFonts w:cstheme="minorHAnsi"/>
          <w:vertAlign w:val="superscript"/>
        </w:rPr>
        <w:t xml:space="preserve"> </w:t>
      </w:r>
      <w:r w:rsidR="00BB73DB" w:rsidRPr="005A302A">
        <w:rPr>
          <w:rFonts w:cstheme="minorHAnsi"/>
        </w:rPr>
        <w:t>and</w:t>
      </w:r>
      <w:r w:rsidR="00BB73DB" w:rsidRPr="005A302A">
        <w:rPr>
          <w:rFonts w:cstheme="minorHAnsi"/>
          <w:vertAlign w:val="superscript"/>
        </w:rPr>
        <w:t xml:space="preserve"> </w:t>
      </w:r>
      <w:r w:rsidR="00BB73DB" w:rsidRPr="005A302A">
        <w:rPr>
          <w:rFonts w:cstheme="minorHAnsi"/>
        </w:rPr>
        <w:t xml:space="preserve">asymptomatic </w:t>
      </w:r>
      <w:r w:rsidR="001562B9">
        <w:rPr>
          <w:rFonts w:cstheme="minorHAnsi"/>
        </w:rPr>
        <w:t>[</w:t>
      </w:r>
      <w:r w:rsidR="00BB73DB" w:rsidRPr="005A302A">
        <w:rPr>
          <w:rFonts w:cstheme="minorHAnsi"/>
        </w:rPr>
        <w:t>10</w:t>
      </w:r>
      <w:r w:rsidR="00BB73DB" w:rsidRPr="005A302A">
        <w:rPr>
          <w:rFonts w:cstheme="minorHAnsi"/>
          <w:vertAlign w:val="superscript"/>
        </w:rPr>
        <w:t>3</w:t>
      </w:r>
      <w:r w:rsidR="00BB73DB" w:rsidRPr="005A302A">
        <w:rPr>
          <w:rFonts w:cstheme="minorHAnsi"/>
        </w:rPr>
        <w:t>-10</w:t>
      </w:r>
      <w:r w:rsidR="00BB73DB" w:rsidRPr="005A302A">
        <w:rPr>
          <w:rFonts w:cstheme="minorHAnsi"/>
          <w:vertAlign w:val="superscript"/>
        </w:rPr>
        <w:t>5</w:t>
      </w:r>
      <w:r w:rsidR="001562B9">
        <w:rPr>
          <w:rFonts w:cstheme="minorHAnsi"/>
        </w:rPr>
        <w:t>]</w:t>
      </w:r>
      <w:r w:rsidR="00BB73DB" w:rsidRPr="005A302A">
        <w:rPr>
          <w:rFonts w:cstheme="minorHAnsi"/>
        </w:rPr>
        <w:t xml:space="preserve"> which are well within the range of detection</w:t>
      </w:r>
      <w:r w:rsidR="00B60345">
        <w:rPr>
          <w:rFonts w:cstheme="minorHAnsi"/>
        </w:rPr>
        <w:t xml:space="preserve"> and</w:t>
      </w:r>
      <w:r w:rsidR="005A0CF7" w:rsidRPr="005A302A">
        <w:rPr>
          <w:rFonts w:cstheme="minorHAnsi"/>
        </w:rPr>
        <w:t xml:space="preserve"> also detected</w:t>
      </w:r>
      <w:r w:rsidR="00B81C07">
        <w:rPr>
          <w:rFonts w:cstheme="minorHAnsi"/>
        </w:rPr>
        <w:t xml:space="preserve"> in other samples</w:t>
      </w:r>
      <w:r w:rsidR="005A0CF7" w:rsidRPr="005A302A">
        <w:rPr>
          <w:rFonts w:cstheme="minorHAnsi"/>
        </w:rPr>
        <w:t xml:space="preserve"> by this team</w:t>
      </w:r>
      <w:r w:rsidR="00FD5D5A">
        <w:rPr>
          <w:rFonts w:cstheme="minorHAnsi"/>
        </w:rPr>
        <w:t xml:space="preserve">. </w:t>
      </w:r>
      <w:r w:rsidR="002F1072">
        <w:rPr>
          <w:rFonts w:cstheme="minorHAnsi"/>
        </w:rPr>
        <w:t xml:space="preserve">Explanations for the above </w:t>
      </w:r>
      <w:r w:rsidR="00B81C07">
        <w:rPr>
          <w:rFonts w:cstheme="minorHAnsi"/>
        </w:rPr>
        <w:t xml:space="preserve">result </w:t>
      </w:r>
      <w:r w:rsidR="002F1072">
        <w:rPr>
          <w:rFonts w:cstheme="minorHAnsi"/>
        </w:rPr>
        <w:t>include</w:t>
      </w:r>
      <w:r w:rsidR="00B81C07">
        <w:rPr>
          <w:rFonts w:cstheme="minorHAnsi"/>
        </w:rPr>
        <w:t>:</w:t>
      </w:r>
      <w:r w:rsidR="003C5EE1">
        <w:rPr>
          <w:rFonts w:cstheme="minorHAnsi"/>
        </w:rPr>
        <w:t xml:space="preserve"> </w:t>
      </w:r>
      <w:r w:rsidR="00B81C07">
        <w:rPr>
          <w:rFonts w:cstheme="minorHAnsi"/>
        </w:rPr>
        <w:t xml:space="preserve">a) the effect of freeze thawing which would have no effect on RT-qPCR detection, but profound effects on </w:t>
      </w:r>
      <w:r w:rsidR="00C948F2">
        <w:rPr>
          <w:rFonts w:cstheme="minorHAnsi"/>
        </w:rPr>
        <w:t>RT-</w:t>
      </w:r>
      <w:r w:rsidR="00B81C07">
        <w:rPr>
          <w:rFonts w:cstheme="minorHAnsi"/>
        </w:rPr>
        <w:t>LAMP detection (as described above)</w:t>
      </w:r>
      <w:r w:rsidR="00C948F2">
        <w:rPr>
          <w:rFonts w:cstheme="minorHAnsi"/>
        </w:rPr>
        <w:t>,</w:t>
      </w:r>
      <w:r w:rsidR="00B81C07">
        <w:rPr>
          <w:rFonts w:cstheme="minorHAnsi"/>
        </w:rPr>
        <w:t xml:space="preserve"> or b) </w:t>
      </w:r>
      <w:r w:rsidR="002F1072">
        <w:rPr>
          <w:rFonts w:cstheme="minorHAnsi"/>
        </w:rPr>
        <w:t>the</w:t>
      </w:r>
      <w:r w:rsidR="00BB73DB" w:rsidRPr="005A302A">
        <w:rPr>
          <w:rFonts w:cstheme="minorHAnsi"/>
        </w:rPr>
        <w:t xml:space="preserve"> technical performance of the </w:t>
      </w:r>
      <w:r w:rsidR="00016158">
        <w:rPr>
          <w:rFonts w:cstheme="minorHAnsi"/>
        </w:rPr>
        <w:t>operator</w:t>
      </w:r>
      <w:r w:rsidR="00BB73DB" w:rsidRPr="005A302A">
        <w:rPr>
          <w:rFonts w:cstheme="minorHAnsi"/>
        </w:rPr>
        <w:t xml:space="preserve">. </w:t>
      </w:r>
      <w:r w:rsidR="005A302A" w:rsidRPr="005A302A">
        <w:rPr>
          <w:rFonts w:cstheme="minorHAnsi"/>
        </w:rPr>
        <w:t>NEQAS verification for technical performance of this assay is a prerequisite to ensure consistent and expected performance before the assay is used on clinical samples.</w:t>
      </w:r>
      <w:r w:rsidR="005A302A">
        <w:rPr>
          <w:rFonts w:cstheme="minorHAnsi"/>
        </w:rPr>
        <w:t xml:space="preserve"> We have worked with NEQAS to construct a validation panel that all sites must utilise before running the </w:t>
      </w:r>
      <w:r w:rsidR="00166E4C">
        <w:rPr>
          <w:rFonts w:cstheme="minorHAnsi"/>
        </w:rPr>
        <w:t>D</w:t>
      </w:r>
      <w:r w:rsidR="005A302A">
        <w:rPr>
          <w:rFonts w:cstheme="minorHAnsi"/>
        </w:rPr>
        <w:t xml:space="preserve">irect </w:t>
      </w:r>
      <w:r w:rsidR="00185EC4">
        <w:rPr>
          <w:rFonts w:cstheme="minorHAnsi"/>
        </w:rPr>
        <w:t xml:space="preserve">PLUS </w:t>
      </w:r>
      <w:r w:rsidR="005A302A">
        <w:rPr>
          <w:rFonts w:cstheme="minorHAnsi"/>
        </w:rPr>
        <w:t xml:space="preserve">RT-LAMP assay and has been validated by multiple independent sites. </w:t>
      </w:r>
      <w:r w:rsidR="001D58A2">
        <w:rPr>
          <w:rFonts w:cstheme="minorHAnsi"/>
        </w:rPr>
        <w:t xml:space="preserve">This panel will be listed on the NEQAS website in due course. </w:t>
      </w:r>
      <w:r w:rsidR="00016158">
        <w:rPr>
          <w:rFonts w:cstheme="minorHAnsi"/>
        </w:rPr>
        <w:t>Unfortunately,</w:t>
      </w:r>
      <w:r w:rsidR="005A302A">
        <w:rPr>
          <w:rFonts w:cstheme="minorHAnsi"/>
        </w:rPr>
        <w:t xml:space="preserve"> </w:t>
      </w:r>
      <w:r w:rsidR="00016158" w:rsidRPr="005A302A">
        <w:rPr>
          <w:rFonts w:cstheme="minorHAnsi"/>
        </w:rPr>
        <w:t xml:space="preserve">Wilson-Davies </w:t>
      </w:r>
      <w:r w:rsidR="00016158" w:rsidRPr="005A302A">
        <w:rPr>
          <w:rFonts w:cstheme="minorHAnsi"/>
          <w:i/>
          <w:iCs/>
        </w:rPr>
        <w:t>et al.</w:t>
      </w:r>
      <w:r w:rsidR="00016158" w:rsidRPr="005A302A">
        <w:rPr>
          <w:rFonts w:cstheme="minorHAnsi"/>
          <w:b/>
          <w:bCs/>
          <w:i/>
          <w:iCs/>
        </w:rPr>
        <w:t xml:space="preserve"> </w:t>
      </w:r>
      <w:r w:rsidR="005A302A">
        <w:rPr>
          <w:rFonts w:cstheme="minorHAnsi"/>
        </w:rPr>
        <w:t xml:space="preserve">have </w:t>
      </w:r>
      <w:r w:rsidR="002F1072">
        <w:rPr>
          <w:rFonts w:cstheme="minorHAnsi"/>
        </w:rPr>
        <w:t xml:space="preserve">to date </w:t>
      </w:r>
      <w:r w:rsidR="005A302A">
        <w:rPr>
          <w:rFonts w:cstheme="minorHAnsi"/>
        </w:rPr>
        <w:t xml:space="preserve">not </w:t>
      </w:r>
      <w:r w:rsidR="002F1072">
        <w:rPr>
          <w:rFonts w:cstheme="minorHAnsi"/>
        </w:rPr>
        <w:t xml:space="preserve">participated in </w:t>
      </w:r>
      <w:r w:rsidR="005A302A">
        <w:rPr>
          <w:rFonts w:cstheme="minorHAnsi"/>
        </w:rPr>
        <w:t xml:space="preserve">this quality assurance programme and therefore </w:t>
      </w:r>
      <w:r w:rsidR="009840C6">
        <w:rPr>
          <w:rFonts w:cstheme="minorHAnsi"/>
        </w:rPr>
        <w:t>cannot guarantee</w:t>
      </w:r>
      <w:r w:rsidR="006D0AE2">
        <w:rPr>
          <w:rFonts w:cstheme="minorHAnsi"/>
        </w:rPr>
        <w:t xml:space="preserve"> </w:t>
      </w:r>
      <w:r w:rsidR="00B81C07">
        <w:rPr>
          <w:rFonts w:cstheme="minorHAnsi"/>
        </w:rPr>
        <w:t>or</w:t>
      </w:r>
      <w:r w:rsidR="006D0AE2">
        <w:rPr>
          <w:rFonts w:cstheme="minorHAnsi"/>
        </w:rPr>
        <w:t xml:space="preserve"> substantiate</w:t>
      </w:r>
      <w:r w:rsidR="009840C6">
        <w:rPr>
          <w:rFonts w:cstheme="minorHAnsi"/>
        </w:rPr>
        <w:t xml:space="preserve"> the technical performance of </w:t>
      </w:r>
      <w:r w:rsidR="00B81C07">
        <w:rPr>
          <w:rFonts w:cstheme="minorHAnsi"/>
        </w:rPr>
        <w:t>the assay in their hands</w:t>
      </w:r>
      <w:r w:rsidR="009840C6">
        <w:rPr>
          <w:rFonts w:cstheme="minorHAnsi"/>
        </w:rPr>
        <w:t xml:space="preserve">. </w:t>
      </w:r>
    </w:p>
    <w:p w14:paraId="7C20DF9E" w14:textId="0DE65075" w:rsidR="009840C6" w:rsidRPr="00FD5D5A" w:rsidRDefault="0025671F" w:rsidP="009840C6">
      <w:pPr>
        <w:jc w:val="both"/>
        <w:rPr>
          <w:rFonts w:cstheme="minorHAnsi"/>
        </w:rPr>
      </w:pPr>
      <w:r>
        <w:rPr>
          <w:rFonts w:cstheme="minorHAnsi"/>
        </w:rPr>
        <w:t>Fifthly</w:t>
      </w:r>
      <w:r w:rsidR="005A0CF7" w:rsidRPr="009840C6">
        <w:rPr>
          <w:rFonts w:cstheme="minorHAnsi"/>
        </w:rPr>
        <w:t xml:space="preserve">, this laboratory had previously reported </w:t>
      </w:r>
      <w:r w:rsidR="0024666E">
        <w:rPr>
          <w:rFonts w:cstheme="minorHAnsi"/>
        </w:rPr>
        <w:t xml:space="preserve">to two signatories on this letter </w:t>
      </w:r>
      <w:r w:rsidR="009840C6">
        <w:rPr>
          <w:rFonts w:cstheme="minorHAnsi"/>
        </w:rPr>
        <w:t>(</w:t>
      </w:r>
      <w:r w:rsidR="00016158">
        <w:rPr>
          <w:rFonts w:cstheme="minorHAnsi"/>
        </w:rPr>
        <w:t>Fowler and Kidd</w:t>
      </w:r>
      <w:r w:rsidR="006B56EB">
        <w:rPr>
          <w:rFonts w:cstheme="minorHAnsi"/>
        </w:rPr>
        <w:t>,</w:t>
      </w:r>
      <w:r w:rsidR="00625859">
        <w:rPr>
          <w:rFonts w:cstheme="minorHAnsi"/>
        </w:rPr>
        <w:t xml:space="preserve"> </w:t>
      </w:r>
      <w:r w:rsidR="009840C6">
        <w:rPr>
          <w:rFonts w:cstheme="minorHAnsi"/>
        </w:rPr>
        <w:t xml:space="preserve">personal communication) </w:t>
      </w:r>
      <w:r w:rsidR="0024666E" w:rsidRPr="009840C6">
        <w:rPr>
          <w:rFonts w:cstheme="minorHAnsi"/>
        </w:rPr>
        <w:t>a</w:t>
      </w:r>
      <w:r w:rsidR="0024666E">
        <w:rPr>
          <w:rFonts w:cstheme="minorHAnsi"/>
        </w:rPr>
        <w:t>n in</w:t>
      </w:r>
      <w:r w:rsidR="0024666E" w:rsidRPr="009840C6">
        <w:rPr>
          <w:rFonts w:cstheme="minorHAnsi"/>
        </w:rPr>
        <w:t xml:space="preserve">ability </w:t>
      </w:r>
      <w:r w:rsidR="005A0CF7" w:rsidRPr="009840C6">
        <w:rPr>
          <w:rFonts w:cstheme="minorHAnsi"/>
        </w:rPr>
        <w:t xml:space="preserve">to reproduce sensitivities expected for the RNA RT-LAMP assay. A training visit was made to </w:t>
      </w:r>
      <w:r w:rsidR="009840C6">
        <w:rPr>
          <w:rFonts w:cstheme="minorHAnsi"/>
        </w:rPr>
        <w:t>this laboratory</w:t>
      </w:r>
      <w:r w:rsidR="00016158">
        <w:rPr>
          <w:rFonts w:cstheme="minorHAnsi"/>
        </w:rPr>
        <w:t xml:space="preserve"> in August 2020</w:t>
      </w:r>
      <w:r w:rsidR="005A0CF7" w:rsidRPr="009840C6">
        <w:rPr>
          <w:rFonts w:cstheme="minorHAnsi"/>
        </w:rPr>
        <w:t xml:space="preserve">, and </w:t>
      </w:r>
      <w:r w:rsidR="00B4244C" w:rsidRPr="009840C6">
        <w:rPr>
          <w:rFonts w:cstheme="minorHAnsi"/>
        </w:rPr>
        <w:t>several</w:t>
      </w:r>
      <w:r w:rsidR="005A0CF7" w:rsidRPr="009840C6">
        <w:rPr>
          <w:rFonts w:cstheme="minorHAnsi"/>
        </w:rPr>
        <w:t xml:space="preserve"> critical observations were </w:t>
      </w:r>
      <w:r w:rsidR="00625859">
        <w:rPr>
          <w:rFonts w:cstheme="minorHAnsi"/>
        </w:rPr>
        <w:t xml:space="preserve">constructively </w:t>
      </w:r>
      <w:r w:rsidR="005A0CF7" w:rsidRPr="009840C6">
        <w:rPr>
          <w:rFonts w:cstheme="minorHAnsi"/>
        </w:rPr>
        <w:t xml:space="preserve">made, the most significant of which was lack of mixing of the </w:t>
      </w:r>
      <w:proofErr w:type="spellStart"/>
      <w:r w:rsidR="005A0CF7" w:rsidRPr="009840C6">
        <w:rPr>
          <w:rFonts w:cstheme="minorHAnsi"/>
        </w:rPr>
        <w:t>mastermix</w:t>
      </w:r>
      <w:proofErr w:type="spellEnd"/>
      <w:r w:rsidR="00B4244C" w:rsidRPr="009840C6">
        <w:rPr>
          <w:rFonts w:cstheme="minorHAnsi"/>
        </w:rPr>
        <w:t xml:space="preserve"> and the RNA </w:t>
      </w:r>
      <w:r w:rsidR="00B4244C" w:rsidRPr="009840C6">
        <w:rPr>
          <w:rFonts w:cstheme="minorHAnsi"/>
        </w:rPr>
        <w:lastRenderedPageBreak/>
        <w:t>sample</w:t>
      </w:r>
      <w:r w:rsidR="005A0CF7" w:rsidRPr="009840C6">
        <w:rPr>
          <w:rFonts w:cstheme="minorHAnsi"/>
        </w:rPr>
        <w:t xml:space="preserve"> prior to use. During that visit</w:t>
      </w:r>
      <w:r w:rsidR="00FF0630">
        <w:rPr>
          <w:rFonts w:cstheme="minorHAnsi"/>
        </w:rPr>
        <w:t>,</w:t>
      </w:r>
      <w:r w:rsidR="005A0CF7" w:rsidRPr="009840C6">
        <w:rPr>
          <w:rFonts w:cstheme="minorHAnsi"/>
        </w:rPr>
        <w:t xml:space="preserve"> a number of samples were </w:t>
      </w:r>
      <w:r w:rsidR="00B4244C" w:rsidRPr="009840C6">
        <w:rPr>
          <w:rFonts w:cstheme="minorHAnsi"/>
        </w:rPr>
        <w:t xml:space="preserve">provided by </w:t>
      </w:r>
      <w:r w:rsidR="00A059AC">
        <w:rPr>
          <w:rFonts w:cstheme="minorHAnsi"/>
        </w:rPr>
        <w:t>this group</w:t>
      </w:r>
      <w:r w:rsidR="00C23FBF">
        <w:rPr>
          <w:rFonts w:cstheme="minorHAnsi"/>
        </w:rPr>
        <w:t>’</w:t>
      </w:r>
      <w:r w:rsidR="00A059AC">
        <w:rPr>
          <w:rFonts w:cstheme="minorHAnsi"/>
        </w:rPr>
        <w:t>s</w:t>
      </w:r>
      <w:r w:rsidR="00B4244C" w:rsidRPr="009840C6">
        <w:rPr>
          <w:rFonts w:cstheme="minorHAnsi"/>
        </w:rPr>
        <w:t xml:space="preserve"> l</w:t>
      </w:r>
      <w:r w:rsidR="005A0CF7" w:rsidRPr="009840C6">
        <w:rPr>
          <w:rFonts w:cstheme="minorHAnsi"/>
        </w:rPr>
        <w:t xml:space="preserve">aboratory and were run under the supervision of RT-LAMP </w:t>
      </w:r>
      <w:r>
        <w:rPr>
          <w:rFonts w:cstheme="minorHAnsi"/>
        </w:rPr>
        <w:t xml:space="preserve">assay </w:t>
      </w:r>
      <w:r w:rsidR="005A0CF7" w:rsidRPr="009840C6">
        <w:rPr>
          <w:rFonts w:cstheme="minorHAnsi"/>
        </w:rPr>
        <w:t>experts. With proper mixing of</w:t>
      </w:r>
      <w:r w:rsidR="00B4244C" w:rsidRPr="009840C6">
        <w:rPr>
          <w:rFonts w:cstheme="minorHAnsi"/>
        </w:rPr>
        <w:t xml:space="preserve"> </w:t>
      </w:r>
      <w:proofErr w:type="spellStart"/>
      <w:r w:rsidR="00B4244C" w:rsidRPr="009840C6">
        <w:rPr>
          <w:rFonts w:cstheme="minorHAnsi"/>
        </w:rPr>
        <w:t>mastermix</w:t>
      </w:r>
      <w:proofErr w:type="spellEnd"/>
      <w:r w:rsidR="00B4244C" w:rsidRPr="009840C6">
        <w:rPr>
          <w:rFonts w:cstheme="minorHAnsi"/>
        </w:rPr>
        <w:t xml:space="preserve"> </w:t>
      </w:r>
      <w:r w:rsidR="005A0CF7" w:rsidRPr="009840C6">
        <w:rPr>
          <w:rFonts w:cstheme="minorHAnsi"/>
        </w:rPr>
        <w:t xml:space="preserve">and RNA, </w:t>
      </w:r>
      <w:r>
        <w:rPr>
          <w:rFonts w:cstheme="minorHAnsi"/>
        </w:rPr>
        <w:t xml:space="preserve">at this time, </w:t>
      </w:r>
      <w:r w:rsidR="005A0CF7" w:rsidRPr="009840C6">
        <w:rPr>
          <w:rFonts w:cstheme="minorHAnsi"/>
        </w:rPr>
        <w:t xml:space="preserve">this laboratory produced the expected performance of the </w:t>
      </w:r>
      <w:r>
        <w:rPr>
          <w:rFonts w:cstheme="minorHAnsi"/>
        </w:rPr>
        <w:t>assay</w:t>
      </w:r>
      <w:r w:rsidR="00016158">
        <w:rPr>
          <w:rFonts w:cstheme="minorHAnsi"/>
        </w:rPr>
        <w:t xml:space="preserve"> as </w:t>
      </w:r>
      <w:r>
        <w:rPr>
          <w:rFonts w:cstheme="minorHAnsi"/>
        </w:rPr>
        <w:t>agreed</w:t>
      </w:r>
      <w:r w:rsidR="00016158">
        <w:rPr>
          <w:rFonts w:cstheme="minorHAnsi"/>
        </w:rPr>
        <w:t xml:space="preserve"> </w:t>
      </w:r>
      <w:r w:rsidR="002F1072">
        <w:rPr>
          <w:rFonts w:cstheme="minorHAnsi"/>
        </w:rPr>
        <w:t xml:space="preserve">by </w:t>
      </w:r>
      <w:r w:rsidR="00A059AC">
        <w:rPr>
          <w:rFonts w:cstheme="minorHAnsi"/>
        </w:rPr>
        <w:t>the</w:t>
      </w:r>
      <w:r w:rsidR="00016158">
        <w:rPr>
          <w:rFonts w:cstheme="minorHAnsi"/>
        </w:rPr>
        <w:t xml:space="preserve"> laboratory team at the time</w:t>
      </w:r>
      <w:r w:rsidR="005A0CF7" w:rsidRPr="009840C6">
        <w:rPr>
          <w:rFonts w:cstheme="minorHAnsi"/>
        </w:rPr>
        <w:t xml:space="preserve">. No such training has ever been provided for the Direct </w:t>
      </w:r>
      <w:r w:rsidR="00185EC4">
        <w:rPr>
          <w:rFonts w:cstheme="minorHAnsi"/>
        </w:rPr>
        <w:t xml:space="preserve">PLUS </w:t>
      </w:r>
      <w:r w:rsidR="005A0CF7" w:rsidRPr="009840C6">
        <w:rPr>
          <w:rFonts w:cstheme="minorHAnsi"/>
        </w:rPr>
        <w:t>RT-LAMP</w:t>
      </w:r>
      <w:r>
        <w:rPr>
          <w:rFonts w:cstheme="minorHAnsi"/>
        </w:rPr>
        <w:t xml:space="preserve"> assay</w:t>
      </w:r>
      <w:r w:rsidR="005A0CF7" w:rsidRPr="009840C6">
        <w:rPr>
          <w:rFonts w:cstheme="minorHAnsi"/>
        </w:rPr>
        <w:t xml:space="preserve"> protocol</w:t>
      </w:r>
      <w:r w:rsidR="00B4244C" w:rsidRPr="009840C6">
        <w:rPr>
          <w:rFonts w:cstheme="minorHAnsi"/>
        </w:rPr>
        <w:t>. C</w:t>
      </w:r>
      <w:r w:rsidR="005A0CF7" w:rsidRPr="009840C6">
        <w:rPr>
          <w:rFonts w:cstheme="minorHAnsi"/>
        </w:rPr>
        <w:t>ritically the Direct</w:t>
      </w:r>
      <w:r w:rsidR="00185EC4">
        <w:rPr>
          <w:rFonts w:cstheme="minorHAnsi"/>
        </w:rPr>
        <w:t xml:space="preserve"> PLUS</w:t>
      </w:r>
      <w:r w:rsidR="005A0CF7" w:rsidRPr="009840C6">
        <w:rPr>
          <w:rFonts w:cstheme="minorHAnsi"/>
        </w:rPr>
        <w:t xml:space="preserve"> RT-LAMP </w:t>
      </w:r>
      <w:r>
        <w:rPr>
          <w:rFonts w:cstheme="minorHAnsi"/>
        </w:rPr>
        <w:t xml:space="preserve">assay </w:t>
      </w:r>
      <w:r w:rsidR="005A0CF7" w:rsidRPr="009840C6">
        <w:rPr>
          <w:rFonts w:cstheme="minorHAnsi"/>
        </w:rPr>
        <w:t>mix is much more viscous than the RNA RT-LAMP</w:t>
      </w:r>
      <w:r>
        <w:rPr>
          <w:rFonts w:cstheme="minorHAnsi"/>
        </w:rPr>
        <w:t xml:space="preserve"> assay</w:t>
      </w:r>
      <w:r w:rsidR="005A0CF7" w:rsidRPr="009840C6">
        <w:rPr>
          <w:rFonts w:cstheme="minorHAnsi"/>
        </w:rPr>
        <w:t xml:space="preserve"> mix</w:t>
      </w:r>
      <w:r w:rsidR="00246479" w:rsidRPr="009840C6">
        <w:rPr>
          <w:rFonts w:cstheme="minorHAnsi"/>
        </w:rPr>
        <w:t xml:space="preserve"> so if the same behaviours observed during the training visit for RNA RT-LAMP remained during the performance of the Direct </w:t>
      </w:r>
      <w:r w:rsidR="00185EC4">
        <w:rPr>
          <w:rFonts w:cstheme="minorHAnsi"/>
        </w:rPr>
        <w:t xml:space="preserve">PLUS </w:t>
      </w:r>
      <w:r w:rsidR="00246479" w:rsidRPr="009840C6">
        <w:rPr>
          <w:rFonts w:cstheme="minorHAnsi"/>
        </w:rPr>
        <w:t>RT-LAMP assay</w:t>
      </w:r>
      <w:r w:rsidR="00FD5D5A">
        <w:rPr>
          <w:rFonts w:cstheme="minorHAnsi"/>
        </w:rPr>
        <w:t xml:space="preserve">, </w:t>
      </w:r>
      <w:r w:rsidR="00246479" w:rsidRPr="009840C6">
        <w:rPr>
          <w:rFonts w:cstheme="minorHAnsi"/>
        </w:rPr>
        <w:t>performance</w:t>
      </w:r>
      <w:r w:rsidR="00016158">
        <w:rPr>
          <w:rFonts w:cstheme="minorHAnsi"/>
        </w:rPr>
        <w:t xml:space="preserve"> of the assay</w:t>
      </w:r>
      <w:r w:rsidR="00246479" w:rsidRPr="009840C6">
        <w:rPr>
          <w:rFonts w:cstheme="minorHAnsi"/>
        </w:rPr>
        <w:t xml:space="preserve"> will have been </w:t>
      </w:r>
      <w:r>
        <w:rPr>
          <w:rFonts w:cstheme="minorHAnsi"/>
        </w:rPr>
        <w:t>compromised</w:t>
      </w:r>
      <w:r w:rsidR="005A0CF7" w:rsidRPr="009840C6">
        <w:rPr>
          <w:rFonts w:cstheme="minorHAnsi"/>
        </w:rPr>
        <w:t>.</w:t>
      </w:r>
      <w:r w:rsidR="00B4244C" w:rsidRPr="009840C6">
        <w:rPr>
          <w:rFonts w:cstheme="minorHAnsi"/>
        </w:rPr>
        <w:t xml:space="preserve"> </w:t>
      </w:r>
    </w:p>
    <w:p w14:paraId="737C8413" w14:textId="034D4A7C" w:rsidR="00451634" w:rsidRDefault="0025671F" w:rsidP="009840C6">
      <w:pPr>
        <w:jc w:val="both"/>
        <w:rPr>
          <w:rFonts w:cstheme="minorHAnsi"/>
          <w:b/>
          <w:bCs/>
          <w:highlight w:val="yellow"/>
        </w:rPr>
      </w:pPr>
      <w:r>
        <w:rPr>
          <w:rFonts w:cstheme="minorHAnsi"/>
        </w:rPr>
        <w:t>Sixthly</w:t>
      </w:r>
      <w:r w:rsidR="00B4244C" w:rsidRPr="009840C6">
        <w:rPr>
          <w:rFonts w:cstheme="minorHAnsi"/>
        </w:rPr>
        <w:t xml:space="preserve">, </w:t>
      </w:r>
      <w:r w:rsidR="00246479" w:rsidRPr="009840C6">
        <w:rPr>
          <w:rFonts w:cstheme="minorHAnsi"/>
        </w:rPr>
        <w:t xml:space="preserve">when working on clinical samples </w:t>
      </w:r>
      <w:r w:rsidR="00B4244C" w:rsidRPr="009840C6">
        <w:rPr>
          <w:rFonts w:cstheme="minorHAnsi"/>
        </w:rPr>
        <w:t>there is a lysis and heat step which need</w:t>
      </w:r>
      <w:r w:rsidR="00625859">
        <w:rPr>
          <w:rFonts w:cstheme="minorHAnsi"/>
        </w:rPr>
        <w:t>s</w:t>
      </w:r>
      <w:r w:rsidR="00B4244C" w:rsidRPr="009840C6">
        <w:rPr>
          <w:rFonts w:cstheme="minorHAnsi"/>
        </w:rPr>
        <w:t xml:space="preserve"> to be performed with no deviation from the IFU and dedicated bench card.</w:t>
      </w:r>
      <w:r w:rsidR="00246479" w:rsidRPr="009840C6">
        <w:rPr>
          <w:rFonts w:cstheme="minorHAnsi"/>
        </w:rPr>
        <w:t xml:space="preserve"> </w:t>
      </w:r>
      <w:r w:rsidR="00B4244C" w:rsidRPr="009840C6">
        <w:rPr>
          <w:rFonts w:cstheme="minorHAnsi"/>
        </w:rPr>
        <w:t xml:space="preserve"> </w:t>
      </w:r>
      <w:r w:rsidR="0024666E">
        <w:rPr>
          <w:rFonts w:cstheme="minorHAnsi"/>
        </w:rPr>
        <w:t>Th</w:t>
      </w:r>
      <w:r w:rsidR="003C5EE1">
        <w:rPr>
          <w:rFonts w:cstheme="minorHAnsi"/>
        </w:rPr>
        <w:t>is</w:t>
      </w:r>
      <w:r w:rsidR="0024666E">
        <w:rPr>
          <w:rFonts w:cstheme="minorHAnsi"/>
        </w:rPr>
        <w:t xml:space="preserve"> laboratory has not approached the UK quality assurance leads for LAMP testing for </w:t>
      </w:r>
      <w:r w:rsidR="00246479" w:rsidRPr="009840C6">
        <w:rPr>
          <w:rFonts w:cstheme="minorHAnsi"/>
        </w:rPr>
        <w:t>the bench card or IFU</w:t>
      </w:r>
      <w:r w:rsidR="009840C6">
        <w:rPr>
          <w:rFonts w:cstheme="minorHAnsi"/>
        </w:rPr>
        <w:t xml:space="preserve">, which may explain </w:t>
      </w:r>
      <w:r w:rsidR="00016158">
        <w:rPr>
          <w:rFonts w:cstheme="minorHAnsi"/>
        </w:rPr>
        <w:t>a loss of performance due to technical error</w:t>
      </w:r>
      <w:r w:rsidR="00246479" w:rsidRPr="009840C6">
        <w:rPr>
          <w:rFonts w:cstheme="minorHAnsi"/>
        </w:rPr>
        <w:t>.</w:t>
      </w:r>
      <w:r w:rsidR="00016158">
        <w:rPr>
          <w:b/>
          <w:bCs/>
          <w:lang w:val="en-US"/>
        </w:rPr>
        <w:t xml:space="preserve"> </w:t>
      </w:r>
      <w:r w:rsidR="00FD5D5A">
        <w:rPr>
          <w:rFonts w:cstheme="minorHAnsi"/>
        </w:rPr>
        <w:t xml:space="preserve">As mentioned above the Direct </w:t>
      </w:r>
      <w:r w:rsidR="00185EC4">
        <w:rPr>
          <w:rFonts w:cstheme="minorHAnsi"/>
        </w:rPr>
        <w:t xml:space="preserve">PLUS </w:t>
      </w:r>
      <w:r w:rsidR="00FD5D5A">
        <w:rPr>
          <w:rFonts w:cstheme="minorHAnsi"/>
        </w:rPr>
        <w:t>RT-LAMP swab assay must also be performed using nasopharyngeal or oropharyngeal swabs collected into VTM</w:t>
      </w:r>
      <w:r w:rsidR="00185EC4">
        <w:rPr>
          <w:rFonts w:cstheme="minorHAnsi"/>
        </w:rPr>
        <w:t>.</w:t>
      </w:r>
    </w:p>
    <w:p w14:paraId="29B02E3B" w14:textId="6783FBF7" w:rsidR="00EB60AA" w:rsidRPr="00B81C07" w:rsidRDefault="0025671F" w:rsidP="009840C6">
      <w:pPr>
        <w:jc w:val="both"/>
        <w:rPr>
          <w:rFonts w:cstheme="minorHAnsi"/>
        </w:rPr>
      </w:pPr>
      <w:r>
        <w:rPr>
          <w:rFonts w:cstheme="minorHAnsi"/>
        </w:rPr>
        <w:t xml:space="preserve">Seventhly, </w:t>
      </w:r>
      <w:bookmarkStart w:id="6" w:name="_Hlk59722533"/>
      <w:r w:rsidR="004175B8" w:rsidRPr="009840C6">
        <w:rPr>
          <w:rFonts w:cstheme="minorHAnsi"/>
        </w:rPr>
        <w:t xml:space="preserve">Wilson-Davies </w:t>
      </w:r>
      <w:r w:rsidR="004175B8" w:rsidRPr="009840C6">
        <w:rPr>
          <w:rFonts w:cstheme="minorHAnsi"/>
          <w:i/>
          <w:iCs/>
        </w:rPr>
        <w:t>et al.</w:t>
      </w:r>
      <w:r w:rsidR="004175B8" w:rsidRPr="009840C6">
        <w:rPr>
          <w:rFonts w:cstheme="minorHAnsi"/>
          <w:b/>
          <w:bCs/>
          <w:i/>
          <w:iCs/>
        </w:rPr>
        <w:t xml:space="preserve"> </w:t>
      </w:r>
      <w:bookmarkEnd w:id="6"/>
      <w:r w:rsidR="004175B8" w:rsidRPr="009840C6">
        <w:rPr>
          <w:rFonts w:cstheme="minorHAnsi"/>
        </w:rPr>
        <w:t>state “It has been asserted that nucleocapsid protein (N-) gene targets for qPCR are not valid for assessment of the performance of the OptiGene direct LAMP assay. The reason provided is that N-gene qPCR detects sub</w:t>
      </w:r>
      <w:r w:rsidR="001E75DB">
        <w:rPr>
          <w:rFonts w:cstheme="minorHAnsi"/>
        </w:rPr>
        <w:t>-</w:t>
      </w:r>
      <w:r w:rsidR="004175B8" w:rsidRPr="009840C6">
        <w:rPr>
          <w:rFonts w:cstheme="minorHAnsi"/>
        </w:rPr>
        <w:t>genomic mRNA that may persist, and be detectable, beyond the period of viral replication, with an inability to differentiate between RNA from replicating virus and residual RNA after a resolved infection. It is important to stress that duration of detection of sub</w:t>
      </w:r>
      <w:r w:rsidR="001B1300">
        <w:rPr>
          <w:rFonts w:cstheme="minorHAnsi"/>
        </w:rPr>
        <w:t>-</w:t>
      </w:r>
      <w:r w:rsidR="004175B8" w:rsidRPr="009840C6">
        <w:rPr>
          <w:rFonts w:cstheme="minorHAnsi"/>
        </w:rPr>
        <w:t xml:space="preserve">genomic mRNA, and its implications for infectiousness, are currently debated”. </w:t>
      </w:r>
      <w:r w:rsidR="00F0210C">
        <w:rPr>
          <w:rFonts w:cstheme="minorHAnsi"/>
        </w:rPr>
        <w:t>This statement</w:t>
      </w:r>
      <w:r w:rsidR="00F0210C" w:rsidRPr="00F0210C">
        <w:rPr>
          <w:rFonts w:cstheme="minorHAnsi"/>
        </w:rPr>
        <w:t xml:space="preserve"> </w:t>
      </w:r>
      <w:r w:rsidR="00F0210C">
        <w:rPr>
          <w:rFonts w:cstheme="minorHAnsi"/>
        </w:rPr>
        <w:t xml:space="preserve">of </w:t>
      </w:r>
      <w:r w:rsidR="00F0210C" w:rsidRPr="009840C6">
        <w:rPr>
          <w:rFonts w:cstheme="minorHAnsi"/>
        </w:rPr>
        <w:t xml:space="preserve">Wilson-Davies </w:t>
      </w:r>
      <w:r w:rsidR="00F0210C" w:rsidRPr="009840C6">
        <w:rPr>
          <w:rFonts w:cstheme="minorHAnsi"/>
          <w:i/>
          <w:iCs/>
        </w:rPr>
        <w:t>et al</w:t>
      </w:r>
      <w:r w:rsidR="00B81C07">
        <w:rPr>
          <w:rFonts w:cstheme="minorHAnsi"/>
          <w:i/>
          <w:iCs/>
        </w:rPr>
        <w:t>.,</w:t>
      </w:r>
      <w:r w:rsidR="00F0210C">
        <w:rPr>
          <w:rFonts w:cstheme="minorHAnsi"/>
        </w:rPr>
        <w:t xml:space="preserve"> is </w:t>
      </w:r>
      <w:r w:rsidR="0024666E">
        <w:rPr>
          <w:rFonts w:cstheme="minorHAnsi"/>
        </w:rPr>
        <w:t>factually incorrect</w:t>
      </w:r>
      <w:r w:rsidR="00F0210C">
        <w:rPr>
          <w:rFonts w:cstheme="minorHAnsi"/>
        </w:rPr>
        <w:t xml:space="preserve">. </w:t>
      </w:r>
      <w:r w:rsidR="004175B8" w:rsidRPr="009840C6">
        <w:rPr>
          <w:rFonts w:cstheme="minorHAnsi"/>
        </w:rPr>
        <w:t>The replicat</w:t>
      </w:r>
      <w:r w:rsidR="00166E4C">
        <w:rPr>
          <w:rFonts w:cstheme="minorHAnsi"/>
        </w:rPr>
        <w:t>ion</w:t>
      </w:r>
      <w:r w:rsidR="004175B8" w:rsidRPr="009840C6">
        <w:rPr>
          <w:rFonts w:cstheme="minorHAnsi"/>
        </w:rPr>
        <w:t xml:space="preserve"> cycle of SARS-CoV-2 is well defined</w:t>
      </w:r>
      <w:r w:rsidR="0024666E" w:rsidRPr="0024666E">
        <w:rPr>
          <w:rFonts w:cstheme="minorHAnsi"/>
        </w:rPr>
        <w:t xml:space="preserve"> </w:t>
      </w:r>
      <w:r w:rsidR="0024666E" w:rsidRPr="009840C6">
        <w:rPr>
          <w:rFonts w:cstheme="minorHAnsi"/>
        </w:rPr>
        <w:t>fundamental virology</w:t>
      </w:r>
      <w:r w:rsidR="004175B8" w:rsidRPr="009840C6">
        <w:rPr>
          <w:rFonts w:cstheme="minorHAnsi"/>
        </w:rPr>
        <w:t>, not a matter of debate</w:t>
      </w:r>
      <w:r w:rsidR="00A91ED8">
        <w:rPr>
          <w:rFonts w:cstheme="minorHAnsi"/>
          <w:vertAlign w:val="superscript"/>
        </w:rPr>
        <w:t>9</w:t>
      </w:r>
      <w:r w:rsidR="004175B8" w:rsidRPr="009840C6">
        <w:rPr>
          <w:rFonts w:cstheme="minorHAnsi"/>
        </w:rPr>
        <w:t xml:space="preserve">. </w:t>
      </w:r>
      <w:r w:rsidR="00EB60AA" w:rsidRPr="009840C6">
        <w:rPr>
          <w:rFonts w:cstheme="minorHAnsi"/>
        </w:rPr>
        <w:t xml:space="preserve">Samples have been shown by </w:t>
      </w:r>
      <w:r w:rsidR="009D755E" w:rsidRPr="009840C6">
        <w:rPr>
          <w:rFonts w:cstheme="minorHAnsi"/>
        </w:rPr>
        <w:t xml:space="preserve">multiple </w:t>
      </w:r>
      <w:r w:rsidR="00EB60AA" w:rsidRPr="009840C6">
        <w:rPr>
          <w:rFonts w:cstheme="minorHAnsi"/>
        </w:rPr>
        <w:t>different authors to remain positive for N gene for several days/weeks</w:t>
      </w:r>
      <w:r w:rsidR="00F0210C">
        <w:rPr>
          <w:rFonts w:cstheme="minorHAnsi"/>
        </w:rPr>
        <w:t>/months</w:t>
      </w:r>
      <w:r w:rsidR="00EB60AA" w:rsidRPr="009840C6">
        <w:rPr>
          <w:rFonts w:cstheme="minorHAnsi"/>
        </w:rPr>
        <w:t xml:space="preserve"> after </w:t>
      </w:r>
      <w:r w:rsidR="009D755E" w:rsidRPr="009840C6">
        <w:rPr>
          <w:rFonts w:cstheme="minorHAnsi"/>
        </w:rPr>
        <w:t xml:space="preserve">targets on </w:t>
      </w:r>
      <w:bookmarkStart w:id="7" w:name="_Hlk60080033"/>
      <w:r w:rsidR="009D755E" w:rsidRPr="009840C6">
        <w:rPr>
          <w:rFonts w:cstheme="minorHAnsi"/>
        </w:rPr>
        <w:t xml:space="preserve">the </w:t>
      </w:r>
      <w:r w:rsidR="00F0210C">
        <w:rPr>
          <w:rFonts w:cstheme="minorHAnsi"/>
        </w:rPr>
        <w:t>ORF</w:t>
      </w:r>
      <w:r w:rsidR="009D755E" w:rsidRPr="009840C6">
        <w:rPr>
          <w:rFonts w:cstheme="minorHAnsi"/>
        </w:rPr>
        <w:t xml:space="preserve">1ab </w:t>
      </w:r>
      <w:bookmarkEnd w:id="7"/>
      <w:r w:rsidR="009D755E" w:rsidRPr="009840C6">
        <w:rPr>
          <w:rFonts w:cstheme="minorHAnsi"/>
        </w:rPr>
        <w:t xml:space="preserve">viral genomic RNA </w:t>
      </w:r>
      <w:r w:rsidR="00EB60AA" w:rsidRPr="009840C6">
        <w:rPr>
          <w:rFonts w:cstheme="minorHAnsi"/>
        </w:rPr>
        <w:t>are no longer detected</w:t>
      </w:r>
      <w:r w:rsidR="009424D0" w:rsidRPr="009840C6">
        <w:rPr>
          <w:rFonts w:cstheme="minorHAnsi"/>
        </w:rPr>
        <w:t xml:space="preserve"> </w:t>
      </w:r>
      <w:r w:rsidR="009424D0" w:rsidRPr="009840C6">
        <w:rPr>
          <w:rFonts w:cstheme="minorHAnsi"/>
          <w:vertAlign w:val="superscript"/>
        </w:rPr>
        <w:t>4, 5, 6, 7</w:t>
      </w:r>
      <w:r w:rsidR="009424D0" w:rsidRPr="009840C6">
        <w:rPr>
          <w:rFonts w:cstheme="minorHAnsi"/>
        </w:rPr>
        <w:t>.</w:t>
      </w:r>
      <w:r w:rsidR="00EB60AA" w:rsidRPr="009840C6">
        <w:rPr>
          <w:rFonts w:cstheme="minorHAnsi"/>
        </w:rPr>
        <w:t xml:space="preserve"> </w:t>
      </w:r>
      <w:r w:rsidR="00B81C07">
        <w:rPr>
          <w:rFonts w:cstheme="minorHAnsi"/>
        </w:rPr>
        <w:t xml:space="preserve">Given that </w:t>
      </w:r>
      <w:r w:rsidR="00B81C07" w:rsidRPr="009840C6">
        <w:rPr>
          <w:rFonts w:cstheme="minorHAnsi"/>
        </w:rPr>
        <w:t xml:space="preserve">Wilson-Davies </w:t>
      </w:r>
      <w:r w:rsidR="00B81C07" w:rsidRPr="009840C6">
        <w:rPr>
          <w:rFonts w:cstheme="minorHAnsi"/>
          <w:i/>
          <w:iCs/>
        </w:rPr>
        <w:t>et al.</w:t>
      </w:r>
      <w:r w:rsidR="00B81C07">
        <w:rPr>
          <w:rFonts w:cstheme="minorHAnsi"/>
          <w:i/>
          <w:iCs/>
        </w:rPr>
        <w:t xml:space="preserve">, </w:t>
      </w:r>
      <w:r w:rsidR="00B81C07">
        <w:rPr>
          <w:rFonts w:cstheme="minorHAnsi"/>
        </w:rPr>
        <w:t xml:space="preserve">have used RT-qPCR assays containing </w:t>
      </w:r>
      <w:r w:rsidR="00B81C07" w:rsidRPr="009840C6">
        <w:rPr>
          <w:rFonts w:cstheme="minorHAnsi"/>
        </w:rPr>
        <w:t xml:space="preserve">the </w:t>
      </w:r>
      <w:r w:rsidR="00B81C07">
        <w:rPr>
          <w:rFonts w:cstheme="minorHAnsi"/>
        </w:rPr>
        <w:t>ORF</w:t>
      </w:r>
      <w:r w:rsidR="00B81C07" w:rsidRPr="009840C6">
        <w:rPr>
          <w:rFonts w:cstheme="minorHAnsi"/>
        </w:rPr>
        <w:t>1ab</w:t>
      </w:r>
      <w:r w:rsidR="00B81C07">
        <w:rPr>
          <w:rFonts w:cstheme="minorHAnsi"/>
        </w:rPr>
        <w:t xml:space="preserve"> (which also includes N as a different </w:t>
      </w:r>
      <w:r w:rsidR="00B81C07" w:rsidRPr="00B81C07">
        <w:rPr>
          <w:rFonts w:cstheme="minorHAnsi"/>
        </w:rPr>
        <w:t>target) for</w:t>
      </w:r>
      <w:r w:rsidR="00B81C07">
        <w:rPr>
          <w:rFonts w:cstheme="minorHAnsi"/>
        </w:rPr>
        <w:t xml:space="preserve"> outbreak management in NHS staff, it is surprising that this team would choose to use the CDC N1/N2 RT-qPCR as a single gene mis-matched comparator which is likely to have overestimated actual viral genomic copies present in the sample. </w:t>
      </w:r>
    </w:p>
    <w:p w14:paraId="252FAD4B" w14:textId="1A34CDC5" w:rsidR="006271F2" w:rsidRDefault="0025671F" w:rsidP="00451634">
      <w:pPr>
        <w:jc w:val="both"/>
        <w:rPr>
          <w:rFonts w:cstheme="minorHAnsi"/>
        </w:rPr>
      </w:pPr>
      <w:r>
        <w:rPr>
          <w:rFonts w:cstheme="minorHAnsi"/>
        </w:rPr>
        <w:t xml:space="preserve">Eighthly, </w:t>
      </w:r>
      <w:r w:rsidR="00451634" w:rsidRPr="009840C6">
        <w:rPr>
          <w:rFonts w:cstheme="minorHAnsi"/>
        </w:rPr>
        <w:t xml:space="preserve">Wilson-Davies </w:t>
      </w:r>
      <w:r w:rsidR="00451634" w:rsidRPr="009840C6">
        <w:rPr>
          <w:rFonts w:cstheme="minorHAnsi"/>
          <w:i/>
          <w:iCs/>
        </w:rPr>
        <w:t>et al.</w:t>
      </w:r>
      <w:r w:rsidR="00451634" w:rsidRPr="009840C6">
        <w:rPr>
          <w:rFonts w:cstheme="minorHAnsi"/>
          <w:b/>
          <w:bCs/>
          <w:i/>
          <w:iCs/>
        </w:rPr>
        <w:t xml:space="preserve"> </w:t>
      </w:r>
      <w:r w:rsidR="00451634" w:rsidRPr="00EE71FE">
        <w:rPr>
          <w:rFonts w:cstheme="minorHAnsi"/>
        </w:rPr>
        <w:t>state</w:t>
      </w:r>
      <w:r w:rsidR="00451634">
        <w:rPr>
          <w:rFonts w:cstheme="minorHAnsi"/>
          <w:b/>
          <w:bCs/>
          <w:i/>
          <w:iCs/>
        </w:rPr>
        <w:t xml:space="preserve"> </w:t>
      </w:r>
      <w:r w:rsidR="00451634" w:rsidRPr="00451634">
        <w:rPr>
          <w:rFonts w:cstheme="minorHAnsi"/>
        </w:rPr>
        <w:t>“</w:t>
      </w:r>
      <w:r w:rsidR="00451634">
        <w:rPr>
          <w:rFonts w:cstheme="minorHAnsi"/>
        </w:rPr>
        <w:t xml:space="preserve">[saliva has] </w:t>
      </w:r>
      <w:r w:rsidR="00451634" w:rsidRPr="00451634">
        <w:rPr>
          <w:rFonts w:cstheme="minorHAnsi"/>
        </w:rPr>
        <w:t>reduced</w:t>
      </w:r>
      <w:r w:rsidR="00451634">
        <w:rPr>
          <w:rFonts w:cstheme="minorHAnsi"/>
        </w:rPr>
        <w:t xml:space="preserve"> </w:t>
      </w:r>
      <w:r w:rsidR="00451634" w:rsidRPr="00451634">
        <w:rPr>
          <w:rFonts w:cstheme="minorHAnsi"/>
        </w:rPr>
        <w:t>sensitivity in comparison to the higher sensitivity of a nose and throat swab</w:t>
      </w:r>
      <w:r w:rsidR="00451634">
        <w:rPr>
          <w:rFonts w:cstheme="minorHAnsi"/>
        </w:rPr>
        <w:t xml:space="preserve">s” </w:t>
      </w:r>
      <w:r>
        <w:rPr>
          <w:rFonts w:cstheme="minorHAnsi"/>
        </w:rPr>
        <w:t xml:space="preserve">without presenting any new data on saliva-based testing. In raising this topic, </w:t>
      </w:r>
      <w:r w:rsidRPr="009840C6">
        <w:rPr>
          <w:rFonts w:cstheme="minorHAnsi"/>
        </w:rPr>
        <w:t xml:space="preserve">Wilson-Davies </w:t>
      </w:r>
      <w:r w:rsidRPr="009840C6">
        <w:rPr>
          <w:rFonts w:cstheme="minorHAnsi"/>
          <w:i/>
          <w:iCs/>
        </w:rPr>
        <w:t>et al.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iCs/>
        </w:rPr>
        <w:t xml:space="preserve">do not provide </w:t>
      </w:r>
      <w:r>
        <w:rPr>
          <w:rFonts w:cstheme="minorHAnsi"/>
        </w:rPr>
        <w:t xml:space="preserve">a balanced reference to an ongoing debate, which includes published reports demonstrating high </w:t>
      </w:r>
      <w:r w:rsidR="00C619FC">
        <w:rPr>
          <w:rFonts w:cstheme="minorHAnsi"/>
        </w:rPr>
        <w:t>RT-q</w:t>
      </w:r>
      <w:r>
        <w:rPr>
          <w:rFonts w:cstheme="minorHAnsi"/>
        </w:rPr>
        <w:t>PCR test concordance between appropriately collected paired saliva and nasopharyngeal samples</w:t>
      </w:r>
      <w:r w:rsidR="00451634">
        <w:rPr>
          <w:rFonts w:cstheme="minorHAnsi"/>
        </w:rPr>
        <w:t xml:space="preserve"> </w:t>
      </w:r>
      <w:r w:rsidR="00A91ED8">
        <w:rPr>
          <w:rFonts w:cstheme="minorHAnsi"/>
          <w:vertAlign w:val="superscript"/>
        </w:rPr>
        <w:t>10</w:t>
      </w:r>
      <w:r>
        <w:rPr>
          <w:rFonts w:cstheme="minorHAnsi"/>
          <w:vertAlign w:val="superscript"/>
        </w:rPr>
        <w:t>,</w:t>
      </w:r>
      <w:r w:rsidR="00C619FC">
        <w:rPr>
          <w:rFonts w:cstheme="minorHAnsi"/>
          <w:vertAlign w:val="superscript"/>
        </w:rPr>
        <w:t xml:space="preserve"> </w:t>
      </w:r>
      <w:r>
        <w:rPr>
          <w:rFonts w:cstheme="minorHAnsi"/>
          <w:vertAlign w:val="superscript"/>
        </w:rPr>
        <w:t>1</w:t>
      </w:r>
      <w:r w:rsidR="00A91ED8"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. </w:t>
      </w:r>
    </w:p>
    <w:p w14:paraId="7A5353CC" w14:textId="4D569D64" w:rsidR="0025671F" w:rsidRDefault="006D4E03" w:rsidP="00451634">
      <w:pPr>
        <w:jc w:val="both"/>
        <w:rPr>
          <w:rFonts w:cstheme="minorHAnsi"/>
        </w:rPr>
      </w:pPr>
      <w:r>
        <w:rPr>
          <w:rFonts w:cstheme="minorHAnsi"/>
        </w:rPr>
        <w:t>To evaluate whether there was a difference in detection of SARS-CoV-2 in swabs compared to saliva a panel of 26 paired samples (52 samples) provided blinded by the Milton Keynes Lighthouse laboratory were analysed by</w:t>
      </w:r>
      <w:r w:rsidR="001D58A2">
        <w:rPr>
          <w:rFonts w:cstheme="minorHAnsi"/>
        </w:rPr>
        <w:t xml:space="preserve"> an</w:t>
      </w:r>
      <w:r>
        <w:rPr>
          <w:rFonts w:cstheme="minorHAnsi"/>
        </w:rPr>
        <w:t xml:space="preserve"> RT-qPCR (</w:t>
      </w:r>
      <w:r w:rsidR="001D58A2">
        <w:rPr>
          <w:rFonts w:cstheme="minorHAnsi"/>
        </w:rPr>
        <w:t xml:space="preserve">including </w:t>
      </w:r>
      <w:r>
        <w:rPr>
          <w:rFonts w:cstheme="minorHAnsi"/>
        </w:rPr>
        <w:t xml:space="preserve">ORF1ab) and Direct </w:t>
      </w:r>
      <w:r w:rsidR="00185EC4">
        <w:rPr>
          <w:rFonts w:cstheme="minorHAnsi"/>
        </w:rPr>
        <w:t xml:space="preserve">PLUS </w:t>
      </w:r>
      <w:r>
        <w:rPr>
          <w:rFonts w:cstheme="minorHAnsi"/>
        </w:rPr>
        <w:t>RT-LAMP on both saliva and swabs. The saliva and swab</w:t>
      </w:r>
      <w:r w:rsidR="00A42AD2">
        <w:rPr>
          <w:rFonts w:cstheme="minorHAnsi"/>
        </w:rPr>
        <w:t>s</w:t>
      </w:r>
      <w:r>
        <w:rPr>
          <w:rFonts w:cstheme="minorHAnsi"/>
        </w:rPr>
        <w:t xml:space="preserve"> had been collected from the same individual (</w:t>
      </w:r>
      <w:r w:rsidR="00A42AD2">
        <w:rPr>
          <w:rFonts w:cstheme="minorHAnsi"/>
        </w:rPr>
        <w:t>T</w:t>
      </w:r>
      <w:r>
        <w:rPr>
          <w:rFonts w:cstheme="minorHAnsi"/>
        </w:rPr>
        <w:t xml:space="preserve">able </w:t>
      </w:r>
      <w:r w:rsidR="00C619FC">
        <w:rPr>
          <w:rFonts w:cstheme="minorHAnsi"/>
        </w:rPr>
        <w:t>4</w:t>
      </w:r>
      <w:r>
        <w:rPr>
          <w:rFonts w:cstheme="minorHAnsi"/>
        </w:rPr>
        <w:t>). Eight samples were detected only in swabs or saliva with the remaining 10 samples detected in both swabs and saliva. Fifteen samples had viral loads (</w:t>
      </w:r>
      <w:r w:rsidR="006271F2">
        <w:rPr>
          <w:rFonts w:cstheme="minorHAnsi"/>
        </w:rPr>
        <w:t>lower</w:t>
      </w:r>
      <w:r>
        <w:rPr>
          <w:rFonts w:cstheme="minorHAnsi"/>
        </w:rPr>
        <w:t xml:space="preserve"> C</w:t>
      </w:r>
      <w:r w:rsidRPr="00C619FC">
        <w:rPr>
          <w:rFonts w:cstheme="minorHAnsi"/>
          <w:vertAlign w:val="subscript"/>
        </w:rPr>
        <w:t>T</w:t>
      </w:r>
      <w:r>
        <w:rPr>
          <w:rFonts w:cstheme="minorHAnsi"/>
        </w:rPr>
        <w:t xml:space="preserve">s) which were higher in saliva when compared to the paired swab. Ten samples had viral loads </w:t>
      </w:r>
      <w:r w:rsidR="006271F2">
        <w:rPr>
          <w:rFonts w:cstheme="minorHAnsi"/>
        </w:rPr>
        <w:t>(lower C</w:t>
      </w:r>
      <w:r w:rsidR="006271F2" w:rsidRPr="00C619FC">
        <w:rPr>
          <w:rFonts w:cstheme="minorHAnsi"/>
          <w:vertAlign w:val="subscript"/>
        </w:rPr>
        <w:t>T</w:t>
      </w:r>
      <w:r w:rsidR="006271F2">
        <w:rPr>
          <w:rFonts w:cstheme="minorHAnsi"/>
        </w:rPr>
        <w:t xml:space="preserve">s) </w:t>
      </w:r>
      <w:r>
        <w:rPr>
          <w:rFonts w:cstheme="minorHAnsi"/>
        </w:rPr>
        <w:t xml:space="preserve">which were higher in swabs when compared to the paired saliva and one sample had comparable viral loads. This is consistent with the publication of </w:t>
      </w:r>
      <w:r w:rsidR="00C26282">
        <w:rPr>
          <w:rFonts w:cstheme="minorHAnsi"/>
        </w:rPr>
        <w:t xml:space="preserve">Hansen </w:t>
      </w:r>
      <w:r w:rsidR="00C26282" w:rsidRPr="00C26282">
        <w:rPr>
          <w:rFonts w:cstheme="minorHAnsi"/>
          <w:i/>
          <w:iCs/>
        </w:rPr>
        <w:t>et al</w:t>
      </w:r>
      <w:r w:rsidR="00C26282">
        <w:rPr>
          <w:rFonts w:cstheme="minorHAnsi"/>
          <w:i/>
          <w:iCs/>
        </w:rPr>
        <w:t xml:space="preserve"> </w:t>
      </w:r>
      <w:r w:rsidR="00C26282" w:rsidRPr="00A91ED8">
        <w:rPr>
          <w:rFonts w:cstheme="minorHAnsi"/>
          <w:vertAlign w:val="superscript"/>
        </w:rPr>
        <w:t>1</w:t>
      </w:r>
      <w:r w:rsidR="00A91ED8">
        <w:rPr>
          <w:rFonts w:cstheme="minorHAnsi"/>
          <w:vertAlign w:val="superscript"/>
        </w:rPr>
        <w:t>2</w:t>
      </w:r>
      <w:r w:rsidR="00C26282" w:rsidRPr="00C26282">
        <w:rPr>
          <w:rFonts w:cstheme="minorHAnsi"/>
          <w:i/>
          <w:iCs/>
        </w:rPr>
        <w:t>.,</w:t>
      </w:r>
      <w:r w:rsidR="00C26282">
        <w:rPr>
          <w:rFonts w:cstheme="minorHAnsi"/>
        </w:rPr>
        <w:t xml:space="preserve"> who reported that n</w:t>
      </w:r>
      <w:r w:rsidR="00C26282" w:rsidRPr="00C26282">
        <w:rPr>
          <w:rFonts w:cstheme="minorHAnsi"/>
        </w:rPr>
        <w:t>o single specimen type detected all SARS-CoV-2 infections</w:t>
      </w:r>
      <w:r w:rsidR="00C26282">
        <w:rPr>
          <w:rFonts w:cstheme="minorHAnsi"/>
        </w:rPr>
        <w:t xml:space="preserve">, but that nasopharyngeal swabs </w:t>
      </w:r>
      <w:r w:rsidR="00C26282" w:rsidRPr="00C26282">
        <w:rPr>
          <w:rFonts w:cstheme="minorHAnsi"/>
        </w:rPr>
        <w:t>(n = 80) and saliva (n = 81)</w:t>
      </w:r>
      <w:r w:rsidR="006271F2">
        <w:rPr>
          <w:rFonts w:cstheme="minorHAnsi"/>
        </w:rPr>
        <w:t xml:space="preserve"> were comparable and superior</w:t>
      </w:r>
      <w:r w:rsidR="00C26282">
        <w:rPr>
          <w:rFonts w:cstheme="minorHAnsi"/>
        </w:rPr>
        <w:t xml:space="preserve"> when compared to that of anterior nasal swabs </w:t>
      </w:r>
      <w:r w:rsidR="00C26282" w:rsidRPr="00C26282">
        <w:rPr>
          <w:rFonts w:cstheme="minorHAnsi"/>
        </w:rPr>
        <w:t>(n = 70).</w:t>
      </w:r>
      <w:r w:rsidR="00185EC4">
        <w:rPr>
          <w:rFonts w:cstheme="minorHAnsi"/>
        </w:rPr>
        <w:t xml:space="preserve"> In is inaccurate and misleading of </w:t>
      </w:r>
      <w:r w:rsidR="00185EC4" w:rsidRPr="009840C6">
        <w:rPr>
          <w:rFonts w:cstheme="minorHAnsi"/>
        </w:rPr>
        <w:t xml:space="preserve">Wilson-Davies </w:t>
      </w:r>
      <w:r w:rsidR="00185EC4" w:rsidRPr="009840C6">
        <w:rPr>
          <w:rFonts w:cstheme="minorHAnsi"/>
          <w:i/>
          <w:iCs/>
        </w:rPr>
        <w:t>et al</w:t>
      </w:r>
      <w:r w:rsidR="00185EC4">
        <w:rPr>
          <w:rFonts w:cstheme="minorHAnsi"/>
          <w:i/>
          <w:iCs/>
        </w:rPr>
        <w:t xml:space="preserve"> </w:t>
      </w:r>
      <w:r w:rsidR="00185EC4">
        <w:rPr>
          <w:rFonts w:cstheme="minorHAnsi"/>
        </w:rPr>
        <w:t>to therefore claim that saliva is inferior to swabs.</w:t>
      </w:r>
      <w:r w:rsidR="00C948F2">
        <w:rPr>
          <w:rFonts w:cstheme="minorHAnsi"/>
        </w:rPr>
        <w:t xml:space="preserve"> In fact in a recent preprint, viral load in saliva but not nasopharyngeal swabs has been shown to be a dynamic unifying correlate of COVID-19 disease presentation, severity and mortality</w:t>
      </w:r>
      <w:r w:rsidR="00C948F2">
        <w:rPr>
          <w:rFonts w:cstheme="minorHAnsi"/>
          <w:vertAlign w:val="superscript"/>
        </w:rPr>
        <w:t>13</w:t>
      </w:r>
      <w:r w:rsidR="00C948F2">
        <w:rPr>
          <w:rFonts w:cstheme="minorHAnsi"/>
        </w:rPr>
        <w:t>.</w:t>
      </w: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960"/>
        <w:gridCol w:w="1556"/>
        <w:gridCol w:w="1664"/>
        <w:gridCol w:w="1556"/>
        <w:gridCol w:w="1664"/>
      </w:tblGrid>
      <w:tr w:rsidR="006D4E03" w:rsidRPr="006D4E03" w14:paraId="61470E46" w14:textId="77777777" w:rsidTr="006D4E03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E6F4" w14:textId="77777777" w:rsidR="006D4E03" w:rsidRPr="006D4E03" w:rsidRDefault="006D4E03" w:rsidP="006D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37E166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Swab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CF0030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Saliva</w:t>
            </w:r>
          </w:p>
        </w:tc>
      </w:tr>
      <w:tr w:rsidR="006D4E03" w:rsidRPr="006D4E03" w14:paraId="135A2890" w14:textId="77777777" w:rsidTr="006D4E03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6F4A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95E3F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Direct RT-LAMP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1742C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RT-qPCR ORF1ab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29B4B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Direct RT-LAMP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C67E3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RT-qPCR ORF1ab</w:t>
            </w:r>
          </w:p>
        </w:tc>
      </w:tr>
      <w:tr w:rsidR="006D4E03" w:rsidRPr="006D4E03" w14:paraId="0E4D8D5E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2DF87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EEE6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B184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24.7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E521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AE41A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25.38</w:t>
            </w:r>
          </w:p>
        </w:tc>
      </w:tr>
      <w:tr w:rsidR="006D4E03" w:rsidRPr="006D4E03" w14:paraId="4E976E2C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51368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68D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6403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21.72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9762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45FA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26.14</w:t>
            </w:r>
          </w:p>
        </w:tc>
      </w:tr>
      <w:tr w:rsidR="006D4E03" w:rsidRPr="006D4E03" w14:paraId="0B4B3B8C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A6C79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134E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17DC4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21.52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2874A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1FD6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25.29</w:t>
            </w:r>
          </w:p>
        </w:tc>
      </w:tr>
      <w:tr w:rsidR="006D4E03" w:rsidRPr="006D4E03" w14:paraId="78727F84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8256D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AFF2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ABF96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27.87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4D42E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CB7C2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25.33</w:t>
            </w:r>
          </w:p>
        </w:tc>
      </w:tr>
      <w:tr w:rsidR="006D4E03" w:rsidRPr="006D4E03" w14:paraId="7EA1BE39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2D679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D2F9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C6D5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30.42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B054E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780B8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25.35</w:t>
            </w:r>
          </w:p>
        </w:tc>
      </w:tr>
      <w:tr w:rsidR="006D4E03" w:rsidRPr="006D4E03" w14:paraId="7BDCA44F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B976E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2137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150C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30.33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2D93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52D6D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25.2</w:t>
            </w:r>
          </w:p>
        </w:tc>
      </w:tr>
      <w:tr w:rsidR="006D4E03" w:rsidRPr="006D4E03" w14:paraId="3E988ECA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85253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1C16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13AFA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26.59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717F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EE588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29.16</w:t>
            </w:r>
          </w:p>
        </w:tc>
      </w:tr>
      <w:tr w:rsidR="006D4E03" w:rsidRPr="006D4E03" w14:paraId="3C5A7202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A2F0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BCF0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1FE7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26.51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9BFC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BEFC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30.17</w:t>
            </w:r>
          </w:p>
        </w:tc>
      </w:tr>
      <w:tr w:rsidR="006D4E03" w:rsidRPr="006D4E03" w14:paraId="2C0A6789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493DC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56A9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4F10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30.39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DF19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8417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26.48</w:t>
            </w:r>
          </w:p>
        </w:tc>
      </w:tr>
      <w:tr w:rsidR="006D4E03" w:rsidRPr="006D4E03" w14:paraId="6A3BCA6E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ABF1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06BC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0708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28.49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0823F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15CA3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25.96</w:t>
            </w:r>
          </w:p>
        </w:tc>
      </w:tr>
      <w:tr w:rsidR="006D4E03" w:rsidRPr="006D4E03" w14:paraId="051957B7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1C97C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66A0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CD407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22.72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EA7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56326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19.15</w:t>
            </w:r>
          </w:p>
        </w:tc>
      </w:tr>
      <w:tr w:rsidR="006D4E03" w:rsidRPr="006D4E03" w14:paraId="43BDC1DB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AFB8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EE14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2CA3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22.49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64BF8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525D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19.02</w:t>
            </w:r>
          </w:p>
        </w:tc>
      </w:tr>
      <w:tr w:rsidR="006D4E03" w:rsidRPr="006D4E03" w14:paraId="286B923F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2C300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CC0B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6AD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22.67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646FE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6167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24.1</w:t>
            </w:r>
          </w:p>
        </w:tc>
      </w:tr>
      <w:tr w:rsidR="006D4E03" w:rsidRPr="006D4E03" w14:paraId="40ADBD46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64EF5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DF33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28B54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22.63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139F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58937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24.18</w:t>
            </w:r>
          </w:p>
        </w:tc>
      </w:tr>
      <w:tr w:rsidR="006D4E03" w:rsidRPr="006D4E03" w14:paraId="37A151F1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30C68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EACA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2EA2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25.67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E261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81CC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15.64</w:t>
            </w:r>
          </w:p>
        </w:tc>
      </w:tr>
      <w:tr w:rsidR="006D4E03" w:rsidRPr="006D4E03" w14:paraId="61D48A61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1546E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DD8B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18AD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24.87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F965D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4ED2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15.3</w:t>
            </w:r>
          </w:p>
        </w:tc>
      </w:tr>
      <w:tr w:rsidR="006D4E03" w:rsidRPr="006D4E03" w14:paraId="48294639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9F01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B531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8EBBF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21.51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DB2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C15B2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26.64</w:t>
            </w:r>
          </w:p>
        </w:tc>
      </w:tr>
      <w:tr w:rsidR="006D4E03" w:rsidRPr="006D4E03" w14:paraId="4FDE1FF8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7DC95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4533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9A62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21.24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7B396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1224F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24.09</w:t>
            </w:r>
          </w:p>
        </w:tc>
      </w:tr>
      <w:tr w:rsidR="006D4E03" w:rsidRPr="006D4E03" w14:paraId="2695182D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53D3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7A41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FD6B8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31.25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D3926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61449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27.89</w:t>
            </w:r>
          </w:p>
        </w:tc>
      </w:tr>
      <w:tr w:rsidR="006D4E03" w:rsidRPr="006D4E03" w14:paraId="4D768377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D4027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EECA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F6DF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21.86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A4126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20CEC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22.04</w:t>
            </w:r>
          </w:p>
        </w:tc>
      </w:tr>
      <w:tr w:rsidR="006D4E03" w:rsidRPr="006D4E03" w14:paraId="05408066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3BE1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03CD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A99E0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21.65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E0E61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A573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21.93</w:t>
            </w:r>
          </w:p>
        </w:tc>
      </w:tr>
      <w:tr w:rsidR="006D4E03" w:rsidRPr="006D4E03" w14:paraId="7EC87CB0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6B26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5D1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8C50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29.34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3B36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B841F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24.07</w:t>
            </w:r>
          </w:p>
        </w:tc>
      </w:tr>
      <w:tr w:rsidR="006D4E03" w:rsidRPr="006D4E03" w14:paraId="0A5B7880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6D90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1071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FA4E1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29.43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1FCF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21A65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23.87</w:t>
            </w:r>
          </w:p>
        </w:tc>
      </w:tr>
      <w:tr w:rsidR="006D4E03" w:rsidRPr="006D4E03" w14:paraId="3D97C87A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A77E0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C11D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E4F60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30.93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E78C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ABF40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24.42</w:t>
            </w:r>
          </w:p>
        </w:tc>
      </w:tr>
      <w:tr w:rsidR="006D4E03" w:rsidRPr="006D4E03" w14:paraId="48CD12FC" w14:textId="77777777" w:rsidTr="006D4E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BC14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F0E1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6C8A0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30.53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B6749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62819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23.5</w:t>
            </w:r>
          </w:p>
        </w:tc>
      </w:tr>
      <w:tr w:rsidR="006D4E03" w:rsidRPr="006D4E03" w14:paraId="21B61CCF" w14:textId="77777777" w:rsidTr="006D4E0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E2775" w14:textId="77777777" w:rsidR="006D4E03" w:rsidRPr="006D4E03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D4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CB281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8FA92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29.21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88AE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56CA8" w14:textId="77777777" w:rsidR="006D4E03" w:rsidRPr="001A1ED9" w:rsidRDefault="006D4E03" w:rsidP="006D4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A1ED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28.79</w:t>
            </w:r>
          </w:p>
        </w:tc>
      </w:tr>
    </w:tbl>
    <w:p w14:paraId="25B3DA68" w14:textId="3D6FA820" w:rsidR="006D4E03" w:rsidRDefault="006D4E03" w:rsidP="00451634">
      <w:pPr>
        <w:jc w:val="both"/>
        <w:rPr>
          <w:rFonts w:cstheme="minorHAnsi"/>
        </w:rPr>
      </w:pPr>
      <w:r w:rsidRPr="006D4E03">
        <w:rPr>
          <w:b/>
          <w:bCs/>
          <w:lang w:val="en-US"/>
        </w:rPr>
        <w:t xml:space="preserve">Table </w:t>
      </w:r>
      <w:r w:rsidR="00C619FC">
        <w:rPr>
          <w:b/>
          <w:bCs/>
          <w:lang w:val="en-US"/>
        </w:rPr>
        <w:t>4</w:t>
      </w:r>
      <w:r w:rsidRPr="006D4E03"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 w:rsidRPr="00E016E3">
        <w:rPr>
          <w:lang w:val="en-US"/>
        </w:rPr>
        <w:t xml:space="preserve">Performance of Direct RT-LAMP </w:t>
      </w:r>
      <w:r>
        <w:rPr>
          <w:lang w:val="en-US"/>
        </w:rPr>
        <w:t>on blinded and paired saliva and swab samples from lighthouse laboratory samples</w:t>
      </w:r>
    </w:p>
    <w:p w14:paraId="6D46F13B" w14:textId="77777777" w:rsidR="007D4EEE" w:rsidRDefault="007D4EEE" w:rsidP="00EE71FE">
      <w:pPr>
        <w:jc w:val="both"/>
        <w:rPr>
          <w:rFonts w:cstheme="minorHAnsi"/>
        </w:rPr>
      </w:pPr>
    </w:p>
    <w:p w14:paraId="2B32B9A1" w14:textId="144D1C64" w:rsidR="00EE71FE" w:rsidRDefault="00EE71FE" w:rsidP="00EE71FE">
      <w:pPr>
        <w:jc w:val="both"/>
        <w:rPr>
          <w:rFonts w:cstheme="minorHAnsi"/>
        </w:rPr>
      </w:pPr>
      <w:r>
        <w:rPr>
          <w:rFonts w:cstheme="minorHAnsi"/>
        </w:rPr>
        <w:t xml:space="preserve">Ninthly, </w:t>
      </w:r>
      <w:r w:rsidRPr="009840C6">
        <w:rPr>
          <w:rFonts w:cstheme="minorHAnsi"/>
        </w:rPr>
        <w:t xml:space="preserve">Wilson-Davies </w:t>
      </w:r>
      <w:r w:rsidRPr="009840C6">
        <w:rPr>
          <w:rFonts w:cstheme="minorHAnsi"/>
          <w:i/>
          <w:iCs/>
        </w:rPr>
        <w:t>et al.</w:t>
      </w:r>
      <w:r w:rsidRPr="009840C6">
        <w:rPr>
          <w:rFonts w:cstheme="minorHAnsi"/>
          <w:b/>
          <w:bCs/>
          <w:i/>
          <w:iCs/>
        </w:rPr>
        <w:t xml:space="preserve"> </w:t>
      </w:r>
      <w:r w:rsidRPr="00EE71FE">
        <w:rPr>
          <w:rFonts w:cstheme="minorHAnsi"/>
        </w:rPr>
        <w:t>state</w:t>
      </w:r>
      <w:r>
        <w:rPr>
          <w:rFonts w:cstheme="minorHAnsi"/>
          <w:b/>
          <w:bCs/>
          <w:i/>
          <w:iCs/>
        </w:rPr>
        <w:t xml:space="preserve"> “</w:t>
      </w:r>
      <w:r w:rsidRPr="00EE71FE">
        <w:rPr>
          <w:rFonts w:cstheme="minorHAnsi"/>
        </w:rPr>
        <w:t>Critically, the inclusion of an internal control, added before nucleic acid extraction, is</w:t>
      </w:r>
      <w:r>
        <w:rPr>
          <w:rFonts w:cstheme="minorHAnsi"/>
        </w:rPr>
        <w:t xml:space="preserve"> </w:t>
      </w:r>
      <w:r w:rsidRPr="00EE71FE">
        <w:rPr>
          <w:rFonts w:cstheme="minorHAnsi"/>
        </w:rPr>
        <w:t>a vital quality requirement for molecular diagnostic work</w:t>
      </w:r>
      <w:r>
        <w:rPr>
          <w:rFonts w:cstheme="minorHAnsi"/>
        </w:rPr>
        <w:t>”. The M</w:t>
      </w:r>
      <w:r w:rsidR="00CA6534">
        <w:rPr>
          <w:rFonts w:cstheme="minorHAnsi"/>
        </w:rPr>
        <w:t xml:space="preserve">edicines and </w:t>
      </w:r>
      <w:r>
        <w:rPr>
          <w:rFonts w:cstheme="minorHAnsi"/>
        </w:rPr>
        <w:t>H</w:t>
      </w:r>
      <w:r w:rsidR="00CA6534">
        <w:rPr>
          <w:rFonts w:cstheme="minorHAnsi"/>
        </w:rPr>
        <w:t xml:space="preserve">ealthcare Products </w:t>
      </w:r>
      <w:r>
        <w:rPr>
          <w:rFonts w:cstheme="minorHAnsi"/>
        </w:rPr>
        <w:t>R</w:t>
      </w:r>
      <w:r w:rsidR="00CA6534">
        <w:rPr>
          <w:rFonts w:cstheme="minorHAnsi"/>
        </w:rPr>
        <w:t xml:space="preserve">egulatory </w:t>
      </w:r>
      <w:r>
        <w:rPr>
          <w:rFonts w:cstheme="minorHAnsi"/>
        </w:rPr>
        <w:t>A</w:t>
      </w:r>
      <w:r w:rsidR="00CA6534">
        <w:rPr>
          <w:rFonts w:cstheme="minorHAnsi"/>
        </w:rPr>
        <w:t>gency</w:t>
      </w:r>
      <w:r>
        <w:rPr>
          <w:rFonts w:cstheme="minorHAnsi"/>
        </w:rPr>
        <w:t xml:space="preserve"> </w:t>
      </w:r>
      <w:r w:rsidR="00CA6534">
        <w:rPr>
          <w:rFonts w:cstheme="minorHAnsi"/>
        </w:rPr>
        <w:t xml:space="preserve">(MHRA) target product profile (TPP) </w:t>
      </w:r>
      <w:r>
        <w:rPr>
          <w:rFonts w:cstheme="minorHAnsi"/>
        </w:rPr>
        <w:t xml:space="preserve">for SARS-CoV-2 </w:t>
      </w:r>
      <w:r w:rsidR="006271F2">
        <w:rPr>
          <w:rFonts w:cstheme="minorHAnsi"/>
        </w:rPr>
        <w:t xml:space="preserve">molecular </w:t>
      </w:r>
      <w:r>
        <w:rPr>
          <w:rFonts w:cstheme="minorHAnsi"/>
        </w:rPr>
        <w:t xml:space="preserve">assays says that an internal control is </w:t>
      </w:r>
      <w:r w:rsidRPr="001145A1">
        <w:rPr>
          <w:rFonts w:cstheme="minorHAnsi"/>
          <w:bCs/>
        </w:rPr>
        <w:t>desirable</w:t>
      </w:r>
      <w:r>
        <w:rPr>
          <w:rFonts w:cstheme="minorHAnsi"/>
        </w:rPr>
        <w:t xml:space="preserve">, but the availability of one as a separate inclusion is </w:t>
      </w:r>
      <w:r w:rsidRPr="001145A1">
        <w:rPr>
          <w:rFonts w:cstheme="minorHAnsi"/>
          <w:bCs/>
        </w:rPr>
        <w:t>acceptable</w:t>
      </w:r>
      <w:r w:rsidR="00CA6534">
        <w:rPr>
          <w:rFonts w:cstheme="minorHAnsi"/>
          <w:bCs/>
          <w:vertAlign w:val="superscript"/>
        </w:rPr>
        <w:t>1</w:t>
      </w:r>
      <w:r w:rsidR="00C948F2">
        <w:rPr>
          <w:rFonts w:cstheme="minorHAnsi"/>
          <w:bCs/>
          <w:vertAlign w:val="superscript"/>
        </w:rPr>
        <w:t>4</w:t>
      </w:r>
      <w:r>
        <w:rPr>
          <w:rFonts w:cstheme="minorHAnsi"/>
        </w:rPr>
        <w:t xml:space="preserve">. OptiGene have a range of human RNA controls compatible with RT-LAMP assays which sites can choose to use if desired. </w:t>
      </w:r>
    </w:p>
    <w:p w14:paraId="4C3D7049" w14:textId="1A187E3B" w:rsidR="00CA6534" w:rsidRDefault="009840C6" w:rsidP="009840C6">
      <w:pPr>
        <w:jc w:val="both"/>
      </w:pPr>
      <w:r>
        <w:rPr>
          <w:rFonts w:cstheme="minorHAnsi"/>
        </w:rPr>
        <w:t>Finally,</w:t>
      </w:r>
      <w:r w:rsidR="000B78CA">
        <w:rPr>
          <w:rFonts w:cstheme="minorHAnsi"/>
        </w:rPr>
        <w:t xml:space="preserve"> </w:t>
      </w:r>
      <w:r w:rsidR="00A41A82">
        <w:rPr>
          <w:rFonts w:cstheme="minorHAnsi"/>
        </w:rPr>
        <w:t>t</w:t>
      </w:r>
      <w:r w:rsidR="000B78CA">
        <w:rPr>
          <w:rFonts w:cstheme="minorHAnsi"/>
        </w:rPr>
        <w:t xml:space="preserve">he </w:t>
      </w:r>
      <w:r w:rsidR="00A42AD2">
        <w:rPr>
          <w:rFonts w:cstheme="minorHAnsi"/>
        </w:rPr>
        <w:t>D</w:t>
      </w:r>
      <w:r w:rsidR="000B78CA">
        <w:rPr>
          <w:rFonts w:cstheme="minorHAnsi"/>
        </w:rPr>
        <w:t xml:space="preserve">irect </w:t>
      </w:r>
      <w:r w:rsidR="00E363D6">
        <w:rPr>
          <w:rFonts w:cstheme="minorHAnsi"/>
        </w:rPr>
        <w:t xml:space="preserve">PLUS </w:t>
      </w:r>
      <w:r w:rsidR="000B78CA">
        <w:rPr>
          <w:rFonts w:cstheme="minorHAnsi"/>
        </w:rPr>
        <w:t>RT-LAMP assay requires fresh reagents that have not been allowed to deteriorate as per the IFU for this assay</w:t>
      </w:r>
      <w:r w:rsidR="00A41A82">
        <w:rPr>
          <w:rFonts w:cstheme="minorHAnsi"/>
        </w:rPr>
        <w:t xml:space="preserve">. </w:t>
      </w:r>
      <w:r w:rsidR="00F0210C" w:rsidRPr="009840C6">
        <w:rPr>
          <w:rFonts w:cstheme="minorHAnsi"/>
        </w:rPr>
        <w:t xml:space="preserve">Wilson-Davies </w:t>
      </w:r>
      <w:r w:rsidR="00F0210C" w:rsidRPr="009840C6">
        <w:rPr>
          <w:rFonts w:cstheme="minorHAnsi"/>
          <w:i/>
          <w:iCs/>
        </w:rPr>
        <w:t>et al.</w:t>
      </w:r>
      <w:r w:rsidR="00F0210C" w:rsidRPr="009840C6">
        <w:rPr>
          <w:rFonts w:cstheme="minorHAnsi"/>
          <w:b/>
          <w:bCs/>
          <w:i/>
          <w:iCs/>
        </w:rPr>
        <w:t xml:space="preserve"> </w:t>
      </w:r>
      <w:r w:rsidR="00F0210C" w:rsidRPr="00F0210C">
        <w:rPr>
          <w:rFonts w:cstheme="minorHAnsi"/>
        </w:rPr>
        <w:t>have never ordered reagents from OptiGene so it remains unclear where their reagents were sourced from.</w:t>
      </w:r>
      <w:r w:rsidR="00F0210C">
        <w:rPr>
          <w:rFonts w:cstheme="minorHAnsi"/>
          <w:b/>
          <w:bCs/>
        </w:rPr>
        <w:t xml:space="preserve"> </w:t>
      </w:r>
      <w:r w:rsidR="00CA6534">
        <w:t xml:space="preserve">This raises significant concern about the provenance, storage conditions, shelf-life and the version &amp; exact type of LAMP reagents used in this study which may account for the apparent deterioration in performance reported in the letter from Wilson-Davies </w:t>
      </w:r>
      <w:r w:rsidR="00CA6534" w:rsidRPr="00CA6534">
        <w:rPr>
          <w:i/>
          <w:iCs/>
        </w:rPr>
        <w:t>et al.</w:t>
      </w:r>
    </w:p>
    <w:p w14:paraId="2A02BAB5" w14:textId="1AA9DD82" w:rsidR="000B78CA" w:rsidRDefault="000B78CA" w:rsidP="009840C6">
      <w:pPr>
        <w:jc w:val="both"/>
        <w:rPr>
          <w:lang w:val="en-US"/>
        </w:rPr>
      </w:pPr>
      <w:r>
        <w:rPr>
          <w:rFonts w:cstheme="minorHAnsi"/>
        </w:rPr>
        <w:lastRenderedPageBreak/>
        <w:t xml:space="preserve">In conclusion, we have </w:t>
      </w:r>
      <w:r w:rsidR="00E363D6">
        <w:rPr>
          <w:rFonts w:cstheme="minorHAnsi"/>
        </w:rPr>
        <w:t>highlighted a series of</w:t>
      </w:r>
      <w:r>
        <w:rPr>
          <w:rFonts w:cstheme="minorHAnsi"/>
        </w:rPr>
        <w:t xml:space="preserve"> methodological concerns </w:t>
      </w:r>
      <w:r w:rsidR="00A42AD2">
        <w:rPr>
          <w:rFonts w:cstheme="minorHAnsi"/>
        </w:rPr>
        <w:t>with</w:t>
      </w:r>
      <w:r w:rsidR="00C23FBF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r w:rsidR="00E363D6">
        <w:rPr>
          <w:rFonts w:cstheme="minorHAnsi"/>
        </w:rPr>
        <w:t>laboratory evaluation</w:t>
      </w:r>
      <w:r>
        <w:rPr>
          <w:rFonts w:cstheme="minorHAnsi"/>
        </w:rPr>
        <w:t xml:space="preserve"> carried out at the group’s laboratory. Novel diagnostic technologies require different ways of working compared to conventional virology technologies (i.e.</w:t>
      </w:r>
      <w:r w:rsidR="001B1300">
        <w:rPr>
          <w:rFonts w:cstheme="minorHAnsi"/>
        </w:rPr>
        <w:t>,</w:t>
      </w:r>
      <w:r>
        <w:rPr>
          <w:rFonts w:cstheme="minorHAnsi"/>
        </w:rPr>
        <w:t xml:space="preserve"> RT-qPCR) and if precise attention to detail is not paid to the IFU </w:t>
      </w:r>
      <w:r w:rsidR="0024666E">
        <w:rPr>
          <w:rFonts w:cstheme="minorHAnsi"/>
        </w:rPr>
        <w:t xml:space="preserve">this </w:t>
      </w:r>
      <w:r>
        <w:rPr>
          <w:rFonts w:cstheme="minorHAnsi"/>
        </w:rPr>
        <w:t xml:space="preserve">may lead to methodological errors such as in this dataset. </w:t>
      </w:r>
      <w:r>
        <w:rPr>
          <w:lang w:val="en-US"/>
        </w:rPr>
        <w:t xml:space="preserve">The use case for this test is to identify </w:t>
      </w:r>
      <w:r w:rsidR="00953742">
        <w:rPr>
          <w:lang w:val="en-US"/>
        </w:rPr>
        <w:t>asymptomatic/</w:t>
      </w:r>
      <w:proofErr w:type="spellStart"/>
      <w:r w:rsidR="00953742">
        <w:rPr>
          <w:lang w:val="en-US"/>
        </w:rPr>
        <w:t>presymptomatic</w:t>
      </w:r>
      <w:proofErr w:type="spellEnd"/>
      <w:r w:rsidR="00E363D6">
        <w:rPr>
          <w:lang w:val="en-US"/>
        </w:rPr>
        <w:t>/symptomatic</w:t>
      </w:r>
      <w:r w:rsidR="00953742">
        <w:rPr>
          <w:lang w:val="en-US"/>
        </w:rPr>
        <w:t xml:space="preserve"> </w:t>
      </w:r>
      <w:r>
        <w:rPr>
          <w:lang w:val="en-US"/>
        </w:rPr>
        <w:t xml:space="preserve">infectious individuals as a </w:t>
      </w:r>
      <w:r w:rsidR="0024666E">
        <w:rPr>
          <w:lang w:val="en-US"/>
        </w:rPr>
        <w:t>surveillance</w:t>
      </w:r>
      <w:r w:rsidR="00953742">
        <w:rPr>
          <w:lang w:val="en-US"/>
        </w:rPr>
        <w:t xml:space="preserve"> or case finding</w:t>
      </w:r>
      <w:r w:rsidR="0024666E">
        <w:rPr>
          <w:lang w:val="en-US"/>
        </w:rPr>
        <w:t xml:space="preserve"> </w:t>
      </w:r>
      <w:r w:rsidR="00E363D6">
        <w:rPr>
          <w:lang w:val="en-US"/>
        </w:rPr>
        <w:t>tool</w:t>
      </w:r>
      <w:r>
        <w:rPr>
          <w:lang w:val="en-US"/>
        </w:rPr>
        <w:t xml:space="preserve"> and not as a diagnostic test</w:t>
      </w:r>
      <w:r w:rsidR="0024666E">
        <w:rPr>
          <w:lang w:val="en-US"/>
        </w:rPr>
        <w:t>. W</w:t>
      </w:r>
      <w:r>
        <w:rPr>
          <w:lang w:val="en-US"/>
        </w:rPr>
        <w:t xml:space="preserve">ithout this type of assay the UK will </w:t>
      </w:r>
      <w:r w:rsidR="0024666E">
        <w:rPr>
          <w:lang w:val="en-US"/>
        </w:rPr>
        <w:t xml:space="preserve">likely fall short of providing </w:t>
      </w:r>
      <w:r>
        <w:rPr>
          <w:lang w:val="en-US"/>
        </w:rPr>
        <w:t>the diagnostics capacity it so desperately needs.</w:t>
      </w:r>
    </w:p>
    <w:p w14:paraId="73761EDA" w14:textId="26BC6204" w:rsidR="00242125" w:rsidRDefault="00242125" w:rsidP="009840C6">
      <w:pPr>
        <w:jc w:val="both"/>
        <w:rPr>
          <w:lang w:val="en-US"/>
        </w:rPr>
      </w:pPr>
      <w:r>
        <w:rPr>
          <w:lang w:val="en-US"/>
        </w:rPr>
        <w:t>We look forward to hearing from you</w:t>
      </w:r>
    </w:p>
    <w:p w14:paraId="0B1881F3" w14:textId="3F6955A4" w:rsidR="00242125" w:rsidRDefault="00242125" w:rsidP="009840C6">
      <w:pPr>
        <w:jc w:val="both"/>
        <w:rPr>
          <w:lang w:val="en-US"/>
        </w:rPr>
      </w:pPr>
      <w:r>
        <w:rPr>
          <w:lang w:val="en-US"/>
        </w:rPr>
        <w:t xml:space="preserve">Yours Sincerely </w:t>
      </w:r>
    </w:p>
    <w:p w14:paraId="47075BE7" w14:textId="0A974DCB" w:rsidR="00242125" w:rsidRDefault="00DF3843" w:rsidP="009840C6">
      <w:pPr>
        <w:jc w:val="both"/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69902A94" wp14:editId="28C13EA2">
            <wp:extent cx="882650" cy="6884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backgroundMark x1="46486" y1="45139" x2="46486" y2="45139"/>
                                  <a14:backgroundMark x1="44865" y1="58333" x2="44865" y2="58333"/>
                                  <a14:backgroundMark x1="40132" y1="22785" x2="40132" y2="2278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252" cy="72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CD9235" w14:textId="782C12EF" w:rsidR="00242125" w:rsidRDefault="00242125" w:rsidP="009840C6">
      <w:pPr>
        <w:jc w:val="both"/>
        <w:rPr>
          <w:lang w:val="en-US"/>
        </w:rPr>
      </w:pPr>
      <w:r>
        <w:rPr>
          <w:lang w:val="en-US"/>
        </w:rPr>
        <w:t>Dr Veronica Fowler</w:t>
      </w:r>
    </w:p>
    <w:p w14:paraId="4DDF5987" w14:textId="30E2319A" w:rsidR="00242125" w:rsidRDefault="00242125" w:rsidP="009840C6">
      <w:pPr>
        <w:jc w:val="both"/>
        <w:rPr>
          <w:lang w:val="en-US"/>
        </w:rPr>
      </w:pPr>
      <w:r>
        <w:rPr>
          <w:lang w:val="en-US"/>
        </w:rPr>
        <w:t>Signed on behalf and with agreement of all authors</w:t>
      </w:r>
    </w:p>
    <w:p w14:paraId="7095BF6D" w14:textId="77777777" w:rsidR="00242125" w:rsidRDefault="00242125" w:rsidP="009840C6">
      <w:pPr>
        <w:jc w:val="both"/>
        <w:rPr>
          <w:lang w:val="en-US"/>
        </w:rPr>
      </w:pPr>
    </w:p>
    <w:p w14:paraId="095128DF" w14:textId="340C3855" w:rsidR="000B78CA" w:rsidRPr="009B4732" w:rsidRDefault="009B4732" w:rsidP="009840C6">
      <w:pPr>
        <w:jc w:val="both"/>
        <w:rPr>
          <w:b/>
          <w:bCs/>
          <w:lang w:val="en-US"/>
        </w:rPr>
      </w:pPr>
      <w:r w:rsidRPr="009B4732">
        <w:rPr>
          <w:b/>
          <w:bCs/>
          <w:lang w:val="en-US"/>
        </w:rPr>
        <w:t>References</w:t>
      </w:r>
    </w:p>
    <w:p w14:paraId="7DB41BDB" w14:textId="77777777" w:rsidR="00EB6D0E" w:rsidRPr="00D60E42" w:rsidRDefault="00891C17" w:rsidP="00256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hyperlink r:id="rId9" w:history="1">
        <w:r w:rsidR="00EB6D0E" w:rsidRPr="00D60E42">
          <w:rPr>
            <w:rStyle w:val="Hyperlink"/>
            <w:color w:val="auto"/>
            <w:u w:val="none"/>
            <w:lang w:val="en-US"/>
          </w:rPr>
          <w:t>https://www.gov.uk/government/publications/rapid-evaluation-of-optigene-rt-lamp-assay-direct-and-rna-formats/rapid-evaluation-of-optigene-rt-lamp-assay-direct-and-rna-formats</w:t>
        </w:r>
      </w:hyperlink>
    </w:p>
    <w:p w14:paraId="048D0E1D" w14:textId="10BEAB08" w:rsidR="00EB6D0E" w:rsidRPr="00D60E42" w:rsidRDefault="003074BA" w:rsidP="00256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60E42">
        <w:rPr>
          <w:rFonts w:cstheme="minorHAnsi"/>
        </w:rPr>
        <w:t>Fowler VL, Armson B, Gonzales JL et al. A highly effective reverse transcription loop-mediated isothermal amplification (RT-LAMP) assay for the rapid detection of SARS-CoV-2 infection. J Infect. 2020 Nov 30:S0163-4453(20)30731-3”</w:t>
      </w:r>
    </w:p>
    <w:p w14:paraId="2FD82F28" w14:textId="282A946E" w:rsidR="00037105" w:rsidRPr="00D60E42" w:rsidRDefault="00891C17" w:rsidP="00256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yperlink"/>
          <w:color w:val="auto"/>
          <w:u w:val="none"/>
          <w:lang w:val="en-US"/>
        </w:rPr>
      </w:pPr>
      <w:hyperlink r:id="rId10" w:history="1">
        <w:r w:rsidR="00037105" w:rsidRPr="00D60E42">
          <w:rPr>
            <w:rStyle w:val="Hyperlink"/>
            <w:color w:val="auto"/>
            <w:u w:val="none"/>
            <w:lang w:val="en-US"/>
          </w:rPr>
          <w:t>https://www.theguardian.com/world/2020/nov/05/operation-moonshot-rapidcovid-test-missed-over-50-of-cases-in-pilot</w:t>
        </w:r>
      </w:hyperlink>
      <w:r w:rsidR="00037105" w:rsidRPr="00D60E42">
        <w:rPr>
          <w:rStyle w:val="Hyperlink"/>
          <w:color w:val="auto"/>
          <w:u w:val="none"/>
          <w:lang w:val="en-US"/>
        </w:rPr>
        <w:t xml:space="preserve"> </w:t>
      </w:r>
    </w:p>
    <w:p w14:paraId="7A59CE92" w14:textId="1A3D2131" w:rsidR="00185B1F" w:rsidRPr="00D60E42" w:rsidRDefault="009B4732" w:rsidP="001572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 w:rsidRPr="00D60E42">
        <w:t>Alexandersen</w:t>
      </w:r>
      <w:proofErr w:type="spellEnd"/>
      <w:r w:rsidRPr="00D60E42">
        <w:t xml:space="preserve"> S, </w:t>
      </w:r>
      <w:proofErr w:type="spellStart"/>
      <w:r w:rsidRPr="00D60E42">
        <w:t>Chamings</w:t>
      </w:r>
      <w:proofErr w:type="spellEnd"/>
      <w:r w:rsidRPr="00D60E42">
        <w:t xml:space="preserve"> A, Bhatta TR. SARS-CoV-2 genomic and </w:t>
      </w:r>
      <w:proofErr w:type="spellStart"/>
      <w:r w:rsidRPr="00D60E42">
        <w:t>subgenomic</w:t>
      </w:r>
      <w:proofErr w:type="spellEnd"/>
      <w:r w:rsidRPr="00D60E42">
        <w:t xml:space="preserve"> RNAs in diagnostic samples are not an indicator of active replication. Nat Commun. 2020 Nov 27;11(1):6059. </w:t>
      </w:r>
      <w:proofErr w:type="spellStart"/>
      <w:r w:rsidRPr="00D60E42">
        <w:t>doi</w:t>
      </w:r>
      <w:proofErr w:type="spellEnd"/>
      <w:r w:rsidRPr="00D60E42">
        <w:t xml:space="preserve">: 10.1038/s41467-020-19883-7. PMID: 33247099; PMCID: PMC7695715. </w:t>
      </w:r>
      <w:hyperlink r:id="rId11" w:history="1">
        <w:r w:rsidRPr="00D60E42">
          <w:rPr>
            <w:rStyle w:val="Hyperlink"/>
            <w:color w:val="auto"/>
            <w:u w:val="none"/>
            <w:lang w:val="en-US"/>
          </w:rPr>
          <w:t>https://pubmed.ncbi.nlm.nih.gov/33247099/</w:t>
        </w:r>
      </w:hyperlink>
      <w:r w:rsidR="005E5F45" w:rsidRPr="00D60E42">
        <w:rPr>
          <w:lang w:val="en-US"/>
        </w:rPr>
        <w:t xml:space="preserve"> </w:t>
      </w:r>
    </w:p>
    <w:p w14:paraId="38686A2D" w14:textId="4DD929D6" w:rsidR="00D60E42" w:rsidRPr="00D60E42" w:rsidRDefault="00D60E42" w:rsidP="00D60E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 w:rsidRPr="00D60E42">
        <w:rPr>
          <w:lang w:val="en-US"/>
        </w:rPr>
        <w:t>Benrahma</w:t>
      </w:r>
      <w:proofErr w:type="spellEnd"/>
      <w:r w:rsidRPr="00D60E42">
        <w:rPr>
          <w:lang w:val="en-US"/>
        </w:rPr>
        <w:t xml:space="preserve"> H, Diawara I, </w:t>
      </w:r>
      <w:proofErr w:type="spellStart"/>
      <w:r w:rsidRPr="00D60E42">
        <w:rPr>
          <w:lang w:val="en-US"/>
        </w:rPr>
        <w:t>Smyej</w:t>
      </w:r>
      <w:proofErr w:type="spellEnd"/>
      <w:r w:rsidRPr="00D60E42">
        <w:rPr>
          <w:lang w:val="en-US"/>
        </w:rPr>
        <w:t xml:space="preserve"> I, et al. Epidemiological description and analysis of </w:t>
      </w:r>
      <w:proofErr w:type="spellStart"/>
      <w:r w:rsidRPr="00D60E42">
        <w:rPr>
          <w:lang w:val="en-US"/>
        </w:rPr>
        <w:t>RdRp</w:t>
      </w:r>
      <w:proofErr w:type="spellEnd"/>
      <w:r w:rsidRPr="00D60E42">
        <w:rPr>
          <w:lang w:val="en-US"/>
        </w:rPr>
        <w:t xml:space="preserve">, E and N genes dynamic by RT-PCR of SARS-CoV-2 in Moroccan population: Experience of the National Reference Laboratory (LNR)-UM6SS. </w:t>
      </w:r>
      <w:proofErr w:type="spellStart"/>
      <w:r w:rsidRPr="00D60E42">
        <w:rPr>
          <w:lang w:val="en-US"/>
        </w:rPr>
        <w:t>medRxiv</w:t>
      </w:r>
      <w:proofErr w:type="spellEnd"/>
      <w:r w:rsidRPr="00D60E42">
        <w:rPr>
          <w:lang w:val="en-US"/>
        </w:rPr>
        <w:t>; 2020. DOI: 10.1101/2020.06.18.20135137.</w:t>
      </w:r>
    </w:p>
    <w:p w14:paraId="7159AB18" w14:textId="33896159" w:rsidR="009424D0" w:rsidRPr="00D60E42" w:rsidRDefault="009B4732" w:rsidP="001572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 w:rsidRPr="00D60E42">
        <w:t>Danzetta</w:t>
      </w:r>
      <w:proofErr w:type="spellEnd"/>
      <w:r w:rsidRPr="00D60E42">
        <w:t xml:space="preserve"> ML, Amato L, Cito F, Di Giuseppe A, Morelli D, </w:t>
      </w:r>
      <w:proofErr w:type="spellStart"/>
      <w:r w:rsidRPr="00D60E42">
        <w:t>Savini</w:t>
      </w:r>
      <w:proofErr w:type="spellEnd"/>
      <w:r w:rsidRPr="00D60E42">
        <w:t xml:space="preserve"> G, </w:t>
      </w:r>
      <w:proofErr w:type="spellStart"/>
      <w:r w:rsidRPr="00D60E42">
        <w:t>Mercante</w:t>
      </w:r>
      <w:proofErr w:type="spellEnd"/>
      <w:r w:rsidRPr="00D60E42">
        <w:t xml:space="preserve"> MT, </w:t>
      </w:r>
      <w:proofErr w:type="spellStart"/>
      <w:r w:rsidRPr="00D60E42">
        <w:t>Lorusso</w:t>
      </w:r>
      <w:proofErr w:type="spellEnd"/>
      <w:r w:rsidRPr="00D60E42">
        <w:t xml:space="preserve"> A, </w:t>
      </w:r>
      <w:proofErr w:type="spellStart"/>
      <w:r w:rsidRPr="00D60E42">
        <w:t>Portanti</w:t>
      </w:r>
      <w:proofErr w:type="spellEnd"/>
      <w:r w:rsidRPr="00D60E42">
        <w:t xml:space="preserve"> O, Puglia I, Monaco F, </w:t>
      </w:r>
      <w:proofErr w:type="spellStart"/>
      <w:r w:rsidRPr="00D60E42">
        <w:t>Casaccia</w:t>
      </w:r>
      <w:proofErr w:type="spellEnd"/>
      <w:r w:rsidRPr="00D60E42">
        <w:t xml:space="preserve"> C, Di Gennaro A, Testa L, </w:t>
      </w:r>
      <w:proofErr w:type="spellStart"/>
      <w:r w:rsidRPr="00D60E42">
        <w:t>Migliorati</w:t>
      </w:r>
      <w:proofErr w:type="spellEnd"/>
      <w:r w:rsidRPr="00D60E42">
        <w:t xml:space="preserve"> G, </w:t>
      </w:r>
      <w:proofErr w:type="spellStart"/>
      <w:r w:rsidRPr="00D60E42">
        <w:t>D'Alterio</w:t>
      </w:r>
      <w:proofErr w:type="spellEnd"/>
      <w:r w:rsidRPr="00D60E42">
        <w:t xml:space="preserve"> N, </w:t>
      </w:r>
      <w:proofErr w:type="spellStart"/>
      <w:r w:rsidRPr="00D60E42">
        <w:t>Calistri</w:t>
      </w:r>
      <w:proofErr w:type="spellEnd"/>
      <w:r w:rsidRPr="00D60E42">
        <w:t xml:space="preserve"> P. SARS-CoV-2 RNA Persistence in </w:t>
      </w:r>
      <w:proofErr w:type="spellStart"/>
      <w:r w:rsidRPr="00D60E42">
        <w:t>Naso</w:t>
      </w:r>
      <w:proofErr w:type="spellEnd"/>
      <w:r w:rsidRPr="00D60E42">
        <w:t xml:space="preserve">-Pharyngeal Swabs. Microorganisms. 2020 Jul 26;8(8):1124. </w:t>
      </w:r>
      <w:proofErr w:type="spellStart"/>
      <w:r w:rsidRPr="00D60E42">
        <w:t>doi</w:t>
      </w:r>
      <w:proofErr w:type="spellEnd"/>
      <w:r w:rsidRPr="00D60E42">
        <w:t xml:space="preserve">: 10.3390/microorganisms8081124. PMID: 32722621; PMCID: PMC7466010. </w:t>
      </w:r>
      <w:hyperlink r:id="rId12" w:history="1">
        <w:r w:rsidRPr="00D60E42">
          <w:rPr>
            <w:rStyle w:val="Hyperlink"/>
            <w:color w:val="auto"/>
            <w:u w:val="none"/>
            <w:lang w:val="en-US"/>
          </w:rPr>
          <w:t>https://www.ncbi.nlm.nih.gov/pmc/articles/PMC7466010/</w:t>
        </w:r>
      </w:hyperlink>
    </w:p>
    <w:p w14:paraId="4DAD87C3" w14:textId="43896E15" w:rsidR="009424D0" w:rsidRPr="00D60E42" w:rsidRDefault="009B4732" w:rsidP="007A35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 w:rsidRPr="00D60E42">
        <w:t>Loying</w:t>
      </w:r>
      <w:proofErr w:type="spellEnd"/>
      <w:r w:rsidRPr="00D60E42">
        <w:t xml:space="preserve"> P, </w:t>
      </w:r>
      <w:proofErr w:type="spellStart"/>
      <w:r w:rsidRPr="00D60E42">
        <w:t>Sarma</w:t>
      </w:r>
      <w:proofErr w:type="spellEnd"/>
      <w:r w:rsidRPr="00D60E42">
        <w:t xml:space="preserve"> V, Hazarika SC, </w:t>
      </w:r>
      <w:proofErr w:type="spellStart"/>
      <w:r w:rsidRPr="00D60E42">
        <w:t>Kataki</w:t>
      </w:r>
      <w:proofErr w:type="spellEnd"/>
      <w:r w:rsidRPr="00D60E42">
        <w:t xml:space="preserve"> M, Raja D, </w:t>
      </w:r>
      <w:proofErr w:type="spellStart"/>
      <w:r w:rsidRPr="00D60E42">
        <w:t>Medhi</w:t>
      </w:r>
      <w:proofErr w:type="spellEnd"/>
      <w:r w:rsidRPr="00D60E42">
        <w:t xml:space="preserve"> D, Dutta R, Chena A, </w:t>
      </w:r>
      <w:proofErr w:type="spellStart"/>
      <w:r w:rsidRPr="00D60E42">
        <w:t>Daimary</w:t>
      </w:r>
      <w:proofErr w:type="spellEnd"/>
      <w:r w:rsidRPr="00D60E42">
        <w:t xml:space="preserve"> D, Choudhury A, </w:t>
      </w:r>
      <w:proofErr w:type="spellStart"/>
      <w:r w:rsidRPr="00D60E42">
        <w:t>Saikia</w:t>
      </w:r>
      <w:proofErr w:type="spellEnd"/>
      <w:r w:rsidRPr="00D60E42">
        <w:t xml:space="preserve"> L. Dynamics of ORF1ab and N Gene among hospitalized COVID-19 positive 2 cohorts: A hospital based retrospective study. 2020 Nov.  </w:t>
      </w:r>
      <w:r w:rsidRPr="00D60E42">
        <w:cr/>
      </w:r>
      <w:hyperlink r:id="rId13" w:history="1">
        <w:r w:rsidRPr="00D60E42">
          <w:rPr>
            <w:rStyle w:val="Hyperlink"/>
            <w:color w:val="auto"/>
            <w:u w:val="none"/>
            <w:lang w:val="en-US"/>
          </w:rPr>
          <w:t>https://www.medrxiv.org/content/10.1101/2020.11.22.20236240v1.full.pdf</w:t>
        </w:r>
      </w:hyperlink>
    </w:p>
    <w:p w14:paraId="765CDADC" w14:textId="36ED1843" w:rsidR="00A91ED8" w:rsidRDefault="00A91ED8" w:rsidP="001572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1ED8">
        <w:rPr>
          <w:lang w:val="en-US"/>
        </w:rPr>
        <w:t>Saeed K, Pelosi E, Mahobia N, et al. Investigations, actions and learning from an outbreak of SARS-CoV-2 infection among healthcare workers in the United Kingdom. Journal of Infection Prevention. December 2020. doi:10.1177/1757177420976798</w:t>
      </w:r>
    </w:p>
    <w:p w14:paraId="7B837F9D" w14:textId="7B2FDDCC" w:rsidR="009702B2" w:rsidRPr="00D60E42" w:rsidRDefault="009B4732" w:rsidP="001572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60E42">
        <w:rPr>
          <w:lang w:val="en-US"/>
        </w:rPr>
        <w:t xml:space="preserve">Kim D, Lee JY, Yang JS, Kim JW, Kim VN, Chang H. The Architecture of SARS-CoV-2 Transcriptome. Cell. 2020 May 14;181(4):914-921.e10. </w:t>
      </w:r>
      <w:proofErr w:type="spellStart"/>
      <w:r w:rsidRPr="00D60E42">
        <w:rPr>
          <w:lang w:val="en-US"/>
        </w:rPr>
        <w:t>doi</w:t>
      </w:r>
      <w:proofErr w:type="spellEnd"/>
      <w:r w:rsidRPr="00D60E42">
        <w:rPr>
          <w:lang w:val="en-US"/>
        </w:rPr>
        <w:t xml:space="preserve">: 10.1016/j.cell.2020.04.011. Epub </w:t>
      </w:r>
      <w:r w:rsidRPr="00D60E42">
        <w:rPr>
          <w:lang w:val="en-US"/>
        </w:rPr>
        <w:lastRenderedPageBreak/>
        <w:t xml:space="preserve">2020 Apr 23. PMID: 32330414; PMCID: PMC7179501. </w:t>
      </w:r>
      <w:hyperlink r:id="rId14" w:history="1">
        <w:r w:rsidR="00D60E42" w:rsidRPr="00D60E42">
          <w:rPr>
            <w:rStyle w:val="Hyperlink"/>
            <w:color w:val="auto"/>
            <w:u w:val="none"/>
            <w:lang w:val="en-US"/>
          </w:rPr>
          <w:t>https://www.sciencedirect.com/science/article/pii/S0092867420304062</w:t>
        </w:r>
      </w:hyperlink>
    </w:p>
    <w:p w14:paraId="6D0158D0" w14:textId="77777777" w:rsidR="0025671F" w:rsidRPr="00D60E42" w:rsidRDefault="0025671F" w:rsidP="00256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 w:rsidRPr="00D60E42">
        <w:rPr>
          <w:lang w:val="en-US"/>
        </w:rPr>
        <w:t>Borghi</w:t>
      </w:r>
      <w:proofErr w:type="spellEnd"/>
      <w:r w:rsidRPr="00D60E42">
        <w:rPr>
          <w:lang w:val="en-US"/>
        </w:rPr>
        <w:t xml:space="preserve"> E, Massa V, Carmagnola D, et al. Saliva sampling for chasing SARS-CoV-2: A Game-changing strategy. Pharmacological Research 2020 - </w:t>
      </w:r>
      <w:hyperlink r:id="rId15" w:history="1">
        <w:r w:rsidRPr="00D60E42">
          <w:rPr>
            <w:rStyle w:val="Hyperlink"/>
            <w:color w:val="auto"/>
            <w:u w:val="none"/>
            <w:lang w:val="en-US"/>
          </w:rPr>
          <w:t>https://doi.org/10.1016/j.phrs.2020.105380</w:t>
        </w:r>
      </w:hyperlink>
      <w:r w:rsidRPr="00D60E42">
        <w:rPr>
          <w:lang w:val="en-US"/>
        </w:rPr>
        <w:t>.</w:t>
      </w:r>
    </w:p>
    <w:p w14:paraId="67B9092A" w14:textId="205F55BD" w:rsidR="0025671F" w:rsidRDefault="0025671F" w:rsidP="00256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60E42">
        <w:rPr>
          <w:lang w:val="en-US"/>
        </w:rPr>
        <w:t xml:space="preserve">Yokota I, Shane PY, Okada K, et al. Mass screening of asymptomatic persons for SARS-CoV-2 using saliva, Clin Inf Dis 2020 - </w:t>
      </w:r>
      <w:hyperlink r:id="rId16" w:history="1">
        <w:r w:rsidR="00C26282" w:rsidRPr="003031F0">
          <w:rPr>
            <w:rStyle w:val="Hyperlink"/>
            <w:lang w:val="en-US"/>
          </w:rPr>
          <w:t>https://doi.org/10.1093/cid/ciaa1388</w:t>
        </w:r>
      </w:hyperlink>
      <w:r w:rsidR="00C26282">
        <w:rPr>
          <w:lang w:val="en-US"/>
        </w:rPr>
        <w:t>.</w:t>
      </w:r>
    </w:p>
    <w:p w14:paraId="3007259C" w14:textId="788AA9D4" w:rsidR="00C26282" w:rsidRDefault="00C26282" w:rsidP="00256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26282">
        <w:rPr>
          <w:lang w:val="en-US"/>
        </w:rPr>
        <w:t xml:space="preserve">Hanson KE, Barker AP, Hillyard DR, Gilmore N, Barrett JW, Orlandi RR, Shakir SM. 2020. Self-collected anterior nasal and saliva specimens versus health care worker-collected nasopharyngeal swabs for the molecular detection of SARS-CoV-2. J Clin Microbiol 58:e01824-20. </w:t>
      </w:r>
      <w:hyperlink r:id="rId17" w:history="1">
        <w:r w:rsidR="00CA6534" w:rsidRPr="000254DE">
          <w:rPr>
            <w:rStyle w:val="Hyperlink"/>
            <w:lang w:val="en-US"/>
          </w:rPr>
          <w:t>https://doi.org/10.1128/JCM.01824-20</w:t>
        </w:r>
      </w:hyperlink>
      <w:r w:rsidRPr="00C26282">
        <w:rPr>
          <w:lang w:val="en-US"/>
        </w:rPr>
        <w:t>.</w:t>
      </w:r>
    </w:p>
    <w:p w14:paraId="7AA21250" w14:textId="357BB961" w:rsidR="00C948F2" w:rsidRDefault="00C948F2" w:rsidP="00256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948F2">
        <w:rPr>
          <w:lang w:val="en-US"/>
        </w:rPr>
        <w:t>Silva</w:t>
      </w:r>
      <w:r>
        <w:rPr>
          <w:lang w:val="en-US"/>
        </w:rPr>
        <w:t xml:space="preserve"> J</w:t>
      </w:r>
      <w:r w:rsidRPr="00C948F2">
        <w:rPr>
          <w:lang w:val="en-US"/>
        </w:rPr>
        <w:t>, Lucas</w:t>
      </w:r>
      <w:r>
        <w:rPr>
          <w:lang w:val="en-US"/>
        </w:rPr>
        <w:t xml:space="preserve"> C</w:t>
      </w:r>
      <w:r w:rsidRPr="00C948F2">
        <w:rPr>
          <w:lang w:val="en-US"/>
        </w:rPr>
        <w:t>, Sundaram</w:t>
      </w:r>
      <w:r>
        <w:rPr>
          <w:lang w:val="en-US"/>
        </w:rPr>
        <w:t xml:space="preserve"> M</w:t>
      </w:r>
      <w:r w:rsidRPr="00C948F2">
        <w:rPr>
          <w:lang w:val="en-US"/>
        </w:rPr>
        <w:t xml:space="preserve">, </w:t>
      </w:r>
      <w:proofErr w:type="spellStart"/>
      <w:r w:rsidRPr="00C948F2">
        <w:rPr>
          <w:lang w:val="en-US"/>
        </w:rPr>
        <w:t>Israelow</w:t>
      </w:r>
      <w:proofErr w:type="spellEnd"/>
      <w:r>
        <w:rPr>
          <w:lang w:val="en-US"/>
        </w:rPr>
        <w:t xml:space="preserve"> B</w:t>
      </w:r>
      <w:r w:rsidRPr="00C948F2">
        <w:rPr>
          <w:lang w:val="en-US"/>
        </w:rPr>
        <w:t>, Wong</w:t>
      </w:r>
      <w:r>
        <w:rPr>
          <w:lang w:val="en-US"/>
        </w:rPr>
        <w:t xml:space="preserve"> P</w:t>
      </w:r>
      <w:r w:rsidRPr="00C948F2">
        <w:rPr>
          <w:lang w:val="en-US"/>
        </w:rPr>
        <w:t>, Klein</w:t>
      </w:r>
      <w:r>
        <w:rPr>
          <w:lang w:val="en-US"/>
        </w:rPr>
        <w:t xml:space="preserve"> J</w:t>
      </w:r>
      <w:r w:rsidRPr="00C948F2">
        <w:rPr>
          <w:lang w:val="en-US"/>
        </w:rPr>
        <w:t>, Tokuyama</w:t>
      </w:r>
      <w:r>
        <w:rPr>
          <w:lang w:val="en-US"/>
        </w:rPr>
        <w:t xml:space="preserve"> M</w:t>
      </w:r>
      <w:r w:rsidRPr="00C948F2">
        <w:rPr>
          <w:lang w:val="en-US"/>
        </w:rPr>
        <w:t>, Lu</w:t>
      </w:r>
      <w:r>
        <w:rPr>
          <w:lang w:val="en-US"/>
        </w:rPr>
        <w:t xml:space="preserve"> P</w:t>
      </w:r>
      <w:r w:rsidRPr="00C948F2">
        <w:rPr>
          <w:lang w:val="en-US"/>
        </w:rPr>
        <w:t>, Venkataraman</w:t>
      </w:r>
      <w:r w:rsidR="00E363D6">
        <w:rPr>
          <w:lang w:val="en-US"/>
        </w:rPr>
        <w:t xml:space="preserve"> A</w:t>
      </w:r>
      <w:r w:rsidRPr="00C948F2">
        <w:rPr>
          <w:lang w:val="en-US"/>
        </w:rPr>
        <w:t>, Liu</w:t>
      </w:r>
      <w:r w:rsidR="00E363D6">
        <w:rPr>
          <w:lang w:val="en-US"/>
        </w:rPr>
        <w:t xml:space="preserve"> F</w:t>
      </w:r>
      <w:r w:rsidRPr="00C948F2">
        <w:rPr>
          <w:lang w:val="en-US"/>
        </w:rPr>
        <w:t>, Mao</w:t>
      </w:r>
      <w:r w:rsidR="00E363D6">
        <w:rPr>
          <w:lang w:val="en-US"/>
        </w:rPr>
        <w:t xml:space="preserve"> T</w:t>
      </w:r>
      <w:r w:rsidRPr="00C948F2">
        <w:rPr>
          <w:lang w:val="en-US"/>
        </w:rPr>
        <w:t>, Oh</w:t>
      </w:r>
      <w:r w:rsidR="00E363D6">
        <w:rPr>
          <w:lang w:val="en-US"/>
        </w:rPr>
        <w:t xml:space="preserve"> JE</w:t>
      </w:r>
      <w:r w:rsidRPr="00C948F2">
        <w:rPr>
          <w:lang w:val="en-US"/>
        </w:rPr>
        <w:t>, Park</w:t>
      </w:r>
      <w:r w:rsidR="00E363D6">
        <w:rPr>
          <w:lang w:val="en-US"/>
        </w:rPr>
        <w:t xml:space="preserve"> A</w:t>
      </w:r>
      <w:r w:rsidRPr="00C948F2">
        <w:rPr>
          <w:lang w:val="en-US"/>
        </w:rPr>
        <w:t>, Casanovas-</w:t>
      </w:r>
      <w:proofErr w:type="spellStart"/>
      <w:r w:rsidRPr="00C948F2">
        <w:rPr>
          <w:lang w:val="en-US"/>
        </w:rPr>
        <w:t>Massana</w:t>
      </w:r>
      <w:proofErr w:type="spellEnd"/>
      <w:r w:rsidR="00E363D6">
        <w:rPr>
          <w:lang w:val="en-US"/>
        </w:rPr>
        <w:t xml:space="preserve"> A</w:t>
      </w:r>
      <w:r w:rsidRPr="00C948F2">
        <w:rPr>
          <w:lang w:val="en-US"/>
        </w:rPr>
        <w:t xml:space="preserve">, </w:t>
      </w:r>
      <w:proofErr w:type="spellStart"/>
      <w:r w:rsidRPr="00C948F2">
        <w:rPr>
          <w:lang w:val="en-US"/>
        </w:rPr>
        <w:t>Vogels</w:t>
      </w:r>
      <w:proofErr w:type="spellEnd"/>
      <w:r w:rsidR="00E363D6">
        <w:rPr>
          <w:lang w:val="en-US"/>
        </w:rPr>
        <w:t xml:space="preserve"> CBF</w:t>
      </w:r>
      <w:r w:rsidRPr="00C948F2">
        <w:rPr>
          <w:lang w:val="en-US"/>
        </w:rPr>
        <w:t xml:space="preserve">, </w:t>
      </w:r>
      <w:proofErr w:type="spellStart"/>
      <w:r w:rsidRPr="00C948F2">
        <w:rPr>
          <w:lang w:val="en-US"/>
        </w:rPr>
        <w:t>Muenker</w:t>
      </w:r>
      <w:proofErr w:type="spellEnd"/>
      <w:r w:rsidR="00E363D6">
        <w:rPr>
          <w:lang w:val="en-US"/>
        </w:rPr>
        <w:t xml:space="preserve"> CM</w:t>
      </w:r>
      <w:r w:rsidRPr="00C948F2">
        <w:rPr>
          <w:lang w:val="en-US"/>
        </w:rPr>
        <w:t>, Zell</w:t>
      </w:r>
      <w:r w:rsidR="00E363D6">
        <w:rPr>
          <w:lang w:val="en-US"/>
        </w:rPr>
        <w:t xml:space="preserve"> J</w:t>
      </w:r>
      <w:r w:rsidRPr="00C948F2">
        <w:rPr>
          <w:lang w:val="en-US"/>
        </w:rPr>
        <w:t>, Fournier</w:t>
      </w:r>
      <w:r w:rsidR="00E363D6">
        <w:rPr>
          <w:lang w:val="en-US"/>
        </w:rPr>
        <w:t xml:space="preserve"> JB</w:t>
      </w:r>
      <w:r w:rsidRPr="00C948F2">
        <w:rPr>
          <w:lang w:val="en-US"/>
        </w:rPr>
        <w:t>, Campbell</w:t>
      </w:r>
      <w:r w:rsidR="00E363D6">
        <w:rPr>
          <w:lang w:val="en-US"/>
        </w:rPr>
        <w:t xml:space="preserve"> M</w:t>
      </w:r>
      <w:r w:rsidRPr="00C948F2">
        <w:rPr>
          <w:lang w:val="en-US"/>
        </w:rPr>
        <w:t xml:space="preserve">, </w:t>
      </w:r>
      <w:proofErr w:type="spellStart"/>
      <w:r w:rsidRPr="00C948F2">
        <w:rPr>
          <w:lang w:val="en-US"/>
        </w:rPr>
        <w:t>Chiorazzi</w:t>
      </w:r>
      <w:proofErr w:type="spellEnd"/>
      <w:r w:rsidR="00E363D6">
        <w:rPr>
          <w:lang w:val="en-US"/>
        </w:rPr>
        <w:t xml:space="preserve"> M</w:t>
      </w:r>
      <w:r w:rsidRPr="00C948F2">
        <w:rPr>
          <w:lang w:val="en-US"/>
        </w:rPr>
        <w:t>, Fuentes</w:t>
      </w:r>
      <w:r w:rsidR="00E363D6">
        <w:rPr>
          <w:lang w:val="en-US"/>
        </w:rPr>
        <w:t xml:space="preserve"> ER</w:t>
      </w:r>
      <w:r w:rsidRPr="00C948F2">
        <w:rPr>
          <w:lang w:val="en-US"/>
        </w:rPr>
        <w:t xml:space="preserve">, </w:t>
      </w:r>
      <w:proofErr w:type="spellStart"/>
      <w:r w:rsidRPr="00C948F2">
        <w:rPr>
          <w:lang w:val="en-US"/>
        </w:rPr>
        <w:t>Petrone</w:t>
      </w:r>
      <w:proofErr w:type="spellEnd"/>
      <w:r w:rsidR="00E363D6">
        <w:rPr>
          <w:lang w:val="en-US"/>
        </w:rPr>
        <w:t xml:space="preserve"> M</w:t>
      </w:r>
      <w:r w:rsidRPr="00C948F2">
        <w:rPr>
          <w:lang w:val="en-US"/>
        </w:rPr>
        <w:t xml:space="preserve">, </w:t>
      </w:r>
      <w:proofErr w:type="spellStart"/>
      <w:r w:rsidR="00E363D6">
        <w:rPr>
          <w:lang w:val="en-US"/>
        </w:rPr>
        <w:t>K</w:t>
      </w:r>
      <w:r w:rsidRPr="00C948F2">
        <w:rPr>
          <w:lang w:val="en-US"/>
        </w:rPr>
        <w:t>alinich</w:t>
      </w:r>
      <w:proofErr w:type="spellEnd"/>
      <w:r w:rsidR="00E363D6">
        <w:rPr>
          <w:lang w:val="en-US"/>
        </w:rPr>
        <w:t xml:space="preserve"> CC</w:t>
      </w:r>
      <w:r w:rsidRPr="00C948F2">
        <w:rPr>
          <w:lang w:val="en-US"/>
        </w:rPr>
        <w:t>, Ott</w:t>
      </w:r>
      <w:r w:rsidR="00E363D6">
        <w:rPr>
          <w:lang w:val="en-US"/>
        </w:rPr>
        <w:t xml:space="preserve"> IM</w:t>
      </w:r>
      <w:r w:rsidRPr="00C948F2">
        <w:rPr>
          <w:lang w:val="en-US"/>
        </w:rPr>
        <w:t>, Watkins</w:t>
      </w:r>
      <w:r w:rsidR="00E363D6">
        <w:rPr>
          <w:lang w:val="en-US"/>
        </w:rPr>
        <w:t xml:space="preserve"> A</w:t>
      </w:r>
      <w:r w:rsidRPr="00C948F2">
        <w:rPr>
          <w:lang w:val="en-US"/>
        </w:rPr>
        <w:t>, Moore</w:t>
      </w:r>
      <w:r w:rsidR="00E363D6">
        <w:rPr>
          <w:lang w:val="en-US"/>
        </w:rPr>
        <w:t xml:space="preserve"> AJ</w:t>
      </w:r>
      <w:r w:rsidRPr="00C948F2">
        <w:rPr>
          <w:lang w:val="en-US"/>
        </w:rPr>
        <w:t xml:space="preserve">, </w:t>
      </w:r>
      <w:proofErr w:type="spellStart"/>
      <w:r w:rsidRPr="00C948F2">
        <w:rPr>
          <w:lang w:val="en-US"/>
        </w:rPr>
        <w:t>Nakahata</w:t>
      </w:r>
      <w:proofErr w:type="spellEnd"/>
      <w:r w:rsidR="00E363D6">
        <w:rPr>
          <w:lang w:val="en-US"/>
        </w:rPr>
        <w:t xml:space="preserve"> MI</w:t>
      </w:r>
      <w:r w:rsidRPr="00C948F2">
        <w:rPr>
          <w:lang w:val="en-US"/>
        </w:rPr>
        <w:t xml:space="preserve">, Yale IMPACT Team, </w:t>
      </w:r>
      <w:proofErr w:type="spellStart"/>
      <w:r w:rsidRPr="00C948F2">
        <w:rPr>
          <w:lang w:val="en-US"/>
        </w:rPr>
        <w:t>Grubaugh</w:t>
      </w:r>
      <w:proofErr w:type="spellEnd"/>
      <w:r w:rsidR="00E363D6">
        <w:rPr>
          <w:lang w:val="en-US"/>
        </w:rPr>
        <w:t xml:space="preserve"> ND</w:t>
      </w:r>
      <w:r w:rsidRPr="00C948F2">
        <w:rPr>
          <w:lang w:val="en-US"/>
        </w:rPr>
        <w:t xml:space="preserve">, </w:t>
      </w:r>
      <w:proofErr w:type="spellStart"/>
      <w:r w:rsidRPr="00C948F2">
        <w:rPr>
          <w:lang w:val="en-US"/>
        </w:rPr>
        <w:t>Farhadian</w:t>
      </w:r>
      <w:proofErr w:type="spellEnd"/>
      <w:r w:rsidR="00E363D6">
        <w:rPr>
          <w:lang w:val="en-US"/>
        </w:rPr>
        <w:t xml:space="preserve"> S</w:t>
      </w:r>
      <w:r w:rsidRPr="00C948F2">
        <w:rPr>
          <w:lang w:val="en-US"/>
        </w:rPr>
        <w:t>, Dela Cruz</w:t>
      </w:r>
      <w:r w:rsidR="00E363D6">
        <w:rPr>
          <w:lang w:val="en-US"/>
        </w:rPr>
        <w:t xml:space="preserve"> C</w:t>
      </w:r>
      <w:r w:rsidRPr="00C948F2">
        <w:rPr>
          <w:lang w:val="en-US"/>
        </w:rPr>
        <w:t>, Ko</w:t>
      </w:r>
      <w:r w:rsidR="00E363D6">
        <w:rPr>
          <w:lang w:val="en-US"/>
        </w:rPr>
        <w:t xml:space="preserve"> A</w:t>
      </w:r>
      <w:r w:rsidRPr="00C948F2">
        <w:rPr>
          <w:lang w:val="en-US"/>
        </w:rPr>
        <w:t>, Schulz</w:t>
      </w:r>
      <w:r w:rsidR="00E363D6">
        <w:rPr>
          <w:lang w:val="en-US"/>
        </w:rPr>
        <w:t xml:space="preserve"> WL</w:t>
      </w:r>
      <w:r w:rsidRPr="00C948F2">
        <w:rPr>
          <w:lang w:val="en-US"/>
        </w:rPr>
        <w:t>, Ring</w:t>
      </w:r>
      <w:r w:rsidR="00E363D6">
        <w:rPr>
          <w:lang w:val="en-US"/>
        </w:rPr>
        <w:t xml:space="preserve"> AM</w:t>
      </w:r>
      <w:r w:rsidRPr="00C948F2">
        <w:rPr>
          <w:lang w:val="en-US"/>
        </w:rPr>
        <w:t>, Ma</w:t>
      </w:r>
      <w:r w:rsidR="00E363D6">
        <w:rPr>
          <w:lang w:val="en-US"/>
        </w:rPr>
        <w:t xml:space="preserve"> S</w:t>
      </w:r>
      <w:r w:rsidRPr="00C948F2">
        <w:rPr>
          <w:lang w:val="en-US"/>
        </w:rPr>
        <w:t>, Omer</w:t>
      </w:r>
      <w:r w:rsidR="00E363D6">
        <w:rPr>
          <w:lang w:val="en-US"/>
        </w:rPr>
        <w:t xml:space="preserve"> S</w:t>
      </w:r>
      <w:r w:rsidRPr="00C948F2">
        <w:rPr>
          <w:lang w:val="en-US"/>
        </w:rPr>
        <w:t>, Wyllie</w:t>
      </w:r>
      <w:r w:rsidR="00E363D6">
        <w:rPr>
          <w:lang w:val="en-US"/>
        </w:rPr>
        <w:t xml:space="preserve"> AL</w:t>
      </w:r>
      <w:r w:rsidRPr="00C948F2">
        <w:rPr>
          <w:lang w:val="en-US"/>
        </w:rPr>
        <w:t>, Iwasaki</w:t>
      </w:r>
      <w:r w:rsidR="00E363D6">
        <w:rPr>
          <w:lang w:val="en-US"/>
        </w:rPr>
        <w:t xml:space="preserve"> A. 2021. </w:t>
      </w:r>
      <w:r w:rsidR="00E363D6" w:rsidRPr="00E363D6">
        <w:rPr>
          <w:lang w:val="en-US"/>
        </w:rPr>
        <w:t>Saliva viral load is a dynamic unifying correlate of COVID-19 severity and mortality</w:t>
      </w:r>
      <w:r w:rsidR="00E363D6">
        <w:rPr>
          <w:lang w:val="en-US"/>
        </w:rPr>
        <w:t xml:space="preserve">. </w:t>
      </w:r>
      <w:proofErr w:type="spellStart"/>
      <w:r w:rsidR="00E363D6" w:rsidRPr="00E363D6">
        <w:rPr>
          <w:lang w:val="en-US"/>
        </w:rPr>
        <w:t>medRxiv</w:t>
      </w:r>
      <w:proofErr w:type="spellEnd"/>
      <w:r w:rsidR="00E363D6" w:rsidRPr="00E363D6">
        <w:rPr>
          <w:lang w:val="en-US"/>
        </w:rPr>
        <w:t xml:space="preserve"> 2021.01.04.21249236; </w:t>
      </w:r>
      <w:proofErr w:type="spellStart"/>
      <w:r w:rsidR="00E363D6" w:rsidRPr="00E363D6">
        <w:rPr>
          <w:lang w:val="en-US"/>
        </w:rPr>
        <w:t>doi</w:t>
      </w:r>
      <w:proofErr w:type="spellEnd"/>
      <w:r w:rsidR="00E363D6" w:rsidRPr="00E363D6">
        <w:rPr>
          <w:lang w:val="en-US"/>
        </w:rPr>
        <w:t>: https://doi.org/10.1101/2021.01.04.21249236</w:t>
      </w:r>
    </w:p>
    <w:p w14:paraId="5309BF73" w14:textId="48BD61A9" w:rsidR="00CA6534" w:rsidRPr="00D60E42" w:rsidRDefault="00CA6534" w:rsidP="00256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6534">
        <w:rPr>
          <w:lang w:val="en-US"/>
        </w:rPr>
        <w:t>https://www.gov.uk/government/publications/how-tests-and-testing-kits-for-coronavirus-covid-19-work/target-product-profile-laboratory-based-sars-cov-2-viral-detection-tests</w:t>
      </w:r>
    </w:p>
    <w:p w14:paraId="07FA3E8E" w14:textId="1C15B84E" w:rsidR="009424D0" w:rsidRDefault="009424D0" w:rsidP="009424D0">
      <w:pPr>
        <w:autoSpaceDE w:val="0"/>
        <w:autoSpaceDN w:val="0"/>
        <w:adjustRightInd w:val="0"/>
        <w:spacing w:after="0" w:line="240" w:lineRule="auto"/>
        <w:ind w:left="360"/>
        <w:rPr>
          <w:color w:val="0563C1" w:themeColor="hyperlink"/>
          <w:u w:val="single"/>
          <w:lang w:val="en-US"/>
        </w:rPr>
      </w:pPr>
    </w:p>
    <w:p w14:paraId="084C37EB" w14:textId="6F09F2F5" w:rsidR="009C46BD" w:rsidRDefault="009C46BD" w:rsidP="009424D0">
      <w:pPr>
        <w:autoSpaceDE w:val="0"/>
        <w:autoSpaceDN w:val="0"/>
        <w:adjustRightInd w:val="0"/>
        <w:spacing w:after="0" w:line="240" w:lineRule="auto"/>
        <w:ind w:left="360"/>
        <w:rPr>
          <w:color w:val="0563C1" w:themeColor="hyperlink"/>
          <w:u w:val="single"/>
          <w:lang w:val="en-US"/>
        </w:rPr>
      </w:pPr>
    </w:p>
    <w:p w14:paraId="6F549C31" w14:textId="4A65DDC3" w:rsidR="009C46BD" w:rsidRDefault="009C46BD" w:rsidP="009C46BD">
      <w:pPr>
        <w:jc w:val="both"/>
        <w:rPr>
          <w:lang w:val="en-US"/>
        </w:rPr>
      </w:pPr>
    </w:p>
    <w:p w14:paraId="6BBA90DF" w14:textId="77777777" w:rsidR="009C46BD" w:rsidRPr="009424D0" w:rsidRDefault="009C46BD" w:rsidP="009424D0">
      <w:pPr>
        <w:autoSpaceDE w:val="0"/>
        <w:autoSpaceDN w:val="0"/>
        <w:adjustRightInd w:val="0"/>
        <w:spacing w:after="0" w:line="240" w:lineRule="auto"/>
        <w:ind w:left="360"/>
        <w:rPr>
          <w:color w:val="0563C1" w:themeColor="hyperlink"/>
          <w:u w:val="single"/>
          <w:lang w:val="en-US"/>
        </w:rPr>
      </w:pPr>
    </w:p>
    <w:sectPr w:rsidR="009C46BD" w:rsidRPr="00942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05F7"/>
    <w:multiLevelType w:val="hybridMultilevel"/>
    <w:tmpl w:val="EDA0A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E3C"/>
    <w:multiLevelType w:val="hybridMultilevel"/>
    <w:tmpl w:val="2A4C174E"/>
    <w:lvl w:ilvl="0" w:tplc="454CE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5516F"/>
    <w:multiLevelType w:val="hybridMultilevel"/>
    <w:tmpl w:val="EDA0A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0D16"/>
    <w:multiLevelType w:val="hybridMultilevel"/>
    <w:tmpl w:val="F9A26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C433D"/>
    <w:multiLevelType w:val="hybridMultilevel"/>
    <w:tmpl w:val="7E002AF0"/>
    <w:lvl w:ilvl="0" w:tplc="8AD0D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26237E"/>
    <w:multiLevelType w:val="hybridMultilevel"/>
    <w:tmpl w:val="6D0E52AC"/>
    <w:lvl w:ilvl="0" w:tplc="454CE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A8"/>
    <w:rsid w:val="00010FF4"/>
    <w:rsid w:val="0001361B"/>
    <w:rsid w:val="00016158"/>
    <w:rsid w:val="00037105"/>
    <w:rsid w:val="00050BE1"/>
    <w:rsid w:val="00075758"/>
    <w:rsid w:val="00083148"/>
    <w:rsid w:val="00083506"/>
    <w:rsid w:val="00087522"/>
    <w:rsid w:val="00091148"/>
    <w:rsid w:val="000B78CA"/>
    <w:rsid w:val="000C079D"/>
    <w:rsid w:val="000D4A91"/>
    <w:rsid w:val="001145A1"/>
    <w:rsid w:val="00116519"/>
    <w:rsid w:val="0013131C"/>
    <w:rsid w:val="00134987"/>
    <w:rsid w:val="00141E64"/>
    <w:rsid w:val="001562B9"/>
    <w:rsid w:val="00157265"/>
    <w:rsid w:val="00161748"/>
    <w:rsid w:val="00166E4C"/>
    <w:rsid w:val="0017019B"/>
    <w:rsid w:val="00185B1F"/>
    <w:rsid w:val="00185EC4"/>
    <w:rsid w:val="001A1ED9"/>
    <w:rsid w:val="001B1300"/>
    <w:rsid w:val="001B4768"/>
    <w:rsid w:val="001D1335"/>
    <w:rsid w:val="001D58A2"/>
    <w:rsid w:val="001E5A47"/>
    <w:rsid w:val="001E75DB"/>
    <w:rsid w:val="00242125"/>
    <w:rsid w:val="00246479"/>
    <w:rsid w:val="0024666E"/>
    <w:rsid w:val="0025671F"/>
    <w:rsid w:val="00275B11"/>
    <w:rsid w:val="002847D5"/>
    <w:rsid w:val="002A15C1"/>
    <w:rsid w:val="002B10AF"/>
    <w:rsid w:val="002B1ACA"/>
    <w:rsid w:val="002F1072"/>
    <w:rsid w:val="002F51A8"/>
    <w:rsid w:val="003074BA"/>
    <w:rsid w:val="00317EC9"/>
    <w:rsid w:val="003431BA"/>
    <w:rsid w:val="00365C15"/>
    <w:rsid w:val="00371EA7"/>
    <w:rsid w:val="00374091"/>
    <w:rsid w:val="003B1628"/>
    <w:rsid w:val="003C5EE1"/>
    <w:rsid w:val="003D282E"/>
    <w:rsid w:val="004032E4"/>
    <w:rsid w:val="00406A7A"/>
    <w:rsid w:val="00407EAE"/>
    <w:rsid w:val="004175B8"/>
    <w:rsid w:val="004219E7"/>
    <w:rsid w:val="00421E7C"/>
    <w:rsid w:val="00451634"/>
    <w:rsid w:val="004A4D31"/>
    <w:rsid w:val="004A63DD"/>
    <w:rsid w:val="004B2D05"/>
    <w:rsid w:val="004F21BA"/>
    <w:rsid w:val="005A0CF7"/>
    <w:rsid w:val="005A302A"/>
    <w:rsid w:val="005E5F45"/>
    <w:rsid w:val="00625859"/>
    <w:rsid w:val="00626526"/>
    <w:rsid w:val="006271F2"/>
    <w:rsid w:val="00632EB0"/>
    <w:rsid w:val="0066088D"/>
    <w:rsid w:val="006864AD"/>
    <w:rsid w:val="006A1A06"/>
    <w:rsid w:val="006B56EB"/>
    <w:rsid w:val="006C79C9"/>
    <w:rsid w:val="006D0AE2"/>
    <w:rsid w:val="006D4E03"/>
    <w:rsid w:val="006E1F7C"/>
    <w:rsid w:val="00715EDA"/>
    <w:rsid w:val="00721634"/>
    <w:rsid w:val="00763BEB"/>
    <w:rsid w:val="007A35C3"/>
    <w:rsid w:val="007C6677"/>
    <w:rsid w:val="007D4EEE"/>
    <w:rsid w:val="007D721C"/>
    <w:rsid w:val="007E4A3B"/>
    <w:rsid w:val="007F3CCD"/>
    <w:rsid w:val="008023FA"/>
    <w:rsid w:val="00802A00"/>
    <w:rsid w:val="0083625C"/>
    <w:rsid w:val="00854933"/>
    <w:rsid w:val="00891C17"/>
    <w:rsid w:val="00894335"/>
    <w:rsid w:val="008B4A84"/>
    <w:rsid w:val="008E2597"/>
    <w:rsid w:val="008E70E6"/>
    <w:rsid w:val="009273A2"/>
    <w:rsid w:val="009424D0"/>
    <w:rsid w:val="00951650"/>
    <w:rsid w:val="00953742"/>
    <w:rsid w:val="009702B2"/>
    <w:rsid w:val="0097067D"/>
    <w:rsid w:val="009840C6"/>
    <w:rsid w:val="00985515"/>
    <w:rsid w:val="009B4732"/>
    <w:rsid w:val="009C46BD"/>
    <w:rsid w:val="009C6FDD"/>
    <w:rsid w:val="009D2CD9"/>
    <w:rsid w:val="009D755E"/>
    <w:rsid w:val="00A016E1"/>
    <w:rsid w:val="00A01C42"/>
    <w:rsid w:val="00A059AC"/>
    <w:rsid w:val="00A164D1"/>
    <w:rsid w:val="00A27CB7"/>
    <w:rsid w:val="00A41A82"/>
    <w:rsid w:val="00A42AD2"/>
    <w:rsid w:val="00A638D5"/>
    <w:rsid w:val="00A91ED8"/>
    <w:rsid w:val="00B4244C"/>
    <w:rsid w:val="00B60345"/>
    <w:rsid w:val="00B652D0"/>
    <w:rsid w:val="00B805ED"/>
    <w:rsid w:val="00B81C07"/>
    <w:rsid w:val="00B96F98"/>
    <w:rsid w:val="00BB73DB"/>
    <w:rsid w:val="00BC391E"/>
    <w:rsid w:val="00C23517"/>
    <w:rsid w:val="00C23FBF"/>
    <w:rsid w:val="00C26282"/>
    <w:rsid w:val="00C4758F"/>
    <w:rsid w:val="00C619FC"/>
    <w:rsid w:val="00C948F2"/>
    <w:rsid w:val="00CA6534"/>
    <w:rsid w:val="00D237D1"/>
    <w:rsid w:val="00D60E42"/>
    <w:rsid w:val="00DB6245"/>
    <w:rsid w:val="00DC1CB4"/>
    <w:rsid w:val="00DD639B"/>
    <w:rsid w:val="00DE3B30"/>
    <w:rsid w:val="00DF3843"/>
    <w:rsid w:val="00E016E3"/>
    <w:rsid w:val="00E363D6"/>
    <w:rsid w:val="00E62D65"/>
    <w:rsid w:val="00E64550"/>
    <w:rsid w:val="00EA6FD8"/>
    <w:rsid w:val="00EB60AA"/>
    <w:rsid w:val="00EB6D0E"/>
    <w:rsid w:val="00EC4D6B"/>
    <w:rsid w:val="00EE11C8"/>
    <w:rsid w:val="00EE71FE"/>
    <w:rsid w:val="00F0210C"/>
    <w:rsid w:val="00F61352"/>
    <w:rsid w:val="00F641CC"/>
    <w:rsid w:val="00F66DEE"/>
    <w:rsid w:val="00F73966"/>
    <w:rsid w:val="00F77D8B"/>
    <w:rsid w:val="00FA0613"/>
    <w:rsid w:val="00FD24F9"/>
    <w:rsid w:val="00FD5D5A"/>
    <w:rsid w:val="00FD7052"/>
    <w:rsid w:val="00FE031E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B330"/>
  <w15:chartTrackingRefBased/>
  <w15:docId w15:val="{42C5F432-2290-4746-A462-0562A13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B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1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1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114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0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666E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65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31B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493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493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www.medrxiv.org/content/10.1101/2020.11.22.20236240v1.full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ncbi.nlm.nih.gov/pmc/articles/PMC7466010/" TargetMode="External"/><Relationship Id="rId17" Type="http://schemas.openxmlformats.org/officeDocument/2006/relationships/hyperlink" Target="https://doi.org/10.1128/JCM.01824-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93/cid/ciaa13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eronica.fowler@dhsc.gov.uk" TargetMode="External"/><Relationship Id="rId11" Type="http://schemas.openxmlformats.org/officeDocument/2006/relationships/hyperlink" Target="https://pubmed.ncbi.nlm.nih.gov/3324709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phrs.2020.105380" TargetMode="External"/><Relationship Id="rId10" Type="http://schemas.openxmlformats.org/officeDocument/2006/relationships/hyperlink" Target="https://www.theguardian.com/world/2020/nov/05/operation-moonshot-rapidcovid-test-missed-over-50-of-cases-in-pilo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rapid-evaluation-of-optigene-rt-lamp-assay-direct-and-rna-formats/rapid-evaluation-of-optigene-rt-lamp-assay-direct-and-rna-formats" TargetMode="External"/><Relationship Id="rId14" Type="http://schemas.openxmlformats.org/officeDocument/2006/relationships/hyperlink" Target="https://www.sciencedirect.com/science/article/pii/S0092867420304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2002-3C93-4BB5-A9EE-E8272681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Fowler</dc:creator>
  <cp:keywords/>
  <dc:description/>
  <cp:lastModifiedBy>Karen Drake</cp:lastModifiedBy>
  <cp:revision>2</cp:revision>
  <dcterms:created xsi:type="dcterms:W3CDTF">2021-03-15T10:25:00Z</dcterms:created>
  <dcterms:modified xsi:type="dcterms:W3CDTF">2021-03-15T10:25:00Z</dcterms:modified>
</cp:coreProperties>
</file>