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9C55D" w14:textId="022269C5" w:rsidR="00FF5B26" w:rsidRPr="00581C6C" w:rsidRDefault="00FF5B26" w:rsidP="00872C50">
      <w:pPr>
        <w:spacing w:line="480" w:lineRule="auto"/>
        <w:rPr>
          <w:rFonts w:ascii="Times" w:hAnsi="Times" w:cs="Times New Roman"/>
          <w:b/>
          <w:sz w:val="32"/>
          <w:lang w:val="en"/>
        </w:rPr>
      </w:pPr>
      <w:r w:rsidRPr="00581C6C">
        <w:rPr>
          <w:rFonts w:ascii="Times" w:hAnsi="Times" w:cs="Times New Roman"/>
          <w:b/>
          <w:sz w:val="32"/>
          <w:lang w:val="en"/>
        </w:rPr>
        <w:t xml:space="preserve">The treatment gap after major osteoporotic fractures in Denmark 2005-2014: A combined analysis including </w:t>
      </w:r>
      <w:r w:rsidR="009B4352" w:rsidRPr="00397404">
        <w:rPr>
          <w:rFonts w:ascii="Times" w:hAnsi="Times" w:cs="Times New Roman"/>
          <w:b/>
          <w:sz w:val="32"/>
          <w:lang w:val="en-US"/>
        </w:rPr>
        <w:t xml:space="preserve">both </w:t>
      </w:r>
      <w:r w:rsidRPr="00581C6C">
        <w:rPr>
          <w:rFonts w:ascii="Times" w:hAnsi="Times" w:cs="Times New Roman"/>
          <w:b/>
          <w:sz w:val="32"/>
          <w:lang w:val="en"/>
        </w:rPr>
        <w:t xml:space="preserve">prescription-based and hospital-administered </w:t>
      </w:r>
      <w:r w:rsidR="00D708DE">
        <w:rPr>
          <w:rFonts w:ascii="Times" w:hAnsi="Times" w:cs="Times New Roman"/>
          <w:b/>
          <w:sz w:val="32"/>
          <w:lang w:val="en"/>
        </w:rPr>
        <w:t>anti-</w:t>
      </w:r>
      <w:r w:rsidRPr="00581C6C">
        <w:rPr>
          <w:rFonts w:ascii="Times" w:hAnsi="Times" w:cs="Times New Roman"/>
          <w:b/>
          <w:sz w:val="32"/>
          <w:lang w:val="en"/>
        </w:rPr>
        <w:t>osteoporosis medication</w:t>
      </w:r>
      <w:r w:rsidR="00EF5DFE">
        <w:rPr>
          <w:rFonts w:ascii="Times" w:hAnsi="Times" w:cs="Times New Roman"/>
          <w:b/>
          <w:sz w:val="32"/>
          <w:lang w:val="en"/>
        </w:rPr>
        <w:t>s</w:t>
      </w:r>
    </w:p>
    <w:p w14:paraId="7B4F5EC6" w14:textId="77777777" w:rsidR="006D4811" w:rsidRPr="004907A0" w:rsidRDefault="006D4811" w:rsidP="00872C50">
      <w:pPr>
        <w:spacing w:line="480" w:lineRule="auto"/>
        <w:rPr>
          <w:rFonts w:ascii="Times" w:hAnsi="Times" w:cs="Times New Roman"/>
          <w:lang w:val="en"/>
        </w:rPr>
      </w:pPr>
    </w:p>
    <w:p w14:paraId="523AF9CF" w14:textId="4495D9CD" w:rsidR="00065F39" w:rsidRPr="004907A0" w:rsidRDefault="007D5A61" w:rsidP="00872C50">
      <w:pPr>
        <w:spacing w:line="480" w:lineRule="auto"/>
        <w:rPr>
          <w:rFonts w:ascii="Times" w:hAnsi="Times" w:cs="Times New Roman"/>
          <w:lang w:val="en"/>
        </w:rPr>
      </w:pPr>
      <w:r>
        <w:rPr>
          <w:rFonts w:ascii="Times" w:hAnsi="Times" w:cs="Times New Roman"/>
          <w:lang w:val="en"/>
        </w:rPr>
        <w:t xml:space="preserve">Michael Kriegbaum </w:t>
      </w:r>
      <w:r w:rsidR="00EA29EC" w:rsidRPr="004907A0">
        <w:rPr>
          <w:rFonts w:ascii="Times" w:hAnsi="Times" w:cs="Times New Roman"/>
          <w:lang w:val="en"/>
        </w:rPr>
        <w:t>Skjødt,</w:t>
      </w:r>
      <w:r w:rsidR="00637A96" w:rsidRPr="004907A0">
        <w:rPr>
          <w:rFonts w:ascii="Times" w:hAnsi="Times" w:cs="Times New Roman"/>
          <w:lang w:val="en"/>
        </w:rPr>
        <w:t xml:space="preserve"> MD GDBA</w:t>
      </w:r>
      <w:r w:rsidR="005D3303" w:rsidRPr="004907A0">
        <w:rPr>
          <w:rFonts w:ascii="Times" w:hAnsi="Times"/>
          <w:vertAlign w:val="superscript"/>
          <w:lang w:val="en"/>
        </w:rPr>
        <w:t>1,2</w:t>
      </w:r>
      <w:r w:rsidR="00637A96" w:rsidRPr="004907A0">
        <w:rPr>
          <w:rFonts w:ascii="Times" w:hAnsi="Times" w:cs="Times New Roman"/>
          <w:lang w:val="en"/>
        </w:rPr>
        <w:t>;</w:t>
      </w:r>
      <w:r w:rsidR="004274C5">
        <w:rPr>
          <w:rFonts w:ascii="Times" w:hAnsi="Times" w:cs="Times New Roman"/>
          <w:lang w:val="en"/>
        </w:rPr>
        <w:t xml:space="preserve"> </w:t>
      </w:r>
      <w:r>
        <w:rPr>
          <w:rFonts w:ascii="Times" w:hAnsi="Times" w:cs="Times New Roman"/>
          <w:lang w:val="en"/>
        </w:rPr>
        <w:t xml:space="preserve">Martin Thomsen </w:t>
      </w:r>
      <w:r w:rsidR="004274C5">
        <w:rPr>
          <w:rFonts w:ascii="Times" w:hAnsi="Times" w:cs="Times New Roman"/>
          <w:lang w:val="en"/>
        </w:rPr>
        <w:t>Ernst, MSc</w:t>
      </w:r>
      <w:r w:rsidR="00D4168A">
        <w:rPr>
          <w:rFonts w:ascii="Times" w:hAnsi="Times" w:cs="Times New Roman"/>
          <w:vertAlign w:val="superscript"/>
          <w:lang w:val="en"/>
        </w:rPr>
        <w:t>2,3</w:t>
      </w:r>
      <w:r w:rsidR="004274C5">
        <w:rPr>
          <w:rFonts w:ascii="Times" w:hAnsi="Times" w:cs="Times New Roman"/>
          <w:lang w:val="en"/>
        </w:rPr>
        <w:t>;</w:t>
      </w:r>
      <w:r w:rsidR="00EA29EC" w:rsidRPr="004907A0">
        <w:rPr>
          <w:rFonts w:ascii="Times" w:hAnsi="Times" w:cs="Times New Roman"/>
          <w:lang w:val="en"/>
        </w:rPr>
        <w:t xml:space="preserve"> </w:t>
      </w:r>
      <w:r>
        <w:rPr>
          <w:rFonts w:ascii="Times" w:hAnsi="Times" w:cs="Times New Roman"/>
          <w:lang w:val="en"/>
        </w:rPr>
        <w:t xml:space="preserve">Sara </w:t>
      </w:r>
      <w:r w:rsidR="00EA29EC" w:rsidRPr="004907A0">
        <w:rPr>
          <w:rFonts w:ascii="Times" w:hAnsi="Times" w:cs="Times New Roman"/>
          <w:lang w:val="en"/>
        </w:rPr>
        <w:t>Khalid,</w:t>
      </w:r>
      <w:r w:rsidR="004274C5">
        <w:rPr>
          <w:rFonts w:ascii="Times" w:hAnsi="Times" w:cs="Times New Roman"/>
          <w:lang w:val="en"/>
        </w:rPr>
        <w:t xml:space="preserve"> PhD</w:t>
      </w:r>
      <w:r w:rsidR="00D4168A">
        <w:rPr>
          <w:rFonts w:ascii="Times" w:hAnsi="Times" w:cs="Times New Roman"/>
          <w:vertAlign w:val="superscript"/>
          <w:lang w:val="en"/>
        </w:rPr>
        <w:t>4</w:t>
      </w:r>
      <w:r w:rsidR="004274C5">
        <w:rPr>
          <w:rFonts w:ascii="Times" w:hAnsi="Times" w:cs="Times New Roman"/>
          <w:lang w:val="en"/>
        </w:rPr>
        <w:t>;</w:t>
      </w:r>
      <w:r w:rsidR="00EA29EC" w:rsidRPr="004907A0">
        <w:rPr>
          <w:rFonts w:ascii="Times" w:hAnsi="Times" w:cs="Times New Roman"/>
          <w:lang w:val="en"/>
        </w:rPr>
        <w:t xml:space="preserve"> </w:t>
      </w:r>
      <w:r>
        <w:rPr>
          <w:rFonts w:ascii="Times" w:hAnsi="Times" w:cs="Times New Roman"/>
          <w:lang w:val="en"/>
        </w:rPr>
        <w:t xml:space="preserve">Cesar </w:t>
      </w:r>
      <w:r w:rsidR="00EA29EC" w:rsidRPr="004907A0">
        <w:rPr>
          <w:rFonts w:ascii="Times" w:hAnsi="Times" w:cs="Times New Roman"/>
          <w:lang w:val="en"/>
        </w:rPr>
        <w:t>Libanati,</w:t>
      </w:r>
      <w:r w:rsidR="004274C5">
        <w:rPr>
          <w:rFonts w:ascii="Times" w:hAnsi="Times" w:cs="Times New Roman"/>
          <w:lang w:val="en"/>
        </w:rPr>
        <w:t xml:space="preserve"> MD</w:t>
      </w:r>
      <w:r w:rsidR="00D4168A">
        <w:rPr>
          <w:rFonts w:ascii="Times" w:hAnsi="Times" w:cs="Times New Roman"/>
          <w:vertAlign w:val="superscript"/>
          <w:lang w:val="en"/>
        </w:rPr>
        <w:t>5</w:t>
      </w:r>
      <w:r w:rsidR="004274C5">
        <w:rPr>
          <w:rFonts w:ascii="Times" w:hAnsi="Times" w:cs="Times New Roman"/>
          <w:lang w:val="en"/>
        </w:rPr>
        <w:t>;</w:t>
      </w:r>
      <w:r w:rsidR="00EA29EC" w:rsidRPr="004907A0">
        <w:rPr>
          <w:rFonts w:ascii="Times" w:hAnsi="Times" w:cs="Times New Roman"/>
          <w:lang w:val="en"/>
        </w:rPr>
        <w:t xml:space="preserve"> </w:t>
      </w:r>
      <w:r>
        <w:rPr>
          <w:rFonts w:ascii="Times" w:hAnsi="Times" w:cs="Times New Roman"/>
          <w:lang w:val="en"/>
        </w:rPr>
        <w:t xml:space="preserve">Cyrus </w:t>
      </w:r>
      <w:r w:rsidR="00EA29EC" w:rsidRPr="004907A0">
        <w:rPr>
          <w:rFonts w:ascii="Times" w:hAnsi="Times" w:cs="Times New Roman"/>
          <w:lang w:val="en"/>
        </w:rPr>
        <w:t>Cooper</w:t>
      </w:r>
      <w:r w:rsidR="004274C5">
        <w:rPr>
          <w:rFonts w:ascii="Times" w:hAnsi="Times" w:cs="Times New Roman"/>
          <w:lang w:val="en"/>
        </w:rPr>
        <w:t>, MD PhD</w:t>
      </w:r>
      <w:r w:rsidR="00D4168A">
        <w:rPr>
          <w:rFonts w:ascii="Times" w:hAnsi="Times" w:cs="Times New Roman"/>
          <w:vertAlign w:val="superscript"/>
          <w:lang w:val="en"/>
        </w:rPr>
        <w:t>4,6</w:t>
      </w:r>
      <w:r w:rsidR="004274C5">
        <w:rPr>
          <w:rFonts w:ascii="Times" w:hAnsi="Times" w:cs="Times New Roman"/>
          <w:lang w:val="en"/>
        </w:rPr>
        <w:t>;</w:t>
      </w:r>
      <w:r w:rsidR="00EA29EC" w:rsidRPr="004907A0">
        <w:rPr>
          <w:rFonts w:ascii="Times" w:hAnsi="Times" w:cs="Times New Roman"/>
          <w:lang w:val="en"/>
        </w:rPr>
        <w:t xml:space="preserve"> </w:t>
      </w:r>
      <w:r>
        <w:rPr>
          <w:rFonts w:ascii="Times" w:hAnsi="Times" w:cs="Times New Roman"/>
          <w:lang w:val="en"/>
        </w:rPr>
        <w:t xml:space="preserve">Antonella </w:t>
      </w:r>
      <w:r w:rsidR="00EA29EC" w:rsidRPr="004907A0">
        <w:rPr>
          <w:rFonts w:ascii="Times" w:hAnsi="Times" w:cs="Times New Roman"/>
          <w:lang w:val="en"/>
        </w:rPr>
        <w:t>Delmestri</w:t>
      </w:r>
      <w:r w:rsidR="004274C5">
        <w:rPr>
          <w:rFonts w:ascii="Times" w:hAnsi="Times" w:cs="Times New Roman"/>
          <w:lang w:val="en"/>
        </w:rPr>
        <w:t xml:space="preserve">, </w:t>
      </w:r>
      <w:r w:rsidR="00D4168A">
        <w:rPr>
          <w:rFonts w:ascii="Times" w:hAnsi="Times" w:cs="Times New Roman"/>
          <w:lang w:val="en"/>
        </w:rPr>
        <w:t>PhD</w:t>
      </w:r>
      <w:r w:rsidR="00D4168A">
        <w:rPr>
          <w:rFonts w:ascii="Times" w:hAnsi="Times" w:cs="Times New Roman"/>
          <w:vertAlign w:val="superscript"/>
          <w:lang w:val="en"/>
        </w:rPr>
        <w:t>4</w:t>
      </w:r>
      <w:r w:rsidR="004274C5">
        <w:rPr>
          <w:rFonts w:ascii="Times" w:hAnsi="Times" w:cs="Times New Roman"/>
          <w:lang w:val="en"/>
        </w:rPr>
        <w:t>;</w:t>
      </w:r>
      <w:r w:rsidR="00EA29EC" w:rsidRPr="004907A0">
        <w:rPr>
          <w:rFonts w:ascii="Times" w:hAnsi="Times" w:cs="Times New Roman"/>
          <w:lang w:val="en"/>
        </w:rPr>
        <w:t xml:space="preserve"> </w:t>
      </w:r>
      <w:r>
        <w:rPr>
          <w:rFonts w:ascii="Times" w:hAnsi="Times" w:cs="Times New Roman"/>
          <w:lang w:val="en"/>
        </w:rPr>
        <w:t xml:space="preserve">Katrine Hass </w:t>
      </w:r>
      <w:r w:rsidR="008B7279">
        <w:rPr>
          <w:rFonts w:ascii="Times" w:hAnsi="Times" w:cs="Times New Roman"/>
          <w:lang w:val="en"/>
        </w:rPr>
        <w:t>Rubin</w:t>
      </w:r>
      <w:r w:rsidR="002678D5">
        <w:rPr>
          <w:rFonts w:ascii="Times" w:hAnsi="Times" w:cs="Times New Roman"/>
          <w:lang w:val="en"/>
        </w:rPr>
        <w:t>, PhD</w:t>
      </w:r>
      <w:r w:rsidR="00D4168A">
        <w:rPr>
          <w:rFonts w:ascii="Times" w:hAnsi="Times" w:cs="Times New Roman"/>
          <w:vertAlign w:val="superscript"/>
          <w:lang w:val="en"/>
        </w:rPr>
        <w:t>2</w:t>
      </w:r>
      <w:r w:rsidR="008B7279">
        <w:rPr>
          <w:rFonts w:ascii="Times" w:hAnsi="Times" w:cs="Times New Roman"/>
          <w:lang w:val="en"/>
        </w:rPr>
        <w:t xml:space="preserve">; </w:t>
      </w:r>
      <w:r>
        <w:rPr>
          <w:rFonts w:ascii="Times" w:hAnsi="Times" w:cs="Times New Roman"/>
          <w:lang w:val="en"/>
        </w:rPr>
        <w:t xml:space="preserve">Muhammad Kassim </w:t>
      </w:r>
      <w:r w:rsidR="00B912C4" w:rsidRPr="00E21FE0">
        <w:rPr>
          <w:rFonts w:ascii="Times" w:hAnsi="Times" w:cs="Times New Roman"/>
          <w:lang w:val="en"/>
        </w:rPr>
        <w:t xml:space="preserve">Javaid, MD </w:t>
      </w:r>
      <w:r w:rsidR="00D4168A" w:rsidRPr="00E21FE0">
        <w:rPr>
          <w:rFonts w:ascii="Times" w:hAnsi="Times" w:cs="Times New Roman"/>
          <w:lang w:val="en"/>
        </w:rPr>
        <w:t>PhD</w:t>
      </w:r>
      <w:r w:rsidR="00D4168A">
        <w:rPr>
          <w:rFonts w:ascii="Times" w:hAnsi="Times" w:cs="Times New Roman"/>
          <w:vertAlign w:val="superscript"/>
          <w:lang w:val="en"/>
        </w:rPr>
        <w:t>4</w:t>
      </w:r>
      <w:r w:rsidR="00B912C4">
        <w:rPr>
          <w:rFonts w:ascii="Times" w:hAnsi="Times" w:cs="Times New Roman"/>
          <w:lang w:val="en"/>
        </w:rPr>
        <w:t xml:space="preserve">; </w:t>
      </w:r>
      <w:r>
        <w:rPr>
          <w:rFonts w:ascii="Times" w:hAnsi="Times" w:cs="Times New Roman"/>
          <w:lang w:val="en"/>
        </w:rPr>
        <w:t xml:space="preserve">Daniel </w:t>
      </w:r>
      <w:r w:rsidR="00B912C4">
        <w:rPr>
          <w:rFonts w:ascii="Times" w:hAnsi="Times" w:cs="Times New Roman"/>
          <w:lang w:val="en"/>
        </w:rPr>
        <w:t>M</w:t>
      </w:r>
      <w:r w:rsidR="00EA29EC" w:rsidRPr="004907A0">
        <w:rPr>
          <w:rFonts w:ascii="Times" w:hAnsi="Times" w:cs="Times New Roman"/>
          <w:lang w:val="en"/>
        </w:rPr>
        <w:t>artinez-Laguna</w:t>
      </w:r>
      <w:r w:rsidR="004274C5">
        <w:rPr>
          <w:rFonts w:ascii="Times" w:hAnsi="Times" w:cs="Times New Roman"/>
          <w:lang w:val="en"/>
        </w:rPr>
        <w:t>, MD PhD</w:t>
      </w:r>
      <w:r w:rsidR="00D4168A">
        <w:rPr>
          <w:rFonts w:ascii="Times" w:hAnsi="Times" w:cs="Times New Roman"/>
          <w:vertAlign w:val="superscript"/>
          <w:lang w:val="en"/>
        </w:rPr>
        <w:t>7,8,9</w:t>
      </w:r>
      <w:r w:rsidR="004274C5">
        <w:rPr>
          <w:rFonts w:ascii="Times" w:hAnsi="Times" w:cs="Times New Roman"/>
          <w:lang w:val="en"/>
        </w:rPr>
        <w:t>;</w:t>
      </w:r>
      <w:r w:rsidR="00EA29EC" w:rsidRPr="004907A0">
        <w:rPr>
          <w:rFonts w:ascii="Times" w:hAnsi="Times" w:cs="Times New Roman"/>
          <w:lang w:val="en"/>
        </w:rPr>
        <w:t xml:space="preserve"> </w:t>
      </w:r>
      <w:r>
        <w:rPr>
          <w:rFonts w:ascii="Times" w:hAnsi="Times" w:cs="Times New Roman"/>
          <w:lang w:val="en"/>
        </w:rPr>
        <w:t xml:space="preserve">Emese </w:t>
      </w:r>
      <w:r w:rsidR="00EA29EC" w:rsidRPr="004907A0">
        <w:rPr>
          <w:rFonts w:ascii="Times" w:hAnsi="Times" w:cs="Times New Roman"/>
          <w:lang w:val="en"/>
        </w:rPr>
        <w:t>Toth,</w:t>
      </w:r>
      <w:r w:rsidR="004274C5">
        <w:rPr>
          <w:rFonts w:ascii="Times" w:hAnsi="Times" w:cs="Times New Roman"/>
          <w:lang w:val="en"/>
        </w:rPr>
        <w:t xml:space="preserve"> PhD</w:t>
      </w:r>
      <w:r w:rsidR="00D4168A">
        <w:rPr>
          <w:rFonts w:ascii="Times" w:hAnsi="Times" w:cs="Times New Roman"/>
          <w:vertAlign w:val="superscript"/>
          <w:lang w:val="en"/>
        </w:rPr>
        <w:t>5</w:t>
      </w:r>
      <w:r w:rsidR="004274C5">
        <w:rPr>
          <w:rFonts w:ascii="Times" w:hAnsi="Times" w:cs="Times New Roman"/>
          <w:lang w:val="en"/>
        </w:rPr>
        <w:t>;</w:t>
      </w:r>
      <w:r w:rsidR="00EA29EC" w:rsidRPr="004907A0">
        <w:rPr>
          <w:rFonts w:ascii="Times" w:hAnsi="Times" w:cs="Times New Roman"/>
          <w:lang w:val="en"/>
        </w:rPr>
        <w:t xml:space="preserve"> </w:t>
      </w:r>
      <w:r>
        <w:rPr>
          <w:rFonts w:ascii="Times" w:hAnsi="Times" w:cs="Times New Roman"/>
          <w:lang w:val="en"/>
        </w:rPr>
        <w:t xml:space="preserve">Daniel </w:t>
      </w:r>
      <w:r w:rsidR="00EA29EC" w:rsidRPr="004907A0">
        <w:rPr>
          <w:rFonts w:ascii="Times" w:hAnsi="Times" w:cs="Times New Roman"/>
          <w:lang w:val="en"/>
        </w:rPr>
        <w:t>Prieto-Alhambra</w:t>
      </w:r>
      <w:r w:rsidR="003B468B">
        <w:rPr>
          <w:rFonts w:ascii="Times" w:hAnsi="Times" w:cs="Times New Roman"/>
          <w:lang w:val="en"/>
        </w:rPr>
        <w:t>, MD PhD</w:t>
      </w:r>
      <w:r w:rsidR="00D4168A">
        <w:rPr>
          <w:rFonts w:ascii="Times" w:hAnsi="Times" w:cs="Times New Roman"/>
          <w:vertAlign w:val="superscript"/>
          <w:lang w:val="en"/>
        </w:rPr>
        <w:t>4</w:t>
      </w:r>
      <w:r w:rsidR="003B468B">
        <w:rPr>
          <w:rFonts w:ascii="Times" w:hAnsi="Times" w:cs="Times New Roman"/>
          <w:lang w:val="en"/>
        </w:rPr>
        <w:t>;</w:t>
      </w:r>
      <w:r w:rsidR="00EA29EC" w:rsidRPr="004907A0">
        <w:rPr>
          <w:rFonts w:ascii="Times" w:hAnsi="Times" w:cs="Times New Roman"/>
          <w:lang w:val="en"/>
        </w:rPr>
        <w:t xml:space="preserve"> </w:t>
      </w:r>
      <w:r>
        <w:rPr>
          <w:rFonts w:ascii="Times" w:hAnsi="Times" w:cs="Times New Roman"/>
          <w:lang w:val="en"/>
        </w:rPr>
        <w:t xml:space="preserve">Bo </w:t>
      </w:r>
      <w:r w:rsidR="00EA29EC" w:rsidRPr="004907A0">
        <w:rPr>
          <w:rFonts w:ascii="Times" w:hAnsi="Times" w:cs="Times New Roman"/>
          <w:lang w:val="en"/>
        </w:rPr>
        <w:t>Abrahamsen</w:t>
      </w:r>
      <w:r w:rsidR="003B468B">
        <w:rPr>
          <w:rFonts w:ascii="Times" w:hAnsi="Times" w:cs="Times New Roman"/>
          <w:lang w:val="en"/>
        </w:rPr>
        <w:t>, MD PhD</w:t>
      </w:r>
      <w:r w:rsidR="005D3303" w:rsidRPr="004907A0">
        <w:rPr>
          <w:rFonts w:ascii="Times" w:hAnsi="Times" w:cs="Times New Roman"/>
          <w:vertAlign w:val="superscript"/>
          <w:lang w:val="en"/>
        </w:rPr>
        <w:t>1</w:t>
      </w:r>
      <w:r w:rsidR="00D4168A">
        <w:rPr>
          <w:rFonts w:ascii="Times" w:hAnsi="Times" w:cs="Times New Roman"/>
          <w:vertAlign w:val="superscript"/>
          <w:lang w:val="en"/>
        </w:rPr>
        <w:t>,2</w:t>
      </w:r>
      <w:r w:rsidR="007E1C98">
        <w:rPr>
          <w:rFonts w:ascii="Times" w:hAnsi="Times" w:cs="Times New Roman"/>
          <w:vertAlign w:val="superscript"/>
          <w:lang w:val="en"/>
        </w:rPr>
        <w:t>,</w:t>
      </w:r>
      <w:r w:rsidR="00D4168A">
        <w:rPr>
          <w:rFonts w:ascii="Times" w:hAnsi="Times" w:cs="Times New Roman"/>
          <w:vertAlign w:val="superscript"/>
          <w:lang w:val="en"/>
        </w:rPr>
        <w:t>4</w:t>
      </w:r>
    </w:p>
    <w:p w14:paraId="50EF6D89" w14:textId="77777777" w:rsidR="005D3303" w:rsidRPr="004907A0" w:rsidRDefault="005D3303" w:rsidP="00872C50">
      <w:pPr>
        <w:spacing w:line="480" w:lineRule="auto"/>
        <w:rPr>
          <w:rFonts w:ascii="Times" w:hAnsi="Times" w:cs="Times New Roman"/>
          <w:lang w:val="en"/>
        </w:rPr>
      </w:pPr>
    </w:p>
    <w:p w14:paraId="4ED66F37" w14:textId="1ABCC90E" w:rsidR="004274C5" w:rsidRPr="00F701C3" w:rsidRDefault="004274C5" w:rsidP="00872C50">
      <w:pPr>
        <w:pStyle w:val="ListParagraph"/>
        <w:numPr>
          <w:ilvl w:val="0"/>
          <w:numId w:val="1"/>
        </w:numPr>
        <w:spacing w:line="480" w:lineRule="auto"/>
        <w:rPr>
          <w:lang w:val="en"/>
        </w:rPr>
      </w:pPr>
      <w:r w:rsidRPr="00BD6231">
        <w:rPr>
          <w:lang w:val="en"/>
        </w:rPr>
        <w:t xml:space="preserve">Department of Medicine, </w:t>
      </w:r>
      <w:r w:rsidRPr="00011679">
        <w:rPr>
          <w:lang w:val="en-GB"/>
        </w:rPr>
        <w:t xml:space="preserve">Hospital of </w:t>
      </w:r>
      <w:proofErr w:type="spellStart"/>
      <w:r w:rsidRPr="00011679">
        <w:rPr>
          <w:lang w:val="en-GB"/>
        </w:rPr>
        <w:t>Holbaek</w:t>
      </w:r>
      <w:proofErr w:type="spellEnd"/>
      <w:r w:rsidRPr="00011679">
        <w:rPr>
          <w:lang w:val="en-GB"/>
        </w:rPr>
        <w:t xml:space="preserve">, </w:t>
      </w:r>
      <w:proofErr w:type="spellStart"/>
      <w:r w:rsidR="002216AC">
        <w:rPr>
          <w:lang w:val="en-GB"/>
        </w:rPr>
        <w:t>Holbaek</w:t>
      </w:r>
      <w:proofErr w:type="spellEnd"/>
      <w:r w:rsidRPr="00011679">
        <w:rPr>
          <w:lang w:val="en-GB"/>
        </w:rPr>
        <w:t>, Denmark</w:t>
      </w:r>
    </w:p>
    <w:p w14:paraId="1A64ADE7" w14:textId="457BE33F" w:rsidR="004274C5" w:rsidRPr="00501414" w:rsidRDefault="001E6C4A" w:rsidP="00872C50">
      <w:pPr>
        <w:pStyle w:val="ListParagraph"/>
        <w:numPr>
          <w:ilvl w:val="0"/>
          <w:numId w:val="1"/>
        </w:numPr>
        <w:spacing w:line="480" w:lineRule="auto"/>
        <w:rPr>
          <w:lang w:val="en"/>
        </w:rPr>
      </w:pPr>
      <w:r>
        <w:rPr>
          <w:lang w:val="en-GB"/>
        </w:rPr>
        <w:t xml:space="preserve">OPEN, </w:t>
      </w:r>
      <w:r w:rsidR="004274C5">
        <w:rPr>
          <w:lang w:val="en-GB"/>
        </w:rPr>
        <w:t>Open</w:t>
      </w:r>
      <w:r w:rsidR="004274C5" w:rsidRPr="00501414">
        <w:rPr>
          <w:lang w:val="en-GB"/>
        </w:rPr>
        <w:t xml:space="preserve"> </w:t>
      </w:r>
      <w:r w:rsidR="004274C5" w:rsidRPr="00886E13">
        <w:rPr>
          <w:lang w:val="en"/>
        </w:rPr>
        <w:t xml:space="preserve">Patient data Explorative Network, </w:t>
      </w:r>
      <w:r w:rsidR="00466399">
        <w:rPr>
          <w:lang w:val="en"/>
        </w:rPr>
        <w:t>Department of Clinical Research, University of Southern Denmark and Odense University Hospital, Odense, Denmark</w:t>
      </w:r>
      <w:r w:rsidR="00D272D7">
        <w:rPr>
          <w:lang w:val="en"/>
        </w:rPr>
        <w:t xml:space="preserve"> </w:t>
      </w:r>
    </w:p>
    <w:p w14:paraId="051F675B" w14:textId="5E6AB024" w:rsidR="004274C5" w:rsidRDefault="004274C5" w:rsidP="00872C50">
      <w:pPr>
        <w:pStyle w:val="ListParagraph"/>
        <w:numPr>
          <w:ilvl w:val="0"/>
          <w:numId w:val="1"/>
        </w:numPr>
        <w:spacing w:line="480" w:lineRule="auto"/>
        <w:rPr>
          <w:lang w:val="en"/>
        </w:rPr>
      </w:pPr>
      <w:r>
        <w:rPr>
          <w:lang w:val="en"/>
        </w:rPr>
        <w:t>Department of Public Health, Clinical Pharmacology</w:t>
      </w:r>
      <w:r w:rsidR="00D71C52">
        <w:rPr>
          <w:lang w:val="en"/>
        </w:rPr>
        <w:t>,</w:t>
      </w:r>
      <w:r>
        <w:rPr>
          <w:lang w:val="en"/>
        </w:rPr>
        <w:t xml:space="preserve"> Pharmacy</w:t>
      </w:r>
      <w:r w:rsidR="00D71C52">
        <w:rPr>
          <w:lang w:val="en"/>
        </w:rPr>
        <w:t xml:space="preserve"> and Environmental Medicine</w:t>
      </w:r>
      <w:r>
        <w:rPr>
          <w:lang w:val="en"/>
        </w:rPr>
        <w:t>, University of Southern Denmark, Odense, Denmark</w:t>
      </w:r>
    </w:p>
    <w:p w14:paraId="23704166" w14:textId="25C075AA" w:rsidR="004274C5" w:rsidRPr="00886E13" w:rsidRDefault="00581C6C" w:rsidP="00872C50">
      <w:pPr>
        <w:pStyle w:val="ListParagraph"/>
        <w:numPr>
          <w:ilvl w:val="0"/>
          <w:numId w:val="1"/>
        </w:numPr>
        <w:spacing w:line="480" w:lineRule="auto"/>
        <w:rPr>
          <w:lang w:val="en"/>
        </w:rPr>
      </w:pPr>
      <w:r>
        <w:rPr>
          <w:lang w:val="en"/>
        </w:rPr>
        <w:t xml:space="preserve">NDORMS, Nuffield Department of </w:t>
      </w:r>
      <w:proofErr w:type="spellStart"/>
      <w:r>
        <w:rPr>
          <w:lang w:val="en"/>
        </w:rPr>
        <w:t>Orthopaedics</w:t>
      </w:r>
      <w:proofErr w:type="spellEnd"/>
      <w:r>
        <w:rPr>
          <w:lang w:val="en"/>
        </w:rPr>
        <w:t xml:space="preserve">, Rheumatology and Musculoskeletal Sciences, </w:t>
      </w:r>
      <w:r w:rsidR="004274C5" w:rsidRPr="00886E13">
        <w:rPr>
          <w:lang w:val="en"/>
        </w:rPr>
        <w:t xml:space="preserve">Oxford University Hospitals, </w:t>
      </w:r>
      <w:r w:rsidR="004274C5">
        <w:rPr>
          <w:lang w:val="en"/>
        </w:rPr>
        <w:t xml:space="preserve">Oxford, </w:t>
      </w:r>
      <w:r w:rsidR="004274C5" w:rsidRPr="00886E13">
        <w:rPr>
          <w:lang w:val="en"/>
        </w:rPr>
        <w:t>England</w:t>
      </w:r>
    </w:p>
    <w:p w14:paraId="7BB9ADFE" w14:textId="77777777" w:rsidR="004274C5" w:rsidRPr="00501414" w:rsidRDefault="004274C5" w:rsidP="00872C50">
      <w:pPr>
        <w:pStyle w:val="ListParagraph"/>
        <w:numPr>
          <w:ilvl w:val="0"/>
          <w:numId w:val="1"/>
        </w:numPr>
        <w:spacing w:line="480" w:lineRule="auto"/>
      </w:pPr>
      <w:r>
        <w:t>UCB Pharma, Anderlecht, Belgium</w:t>
      </w:r>
    </w:p>
    <w:p w14:paraId="20163E5C" w14:textId="77777777" w:rsidR="00E1410E" w:rsidRPr="00886E13" w:rsidRDefault="00E1410E" w:rsidP="00872C50">
      <w:pPr>
        <w:pStyle w:val="ListParagraph"/>
        <w:numPr>
          <w:ilvl w:val="0"/>
          <w:numId w:val="1"/>
        </w:numPr>
        <w:spacing w:line="480" w:lineRule="auto"/>
        <w:rPr>
          <w:lang w:val="en"/>
        </w:rPr>
      </w:pPr>
      <w:r w:rsidRPr="00886E13">
        <w:rPr>
          <w:lang w:val="en"/>
        </w:rPr>
        <w:t>MRC</w:t>
      </w:r>
      <w:r w:rsidRPr="00421FE3">
        <w:rPr>
          <w:lang w:val="en"/>
        </w:rPr>
        <w:t xml:space="preserve"> Lifecourse Epidemiology Unit, University of Southampton</w:t>
      </w:r>
      <w:r w:rsidRPr="00886E13">
        <w:rPr>
          <w:lang w:val="en"/>
        </w:rPr>
        <w:t>, Southampton General Hospital,</w:t>
      </w:r>
      <w:r>
        <w:rPr>
          <w:lang w:val="en"/>
        </w:rPr>
        <w:t xml:space="preserve"> Southampton, England</w:t>
      </w:r>
    </w:p>
    <w:p w14:paraId="50FE639C" w14:textId="672174CB" w:rsidR="004274C5" w:rsidRPr="00886E13" w:rsidRDefault="004274C5" w:rsidP="00872C50">
      <w:pPr>
        <w:pStyle w:val="ListParagraph"/>
        <w:numPr>
          <w:ilvl w:val="0"/>
          <w:numId w:val="1"/>
        </w:numPr>
        <w:spacing w:line="480" w:lineRule="auto"/>
        <w:rPr>
          <w:lang w:val="en"/>
        </w:rPr>
      </w:pPr>
      <w:r w:rsidRPr="002F5621">
        <w:rPr>
          <w:lang w:val="en"/>
        </w:rPr>
        <w:t xml:space="preserve">GREMPAL Research Group, </w:t>
      </w:r>
      <w:proofErr w:type="spellStart"/>
      <w:r w:rsidRPr="002F5621">
        <w:rPr>
          <w:lang w:val="en"/>
        </w:rPr>
        <w:t>Fundació</w:t>
      </w:r>
      <w:proofErr w:type="spellEnd"/>
      <w:r w:rsidRPr="002F5621">
        <w:rPr>
          <w:lang w:val="en"/>
        </w:rPr>
        <w:t xml:space="preserve"> </w:t>
      </w:r>
      <w:proofErr w:type="spellStart"/>
      <w:r w:rsidRPr="002F5621">
        <w:rPr>
          <w:lang w:val="en"/>
        </w:rPr>
        <w:t>Institut</w:t>
      </w:r>
      <w:proofErr w:type="spellEnd"/>
      <w:r w:rsidRPr="002F5621">
        <w:rPr>
          <w:lang w:val="en"/>
        </w:rPr>
        <w:t xml:space="preserve"> </w:t>
      </w:r>
      <w:proofErr w:type="spellStart"/>
      <w:r w:rsidRPr="002F5621">
        <w:rPr>
          <w:lang w:val="en"/>
        </w:rPr>
        <w:t>Universitari</w:t>
      </w:r>
      <w:proofErr w:type="spellEnd"/>
      <w:r w:rsidRPr="002F5621">
        <w:rPr>
          <w:lang w:val="en"/>
        </w:rPr>
        <w:t xml:space="preserve"> per a la </w:t>
      </w:r>
      <w:proofErr w:type="spellStart"/>
      <w:r w:rsidRPr="002F5621">
        <w:rPr>
          <w:lang w:val="en"/>
        </w:rPr>
        <w:t>recerca</w:t>
      </w:r>
      <w:proofErr w:type="spellEnd"/>
      <w:r w:rsidRPr="002F5621">
        <w:rPr>
          <w:lang w:val="en"/>
        </w:rPr>
        <w:t xml:space="preserve"> a </w:t>
      </w:r>
      <w:proofErr w:type="spellStart"/>
      <w:r w:rsidRPr="002F5621">
        <w:rPr>
          <w:lang w:val="en"/>
        </w:rPr>
        <w:t>l’Atenció</w:t>
      </w:r>
      <w:proofErr w:type="spellEnd"/>
      <w:r w:rsidRPr="002F5621">
        <w:rPr>
          <w:lang w:val="en"/>
        </w:rPr>
        <w:t xml:space="preserve"> </w:t>
      </w:r>
      <w:proofErr w:type="spellStart"/>
      <w:r w:rsidRPr="002F5621">
        <w:rPr>
          <w:lang w:val="en"/>
        </w:rPr>
        <w:t>Primària</w:t>
      </w:r>
      <w:proofErr w:type="spellEnd"/>
      <w:r w:rsidRPr="002F5621">
        <w:rPr>
          <w:lang w:val="en"/>
        </w:rPr>
        <w:t xml:space="preserve"> de Salut Jordi Gol i </w:t>
      </w:r>
      <w:proofErr w:type="spellStart"/>
      <w:r w:rsidRPr="002F5621">
        <w:rPr>
          <w:lang w:val="en"/>
        </w:rPr>
        <w:t>Gurina</w:t>
      </w:r>
      <w:proofErr w:type="spellEnd"/>
      <w:r>
        <w:rPr>
          <w:lang w:val="en"/>
        </w:rPr>
        <w:t xml:space="preserve"> </w:t>
      </w:r>
      <w:r w:rsidRPr="00886E13">
        <w:rPr>
          <w:lang w:val="en"/>
        </w:rPr>
        <w:t>(</w:t>
      </w:r>
      <w:proofErr w:type="spellStart"/>
      <w:r w:rsidRPr="00886E13">
        <w:rPr>
          <w:lang w:val="en"/>
        </w:rPr>
        <w:t>IDIAPJGol</w:t>
      </w:r>
      <w:proofErr w:type="spellEnd"/>
      <w:r w:rsidRPr="00886E13">
        <w:rPr>
          <w:lang w:val="en"/>
        </w:rPr>
        <w:t>), CIBERFES, Barcelona, Spain</w:t>
      </w:r>
    </w:p>
    <w:p w14:paraId="4A4025D2" w14:textId="77777777" w:rsidR="004274C5" w:rsidRPr="00886E13" w:rsidRDefault="004274C5" w:rsidP="00872C50">
      <w:pPr>
        <w:pStyle w:val="ListParagraph"/>
        <w:numPr>
          <w:ilvl w:val="0"/>
          <w:numId w:val="1"/>
        </w:numPr>
        <w:spacing w:line="480" w:lineRule="auto"/>
        <w:rPr>
          <w:lang w:val="en"/>
        </w:rPr>
      </w:pPr>
      <w:proofErr w:type="spellStart"/>
      <w:r w:rsidRPr="00886E13">
        <w:rPr>
          <w:lang w:val="en"/>
        </w:rPr>
        <w:t>Universitat</w:t>
      </w:r>
      <w:proofErr w:type="spellEnd"/>
      <w:r w:rsidRPr="00886E13">
        <w:rPr>
          <w:lang w:val="en"/>
        </w:rPr>
        <w:t xml:space="preserve"> </w:t>
      </w:r>
      <w:proofErr w:type="spellStart"/>
      <w:r w:rsidRPr="00886E13">
        <w:rPr>
          <w:lang w:val="en"/>
        </w:rPr>
        <w:t>Autònoma</w:t>
      </w:r>
      <w:proofErr w:type="spellEnd"/>
      <w:r w:rsidRPr="00886E13">
        <w:rPr>
          <w:lang w:val="en"/>
        </w:rPr>
        <w:t xml:space="preserve"> de Barcelona, </w:t>
      </w:r>
      <w:proofErr w:type="spellStart"/>
      <w:r w:rsidRPr="00886E13">
        <w:rPr>
          <w:lang w:val="en"/>
        </w:rPr>
        <w:t>Bellaterra</w:t>
      </w:r>
      <w:proofErr w:type="spellEnd"/>
      <w:r w:rsidRPr="00886E13">
        <w:rPr>
          <w:lang w:val="en"/>
        </w:rPr>
        <w:t xml:space="preserve"> (</w:t>
      </w:r>
      <w:proofErr w:type="spellStart"/>
      <w:r w:rsidRPr="00886E13">
        <w:rPr>
          <w:lang w:val="en"/>
        </w:rPr>
        <w:t>Cerdanyola</w:t>
      </w:r>
      <w:proofErr w:type="spellEnd"/>
      <w:r w:rsidRPr="00886E13">
        <w:rPr>
          <w:lang w:val="en"/>
        </w:rPr>
        <w:t xml:space="preserve"> del </w:t>
      </w:r>
      <w:proofErr w:type="spellStart"/>
      <w:r w:rsidRPr="00886E13">
        <w:rPr>
          <w:lang w:val="en"/>
        </w:rPr>
        <w:t>Vallès</w:t>
      </w:r>
      <w:proofErr w:type="spellEnd"/>
      <w:r w:rsidRPr="00886E13">
        <w:rPr>
          <w:lang w:val="en"/>
        </w:rPr>
        <w:t>), Spain</w:t>
      </w:r>
    </w:p>
    <w:p w14:paraId="3843D3A5" w14:textId="488E8F24" w:rsidR="005D3303" w:rsidRDefault="004274C5" w:rsidP="00872C50">
      <w:pPr>
        <w:pStyle w:val="ListParagraph"/>
        <w:numPr>
          <w:ilvl w:val="0"/>
          <w:numId w:val="1"/>
        </w:numPr>
        <w:spacing w:line="480" w:lineRule="auto"/>
        <w:rPr>
          <w:lang w:val="en"/>
        </w:rPr>
      </w:pPr>
      <w:proofErr w:type="spellStart"/>
      <w:r w:rsidRPr="002F5621">
        <w:rPr>
          <w:lang w:val="en"/>
        </w:rPr>
        <w:t>Atenció</w:t>
      </w:r>
      <w:proofErr w:type="spellEnd"/>
      <w:r w:rsidRPr="002F5621">
        <w:rPr>
          <w:lang w:val="en"/>
        </w:rPr>
        <w:t xml:space="preserve"> </w:t>
      </w:r>
      <w:proofErr w:type="spellStart"/>
      <w:r w:rsidRPr="002F5621">
        <w:rPr>
          <w:lang w:val="en"/>
        </w:rPr>
        <w:t>Primària</w:t>
      </w:r>
      <w:proofErr w:type="spellEnd"/>
      <w:r w:rsidRPr="002F5621">
        <w:rPr>
          <w:lang w:val="en"/>
        </w:rPr>
        <w:t xml:space="preserve"> Barcelona Ciutat, </w:t>
      </w:r>
      <w:proofErr w:type="spellStart"/>
      <w:r w:rsidRPr="002F5621">
        <w:rPr>
          <w:lang w:val="en"/>
        </w:rPr>
        <w:t>Institut</w:t>
      </w:r>
      <w:proofErr w:type="spellEnd"/>
      <w:r w:rsidRPr="002F5621">
        <w:rPr>
          <w:lang w:val="en"/>
        </w:rPr>
        <w:t xml:space="preserve"> </w:t>
      </w:r>
      <w:proofErr w:type="spellStart"/>
      <w:r w:rsidRPr="002F5621">
        <w:rPr>
          <w:lang w:val="en"/>
        </w:rPr>
        <w:t>Català</w:t>
      </w:r>
      <w:proofErr w:type="spellEnd"/>
      <w:r w:rsidRPr="002F5621">
        <w:rPr>
          <w:lang w:val="en"/>
        </w:rPr>
        <w:t xml:space="preserve"> de la Salut</w:t>
      </w:r>
      <w:r>
        <w:rPr>
          <w:lang w:val="en"/>
        </w:rPr>
        <w:t>, Barcelona, Spain</w:t>
      </w:r>
    </w:p>
    <w:p w14:paraId="10D70B89" w14:textId="77777777" w:rsidR="00486BE0" w:rsidRPr="00E15846" w:rsidRDefault="00486BE0" w:rsidP="00872C50">
      <w:pPr>
        <w:spacing w:line="480" w:lineRule="auto"/>
        <w:rPr>
          <w:rFonts w:ascii="Times" w:hAnsi="Times" w:cs="Times New Roman"/>
          <w:u w:val="single"/>
          <w:lang w:val="en-US"/>
        </w:rPr>
      </w:pPr>
    </w:p>
    <w:p w14:paraId="3D28EEF7" w14:textId="461C94FE" w:rsidR="005D3303" w:rsidRPr="009A4C67" w:rsidRDefault="005D3303" w:rsidP="00872C50">
      <w:pPr>
        <w:spacing w:line="480" w:lineRule="auto"/>
        <w:rPr>
          <w:rFonts w:ascii="Times" w:hAnsi="Times" w:cs="Times New Roman"/>
          <w:u w:val="single"/>
        </w:rPr>
      </w:pPr>
      <w:r w:rsidRPr="009A4C67">
        <w:rPr>
          <w:rFonts w:ascii="Times" w:hAnsi="Times" w:cs="Times New Roman"/>
          <w:u w:val="single"/>
        </w:rPr>
        <w:t>ORCID</w:t>
      </w:r>
      <w:r w:rsidR="00A62FC5">
        <w:rPr>
          <w:rFonts w:ascii="Times" w:hAnsi="Times" w:cs="Times New Roman"/>
          <w:u w:val="single"/>
        </w:rPr>
        <w:t>s</w:t>
      </w:r>
    </w:p>
    <w:p w14:paraId="0B7808F1" w14:textId="44105625" w:rsidR="00B971A1" w:rsidRDefault="005D3303" w:rsidP="00B971A1">
      <w:pPr>
        <w:spacing w:line="480" w:lineRule="auto"/>
        <w:rPr>
          <w:rFonts w:ascii="Times" w:hAnsi="Times" w:cs="Times New Roman"/>
        </w:rPr>
      </w:pPr>
      <w:r w:rsidRPr="009A4C67">
        <w:rPr>
          <w:rFonts w:ascii="Times" w:hAnsi="Times" w:cs="Times New Roman"/>
        </w:rPr>
        <w:t>Michael Kriegbaum Skjødt</w:t>
      </w:r>
      <w:r w:rsidR="000626AC">
        <w:rPr>
          <w:rFonts w:ascii="Times" w:hAnsi="Times" w:cs="Times New Roman"/>
        </w:rPr>
        <w:t>:</w:t>
      </w:r>
      <w:r w:rsidRPr="009A4C67">
        <w:rPr>
          <w:rFonts w:ascii="Times" w:hAnsi="Times" w:cs="Times New Roman"/>
        </w:rPr>
        <w:t xml:space="preserve"> </w:t>
      </w:r>
      <w:r w:rsidRPr="00EF5E43">
        <w:rPr>
          <w:rFonts w:ascii="Times" w:hAnsi="Times" w:cs="Times New Roman"/>
        </w:rPr>
        <w:t>0000-0002-2109-8989</w:t>
      </w:r>
      <w:r w:rsidR="00B971A1" w:rsidRPr="00B971A1">
        <w:rPr>
          <w:rFonts w:ascii="Times" w:hAnsi="Times" w:cs="Times New Roman"/>
        </w:rPr>
        <w:t xml:space="preserve"> </w:t>
      </w:r>
    </w:p>
    <w:p w14:paraId="41C5A767" w14:textId="24AE436B" w:rsidR="00EF5E43" w:rsidRPr="00EF5E43" w:rsidRDefault="00EF5E43" w:rsidP="00EF5E43">
      <w:pPr>
        <w:spacing w:line="480" w:lineRule="auto"/>
        <w:rPr>
          <w:rFonts w:ascii="Times" w:hAnsi="Times" w:cs="Times New Roman"/>
        </w:rPr>
      </w:pPr>
      <w:r>
        <w:rPr>
          <w:rFonts w:ascii="Times" w:hAnsi="Times" w:cs="Times New Roman"/>
        </w:rPr>
        <w:t xml:space="preserve">Sara Khalid: </w:t>
      </w:r>
      <w:r w:rsidRPr="00EF5E43">
        <w:rPr>
          <w:rFonts w:ascii="Times" w:hAnsi="Times" w:cs="Times New Roman"/>
        </w:rPr>
        <w:t>0000-0002-2845-5731</w:t>
      </w:r>
    </w:p>
    <w:p w14:paraId="0834F83D" w14:textId="5E8A03A5" w:rsidR="005D3303" w:rsidRPr="007D6A9E" w:rsidRDefault="00B971A1" w:rsidP="00B971A1">
      <w:pPr>
        <w:spacing w:line="480" w:lineRule="auto"/>
        <w:rPr>
          <w:rFonts w:ascii="Times" w:hAnsi="Times" w:cs="Times New Roman"/>
        </w:rPr>
      </w:pPr>
      <w:r w:rsidRPr="00EF5E43">
        <w:rPr>
          <w:rFonts w:ascii="Times" w:hAnsi="Times" w:cs="Times New Roman"/>
        </w:rPr>
        <w:t>Antonella Delmestri</w:t>
      </w:r>
      <w:r w:rsidRPr="007D6A9E">
        <w:rPr>
          <w:rFonts w:ascii="Times" w:hAnsi="Times" w:cs="Times New Roman"/>
        </w:rPr>
        <w:t>: 0000-0003-0388-3403</w:t>
      </w:r>
    </w:p>
    <w:p w14:paraId="6FBAACBA" w14:textId="5D281DE0" w:rsidR="007D6A9E" w:rsidRPr="007D6A9E" w:rsidRDefault="007D6A9E" w:rsidP="007D6A9E">
      <w:pPr>
        <w:spacing w:line="480" w:lineRule="auto"/>
        <w:rPr>
          <w:rFonts w:ascii="Times" w:hAnsi="Times" w:cs="Times New Roman"/>
        </w:rPr>
      </w:pPr>
      <w:r w:rsidRPr="007D6A9E">
        <w:rPr>
          <w:rFonts w:ascii="Times" w:hAnsi="Times" w:cs="Times New Roman"/>
        </w:rPr>
        <w:t>Katrine Hass Rubin: 0000-0001-5045-536X</w:t>
      </w:r>
    </w:p>
    <w:p w14:paraId="6FBC096C" w14:textId="77777777" w:rsidR="00B971A1" w:rsidRPr="00BB40C2" w:rsidRDefault="00B971A1" w:rsidP="00B971A1">
      <w:pPr>
        <w:spacing w:line="480" w:lineRule="auto"/>
        <w:rPr>
          <w:rFonts w:ascii="Times" w:hAnsi="Times" w:cs="Times New Roman"/>
          <w:lang w:val="en-US"/>
        </w:rPr>
      </w:pPr>
      <w:r w:rsidRPr="00912229">
        <w:rPr>
          <w:rFonts w:ascii="Times" w:hAnsi="Times" w:cs="Times New Roman"/>
          <w:lang w:val="en-US"/>
        </w:rPr>
        <w:t>Daniel Martinez</w:t>
      </w:r>
      <w:r w:rsidRPr="00BB40C2">
        <w:rPr>
          <w:rFonts w:ascii="Times" w:hAnsi="Times" w:cs="Times New Roman"/>
          <w:lang w:val="en-US"/>
        </w:rPr>
        <w:t>-Laguna: 0000-0001-5374-8176</w:t>
      </w:r>
    </w:p>
    <w:p w14:paraId="5C3DCC23" w14:textId="60B95981" w:rsidR="00A84318" w:rsidRPr="00AC51D6" w:rsidRDefault="005D3303" w:rsidP="00A84318">
      <w:pPr>
        <w:spacing w:line="480" w:lineRule="auto"/>
        <w:rPr>
          <w:rFonts w:ascii="Times" w:hAnsi="Times" w:cs="Times New Roman"/>
          <w:lang w:val="en-US"/>
        </w:rPr>
      </w:pPr>
      <w:r w:rsidRPr="00AC51D6">
        <w:rPr>
          <w:rFonts w:ascii="Times" w:hAnsi="Times" w:cs="Times New Roman"/>
          <w:lang w:val="en-US"/>
        </w:rPr>
        <w:t>Bo Abrahamsen</w:t>
      </w:r>
      <w:r w:rsidR="000626AC" w:rsidRPr="00AC51D6">
        <w:rPr>
          <w:rFonts w:ascii="Times" w:hAnsi="Times" w:cs="Times New Roman"/>
          <w:lang w:val="en-US"/>
        </w:rPr>
        <w:t>:</w:t>
      </w:r>
      <w:r w:rsidRPr="00AC51D6">
        <w:rPr>
          <w:rFonts w:ascii="Times" w:hAnsi="Times" w:cs="Times New Roman"/>
          <w:lang w:val="en-US"/>
        </w:rPr>
        <w:t xml:space="preserve"> 0000-0002-2730-6080</w:t>
      </w:r>
      <w:r w:rsidR="00A84318" w:rsidRPr="00AC51D6">
        <w:rPr>
          <w:rFonts w:ascii="Times" w:hAnsi="Times" w:cs="Times New Roman"/>
          <w:lang w:val="en-US"/>
        </w:rPr>
        <w:t xml:space="preserve"> </w:t>
      </w:r>
    </w:p>
    <w:p w14:paraId="461E7145" w14:textId="77777777" w:rsidR="005D3303" w:rsidRPr="00AC51D6" w:rsidRDefault="005D3303" w:rsidP="00872C50">
      <w:pPr>
        <w:spacing w:line="480" w:lineRule="auto"/>
        <w:rPr>
          <w:rFonts w:ascii="Times" w:hAnsi="Times" w:cs="Times New Roman"/>
          <w:lang w:val="en-US"/>
        </w:rPr>
      </w:pPr>
    </w:p>
    <w:p w14:paraId="18EC31EB" w14:textId="1D1B4187" w:rsidR="005D3303" w:rsidRPr="004907A0" w:rsidRDefault="005D3303" w:rsidP="00872C50">
      <w:pPr>
        <w:spacing w:line="480" w:lineRule="auto"/>
        <w:rPr>
          <w:rFonts w:ascii="Times" w:hAnsi="Times" w:cs="Times New Roman"/>
          <w:u w:val="single"/>
          <w:lang w:val="en"/>
        </w:rPr>
      </w:pPr>
      <w:r w:rsidRPr="004907A0">
        <w:rPr>
          <w:rFonts w:ascii="Times" w:hAnsi="Times" w:cs="Times New Roman"/>
          <w:u w:val="single"/>
          <w:lang w:val="en"/>
        </w:rPr>
        <w:t>Corresponding author</w:t>
      </w:r>
    </w:p>
    <w:p w14:paraId="1146EEF5" w14:textId="2B83AA4A" w:rsidR="005D3303" w:rsidRPr="004907A0" w:rsidRDefault="005D3303" w:rsidP="00872C50">
      <w:pPr>
        <w:spacing w:line="480" w:lineRule="auto"/>
        <w:rPr>
          <w:rFonts w:ascii="Times" w:hAnsi="Times" w:cs="Times New Roman"/>
          <w:lang w:val="en"/>
        </w:rPr>
      </w:pPr>
      <w:r w:rsidRPr="004907A0">
        <w:rPr>
          <w:rFonts w:ascii="Times" w:hAnsi="Times" w:cs="Times New Roman"/>
          <w:lang w:val="en"/>
        </w:rPr>
        <w:t>Michael Kriegbaum Skjødt, MD GDBA</w:t>
      </w:r>
      <w:r w:rsidR="00465017">
        <w:rPr>
          <w:rFonts w:ascii="Times" w:hAnsi="Times" w:cs="Times New Roman"/>
          <w:lang w:val="en"/>
        </w:rPr>
        <w:t xml:space="preserve"> </w:t>
      </w:r>
    </w:p>
    <w:p w14:paraId="6DF725E1" w14:textId="7F798847" w:rsidR="005D3303" w:rsidRPr="004907A0" w:rsidRDefault="005D3303" w:rsidP="00872C50">
      <w:pPr>
        <w:spacing w:line="480" w:lineRule="auto"/>
        <w:rPr>
          <w:rFonts w:ascii="Times" w:hAnsi="Times" w:cs="Times New Roman"/>
          <w:lang w:val="en"/>
        </w:rPr>
      </w:pPr>
      <w:r w:rsidRPr="004907A0">
        <w:rPr>
          <w:rFonts w:ascii="Times" w:hAnsi="Times" w:cs="Times New Roman"/>
          <w:lang w:val="en"/>
        </w:rPr>
        <w:t>Department of Medicine</w:t>
      </w:r>
      <w:r w:rsidR="00465017">
        <w:rPr>
          <w:rFonts w:ascii="Times" w:hAnsi="Times" w:cs="Times New Roman"/>
          <w:lang w:val="en"/>
        </w:rPr>
        <w:t xml:space="preserve">, </w:t>
      </w:r>
      <w:r w:rsidR="00DE3B20">
        <w:rPr>
          <w:rFonts w:ascii="Times" w:hAnsi="Times" w:cs="Times New Roman"/>
          <w:lang w:val="en"/>
        </w:rPr>
        <w:t xml:space="preserve">Hospital of </w:t>
      </w:r>
      <w:proofErr w:type="spellStart"/>
      <w:r w:rsidR="00DE3B20">
        <w:rPr>
          <w:rFonts w:ascii="Times" w:hAnsi="Times" w:cs="Times New Roman"/>
          <w:lang w:val="en"/>
        </w:rPr>
        <w:t>Holbæk</w:t>
      </w:r>
      <w:proofErr w:type="spellEnd"/>
    </w:p>
    <w:p w14:paraId="3D751529" w14:textId="23AA04AB" w:rsidR="005D3303" w:rsidRPr="004907A0" w:rsidRDefault="005D3303" w:rsidP="00872C50">
      <w:pPr>
        <w:spacing w:line="480" w:lineRule="auto"/>
        <w:rPr>
          <w:rFonts w:ascii="Times" w:hAnsi="Times" w:cs="Times New Roman"/>
        </w:rPr>
      </w:pPr>
      <w:r w:rsidRPr="004907A0">
        <w:rPr>
          <w:rFonts w:ascii="Times" w:hAnsi="Times" w:cs="Times New Roman"/>
        </w:rPr>
        <w:t>Smedelundsgade 60</w:t>
      </w:r>
    </w:p>
    <w:p w14:paraId="1E404BD6" w14:textId="2EDDB030" w:rsidR="005D3303" w:rsidRPr="004907A0" w:rsidRDefault="005D3303" w:rsidP="00872C50">
      <w:pPr>
        <w:spacing w:line="480" w:lineRule="auto"/>
        <w:rPr>
          <w:rFonts w:ascii="Times" w:hAnsi="Times" w:cs="Times New Roman"/>
        </w:rPr>
      </w:pPr>
      <w:r w:rsidRPr="004907A0">
        <w:rPr>
          <w:rFonts w:ascii="Times" w:hAnsi="Times" w:cs="Times New Roman"/>
        </w:rPr>
        <w:t>DK-4300 Holbæk</w:t>
      </w:r>
    </w:p>
    <w:p w14:paraId="4C81E93D" w14:textId="687BCB05" w:rsidR="005D3303" w:rsidRPr="004907A0" w:rsidRDefault="000128C3" w:rsidP="00872C50">
      <w:pPr>
        <w:spacing w:line="480" w:lineRule="auto"/>
        <w:rPr>
          <w:rFonts w:ascii="Times" w:hAnsi="Times" w:cs="Times New Roman"/>
        </w:rPr>
      </w:pPr>
      <w:r w:rsidRPr="000128C3">
        <w:rPr>
          <w:rFonts w:ascii="Times" w:hAnsi="Times" w:cs="Times New Roman"/>
        </w:rPr>
        <w:t>m</w:t>
      </w:r>
      <w:r>
        <w:rPr>
          <w:rFonts w:ascii="Times" w:hAnsi="Times" w:cs="Times New Roman"/>
        </w:rPr>
        <w:t>iksk@regionsjaelland.dk</w:t>
      </w:r>
    </w:p>
    <w:p w14:paraId="16BBC733" w14:textId="77777777" w:rsidR="009B4352" w:rsidRDefault="00E652BB" w:rsidP="00872C50">
      <w:pPr>
        <w:spacing w:line="480" w:lineRule="auto"/>
        <w:rPr>
          <w:rFonts w:ascii="Times" w:hAnsi="Times" w:cs="Times New Roman"/>
          <w:lang w:val="en"/>
        </w:rPr>
      </w:pPr>
      <w:r>
        <w:rPr>
          <w:rFonts w:ascii="Times" w:hAnsi="Times" w:cs="Times New Roman"/>
          <w:lang w:val="en"/>
        </w:rPr>
        <w:t>+45 6167 67</w:t>
      </w:r>
      <w:r w:rsidR="005D3303" w:rsidRPr="004907A0">
        <w:rPr>
          <w:rFonts w:ascii="Times" w:hAnsi="Times" w:cs="Times New Roman"/>
          <w:lang w:val="en"/>
        </w:rPr>
        <w:t>64</w:t>
      </w:r>
    </w:p>
    <w:p w14:paraId="02A3F726" w14:textId="77777777" w:rsidR="00A62FC5" w:rsidRDefault="00A62FC5">
      <w:pPr>
        <w:rPr>
          <w:rFonts w:ascii="Times" w:hAnsi="Times" w:cs="Times New Roman"/>
          <w:lang w:val="en"/>
        </w:rPr>
      </w:pPr>
    </w:p>
    <w:p w14:paraId="20ADD6D9" w14:textId="4FFC1242" w:rsidR="00A62FC5" w:rsidRPr="00AC51D6" w:rsidRDefault="00A62FC5" w:rsidP="00A62FC5">
      <w:pPr>
        <w:spacing w:line="480" w:lineRule="auto"/>
        <w:rPr>
          <w:b/>
          <w:lang w:val="en"/>
        </w:rPr>
      </w:pPr>
      <w:r w:rsidRPr="00AC51D6">
        <w:rPr>
          <w:b/>
          <w:lang w:val="en"/>
        </w:rPr>
        <w:t>Declarations</w:t>
      </w:r>
    </w:p>
    <w:p w14:paraId="312D6FD8" w14:textId="71F011A4" w:rsidR="00A9090D" w:rsidRDefault="00A62FC5" w:rsidP="00A62FC5">
      <w:pPr>
        <w:spacing w:line="480" w:lineRule="auto"/>
        <w:rPr>
          <w:u w:val="single"/>
          <w:lang w:val="en"/>
        </w:rPr>
      </w:pPr>
      <w:r>
        <w:rPr>
          <w:u w:val="single"/>
          <w:lang w:val="en"/>
        </w:rPr>
        <w:t>Funding</w:t>
      </w:r>
    </w:p>
    <w:p w14:paraId="462276D7" w14:textId="24571237" w:rsidR="00A62FC5" w:rsidRDefault="00A9090D" w:rsidP="00A62FC5">
      <w:pPr>
        <w:spacing w:line="480" w:lineRule="auto"/>
        <w:rPr>
          <w:lang w:val="en"/>
        </w:rPr>
      </w:pPr>
      <w:r w:rsidRPr="00AC51D6">
        <w:rPr>
          <w:lang w:val="en"/>
        </w:rPr>
        <w:t>UCB funded this study. All analyses were conducted independently by the academic researchers involved.</w:t>
      </w:r>
    </w:p>
    <w:p w14:paraId="3B628772" w14:textId="77777777" w:rsidR="00A9090D" w:rsidRPr="00AC51D6" w:rsidRDefault="00A9090D" w:rsidP="00A62FC5">
      <w:pPr>
        <w:spacing w:line="480" w:lineRule="auto"/>
        <w:rPr>
          <w:lang w:val="en"/>
        </w:rPr>
      </w:pPr>
    </w:p>
    <w:p w14:paraId="4817FCFA" w14:textId="25B25E87" w:rsidR="00A62FC5" w:rsidRDefault="00213656" w:rsidP="00A62FC5">
      <w:pPr>
        <w:spacing w:line="480" w:lineRule="auto"/>
        <w:rPr>
          <w:u w:val="single"/>
          <w:lang w:val="en"/>
        </w:rPr>
      </w:pPr>
      <w:r>
        <w:rPr>
          <w:u w:val="single"/>
          <w:lang w:val="en"/>
        </w:rPr>
        <w:t>Conflicts of interest</w:t>
      </w:r>
    </w:p>
    <w:p w14:paraId="5B50DADC" w14:textId="77777777" w:rsidR="00A62FC5" w:rsidRDefault="00A62FC5" w:rsidP="00A62FC5">
      <w:pPr>
        <w:spacing w:line="480" w:lineRule="auto"/>
        <w:rPr>
          <w:rFonts w:ascii="Times" w:hAnsi="Times" w:cs="Times New Roman"/>
          <w:lang w:val="en-US"/>
        </w:rPr>
      </w:pPr>
      <w:r w:rsidRPr="00A45A77">
        <w:rPr>
          <w:rFonts w:ascii="Times" w:hAnsi="Times" w:cs="Times New Roman"/>
          <w:lang w:val="en-US"/>
        </w:rPr>
        <w:t>MKS: Educational grant and institutional research grant, UCB.</w:t>
      </w:r>
    </w:p>
    <w:p w14:paraId="47E9142C" w14:textId="445563C6" w:rsidR="00A62FC5" w:rsidRDefault="00A62FC5" w:rsidP="00A62FC5">
      <w:pPr>
        <w:spacing w:line="480" w:lineRule="auto"/>
        <w:rPr>
          <w:rFonts w:ascii="Times" w:hAnsi="Times" w:cs="Times New Roman"/>
          <w:lang w:val="en-US"/>
        </w:rPr>
      </w:pPr>
      <w:r>
        <w:rPr>
          <w:rFonts w:ascii="Times" w:hAnsi="Times" w:cs="Times New Roman"/>
          <w:lang w:val="en-US"/>
        </w:rPr>
        <w:lastRenderedPageBreak/>
        <w:t xml:space="preserve">MTE: </w:t>
      </w:r>
      <w:r w:rsidR="006C00EB">
        <w:rPr>
          <w:rFonts w:ascii="Times" w:hAnsi="Times" w:cs="Times New Roman"/>
          <w:lang w:val="en-US"/>
        </w:rPr>
        <w:t>Institutional grant, UCB.</w:t>
      </w:r>
    </w:p>
    <w:p w14:paraId="53B7A530" w14:textId="5DA62D5D" w:rsidR="00A62FC5" w:rsidRDefault="00A62FC5" w:rsidP="00A62FC5">
      <w:pPr>
        <w:spacing w:line="480" w:lineRule="auto"/>
        <w:rPr>
          <w:rFonts w:ascii="Times" w:hAnsi="Times" w:cs="Times New Roman"/>
          <w:lang w:val="en-US"/>
        </w:rPr>
      </w:pPr>
      <w:r>
        <w:rPr>
          <w:rFonts w:ascii="Times" w:hAnsi="Times" w:cs="Times New Roman"/>
          <w:lang w:val="en-US"/>
        </w:rPr>
        <w:t xml:space="preserve">SK: </w:t>
      </w:r>
      <w:r w:rsidR="00EF5E43">
        <w:rPr>
          <w:rFonts w:ascii="Times" w:hAnsi="Times" w:cs="Times New Roman"/>
          <w:lang w:val="en-US"/>
        </w:rPr>
        <w:t>No conflict of interest.</w:t>
      </w:r>
    </w:p>
    <w:p w14:paraId="47490E09" w14:textId="77777777" w:rsidR="00A62FC5" w:rsidRDefault="00A62FC5" w:rsidP="00A62FC5">
      <w:pPr>
        <w:spacing w:line="480" w:lineRule="auto"/>
        <w:rPr>
          <w:rFonts w:ascii="Times" w:hAnsi="Times" w:cs="Times New Roman"/>
          <w:lang w:val="en-US"/>
        </w:rPr>
      </w:pPr>
      <w:r w:rsidRPr="00A45A77">
        <w:rPr>
          <w:rFonts w:ascii="Times" w:hAnsi="Times" w:cs="Times New Roman"/>
          <w:lang w:val="en-US"/>
        </w:rPr>
        <w:t>CL</w:t>
      </w:r>
      <w:r>
        <w:rPr>
          <w:rFonts w:ascii="Times" w:hAnsi="Times" w:cs="Times New Roman"/>
          <w:lang w:val="en-US"/>
        </w:rPr>
        <w:t xml:space="preserve"> and ET</w:t>
      </w:r>
      <w:r w:rsidRPr="00A45A77">
        <w:rPr>
          <w:rFonts w:ascii="Times" w:hAnsi="Times" w:cs="Times New Roman"/>
          <w:lang w:val="en-US"/>
        </w:rPr>
        <w:t>: Employee</w:t>
      </w:r>
      <w:r>
        <w:rPr>
          <w:rFonts w:ascii="Times" w:hAnsi="Times" w:cs="Times New Roman"/>
          <w:lang w:val="en-US"/>
        </w:rPr>
        <w:t>s</w:t>
      </w:r>
      <w:r w:rsidRPr="00A45A77">
        <w:rPr>
          <w:rFonts w:ascii="Times" w:hAnsi="Times" w:cs="Times New Roman"/>
          <w:lang w:val="en-US"/>
        </w:rPr>
        <w:t xml:space="preserve"> of UCB pharma.</w:t>
      </w:r>
    </w:p>
    <w:p w14:paraId="58AC42D0" w14:textId="77777777" w:rsidR="00A62FC5" w:rsidRPr="00416B06" w:rsidRDefault="00A62FC5" w:rsidP="00A62FC5">
      <w:pPr>
        <w:spacing w:line="480" w:lineRule="auto"/>
        <w:rPr>
          <w:rFonts w:ascii="Times" w:hAnsi="Times" w:cs="Times New Roman"/>
          <w:lang w:val="en-US"/>
        </w:rPr>
      </w:pPr>
      <w:r w:rsidRPr="00416B06">
        <w:rPr>
          <w:rFonts w:ascii="Times" w:hAnsi="Times" w:cs="Times New Roman"/>
          <w:lang w:val="en-US"/>
        </w:rPr>
        <w:t>CC:</w:t>
      </w:r>
      <w:r w:rsidRPr="00416B06">
        <w:rPr>
          <w:rFonts w:ascii="Times" w:hAnsi="Times" w:cs="Times New Roman" w:hint="eastAsia"/>
          <w:lang w:val="en-US"/>
        </w:rPr>
        <w:t xml:space="preserve"> </w:t>
      </w:r>
      <w:r w:rsidRPr="00416B06">
        <w:rPr>
          <w:rFonts w:ascii="Times" w:hAnsi="Times" w:cs="Times New Roman"/>
          <w:lang w:val="en-US"/>
        </w:rPr>
        <w:t>P</w:t>
      </w:r>
      <w:r w:rsidRPr="00416B06">
        <w:rPr>
          <w:rFonts w:ascii="Times" w:hAnsi="Times" w:cs="Times New Roman" w:hint="eastAsia"/>
          <w:lang w:val="en-US"/>
        </w:rPr>
        <w:t xml:space="preserve">ersonal fees from Alliance for Better Bone Health, Amgen, Eli Lilly, GSK, Medtronic, Merck, Novartis, Pfizer, Roche, </w:t>
      </w:r>
      <w:proofErr w:type="spellStart"/>
      <w:r w:rsidRPr="00416B06">
        <w:rPr>
          <w:rFonts w:ascii="Times" w:hAnsi="Times" w:cs="Times New Roman" w:hint="eastAsia"/>
          <w:lang w:val="en-US"/>
        </w:rPr>
        <w:t>Servier</w:t>
      </w:r>
      <w:proofErr w:type="spellEnd"/>
      <w:r w:rsidRPr="00416B06">
        <w:rPr>
          <w:rFonts w:ascii="Times" w:hAnsi="Times" w:cs="Times New Roman" w:hint="eastAsia"/>
          <w:lang w:val="en-US"/>
        </w:rPr>
        <w:t>, Takeda and UCB. </w:t>
      </w:r>
    </w:p>
    <w:p w14:paraId="638C13B5" w14:textId="5FF53B2E" w:rsidR="00A62FC5" w:rsidRPr="00BB40C2" w:rsidRDefault="00A62FC5" w:rsidP="00A62FC5">
      <w:pPr>
        <w:spacing w:line="480" w:lineRule="auto"/>
        <w:rPr>
          <w:rFonts w:ascii="Times" w:hAnsi="Times" w:cs="Times New Roman"/>
          <w:lang w:val="en-US"/>
        </w:rPr>
      </w:pPr>
      <w:r w:rsidRPr="00BB40C2">
        <w:rPr>
          <w:rFonts w:ascii="Times" w:hAnsi="Times" w:cs="Times New Roman"/>
          <w:lang w:val="en-US"/>
        </w:rPr>
        <w:t xml:space="preserve">AD: </w:t>
      </w:r>
      <w:r w:rsidR="00F83A24">
        <w:rPr>
          <w:rFonts w:ascii="Times" w:hAnsi="Times" w:cs="Times New Roman"/>
          <w:lang w:val="en-US"/>
        </w:rPr>
        <w:t>No conflict of interest</w:t>
      </w:r>
      <w:r w:rsidRPr="00BB40C2">
        <w:rPr>
          <w:rFonts w:ascii="Times" w:hAnsi="Times" w:cs="Times New Roman"/>
          <w:lang w:val="en-US"/>
        </w:rPr>
        <w:t>.</w:t>
      </w:r>
    </w:p>
    <w:p w14:paraId="0FDCE10C" w14:textId="1C57FB1F" w:rsidR="00A62FC5" w:rsidRPr="00BB40C2" w:rsidRDefault="00A62FC5" w:rsidP="00A62FC5">
      <w:pPr>
        <w:spacing w:line="480" w:lineRule="auto"/>
        <w:rPr>
          <w:rFonts w:ascii="Times" w:hAnsi="Times" w:cs="Times New Roman"/>
          <w:lang w:val="en-US"/>
        </w:rPr>
      </w:pPr>
      <w:r w:rsidRPr="00BB40C2">
        <w:rPr>
          <w:rFonts w:ascii="Times" w:hAnsi="Times" w:cs="Times New Roman"/>
          <w:lang w:val="en-US"/>
        </w:rPr>
        <w:t xml:space="preserve">KHR: </w:t>
      </w:r>
      <w:r w:rsidR="00F83A24">
        <w:rPr>
          <w:rFonts w:ascii="Times" w:hAnsi="Times" w:cs="Times New Roman"/>
          <w:lang w:val="en-US"/>
        </w:rPr>
        <w:t>No conflict of interest</w:t>
      </w:r>
      <w:r w:rsidRPr="00BB40C2">
        <w:rPr>
          <w:rFonts w:ascii="Times" w:hAnsi="Times" w:cs="Times New Roman"/>
          <w:lang w:val="en-US"/>
        </w:rPr>
        <w:t>.</w:t>
      </w:r>
    </w:p>
    <w:p w14:paraId="27B2381E" w14:textId="77777777" w:rsidR="00A62FC5" w:rsidRPr="00BB40C2" w:rsidRDefault="00A62FC5" w:rsidP="00A62FC5">
      <w:pPr>
        <w:spacing w:line="480" w:lineRule="auto"/>
        <w:rPr>
          <w:rFonts w:ascii="Times" w:hAnsi="Times" w:cs="Times New Roman"/>
          <w:lang w:val="en-US"/>
        </w:rPr>
      </w:pPr>
      <w:r w:rsidRPr="00BB40C2">
        <w:rPr>
          <w:rFonts w:ascii="Times" w:hAnsi="Times" w:cs="Times New Roman"/>
          <w:lang w:val="en-US"/>
        </w:rPr>
        <w:t xml:space="preserve">MKJ: </w:t>
      </w:r>
      <w:r w:rsidRPr="00416B06">
        <w:rPr>
          <w:rFonts w:ascii="Times" w:hAnsi="Times" w:cs="Times New Roman"/>
          <w:lang w:val="en-US"/>
        </w:rPr>
        <w:t>P</w:t>
      </w:r>
      <w:r w:rsidRPr="00416B06">
        <w:rPr>
          <w:rFonts w:ascii="Times" w:hAnsi="Times" w:cs="Times New Roman" w:hint="eastAsia"/>
          <w:lang w:val="en-US"/>
        </w:rPr>
        <w:t>ersonal fees from Amgen</w:t>
      </w:r>
      <w:r>
        <w:rPr>
          <w:rFonts w:ascii="Times" w:hAnsi="Times" w:cs="Times New Roman"/>
          <w:lang w:val="en-US"/>
        </w:rPr>
        <w:t xml:space="preserve"> </w:t>
      </w:r>
      <w:r w:rsidRPr="00416B06">
        <w:rPr>
          <w:rFonts w:ascii="Times" w:hAnsi="Times" w:cs="Times New Roman" w:hint="eastAsia"/>
          <w:lang w:val="en-US"/>
        </w:rPr>
        <w:t>and UCB</w:t>
      </w:r>
      <w:r>
        <w:rPr>
          <w:rFonts w:ascii="Times" w:hAnsi="Times" w:cs="Times New Roman"/>
          <w:lang w:val="en-US"/>
        </w:rPr>
        <w:t>, unrestricted grants from Amgen.</w:t>
      </w:r>
      <w:r w:rsidRPr="00416B06">
        <w:rPr>
          <w:rFonts w:ascii="Times" w:hAnsi="Times" w:cs="Times New Roman" w:hint="eastAsia"/>
          <w:lang w:val="en-US"/>
        </w:rPr>
        <w:t> </w:t>
      </w:r>
    </w:p>
    <w:p w14:paraId="7B1F978F" w14:textId="77777777" w:rsidR="00A62FC5" w:rsidRPr="00BB40C2" w:rsidRDefault="00A62FC5" w:rsidP="00A62FC5">
      <w:pPr>
        <w:spacing w:line="480" w:lineRule="auto"/>
        <w:rPr>
          <w:rFonts w:ascii="Times" w:hAnsi="Times" w:cs="Times New Roman"/>
          <w:lang w:val="en-US"/>
        </w:rPr>
      </w:pPr>
      <w:r w:rsidRPr="00BB40C2">
        <w:rPr>
          <w:rFonts w:ascii="Times" w:hAnsi="Times" w:cs="Times New Roman"/>
          <w:lang w:val="en-US"/>
        </w:rPr>
        <w:t xml:space="preserve">DML: Consulting or speakers fees from Amgen, Lilly, Novartis, </w:t>
      </w:r>
      <w:proofErr w:type="spellStart"/>
      <w:r w:rsidRPr="00BB40C2">
        <w:rPr>
          <w:rFonts w:ascii="Times" w:hAnsi="Times" w:cs="Times New Roman"/>
          <w:lang w:val="en-US"/>
        </w:rPr>
        <w:t>Italfarmaco</w:t>
      </w:r>
      <w:proofErr w:type="spellEnd"/>
      <w:r w:rsidRPr="00BB40C2">
        <w:rPr>
          <w:rFonts w:ascii="Times" w:hAnsi="Times" w:cs="Times New Roman"/>
          <w:lang w:val="en-US"/>
        </w:rPr>
        <w:t xml:space="preserve">, Ferrer and </w:t>
      </w:r>
      <w:proofErr w:type="spellStart"/>
      <w:r w:rsidRPr="00BB40C2">
        <w:rPr>
          <w:rFonts w:ascii="Times" w:hAnsi="Times" w:cs="Times New Roman"/>
          <w:lang w:val="en-US"/>
        </w:rPr>
        <w:t>Rubió</w:t>
      </w:r>
      <w:proofErr w:type="spellEnd"/>
      <w:r w:rsidRPr="00BB40C2">
        <w:rPr>
          <w:rFonts w:ascii="Times" w:hAnsi="Times" w:cs="Times New Roman"/>
          <w:lang w:val="en-US"/>
        </w:rPr>
        <w:t>, outside the submitted work.</w:t>
      </w:r>
    </w:p>
    <w:p w14:paraId="06063FCA" w14:textId="7BE08A4A" w:rsidR="00A62FC5" w:rsidRPr="00BB40C2" w:rsidRDefault="00A62FC5" w:rsidP="00A62FC5">
      <w:pPr>
        <w:spacing w:line="480" w:lineRule="auto"/>
        <w:rPr>
          <w:rFonts w:ascii="Times" w:hAnsi="Times" w:cs="Times New Roman"/>
          <w:lang w:val="en-US"/>
        </w:rPr>
      </w:pPr>
      <w:r w:rsidRPr="00BB40C2">
        <w:rPr>
          <w:rFonts w:ascii="Times" w:hAnsi="Times" w:cs="Times New Roman"/>
          <w:lang w:val="en-US"/>
        </w:rPr>
        <w:t xml:space="preserve">DPA: </w:t>
      </w:r>
      <w:r w:rsidR="00485B5D">
        <w:rPr>
          <w:rFonts w:ascii="Times" w:hAnsi="Times" w:cs="Times New Roman"/>
          <w:lang w:val="en-US"/>
        </w:rPr>
        <w:t>Research grants from Amgen, Johnson &amp; Johnson, and UCB. Consultation or speaker fees paid to my department by Amgen, Astellas, and UCB.</w:t>
      </w:r>
    </w:p>
    <w:p w14:paraId="38C9DF28" w14:textId="1DA33318" w:rsidR="00A62FC5" w:rsidRDefault="00A62FC5" w:rsidP="00A62FC5">
      <w:pPr>
        <w:spacing w:line="480" w:lineRule="auto"/>
        <w:rPr>
          <w:rFonts w:ascii="Times" w:hAnsi="Times" w:cs="Times New Roman"/>
          <w:lang w:val="en-US"/>
        </w:rPr>
      </w:pPr>
      <w:r w:rsidRPr="00A45A77">
        <w:rPr>
          <w:rFonts w:ascii="Times" w:hAnsi="Times" w:cs="Times New Roman"/>
          <w:lang w:val="en-US"/>
        </w:rPr>
        <w:t xml:space="preserve">BA: </w:t>
      </w:r>
      <w:r w:rsidR="00453D14" w:rsidRPr="00A45A77">
        <w:rPr>
          <w:rFonts w:ascii="Times" w:hAnsi="Times" w:cs="Times New Roman"/>
          <w:lang w:val="en-US"/>
        </w:rPr>
        <w:t>Institutional research grants UCB, Novartis. Consulting or speakers fees UCB, Kyowa-Kirin, Amgen, Eli-Lily</w:t>
      </w:r>
      <w:r w:rsidR="00453D14">
        <w:rPr>
          <w:rFonts w:ascii="Times" w:hAnsi="Times" w:cs="Times New Roman"/>
          <w:lang w:val="en-US"/>
        </w:rPr>
        <w:t xml:space="preserve">, </w:t>
      </w:r>
      <w:proofErr w:type="spellStart"/>
      <w:r w:rsidR="00453D14">
        <w:rPr>
          <w:rFonts w:ascii="Times" w:hAnsi="Times" w:cs="Times New Roman"/>
          <w:lang w:val="en-US"/>
        </w:rPr>
        <w:t>Pharmacosmos</w:t>
      </w:r>
      <w:proofErr w:type="spellEnd"/>
      <w:r w:rsidR="00453D14" w:rsidRPr="00A45A77">
        <w:rPr>
          <w:rFonts w:ascii="Times" w:hAnsi="Times" w:cs="Times New Roman"/>
          <w:lang w:val="en-US"/>
        </w:rPr>
        <w:t>.</w:t>
      </w:r>
    </w:p>
    <w:p w14:paraId="207EB356" w14:textId="330B0B7E" w:rsidR="00BF225C" w:rsidRDefault="00BF225C" w:rsidP="00A62FC5">
      <w:pPr>
        <w:spacing w:line="480" w:lineRule="auto"/>
        <w:rPr>
          <w:rFonts w:ascii="Times" w:hAnsi="Times" w:cs="Times New Roman"/>
          <w:lang w:val="en-US"/>
        </w:rPr>
      </w:pPr>
    </w:p>
    <w:p w14:paraId="49C49CA4" w14:textId="343B3A50" w:rsidR="00107240" w:rsidRDefault="00107240" w:rsidP="00A62FC5">
      <w:pPr>
        <w:spacing w:line="480" w:lineRule="auto"/>
        <w:rPr>
          <w:rFonts w:ascii="Times" w:hAnsi="Times" w:cs="Times New Roman"/>
          <w:u w:val="single"/>
          <w:lang w:val="en-US"/>
        </w:rPr>
      </w:pPr>
      <w:r>
        <w:rPr>
          <w:rFonts w:ascii="Times" w:hAnsi="Times" w:cs="Times New Roman"/>
          <w:u w:val="single"/>
          <w:lang w:val="en-US"/>
        </w:rPr>
        <w:t>Ethics approval</w:t>
      </w:r>
    </w:p>
    <w:p w14:paraId="11A03189" w14:textId="3C628FC2" w:rsidR="00EE2C4B" w:rsidRPr="00AC51D6" w:rsidRDefault="00EE2C4B" w:rsidP="00EE2C4B">
      <w:pPr>
        <w:spacing w:line="480" w:lineRule="auto"/>
        <w:rPr>
          <w:rFonts w:ascii="Times" w:hAnsi="Times"/>
          <w:lang w:val="en-US"/>
        </w:rPr>
      </w:pPr>
      <w:r>
        <w:rPr>
          <w:rFonts w:ascii="Times" w:hAnsi="Times"/>
          <w:lang w:val="en"/>
        </w:rPr>
        <w:t xml:space="preserve">The study was approved by the </w:t>
      </w:r>
      <w:r w:rsidRPr="00220561">
        <w:rPr>
          <w:rFonts w:ascii="Times" w:hAnsi="Times"/>
          <w:lang w:val="en"/>
        </w:rPr>
        <w:t>Danish Medicines Agency, the Danish Data Protection Agency</w:t>
      </w:r>
      <w:r>
        <w:rPr>
          <w:rFonts w:ascii="Times" w:hAnsi="Times"/>
          <w:lang w:val="en"/>
        </w:rPr>
        <w:t>,</w:t>
      </w:r>
      <w:r w:rsidRPr="00220561">
        <w:rPr>
          <w:rFonts w:ascii="Times" w:hAnsi="Times"/>
          <w:lang w:val="en"/>
        </w:rPr>
        <w:t xml:space="preserve"> and Statistics Denmark</w:t>
      </w:r>
      <w:r>
        <w:rPr>
          <w:rFonts w:ascii="Times" w:hAnsi="Times" w:cs="Times New Roman"/>
          <w:lang w:val="en"/>
        </w:rPr>
        <w:t xml:space="preserve"> (ref. number 706638). For this type of studies, ethical committee approval is not required.</w:t>
      </w:r>
      <w:r w:rsidR="006A55F5">
        <w:rPr>
          <w:rFonts w:ascii="Times" w:hAnsi="Times" w:cs="Times New Roman"/>
          <w:lang w:val="en"/>
        </w:rPr>
        <w:t xml:space="preserve"> For this type of study formal consent is not required.</w:t>
      </w:r>
    </w:p>
    <w:p w14:paraId="5F38E8C0" w14:textId="5D0DD12E" w:rsidR="00107240" w:rsidRDefault="00107240" w:rsidP="00A62FC5">
      <w:pPr>
        <w:spacing w:line="480" w:lineRule="auto"/>
        <w:rPr>
          <w:rFonts w:ascii="Times" w:hAnsi="Times" w:cs="Times New Roman"/>
          <w:lang w:val="en-US"/>
        </w:rPr>
      </w:pPr>
    </w:p>
    <w:p w14:paraId="761EB344" w14:textId="2B4E10A2" w:rsidR="00EE2C4B" w:rsidRDefault="00EE2C4B" w:rsidP="00A62FC5">
      <w:pPr>
        <w:spacing w:line="480" w:lineRule="auto"/>
        <w:rPr>
          <w:rFonts w:ascii="Times" w:hAnsi="Times" w:cs="Times New Roman"/>
          <w:u w:val="single"/>
          <w:lang w:val="en-US"/>
        </w:rPr>
      </w:pPr>
      <w:r>
        <w:rPr>
          <w:rFonts w:ascii="Times" w:hAnsi="Times" w:cs="Times New Roman"/>
          <w:u w:val="single"/>
          <w:lang w:val="en-US"/>
        </w:rPr>
        <w:t>Consent to participate</w:t>
      </w:r>
    </w:p>
    <w:p w14:paraId="6CE0E6B9" w14:textId="5FCCD611" w:rsidR="00EE2C4B" w:rsidRDefault="00EE2C4B" w:rsidP="00A62FC5">
      <w:pPr>
        <w:spacing w:line="480" w:lineRule="auto"/>
        <w:rPr>
          <w:rFonts w:ascii="Times" w:hAnsi="Times" w:cs="Times New Roman"/>
          <w:lang w:val="en-US"/>
        </w:rPr>
      </w:pPr>
      <w:r>
        <w:rPr>
          <w:rFonts w:ascii="Times" w:hAnsi="Times" w:cs="Times New Roman"/>
          <w:lang w:val="en-US"/>
        </w:rPr>
        <w:t>Not applicable.</w:t>
      </w:r>
    </w:p>
    <w:p w14:paraId="503D3AB8" w14:textId="4A6D5925" w:rsidR="00EE2C4B" w:rsidRDefault="00EE2C4B" w:rsidP="00A62FC5">
      <w:pPr>
        <w:spacing w:line="480" w:lineRule="auto"/>
        <w:rPr>
          <w:rFonts w:ascii="Times" w:hAnsi="Times" w:cs="Times New Roman"/>
          <w:lang w:val="en-US"/>
        </w:rPr>
      </w:pPr>
    </w:p>
    <w:p w14:paraId="6001B928" w14:textId="16A1B532" w:rsidR="00EE2C4B" w:rsidRDefault="00EE2C4B" w:rsidP="00A62FC5">
      <w:pPr>
        <w:spacing w:line="480" w:lineRule="auto"/>
        <w:rPr>
          <w:rFonts w:ascii="Times" w:hAnsi="Times" w:cs="Times New Roman"/>
          <w:u w:val="single"/>
          <w:lang w:val="en-US"/>
        </w:rPr>
      </w:pPr>
      <w:r>
        <w:rPr>
          <w:rFonts w:ascii="Times" w:hAnsi="Times" w:cs="Times New Roman"/>
          <w:u w:val="single"/>
          <w:lang w:val="en-US"/>
        </w:rPr>
        <w:t>Consent for publication</w:t>
      </w:r>
    </w:p>
    <w:p w14:paraId="54B1084B" w14:textId="6CB36995" w:rsidR="00EE2C4B" w:rsidRPr="00EE2C4B" w:rsidRDefault="00EE2C4B" w:rsidP="00A62FC5">
      <w:pPr>
        <w:spacing w:line="480" w:lineRule="auto"/>
        <w:rPr>
          <w:rFonts w:ascii="Times" w:hAnsi="Times" w:cs="Times New Roman"/>
          <w:lang w:val="en-US"/>
        </w:rPr>
      </w:pPr>
      <w:r>
        <w:rPr>
          <w:rFonts w:ascii="Times" w:hAnsi="Times" w:cs="Times New Roman"/>
          <w:lang w:val="en-US"/>
        </w:rPr>
        <w:lastRenderedPageBreak/>
        <w:t>Given by all authors.</w:t>
      </w:r>
    </w:p>
    <w:p w14:paraId="7225774E" w14:textId="77777777" w:rsidR="00107240" w:rsidRDefault="00107240" w:rsidP="00A62FC5">
      <w:pPr>
        <w:spacing w:line="480" w:lineRule="auto"/>
        <w:rPr>
          <w:rFonts w:ascii="Times" w:hAnsi="Times" w:cs="Times New Roman"/>
          <w:lang w:val="en-US"/>
        </w:rPr>
      </w:pPr>
    </w:p>
    <w:p w14:paraId="64F0D206" w14:textId="6BFB3096" w:rsidR="00BF225C" w:rsidRDefault="00BF225C" w:rsidP="00A62FC5">
      <w:pPr>
        <w:spacing w:line="480" w:lineRule="auto"/>
        <w:rPr>
          <w:rFonts w:ascii="Times" w:hAnsi="Times" w:cs="Times New Roman"/>
          <w:u w:val="single"/>
          <w:lang w:val="en-US"/>
        </w:rPr>
      </w:pPr>
      <w:r>
        <w:rPr>
          <w:rFonts w:ascii="Times" w:hAnsi="Times" w:cs="Times New Roman"/>
          <w:u w:val="single"/>
          <w:lang w:val="en-US"/>
        </w:rPr>
        <w:t>Availability of data and material</w:t>
      </w:r>
    </w:p>
    <w:p w14:paraId="1E83EDFE" w14:textId="12CC470E" w:rsidR="00BF225C" w:rsidRDefault="00BF225C" w:rsidP="00A62FC5">
      <w:pPr>
        <w:spacing w:line="480" w:lineRule="auto"/>
        <w:rPr>
          <w:rFonts w:ascii="Times" w:hAnsi="Times" w:cs="Times New Roman"/>
          <w:lang w:val="en-US"/>
        </w:rPr>
      </w:pPr>
      <w:r>
        <w:rPr>
          <w:rFonts w:ascii="Times" w:hAnsi="Times" w:cs="Times New Roman"/>
          <w:lang w:val="en-US"/>
        </w:rPr>
        <w:t>Not available due to legislative restrictions on data sharing.</w:t>
      </w:r>
    </w:p>
    <w:p w14:paraId="41CEAB7E" w14:textId="4F0D95EE" w:rsidR="00BF225C" w:rsidRDefault="00BF225C" w:rsidP="00A62FC5">
      <w:pPr>
        <w:spacing w:line="480" w:lineRule="auto"/>
        <w:rPr>
          <w:rFonts w:ascii="Times" w:hAnsi="Times" w:cs="Times New Roman"/>
          <w:lang w:val="en-US"/>
        </w:rPr>
      </w:pPr>
    </w:p>
    <w:p w14:paraId="573DBA8B" w14:textId="455063C9" w:rsidR="00BF225C" w:rsidRDefault="00BF225C" w:rsidP="00A62FC5">
      <w:pPr>
        <w:spacing w:line="480" w:lineRule="auto"/>
        <w:rPr>
          <w:rFonts w:ascii="Times" w:hAnsi="Times" w:cs="Times New Roman"/>
          <w:u w:val="single"/>
          <w:lang w:val="en-US"/>
        </w:rPr>
      </w:pPr>
      <w:r>
        <w:rPr>
          <w:rFonts w:ascii="Times" w:hAnsi="Times" w:cs="Times New Roman"/>
          <w:u w:val="single"/>
          <w:lang w:val="en-US"/>
        </w:rPr>
        <w:t>Code availability</w:t>
      </w:r>
    </w:p>
    <w:p w14:paraId="3810F70D" w14:textId="7CD2367E" w:rsidR="00BF225C" w:rsidRPr="00BF225C" w:rsidRDefault="00BF225C" w:rsidP="00A62FC5">
      <w:pPr>
        <w:spacing w:line="480" w:lineRule="auto"/>
        <w:rPr>
          <w:rFonts w:ascii="Times" w:hAnsi="Times" w:cs="Times New Roman"/>
          <w:lang w:val="en-US"/>
        </w:rPr>
      </w:pPr>
      <w:r>
        <w:rPr>
          <w:rFonts w:ascii="Times" w:hAnsi="Times" w:cs="Times New Roman"/>
          <w:lang w:val="en-US"/>
        </w:rPr>
        <w:t>Not available.</w:t>
      </w:r>
    </w:p>
    <w:p w14:paraId="6C0BE153" w14:textId="39CCD8BF" w:rsidR="009B4352" w:rsidRDefault="009B4352">
      <w:pPr>
        <w:rPr>
          <w:rFonts w:ascii="Times" w:hAnsi="Times" w:cs="Times New Roman"/>
          <w:lang w:val="en"/>
        </w:rPr>
      </w:pPr>
      <w:r>
        <w:rPr>
          <w:rFonts w:ascii="Times" w:hAnsi="Times" w:cs="Times New Roman"/>
          <w:lang w:val="en"/>
        </w:rPr>
        <w:br w:type="page"/>
      </w:r>
    </w:p>
    <w:p w14:paraId="77164DBE" w14:textId="7D0FFE0F" w:rsidR="00E15D21" w:rsidRDefault="00E15D21" w:rsidP="00872C50">
      <w:pPr>
        <w:spacing w:line="480" w:lineRule="auto"/>
        <w:rPr>
          <w:rFonts w:ascii="Times" w:hAnsi="Times" w:cs="Times New Roman"/>
          <w:b/>
          <w:lang w:val="en-US"/>
        </w:rPr>
      </w:pPr>
      <w:r>
        <w:rPr>
          <w:rFonts w:ascii="Times" w:hAnsi="Times" w:cs="Times New Roman"/>
          <w:b/>
          <w:lang w:val="en-US"/>
        </w:rPr>
        <w:lastRenderedPageBreak/>
        <w:t>Keywords</w:t>
      </w:r>
    </w:p>
    <w:p w14:paraId="69927FF4" w14:textId="6EEE4A90" w:rsidR="00E15D21" w:rsidRPr="00AC51D6" w:rsidRDefault="00BD43B8" w:rsidP="00872C50">
      <w:pPr>
        <w:spacing w:line="480" w:lineRule="auto"/>
        <w:rPr>
          <w:rFonts w:ascii="Times" w:hAnsi="Times" w:cs="Times New Roman"/>
          <w:lang w:val="en-US"/>
        </w:rPr>
      </w:pPr>
      <w:r>
        <w:rPr>
          <w:rFonts w:ascii="Times" w:hAnsi="Times" w:cs="Times New Roman"/>
          <w:lang w:val="en-US"/>
        </w:rPr>
        <w:t>Osteoporosis, fracture, fracture prevention, osteoporosis treatment, bisphosphonate</w:t>
      </w:r>
    </w:p>
    <w:p w14:paraId="043FC968" w14:textId="77777777" w:rsidR="00E15D21" w:rsidRDefault="00E15D21" w:rsidP="00872C50">
      <w:pPr>
        <w:spacing w:line="480" w:lineRule="auto"/>
        <w:rPr>
          <w:rFonts w:ascii="Times" w:hAnsi="Times" w:cs="Times New Roman"/>
          <w:b/>
          <w:lang w:val="en-US"/>
        </w:rPr>
      </w:pPr>
    </w:p>
    <w:p w14:paraId="46FC6921" w14:textId="31AA8DFF" w:rsidR="00E74D3E" w:rsidRPr="0079655C" w:rsidRDefault="00E74D3E" w:rsidP="00872C50">
      <w:pPr>
        <w:spacing w:line="480" w:lineRule="auto"/>
        <w:rPr>
          <w:rFonts w:ascii="Times" w:hAnsi="Times" w:cs="Times New Roman"/>
          <w:b/>
          <w:lang w:val="en-US"/>
        </w:rPr>
      </w:pPr>
      <w:r w:rsidRPr="0079655C">
        <w:rPr>
          <w:rFonts w:ascii="Times" w:hAnsi="Times" w:cs="Times New Roman"/>
          <w:b/>
          <w:lang w:val="en-US"/>
        </w:rPr>
        <w:t>Mini-abstract</w:t>
      </w:r>
    </w:p>
    <w:p w14:paraId="4D8BD70B" w14:textId="7AA90F1A" w:rsidR="00E74D3E" w:rsidRPr="0079655C" w:rsidRDefault="00A81E5D" w:rsidP="00872C50">
      <w:pPr>
        <w:spacing w:line="480" w:lineRule="auto"/>
        <w:rPr>
          <w:rFonts w:ascii="Times" w:hAnsi="Times" w:cs="Times New Roman"/>
          <w:lang w:val="en-US"/>
        </w:rPr>
      </w:pPr>
      <w:r w:rsidRPr="0079655C">
        <w:rPr>
          <w:rFonts w:ascii="Times" w:hAnsi="Times" w:cs="Times New Roman"/>
          <w:lang w:val="en-US"/>
        </w:rPr>
        <w:t>This study demo</w:t>
      </w:r>
      <w:r>
        <w:rPr>
          <w:rFonts w:ascii="Times" w:hAnsi="Times" w:cs="Times New Roman"/>
          <w:lang w:val="en-US"/>
        </w:rPr>
        <w:t xml:space="preserve">nstrates a substantial </w:t>
      </w:r>
      <w:r w:rsidR="005406F6">
        <w:rPr>
          <w:rFonts w:ascii="Times" w:hAnsi="Times" w:cs="Times New Roman"/>
          <w:lang w:val="en-US"/>
        </w:rPr>
        <w:t xml:space="preserve">and persistent </w:t>
      </w:r>
      <w:r>
        <w:rPr>
          <w:rFonts w:ascii="Times" w:hAnsi="Times" w:cs="Times New Roman"/>
          <w:lang w:val="en-US"/>
        </w:rPr>
        <w:t xml:space="preserve">anti-osteoporosis treatment gap in men and women </w:t>
      </w:r>
      <w:r>
        <w:rPr>
          <w:rFonts w:ascii="Times" w:hAnsi="Times" w:cs="Times New Roman"/>
          <w:lang w:val="en-US"/>
        </w:rPr>
        <w:sym w:font="Symbol" w:char="F0B3"/>
      </w:r>
      <w:r>
        <w:rPr>
          <w:rFonts w:ascii="Times" w:hAnsi="Times" w:cs="Times New Roman"/>
          <w:lang w:val="en-US"/>
        </w:rPr>
        <w:t xml:space="preserve">50 years old who sustained major osteoporotic fracture(s) between 2005 and 2014 in Denmark. </w:t>
      </w:r>
      <w:r w:rsidR="005406F6">
        <w:rPr>
          <w:rFonts w:ascii="Times" w:hAnsi="Times" w:cs="Times New Roman"/>
          <w:lang w:val="en-US"/>
        </w:rPr>
        <w:t>This</w:t>
      </w:r>
      <w:r>
        <w:rPr>
          <w:rFonts w:ascii="Times" w:hAnsi="Times" w:cs="Times New Roman"/>
          <w:lang w:val="en-US"/>
        </w:rPr>
        <w:t xml:space="preserve"> was not substantially reduced by including hospital-administered anti-osteoporosis tre</w:t>
      </w:r>
      <w:r w:rsidR="00840F11">
        <w:rPr>
          <w:rFonts w:ascii="Times" w:hAnsi="Times" w:cs="Times New Roman"/>
          <w:lang w:val="en-US"/>
        </w:rPr>
        <w:t>atments</w:t>
      </w:r>
      <w:r>
        <w:rPr>
          <w:rFonts w:ascii="Times" w:hAnsi="Times" w:cs="Times New Roman"/>
          <w:lang w:val="en-US"/>
        </w:rPr>
        <w:t>.</w:t>
      </w:r>
      <w:r w:rsidR="007B7539">
        <w:rPr>
          <w:rFonts w:ascii="Times" w:hAnsi="Times" w:cs="Times New Roman"/>
          <w:lang w:val="en-US"/>
        </w:rPr>
        <w:t xml:space="preserve"> Strengthened</w:t>
      </w:r>
      <w:r w:rsidR="00DA7294">
        <w:rPr>
          <w:rFonts w:ascii="Times" w:hAnsi="Times" w:cs="Times New Roman"/>
          <w:lang w:val="en-US"/>
        </w:rPr>
        <w:t xml:space="preserve"> </w:t>
      </w:r>
      <w:r w:rsidR="00EE1AF5">
        <w:rPr>
          <w:rFonts w:ascii="Times" w:hAnsi="Times" w:cs="Times New Roman"/>
          <w:lang w:val="en-US"/>
        </w:rPr>
        <w:t xml:space="preserve">post-fracture organization of care and secondary fracture prevention </w:t>
      </w:r>
      <w:r w:rsidR="007B7539">
        <w:rPr>
          <w:rFonts w:ascii="Times" w:hAnsi="Times" w:cs="Times New Roman"/>
          <w:lang w:val="en-US"/>
        </w:rPr>
        <w:t>is highly needed</w:t>
      </w:r>
      <w:r w:rsidR="00EE1AF5">
        <w:rPr>
          <w:rFonts w:ascii="Times" w:hAnsi="Times" w:cs="Times New Roman"/>
          <w:lang w:val="en-US"/>
        </w:rPr>
        <w:t>.</w:t>
      </w:r>
    </w:p>
    <w:p w14:paraId="2B74B0C2" w14:textId="77777777" w:rsidR="00E74D3E" w:rsidRPr="0079655C" w:rsidRDefault="00E74D3E">
      <w:pPr>
        <w:rPr>
          <w:rFonts w:ascii="Times" w:hAnsi="Times" w:cs="Times New Roman"/>
          <w:lang w:val="en-US"/>
        </w:rPr>
      </w:pPr>
      <w:r w:rsidRPr="0079655C">
        <w:rPr>
          <w:rFonts w:ascii="Times" w:hAnsi="Times" w:cs="Times New Roman"/>
          <w:lang w:val="en-US"/>
        </w:rPr>
        <w:br w:type="page"/>
      </w:r>
    </w:p>
    <w:p w14:paraId="683BF9D6" w14:textId="77777777" w:rsidR="00E74D3E" w:rsidRPr="0079655C" w:rsidRDefault="009B4352" w:rsidP="00872C50">
      <w:pPr>
        <w:spacing w:line="480" w:lineRule="auto"/>
        <w:rPr>
          <w:rFonts w:ascii="Times" w:hAnsi="Times" w:cs="Times New Roman"/>
          <w:b/>
          <w:lang w:val="en-US"/>
        </w:rPr>
      </w:pPr>
      <w:r w:rsidRPr="0079655C">
        <w:rPr>
          <w:rFonts w:ascii="Times" w:hAnsi="Times" w:cs="Times New Roman"/>
          <w:b/>
          <w:lang w:val="en-US"/>
        </w:rPr>
        <w:lastRenderedPageBreak/>
        <w:t>Abstract</w:t>
      </w:r>
    </w:p>
    <w:p w14:paraId="54C7391F" w14:textId="18E31912" w:rsidR="0061344B" w:rsidRDefault="0061344B" w:rsidP="0061344B">
      <w:pPr>
        <w:spacing w:line="480" w:lineRule="auto"/>
        <w:rPr>
          <w:rFonts w:ascii="Times" w:hAnsi="Times" w:cs="Times New Roman"/>
          <w:lang w:val="en"/>
        </w:rPr>
      </w:pPr>
      <w:r>
        <w:rPr>
          <w:rFonts w:ascii="Times" w:hAnsi="Times" w:cs="Times New Roman"/>
          <w:b/>
          <w:lang w:val="en"/>
        </w:rPr>
        <w:t>Purpose:</w:t>
      </w:r>
      <w:r w:rsidRPr="0079655C">
        <w:rPr>
          <w:rFonts w:ascii="Times" w:hAnsi="Times" w:cs="Times New Roman"/>
          <w:lang w:val="en"/>
        </w:rPr>
        <w:t xml:space="preserve"> </w:t>
      </w:r>
      <w:r w:rsidR="00CC4981">
        <w:rPr>
          <w:rFonts w:ascii="Times" w:hAnsi="Times" w:cs="Times New Roman"/>
          <w:lang w:val="en"/>
        </w:rPr>
        <w:t>T</w:t>
      </w:r>
      <w:r>
        <w:rPr>
          <w:rFonts w:ascii="Times" w:hAnsi="Times" w:cs="Times New Roman"/>
          <w:lang w:val="en"/>
        </w:rPr>
        <w:t>o evaluate the Danish anti-osteoporosis treatment gap from 2005 to 2014 in patients sustaining a major osteoporotic fracture (MOF), and to assess the impact of including hospital-administered</w:t>
      </w:r>
      <w:r w:rsidR="008D3034">
        <w:rPr>
          <w:rFonts w:ascii="Times" w:hAnsi="Times" w:cs="Times New Roman"/>
          <w:lang w:val="en"/>
        </w:rPr>
        <w:t xml:space="preserve"> anti-osteoporosis medications</w:t>
      </w:r>
      <w:r>
        <w:rPr>
          <w:rFonts w:ascii="Times" w:hAnsi="Times" w:cs="Times New Roman"/>
          <w:lang w:val="en"/>
        </w:rPr>
        <w:t xml:space="preserve"> </w:t>
      </w:r>
      <w:r w:rsidR="008D3034">
        <w:rPr>
          <w:rFonts w:ascii="Times" w:hAnsi="Times" w:cs="Times New Roman"/>
          <w:lang w:val="en"/>
        </w:rPr>
        <w:t>(</w:t>
      </w:r>
      <w:r>
        <w:rPr>
          <w:rFonts w:ascii="Times" w:hAnsi="Times" w:cs="Times New Roman"/>
          <w:lang w:val="en"/>
        </w:rPr>
        <w:t>AOM</w:t>
      </w:r>
      <w:r w:rsidR="008D3034">
        <w:rPr>
          <w:rFonts w:ascii="Times" w:hAnsi="Times" w:cs="Times New Roman"/>
          <w:lang w:val="en"/>
        </w:rPr>
        <w:t>)</w:t>
      </w:r>
      <w:r>
        <w:rPr>
          <w:rFonts w:ascii="Times" w:hAnsi="Times" w:cs="Times New Roman"/>
          <w:lang w:val="en"/>
        </w:rPr>
        <w:t xml:space="preserve"> on the treatment gap among these patients.</w:t>
      </w:r>
    </w:p>
    <w:p w14:paraId="013A6FBF" w14:textId="5A2762F0" w:rsidR="0061344B" w:rsidRDefault="0061344B" w:rsidP="0061344B">
      <w:pPr>
        <w:spacing w:line="480" w:lineRule="auto"/>
        <w:rPr>
          <w:rFonts w:ascii="Times" w:hAnsi="Times" w:cs="Times New Roman"/>
          <w:lang w:val="en"/>
        </w:rPr>
      </w:pPr>
      <w:r>
        <w:rPr>
          <w:rFonts w:ascii="Times" w:hAnsi="Times" w:cs="Times New Roman"/>
          <w:b/>
          <w:lang w:val="en"/>
        </w:rPr>
        <w:t>Methods:</w:t>
      </w:r>
      <w:r w:rsidR="008D3034">
        <w:rPr>
          <w:rFonts w:ascii="Times" w:hAnsi="Times" w:cs="Times New Roman"/>
          <w:lang w:val="en"/>
        </w:rPr>
        <w:t xml:space="preserve"> In this retrospective, registry-based study, we included men and women aged 50 years or older</w:t>
      </w:r>
      <w:r w:rsidR="00CE67F6">
        <w:rPr>
          <w:rFonts w:ascii="Times" w:hAnsi="Times" w:cs="Times New Roman"/>
          <w:lang w:val="en"/>
        </w:rPr>
        <w:t xml:space="preserve"> and</w:t>
      </w:r>
      <w:r w:rsidR="008D3034">
        <w:rPr>
          <w:rFonts w:ascii="Times" w:hAnsi="Times" w:cs="Times New Roman"/>
          <w:lang w:val="en"/>
        </w:rPr>
        <w:t xml:space="preserve"> living in Denmark, who sustained at least one MOF between 2005 and 2014. We applied a </w:t>
      </w:r>
      <w:r w:rsidR="005719EB">
        <w:rPr>
          <w:rFonts w:ascii="Times" w:hAnsi="Times" w:cs="Times New Roman"/>
          <w:lang w:val="en"/>
        </w:rPr>
        <w:t xml:space="preserve">repeated cross-sectional </w:t>
      </w:r>
      <w:r w:rsidR="008D3034">
        <w:rPr>
          <w:rFonts w:ascii="Times" w:hAnsi="Times" w:cs="Times New Roman"/>
          <w:lang w:val="en"/>
        </w:rPr>
        <w:t>design to generate cohorts of patients sustaining a first MOF, hip, vertebral, humerus, or forearm fracture</w:t>
      </w:r>
      <w:r w:rsidR="00264426">
        <w:rPr>
          <w:rFonts w:ascii="Times" w:hAnsi="Times" w:cs="Times New Roman"/>
          <w:lang w:val="en"/>
        </w:rPr>
        <w:t>, respectively,</w:t>
      </w:r>
      <w:r w:rsidR="008D3034">
        <w:rPr>
          <w:rFonts w:ascii="Times" w:hAnsi="Times" w:cs="Times New Roman"/>
          <w:lang w:val="en"/>
        </w:rPr>
        <w:t xml:space="preserve"> within each calendar year. We evaluated the treatment gap as the proportion of patients within each cohort not receiving treatment with </w:t>
      </w:r>
      <w:r w:rsidR="00D95DD6">
        <w:rPr>
          <w:rFonts w:ascii="Times" w:hAnsi="Times" w:cs="Times New Roman"/>
          <w:lang w:val="en"/>
        </w:rPr>
        <w:t>AOM</w:t>
      </w:r>
      <w:r w:rsidR="008D3034">
        <w:rPr>
          <w:rFonts w:ascii="Times" w:hAnsi="Times" w:cs="Times New Roman"/>
          <w:lang w:val="en"/>
        </w:rPr>
        <w:t xml:space="preserve"> within one year of the fracture. Hospital-administered AOM was </w:t>
      </w:r>
      <w:r w:rsidR="00214B06">
        <w:rPr>
          <w:rFonts w:ascii="Times" w:hAnsi="Times" w:cs="Times New Roman"/>
          <w:lang w:val="en"/>
        </w:rPr>
        <w:t>identified</w:t>
      </w:r>
      <w:r w:rsidR="008D3034">
        <w:rPr>
          <w:rFonts w:ascii="Times" w:hAnsi="Times" w:cs="Times New Roman"/>
          <w:lang w:val="en"/>
        </w:rPr>
        <w:t xml:space="preserve"> by SKS-code. </w:t>
      </w:r>
    </w:p>
    <w:p w14:paraId="3F3D935B" w14:textId="681B85A6" w:rsidR="0061344B" w:rsidRPr="008D6E08" w:rsidRDefault="0061344B" w:rsidP="0061344B">
      <w:pPr>
        <w:spacing w:line="480" w:lineRule="auto"/>
        <w:rPr>
          <w:rFonts w:ascii="Times" w:hAnsi="Times" w:cs="Times New Roman"/>
          <w:lang w:val="en"/>
        </w:rPr>
      </w:pPr>
      <w:r w:rsidRPr="0079655C">
        <w:rPr>
          <w:rFonts w:ascii="Times" w:hAnsi="Times" w:cs="Times New Roman"/>
          <w:b/>
          <w:lang w:val="en"/>
        </w:rPr>
        <w:t>Results:</w:t>
      </w:r>
      <w:r w:rsidR="008D6E08">
        <w:rPr>
          <w:rFonts w:ascii="Times" w:hAnsi="Times" w:cs="Times New Roman"/>
          <w:lang w:val="en"/>
        </w:rPr>
        <w:t xml:space="preserve"> The treatment gap among MOF patients decreased from 85% in 2005 to 79% in 2014. </w:t>
      </w:r>
      <w:r w:rsidR="00D95DD6">
        <w:rPr>
          <w:rFonts w:ascii="Times" w:hAnsi="Times" w:cs="Times New Roman"/>
          <w:lang w:val="en"/>
        </w:rPr>
        <w:t>The gap</w:t>
      </w:r>
      <w:r w:rsidR="008D6E08">
        <w:rPr>
          <w:rFonts w:ascii="Times" w:hAnsi="Times" w:cs="Times New Roman"/>
          <w:lang w:val="en"/>
        </w:rPr>
        <w:t xml:space="preserve"> was </w:t>
      </w:r>
      <w:r w:rsidR="00CC4981">
        <w:rPr>
          <w:rFonts w:ascii="Times" w:hAnsi="Times" w:cs="Times New Roman"/>
          <w:lang w:val="en"/>
        </w:rPr>
        <w:t>smaller</w:t>
      </w:r>
      <w:r w:rsidR="008D6E08">
        <w:rPr>
          <w:rFonts w:ascii="Times" w:hAnsi="Times" w:cs="Times New Roman"/>
          <w:lang w:val="en"/>
        </w:rPr>
        <w:t xml:space="preserve"> among hip and vertebral fracture patients</w:t>
      </w:r>
      <w:r w:rsidR="00CC4981">
        <w:rPr>
          <w:rFonts w:ascii="Times" w:hAnsi="Times" w:cs="Times New Roman"/>
          <w:lang w:val="en"/>
        </w:rPr>
        <w:t xml:space="preserve"> as compared to humerus and forearm fracture patients, and it was smaller in women than in men</w:t>
      </w:r>
      <w:r w:rsidR="008D6E08">
        <w:rPr>
          <w:rFonts w:ascii="Times" w:hAnsi="Times" w:cs="Times New Roman"/>
          <w:lang w:val="en"/>
        </w:rPr>
        <w:t xml:space="preserve">. </w:t>
      </w:r>
      <w:r w:rsidR="00CC4981">
        <w:rPr>
          <w:rFonts w:ascii="Times" w:hAnsi="Times" w:cs="Times New Roman"/>
          <w:lang w:val="en"/>
        </w:rPr>
        <w:t xml:space="preserve">The use of hospital-administered AOM </w:t>
      </w:r>
      <w:r w:rsidR="00264426">
        <w:rPr>
          <w:rFonts w:ascii="Times" w:hAnsi="Times" w:cs="Times New Roman"/>
          <w:lang w:val="en"/>
        </w:rPr>
        <w:t xml:space="preserve">was relatively uncommon, </w:t>
      </w:r>
      <w:r w:rsidR="004F1BB6">
        <w:rPr>
          <w:rFonts w:ascii="Times" w:hAnsi="Times" w:cs="Times New Roman"/>
          <w:lang w:val="en"/>
        </w:rPr>
        <w:t>with a maximum of 0.</w:t>
      </w:r>
      <w:r w:rsidR="00C84A34">
        <w:rPr>
          <w:rFonts w:ascii="Times" w:hAnsi="Times" w:cs="Times New Roman"/>
          <w:lang w:val="en"/>
        </w:rPr>
        <w:t>9</w:t>
      </w:r>
      <w:r w:rsidR="004F1BB6">
        <w:rPr>
          <w:rFonts w:ascii="Times" w:hAnsi="Times" w:cs="Times New Roman"/>
          <w:lang w:val="en"/>
        </w:rPr>
        <w:t xml:space="preserve">% of MOF patients </w:t>
      </w:r>
      <w:r w:rsidR="00C84A34">
        <w:rPr>
          <w:rFonts w:ascii="Times" w:hAnsi="Times" w:cs="Times New Roman"/>
          <w:lang w:val="en"/>
        </w:rPr>
        <w:t xml:space="preserve">initiating </w:t>
      </w:r>
      <w:r w:rsidR="004F1BB6">
        <w:rPr>
          <w:rFonts w:ascii="Times" w:hAnsi="Times" w:cs="Times New Roman"/>
          <w:lang w:val="en"/>
        </w:rPr>
        <w:t>hospital-administered AOM (</w:t>
      </w:r>
      <w:r w:rsidR="00D95DD6">
        <w:rPr>
          <w:rFonts w:ascii="Times" w:hAnsi="Times" w:cs="Times New Roman"/>
          <w:lang w:val="en"/>
        </w:rPr>
        <w:t xml:space="preserve">in </w:t>
      </w:r>
      <w:r w:rsidR="004F1BB6">
        <w:rPr>
          <w:rFonts w:ascii="Times" w:hAnsi="Times" w:cs="Times New Roman"/>
          <w:lang w:val="en"/>
        </w:rPr>
        <w:t xml:space="preserve">2012). </w:t>
      </w:r>
      <w:r w:rsidR="00481052">
        <w:rPr>
          <w:rFonts w:ascii="Times" w:hAnsi="Times" w:cs="Times New Roman"/>
          <w:lang w:val="en"/>
        </w:rPr>
        <w:t xml:space="preserve">We observed substantial variations in this proportion between fracture types and gender. </w:t>
      </w:r>
      <w:r w:rsidR="00CC4981">
        <w:rPr>
          <w:rFonts w:ascii="Times" w:hAnsi="Times" w:cs="Times New Roman"/>
          <w:lang w:val="en"/>
        </w:rPr>
        <w:t xml:space="preserve">Hospital-administered AOM was </w:t>
      </w:r>
      <w:proofErr w:type="gramStart"/>
      <w:r w:rsidR="00CC4981">
        <w:rPr>
          <w:rFonts w:ascii="Times" w:hAnsi="Times" w:cs="Times New Roman"/>
          <w:lang w:val="en"/>
        </w:rPr>
        <w:t xml:space="preserve">most commonly </w:t>
      </w:r>
      <w:r w:rsidR="00BC78DB">
        <w:rPr>
          <w:rFonts w:ascii="Times" w:hAnsi="Times" w:cs="Times New Roman"/>
          <w:lang w:val="en"/>
        </w:rPr>
        <w:t>used</w:t>
      </w:r>
      <w:proofErr w:type="gramEnd"/>
      <w:r w:rsidR="0088154B">
        <w:rPr>
          <w:rFonts w:ascii="Times" w:hAnsi="Times" w:cs="Times New Roman"/>
          <w:lang w:val="en"/>
        </w:rPr>
        <w:t xml:space="preserve"> </w:t>
      </w:r>
      <w:r w:rsidR="00CC4981">
        <w:rPr>
          <w:rFonts w:ascii="Times" w:hAnsi="Times" w:cs="Times New Roman"/>
          <w:lang w:val="en"/>
        </w:rPr>
        <w:t>among vertebral</w:t>
      </w:r>
      <w:r w:rsidR="00DD61C6">
        <w:rPr>
          <w:rFonts w:ascii="Times" w:hAnsi="Times" w:cs="Times New Roman"/>
          <w:lang w:val="en"/>
        </w:rPr>
        <w:t xml:space="preserve"> </w:t>
      </w:r>
      <w:r w:rsidR="00CC4981">
        <w:rPr>
          <w:rFonts w:ascii="Times" w:hAnsi="Times" w:cs="Times New Roman"/>
          <w:lang w:val="en"/>
        </w:rPr>
        <w:t xml:space="preserve">fracture patients. </w:t>
      </w:r>
    </w:p>
    <w:p w14:paraId="30EE3171" w14:textId="5C069363" w:rsidR="00C01F8E" w:rsidRPr="0079655C" w:rsidRDefault="0061344B" w:rsidP="0061344B">
      <w:pPr>
        <w:spacing w:line="480" w:lineRule="auto"/>
        <w:rPr>
          <w:rFonts w:ascii="Times" w:hAnsi="Times" w:cs="Times New Roman"/>
          <w:b/>
          <w:lang w:val="en"/>
        </w:rPr>
      </w:pPr>
      <w:r w:rsidRPr="0079655C">
        <w:rPr>
          <w:rFonts w:ascii="Times" w:hAnsi="Times" w:cs="Times New Roman"/>
          <w:b/>
          <w:lang w:val="en"/>
        </w:rPr>
        <w:t xml:space="preserve">Conclusion: </w:t>
      </w:r>
      <w:r w:rsidR="00CC4981">
        <w:rPr>
          <w:rFonts w:ascii="Times" w:hAnsi="Times" w:cs="Times New Roman"/>
          <w:lang w:val="en"/>
        </w:rPr>
        <w:t xml:space="preserve">A significant treatment gap among patients sustaining a major osteoporotic fracture </w:t>
      </w:r>
      <w:r w:rsidR="008C41C7">
        <w:rPr>
          <w:rFonts w:ascii="Times" w:hAnsi="Times" w:cs="Times New Roman"/>
          <w:lang w:val="en"/>
        </w:rPr>
        <w:t>was present throughout our analysis</w:t>
      </w:r>
      <w:r w:rsidR="00CC4981">
        <w:rPr>
          <w:rFonts w:ascii="Times" w:hAnsi="Times" w:cs="Times New Roman"/>
          <w:lang w:val="en"/>
        </w:rPr>
        <w:t xml:space="preserve">, and including hospital-administered AOM </w:t>
      </w:r>
      <w:r w:rsidR="008C41C7">
        <w:rPr>
          <w:rFonts w:ascii="Times" w:hAnsi="Times" w:cs="Times New Roman"/>
          <w:lang w:val="en"/>
        </w:rPr>
        <w:t xml:space="preserve">did </w:t>
      </w:r>
      <w:r w:rsidR="00CC4981">
        <w:rPr>
          <w:rFonts w:ascii="Times" w:hAnsi="Times" w:cs="Times New Roman"/>
          <w:lang w:val="en"/>
        </w:rPr>
        <w:t xml:space="preserve">not significantly improve the treatment gap assessment. Improved secondary fracture prevention is </w:t>
      </w:r>
      <w:r w:rsidR="005C6DD4">
        <w:rPr>
          <w:rFonts w:ascii="Times" w:hAnsi="Times" w:cs="Times New Roman"/>
          <w:lang w:val="en"/>
        </w:rPr>
        <w:t xml:space="preserve">urgently </w:t>
      </w:r>
      <w:r w:rsidR="00CC4981">
        <w:rPr>
          <w:rFonts w:ascii="Times" w:hAnsi="Times" w:cs="Times New Roman"/>
          <w:lang w:val="en"/>
        </w:rPr>
        <w:t>needed.</w:t>
      </w:r>
      <w:r w:rsidR="00C01F8E" w:rsidRPr="0079655C">
        <w:rPr>
          <w:rFonts w:ascii="Times" w:hAnsi="Times" w:cs="Times New Roman"/>
          <w:b/>
          <w:lang w:val="en"/>
        </w:rPr>
        <w:br w:type="page"/>
      </w:r>
    </w:p>
    <w:p w14:paraId="31BA61D7" w14:textId="5648559D" w:rsidR="00C01F8E" w:rsidRPr="004907A0" w:rsidRDefault="00C01F8E" w:rsidP="00872C50">
      <w:pPr>
        <w:spacing w:line="480" w:lineRule="auto"/>
        <w:rPr>
          <w:rFonts w:ascii="Times" w:hAnsi="Times" w:cs="Times New Roman"/>
          <w:b/>
          <w:lang w:val="en"/>
        </w:rPr>
      </w:pPr>
      <w:r w:rsidRPr="004907A0">
        <w:rPr>
          <w:rFonts w:ascii="Times" w:hAnsi="Times" w:cs="Times New Roman"/>
          <w:b/>
          <w:lang w:val="en"/>
        </w:rPr>
        <w:lastRenderedPageBreak/>
        <w:t>Introduction</w:t>
      </w:r>
    </w:p>
    <w:p w14:paraId="169619BF" w14:textId="2434C824" w:rsidR="001B2EC2" w:rsidRDefault="00204BBF" w:rsidP="00872C50">
      <w:pPr>
        <w:spacing w:line="480" w:lineRule="auto"/>
        <w:rPr>
          <w:rFonts w:ascii="Times" w:hAnsi="Times" w:cs="Times New Roman"/>
          <w:lang w:val="en"/>
        </w:rPr>
      </w:pPr>
      <w:r>
        <w:rPr>
          <w:rFonts w:ascii="Times" w:hAnsi="Times" w:cs="Times New Roman"/>
          <w:lang w:val="en"/>
        </w:rPr>
        <w:t xml:space="preserve">Osteoporosis is </w:t>
      </w:r>
      <w:r w:rsidR="004E00AE">
        <w:rPr>
          <w:rFonts w:ascii="Times" w:hAnsi="Times" w:cs="Times New Roman"/>
          <w:lang w:val="en"/>
        </w:rPr>
        <w:t>a highly prevalent disease</w:t>
      </w:r>
      <w:r w:rsidR="005D7E58">
        <w:rPr>
          <w:rFonts w:ascii="Times" w:hAnsi="Times" w:cs="Times New Roman"/>
          <w:lang w:val="en"/>
        </w:rPr>
        <w:t xml:space="preserve">, particularly among the older population, and is </w:t>
      </w:r>
      <w:r w:rsidR="00155B37">
        <w:rPr>
          <w:rFonts w:ascii="Times" w:hAnsi="Times" w:cs="Times New Roman"/>
          <w:lang w:val="en"/>
        </w:rPr>
        <w:t xml:space="preserve">characterized </w:t>
      </w:r>
      <w:r w:rsidR="004E00AE">
        <w:rPr>
          <w:rFonts w:ascii="Times" w:hAnsi="Times" w:cs="Times New Roman"/>
          <w:lang w:val="en"/>
        </w:rPr>
        <w:t xml:space="preserve">by low bone mineral density </w:t>
      </w:r>
      <w:r w:rsidR="00CC4677">
        <w:rPr>
          <w:rFonts w:ascii="Times" w:hAnsi="Times" w:cs="Times New Roman"/>
          <w:lang w:val="en"/>
        </w:rPr>
        <w:t>(BMD)</w:t>
      </w:r>
      <w:r w:rsidR="0064367E">
        <w:rPr>
          <w:rFonts w:ascii="Times" w:hAnsi="Times" w:cs="Times New Roman"/>
          <w:lang w:val="en"/>
        </w:rPr>
        <w:t xml:space="preserve">, </w:t>
      </w:r>
      <w:r w:rsidR="004063C4">
        <w:rPr>
          <w:rFonts w:ascii="Times" w:hAnsi="Times" w:cs="Times New Roman"/>
          <w:lang w:val="en"/>
        </w:rPr>
        <w:t>impaired</w:t>
      </w:r>
      <w:r w:rsidR="0035042E">
        <w:rPr>
          <w:rFonts w:ascii="Times" w:hAnsi="Times" w:cs="Times New Roman"/>
          <w:lang w:val="en"/>
        </w:rPr>
        <w:t xml:space="preserve"> bone microarchitecture,</w:t>
      </w:r>
      <w:r w:rsidR="00CC4677">
        <w:rPr>
          <w:rFonts w:ascii="Times" w:hAnsi="Times" w:cs="Times New Roman"/>
          <w:lang w:val="en"/>
        </w:rPr>
        <w:t xml:space="preserve"> </w:t>
      </w:r>
      <w:r w:rsidR="0064367E">
        <w:rPr>
          <w:rFonts w:ascii="Times" w:hAnsi="Times" w:cs="Times New Roman"/>
          <w:lang w:val="en"/>
        </w:rPr>
        <w:t>and</w:t>
      </w:r>
      <w:r w:rsidR="004E00AE">
        <w:rPr>
          <w:rFonts w:ascii="Times" w:hAnsi="Times" w:cs="Times New Roman"/>
          <w:lang w:val="en"/>
        </w:rPr>
        <w:t xml:space="preserve"> an increased risk of fractures</w:t>
      </w:r>
      <w:r w:rsidR="004063C4">
        <w:rPr>
          <w:rFonts w:ascii="Times" w:hAnsi="Times" w:cs="Times New Roman"/>
          <w:lang w:val="en"/>
        </w:rPr>
        <w:fldChar w:fldCharType="begin" w:fldLock="1"/>
      </w:r>
      <w:r w:rsidR="00EA71A7">
        <w:rPr>
          <w:rFonts w:ascii="Times" w:hAnsi="Times" w:cs="Times New Roman"/>
          <w:lang w:val="en"/>
        </w:rPr>
        <w:instrText>ADDIN CSL_CITATION {"citationItems":[{"id":"ITEM-1","itemData":{"DOI":"10.1093/rheumatology/kep273","ISSN":"14620324","abstract":"Bone has the ability to adapt its shape and size in response to mechanical loads via a process known as modelling in which bones are shaped or reshaped by the independent action of osteoblasts and osteoclasts. Remodelling is a process that maintains mechanical integrity of the skeleton, allowing it to selectively repair and replace damaged bone. During adulthood, bone remodelling is the dominant process; after the age of 40 years, the age-related decline in bone mass increases the risk of fracture, especially in women. Osteoporosis is defined as a reduction in bone mass and an impairment of bone architecture resulting in thinning and increased cortical porosity, bone fragility and fracture risk. As new products and methods have been developed, focusing on bone fragility, effective and sensitive non-invasive means able to detect early changes in bone fragility process have also been developed. Due to limitations in assessing fracture risk and response to therapy, the evaluation of bone mineral contents by bone densitometry is progressively replaced by new non-invasive and/or non-destructive techniques able to estimate bone strength, providing structural information about the pathophysiology of bone fragility by quantitative assessments of macro- and microstructural bone features. DXA and volumetric QCT quantify bone macrostructure, whereas high-resolution CT, microCT, high-resolution MR and microMR assess bone microstructure. Knowledge of bone microarchitecture is a clue for understanding osteoporosis pathophysiology and improving its diagnosis and treatment; the response of microarchitecture parameters to treatment should allow assessment of the real efficacy of the osteoporosis therapy.","author":[{"dropping-particle":"","family":"Brandi","given":"Maria Luisa","non-dropping-particle":"","parse-names":false,"suffix":""}],"container-title":"Rheumatology (United Kingdom)","id":"ITEM-1","issue":"Suppl.4","issued":{"date-parts":[["2009"]]},"page":"iv3-iv8","title":"Microarchitecture, the key to bone quality","type":"article-journal","volume":"48"},"uris":["http://www.mendeley.com/documents/?uuid=2c47a060-6c02-4510-90c9-4f98db64b13a"]},{"id":"ITEM-2","itemData":{"DOI":"10.1007/s11657-013-0136-1","abstract":"Epidemiology of Osteoporosis in the EU • Based on the WHO diagnostic criterion (T-score less than or equal to-2.5 SD) approximately 22 million women and 5.5 million men aged between 50-84 years are estimated to have osteoporosis in the EU (2010 figures). • Due to changes in population demography the number of men and women with osteoporosis, using the diagnostic criterion of the WHO, will rise from 27.5 million in 2010 to 33.9 million in 2025, corresponding to an increase of 23%. • The number of new fractures in 2010 in the EU was estimated at 3.5 million, comprising approximately 620,000 hip fractures, 520,000 vertebral fractures, 560,000 forearm fractures and 1,800,000 other fractures (i.e. pelvis, rib, humerus, tibia, fibula, clavicle, scapula, sternum, and other femoral fractures). • Two thirds of all incident fractures occurred in women. • In 2010, the number of deaths causally related to fractures was estimated at 43,000: o In women: approximately 50% of fracture related deaths in women were due to hip fractures, 28% to clinical vertebral and 22% to other fractures. o In men: corresponding proportions were 47%, 39% and 14%, respectively. • In 2010, 3.3 million individuals aged 50 years or more had sustained a prior hip fracture (prevalence of prior hip fracture). The corresponding number of men and women with prior clinical vertebral fractures was estimated at 3.5 million. • Incidence rates of hip fractures were available for most, but not all, countries of the EU whereas information on country-specific incidence rates of forearm, clinical vertebral fractures and other osteoporotic fractures was scarce. Burden of Disease • The cost of osteoporosis, including pharmacological intervention in the EU in 2010 was estimated at €37 billion-out of which: o Costs of treating incident fractures represented 66%, o Pharmacological prevention 5% and o Long-term fracture care 29%. • It is estimated that approximately 26,300 life-years were lost in the EU in 2010 due to incident fractures.","author":[{"dropping-particle":"","family":"Hernlund","given":"E","non-dropping-particle":"","parse-names":false,"suffix":""},{"dropping-particle":"","family":"Svedbom","given":"A","non-dropping-particle":"","parse-names":false,"suffix":""},{"dropping-particle":"","family":"Ivergård","given":"M","non-dropping-particle":"","parse-names":false,"suffix":""},{"dropping-particle":"","family":"Compston","given":"Julit","non-dropping-particle":"","parse-names":false,"suffix":""},{"dropping-particle":"","family":"Cooper","given":"Cyrus","non-dropping-particle":"","parse-names":false,"suffix":""},{"dropping-particle":"","family":"Stenmark","given":"J","non-dropping-particle":"","parse-names":false,"suffix":""},{"dropping-particle":"","family":"McCloskey","given":"EV","non-dropping-particle":"","parse-names":false,"suffix":""},{"dropping-particle":"","family":"Jönsson","given":"B","non-dropping-particle":"","parse-names":false,"suffix":""},{"dropping-particle":"","family":"Kanis","given":"John A","non-dropping-particle":"","parse-names":false,"suffix":""}],"container-title":"Archives of Osteoporosis","id":"ITEM-2","issue":"136","issued":{"date-parts":[["2013"]]},"page":"1-115","title":"Osteoporosis in the European Union: Medical management, epidemiology and economic burden: A report prepared in collaboration with the International Osteoporosis Foundation (IOF) and the European Federation of Pharmaceutical Industry Associations (EFPIA)","type":"article-journal","volume":"8"},"uris":["http://www.mendeley.com/documents/?uuid=148839fb-ace2-4306-9e30-b9352afe484a"]}],"mendeley":{"formattedCitation":"[1, 2]","plainTextFormattedCitation":"[1, 2]","previouslyFormattedCitation":"[1, 2]"},"properties":{"noteIndex":0},"schema":"https://github.com/citation-style-language/schema/raw/master/csl-citation.json"}</w:instrText>
      </w:r>
      <w:r w:rsidR="004063C4">
        <w:rPr>
          <w:rFonts w:ascii="Times" w:hAnsi="Times" w:cs="Times New Roman"/>
          <w:lang w:val="en"/>
        </w:rPr>
        <w:fldChar w:fldCharType="separate"/>
      </w:r>
      <w:r w:rsidR="0043152A" w:rsidRPr="0043152A">
        <w:rPr>
          <w:rFonts w:ascii="Times" w:hAnsi="Times" w:cs="Times New Roman"/>
          <w:noProof/>
          <w:lang w:val="en"/>
        </w:rPr>
        <w:t>[1, 2]</w:t>
      </w:r>
      <w:r w:rsidR="004063C4">
        <w:rPr>
          <w:rFonts w:ascii="Times" w:hAnsi="Times" w:cs="Times New Roman"/>
          <w:lang w:val="en"/>
        </w:rPr>
        <w:fldChar w:fldCharType="end"/>
      </w:r>
      <w:r w:rsidR="004E00AE">
        <w:rPr>
          <w:rFonts w:ascii="Times" w:hAnsi="Times" w:cs="Times New Roman"/>
          <w:lang w:val="en"/>
        </w:rPr>
        <w:t xml:space="preserve">. </w:t>
      </w:r>
      <w:r w:rsidR="00CC4677">
        <w:rPr>
          <w:rFonts w:ascii="Times" w:hAnsi="Times" w:cs="Times New Roman"/>
          <w:lang w:val="en"/>
        </w:rPr>
        <w:t>In Denmark</w:t>
      </w:r>
      <w:r w:rsidR="007E1C98">
        <w:rPr>
          <w:rFonts w:ascii="Times" w:hAnsi="Times" w:cs="Times New Roman"/>
          <w:lang w:val="en"/>
        </w:rPr>
        <w:t>,</w:t>
      </w:r>
      <w:r w:rsidR="00CC4677">
        <w:rPr>
          <w:rFonts w:ascii="Times" w:hAnsi="Times" w:cs="Times New Roman"/>
          <w:lang w:val="en"/>
        </w:rPr>
        <w:t xml:space="preserve"> </w:t>
      </w:r>
      <w:r w:rsidR="006940B0">
        <w:rPr>
          <w:rFonts w:ascii="Times" w:hAnsi="Times" w:cs="Times New Roman"/>
          <w:lang w:val="en"/>
        </w:rPr>
        <w:t>the incidence rate</w:t>
      </w:r>
      <w:r w:rsidR="00EA693B">
        <w:rPr>
          <w:rFonts w:ascii="Times" w:hAnsi="Times" w:cs="Times New Roman"/>
          <w:lang w:val="en"/>
        </w:rPr>
        <w:t>s</w:t>
      </w:r>
      <w:r w:rsidR="00664660">
        <w:rPr>
          <w:rFonts w:ascii="Times" w:hAnsi="Times" w:cs="Times New Roman"/>
          <w:lang w:val="en"/>
        </w:rPr>
        <w:t xml:space="preserve"> of</w:t>
      </w:r>
      <w:r w:rsidR="00DB7193">
        <w:rPr>
          <w:rFonts w:ascii="Times" w:hAnsi="Times" w:cs="Times New Roman"/>
          <w:lang w:val="en"/>
        </w:rPr>
        <w:t xml:space="preserve"> </w:t>
      </w:r>
      <w:r w:rsidR="006940B0">
        <w:rPr>
          <w:rFonts w:ascii="Times" w:hAnsi="Times" w:cs="Times New Roman"/>
          <w:lang w:val="en"/>
        </w:rPr>
        <w:t xml:space="preserve">fractures </w:t>
      </w:r>
      <w:r w:rsidR="00664660">
        <w:rPr>
          <w:rFonts w:ascii="Times" w:hAnsi="Times" w:cs="Times New Roman"/>
          <w:lang w:val="en"/>
        </w:rPr>
        <w:t>in men and women aged 50</w:t>
      </w:r>
      <w:r w:rsidR="006A4FB4">
        <w:rPr>
          <w:rFonts w:ascii="Times" w:hAnsi="Times" w:cs="Times New Roman"/>
          <w:lang w:val="en"/>
        </w:rPr>
        <w:t xml:space="preserve"> years or older</w:t>
      </w:r>
      <w:r w:rsidR="00664660">
        <w:rPr>
          <w:rFonts w:ascii="Times" w:hAnsi="Times" w:cs="Times New Roman"/>
          <w:lang w:val="en"/>
        </w:rPr>
        <w:t xml:space="preserve"> </w:t>
      </w:r>
      <w:r w:rsidR="00EA3F41">
        <w:rPr>
          <w:rFonts w:ascii="Times" w:hAnsi="Times" w:cs="Times New Roman"/>
          <w:lang w:val="en"/>
        </w:rPr>
        <w:t>have</w:t>
      </w:r>
      <w:r w:rsidR="006940B0">
        <w:rPr>
          <w:rFonts w:ascii="Times" w:hAnsi="Times" w:cs="Times New Roman"/>
          <w:lang w:val="en"/>
        </w:rPr>
        <w:t xml:space="preserve"> been </w:t>
      </w:r>
      <w:r w:rsidR="007E1C98">
        <w:rPr>
          <w:rFonts w:ascii="Times" w:hAnsi="Times" w:cs="Times New Roman"/>
          <w:lang w:val="en"/>
        </w:rPr>
        <w:t xml:space="preserve">found </w:t>
      </w:r>
      <w:r w:rsidR="006940B0">
        <w:rPr>
          <w:rFonts w:ascii="Times" w:hAnsi="Times" w:cs="Times New Roman"/>
          <w:lang w:val="en"/>
        </w:rPr>
        <w:t>to</w:t>
      </w:r>
      <w:r w:rsidR="007E1C98">
        <w:rPr>
          <w:rFonts w:ascii="Times" w:hAnsi="Times" w:cs="Times New Roman"/>
          <w:lang w:val="en"/>
        </w:rPr>
        <w:t xml:space="preserve"> be</w:t>
      </w:r>
      <w:r w:rsidR="006940B0">
        <w:rPr>
          <w:rFonts w:ascii="Times" w:hAnsi="Times" w:cs="Times New Roman"/>
          <w:lang w:val="en"/>
        </w:rPr>
        <w:t xml:space="preserve"> </w:t>
      </w:r>
      <w:r w:rsidR="00664660">
        <w:rPr>
          <w:rFonts w:ascii="Times" w:hAnsi="Times" w:cs="Times New Roman"/>
          <w:lang w:val="en"/>
        </w:rPr>
        <w:t>170 and 320 per 10,000 patient-years</w:t>
      </w:r>
      <w:r w:rsidR="00134239">
        <w:rPr>
          <w:rFonts w:ascii="Times" w:hAnsi="Times" w:cs="Times New Roman"/>
          <w:lang w:val="en"/>
        </w:rPr>
        <w:t xml:space="preserve"> for all fractures</w:t>
      </w:r>
      <w:r w:rsidR="006C74CB">
        <w:rPr>
          <w:rFonts w:ascii="Times" w:hAnsi="Times" w:cs="Times New Roman"/>
          <w:lang w:val="en"/>
        </w:rPr>
        <w:t xml:space="preserve">, and </w:t>
      </w:r>
      <w:r w:rsidR="00134239">
        <w:rPr>
          <w:rFonts w:ascii="Times" w:hAnsi="Times" w:cs="Times New Roman"/>
          <w:lang w:val="en"/>
        </w:rPr>
        <w:t>78 and 200 per 10,000 patient-years for major osteoporotic fractures</w:t>
      </w:r>
      <w:r w:rsidR="007C1CD3">
        <w:rPr>
          <w:rFonts w:ascii="Times" w:hAnsi="Times" w:cs="Times New Roman"/>
          <w:lang w:val="en"/>
        </w:rPr>
        <w:t xml:space="preserve"> (MOF, a composite of hip, </w:t>
      </w:r>
      <w:r w:rsidR="00CE67F6">
        <w:rPr>
          <w:rFonts w:ascii="Times" w:hAnsi="Times" w:cs="Times New Roman"/>
          <w:lang w:val="en"/>
        </w:rPr>
        <w:t>vertebral</w:t>
      </w:r>
      <w:r w:rsidR="007C1CD3">
        <w:rPr>
          <w:rFonts w:ascii="Times" w:hAnsi="Times" w:cs="Times New Roman"/>
          <w:lang w:val="en"/>
        </w:rPr>
        <w:t xml:space="preserve">, humerus, and </w:t>
      </w:r>
      <w:r w:rsidR="0012365C">
        <w:rPr>
          <w:rFonts w:ascii="Times" w:hAnsi="Times" w:cs="Times New Roman"/>
          <w:lang w:val="en"/>
        </w:rPr>
        <w:t xml:space="preserve">forearm </w:t>
      </w:r>
      <w:r w:rsidR="007C1CD3">
        <w:rPr>
          <w:rFonts w:ascii="Times" w:hAnsi="Times" w:cs="Times New Roman"/>
          <w:lang w:val="en"/>
        </w:rPr>
        <w:t>fractures)</w:t>
      </w:r>
      <w:r w:rsidR="00134239">
        <w:rPr>
          <w:rFonts w:ascii="Times" w:hAnsi="Times" w:cs="Times New Roman"/>
          <w:lang w:val="en"/>
        </w:rPr>
        <w:t>, respectively</w:t>
      </w:r>
      <w:r w:rsidR="00816F84">
        <w:rPr>
          <w:rFonts w:ascii="Times" w:hAnsi="Times" w:cs="Times New Roman"/>
          <w:lang w:val="en"/>
        </w:rPr>
        <w:fldChar w:fldCharType="begin" w:fldLock="1"/>
      </w:r>
      <w:r w:rsidR="00EA71A7">
        <w:rPr>
          <w:rFonts w:ascii="Times" w:hAnsi="Times" w:cs="Times New Roman"/>
          <w:lang w:val="en"/>
        </w:rPr>
        <w:instrText>ADDIN CSL_CITATION {"citationItems":[{"id":"ITEM-1","itemData":{"DOI":"10.1007/s00198-016-3488-8","ISSN":"14332965","abstract":"In the present study, we used national health care databases to estimate fracture incidence rates (IRs) and compared these IRs based on imputed data. We showed that imputation could lead to both over- and underestimation of IRs, and future research should therefore focus on how to improve those imputations. INTRODUCTION: Osteoporosis is a major public health burden through associated (osteoporotic) fractures. In Denmark, the incidence rates (IRs) of hip fracture are widely available. However, there is limited data about other fracture sites. A recent report could only provide imputed IRs, although nationwide data is readily available in electronic healthcare databases. Therefore, our aim was to estimate fracture site-specific IRs for Denmark in 2011 and to compare those to the previously reported imputed data. METHODS: Data from the Danish National Hospital Discharge Register was used to estimate age- and gender-specific IRs for any fracture as well as for different fracture sites in the Danish population aged 20 years and older in 2011. Hip fracture IRs were stratified to sub-sites, and IRs were determined for all hip fractures which were confirmed by surgery. RESULTS: The total number of incident fractures in 2011 was 80,760 (IR 191, 95 % confidence interval (CI) 190-192 (per 10,000 person-years)), of which 35,398 (43.8 %, IR 171, 95 % CI 169-173) occurred in men and 45,362 (56.2 %, IR 211, 95 % CI 209-213) in women. The majority of the fractures occurred in the population aged 50 years and older (n = 50,470, IR 249, 95 % CI 247-251). The numbers of any hip fracture were lower than the previously imputed estimates, whereas the number of forearm fractures was higher. CONCLUSION: We showed age- and gender-specific fracture rates for any fracture as well as for different fracture sites. The IRs of most fracture sites increased with age. Estimating the number of fractures for Denmark based on imputation of data from other countries led to both over- and underestimation. Future research should therefore focus on how to improve those imputations as not all countries have nationwide registry data.","author":[{"dropping-particle":"","family":"Driessen","given":"J. H.M.","non-dropping-particle":"","parse-names":false,"suffix":""},{"dropping-particle":"","family":"Hansen","given":"L.","non-dropping-particle":"","parse-names":false,"suffix":""},{"dropping-particle":"","family":"Eriksen","given":"S. A.","non-dropping-particle":"","parse-names":false,"suffix":""},{"dropping-particle":"","family":"Onzenoort","given":"H. A.W.","non-dropping-particle":"van","parse-names":false,"suffix":""},{"dropping-particle":"","family":"Henry","given":"R. M.A.","non-dropping-particle":"","parse-names":false,"suffix":""},{"dropping-particle":"","family":"Bergh","given":"J.","non-dropping-particle":"van den","parse-names":false,"suffix":""},{"dropping-particle":"","family":"Abrahamsen","given":"B.","non-dropping-particle":"","parse-names":false,"suffix":""},{"dropping-particle":"","family":"Vestergaard","given":"P.","non-dropping-particle":"","parse-names":false,"suffix":""},{"dropping-particle":"","family":"Vries","given":"F.","non-dropping-particle":"de","parse-names":false,"suffix":""}],"container-title":"Osteoporosis International","id":"ITEM-1","issue":"6","issued":{"date-parts":[["2016"]]},"page":"2017-2025","title":"The epidemiology of fractures in Denmark in 2011","type":"article-journal","volume":"27"},"uris":["http://www.mendeley.com/documents/?uuid=f2184b42-256b-4da8-901e-dfe99c97d3b2"]}],"mendeley":{"formattedCitation":"[3]","plainTextFormattedCitation":"[3]","previouslyFormattedCitation":"[3]"},"properties":{"noteIndex":0},"schema":"https://github.com/citation-style-language/schema/raw/master/csl-citation.json"}</w:instrText>
      </w:r>
      <w:r w:rsidR="00816F84">
        <w:rPr>
          <w:rFonts w:ascii="Times" w:hAnsi="Times" w:cs="Times New Roman"/>
          <w:lang w:val="en"/>
        </w:rPr>
        <w:fldChar w:fldCharType="separate"/>
      </w:r>
      <w:r w:rsidR="0043152A" w:rsidRPr="0043152A">
        <w:rPr>
          <w:rFonts w:ascii="Times" w:hAnsi="Times" w:cs="Times New Roman"/>
          <w:noProof/>
          <w:lang w:val="en"/>
        </w:rPr>
        <w:t>[3]</w:t>
      </w:r>
      <w:r w:rsidR="00816F84">
        <w:rPr>
          <w:rFonts w:ascii="Times" w:hAnsi="Times" w:cs="Times New Roman"/>
          <w:lang w:val="en"/>
        </w:rPr>
        <w:fldChar w:fldCharType="end"/>
      </w:r>
      <w:r w:rsidR="00664660">
        <w:rPr>
          <w:rFonts w:ascii="Times" w:hAnsi="Times" w:cs="Times New Roman"/>
          <w:lang w:val="en"/>
        </w:rPr>
        <w:t>.</w:t>
      </w:r>
    </w:p>
    <w:p w14:paraId="5D62BA69" w14:textId="06E80955" w:rsidR="00EC3646" w:rsidRDefault="00876843" w:rsidP="00B7041F">
      <w:pPr>
        <w:spacing w:line="480" w:lineRule="auto"/>
        <w:rPr>
          <w:rFonts w:ascii="Times" w:hAnsi="Times" w:cs="Times New Roman"/>
          <w:lang w:val="en"/>
        </w:rPr>
      </w:pPr>
      <w:r>
        <w:rPr>
          <w:rFonts w:ascii="Times" w:hAnsi="Times" w:cs="Times New Roman"/>
          <w:lang w:val="en"/>
        </w:rPr>
        <w:t>Patients with a previous o</w:t>
      </w:r>
      <w:r w:rsidR="00EA3F41">
        <w:rPr>
          <w:rFonts w:ascii="Times" w:hAnsi="Times" w:cs="Times New Roman"/>
          <w:lang w:val="en"/>
        </w:rPr>
        <w:t xml:space="preserve">steoporotic fracture </w:t>
      </w:r>
      <w:r w:rsidR="009B51DC">
        <w:rPr>
          <w:rFonts w:ascii="Times" w:hAnsi="Times" w:cs="Times New Roman"/>
          <w:lang w:val="en"/>
        </w:rPr>
        <w:t>face an</w:t>
      </w:r>
      <w:r w:rsidR="00EA3F41">
        <w:rPr>
          <w:rFonts w:ascii="Times" w:hAnsi="Times" w:cs="Times New Roman"/>
          <w:lang w:val="en"/>
        </w:rPr>
        <w:t xml:space="preserve"> increased risk of </w:t>
      </w:r>
      <w:r w:rsidR="002B69B1">
        <w:rPr>
          <w:rFonts w:ascii="Times" w:hAnsi="Times" w:cs="Times New Roman"/>
          <w:lang w:val="en"/>
        </w:rPr>
        <w:t>subsequent</w:t>
      </w:r>
      <w:r w:rsidR="00EA3F41">
        <w:rPr>
          <w:rFonts w:ascii="Times" w:hAnsi="Times" w:cs="Times New Roman"/>
          <w:lang w:val="en"/>
        </w:rPr>
        <w:t xml:space="preserve"> fractures</w:t>
      </w:r>
      <w:r w:rsidR="006E0988">
        <w:rPr>
          <w:rFonts w:ascii="Times" w:hAnsi="Times" w:cs="Times New Roman"/>
          <w:lang w:val="en"/>
        </w:rPr>
        <w:fldChar w:fldCharType="begin" w:fldLock="1"/>
      </w:r>
      <w:r w:rsidR="006E0988">
        <w:rPr>
          <w:rFonts w:ascii="Times" w:hAnsi="Times" w:cs="Times New Roman"/>
          <w:lang w:val="en"/>
        </w:rPr>
        <w:instrText>ADDIN CSL_CITATION {"citationItems":[{"id":"ITEM-1","itemData":{"DOI":"10.1359/jbmr.2000.15.4.721","ISSN":"0884-0431 (Print)","PMID":"10780864","abstract":"Numerous studies have reported increased risks of hip, spine, and other fractures among people who had previous clinically diagnosed fractures, or who have radiographic evidence of vertebral fractures. However, there is some variability in the magnitudes of associations among studies. We summarized the literature and performed a statistical synthesis of the risk of future fracture, given a history of prior fracture. The strongest associations were observed between prior and subsequent vertebral fractures; women with preexisting vertebral fractures (identified at baseline by vertebral morphometry) had approximately 4 times greater risk of subsequent vertebral fractures than those without prior fractures. This risk increases with the number of prior vertebral fractures. Most studies reported relative risks of approximately 2 for other combinations of prior and future fracture sites (hip, spine, wrist, or any site). The confidence profile method was used to derive a single pooled estimate from the studies that provided sufficient data for other combinations of prior and subsequent fracture sites. Studies of peri- and postmenopausal women with prior fractures had 2.0 (95 % CI = 1.8, 2.1) times the risk of subsequent fracture compared with women without prior fractures. For other studies (including men and women of all ages), the risk was increased by 2.2 (1.9, 2.6) times. We conclude that history of prior fracture at any site is an important risk factor for future fractures. Patients with a history of prior fracture, therefore, should receive further evaluation for osteoporosis and fracture risk.","author":[{"dropping-particle":"","family":"Klotzbuecher","given":"C M","non-dropping-particle":"","parse-names":false,"suffix":""},{"dropping-particle":"","family":"Ross","given":"P D","non-dropping-particle":"","parse-names":false,"suffix":""},{"dropping-particle":"","family":"Landsman","given":"P B","non-dropping-particle":"","parse-names":false,"suffix":""},{"dropping-particle":"","family":"Abbott","given":"T A 3rd","non-dropping-particle":"","parse-names":false,"suffix":""},{"dropping-particle":"","family":"Berger","given":"M","non-dropping-particle":"","parse-names":false,"suffix":""}],"container-title":"Journal of bone and mineral research : the official journal of the American Society for Bone and Mineral Research","id":"ITEM-1","issue":"4","issued":{"date-parts":[["2000","4"]]},"language":"eng","page":"721-739","publisher-place":"United States","title":"Patients with prior fractures have an increased risk of future fractures: a summary of the literature and statistical synthesis.","type":"article-journal","volume":"15"},"uris":["http://www.mendeley.com/documents/?uuid=aeebcf1c-9e41-4d7c-a2e8-054ec20a5bc4"]}],"mendeley":{"formattedCitation":"[4]","plainTextFormattedCitation":"[4]","previouslyFormattedCitation":"[4]"},"properties":{"noteIndex":0},"schema":"https://github.com/citation-style-language/schema/raw/master/csl-citation.json"}</w:instrText>
      </w:r>
      <w:r w:rsidR="006E0988">
        <w:rPr>
          <w:rFonts w:ascii="Times" w:hAnsi="Times" w:cs="Times New Roman"/>
          <w:lang w:val="en"/>
        </w:rPr>
        <w:fldChar w:fldCharType="separate"/>
      </w:r>
      <w:r w:rsidR="006E0988" w:rsidRPr="006E0988">
        <w:rPr>
          <w:rFonts w:ascii="Times" w:hAnsi="Times" w:cs="Times New Roman"/>
          <w:noProof/>
          <w:lang w:val="en"/>
        </w:rPr>
        <w:t>[4]</w:t>
      </w:r>
      <w:r w:rsidR="006E0988">
        <w:rPr>
          <w:rFonts w:ascii="Times" w:hAnsi="Times" w:cs="Times New Roman"/>
          <w:lang w:val="en"/>
        </w:rPr>
        <w:fldChar w:fldCharType="end"/>
      </w:r>
      <w:r>
        <w:rPr>
          <w:rFonts w:ascii="Times" w:hAnsi="Times" w:cs="Times New Roman"/>
          <w:lang w:val="en"/>
        </w:rPr>
        <w:t xml:space="preserve">, </w:t>
      </w:r>
      <w:r w:rsidR="006E0988">
        <w:rPr>
          <w:rFonts w:ascii="Times" w:hAnsi="Times" w:cs="Times New Roman"/>
          <w:lang w:val="en"/>
        </w:rPr>
        <w:t xml:space="preserve">most excessively </w:t>
      </w:r>
      <w:r w:rsidR="005115E6">
        <w:rPr>
          <w:rFonts w:ascii="Times" w:hAnsi="Times" w:cs="Times New Roman"/>
          <w:lang w:val="en"/>
        </w:rPr>
        <w:t xml:space="preserve">elevated </w:t>
      </w:r>
      <w:r w:rsidR="006E0988">
        <w:rPr>
          <w:rFonts w:ascii="Times" w:hAnsi="Times" w:cs="Times New Roman"/>
          <w:lang w:val="en"/>
        </w:rPr>
        <w:t xml:space="preserve">in the first years </w:t>
      </w:r>
      <w:r w:rsidR="000D56AD">
        <w:rPr>
          <w:rFonts w:ascii="Times" w:hAnsi="Times" w:cs="Times New Roman"/>
          <w:lang w:val="en"/>
        </w:rPr>
        <w:t>after the index</w:t>
      </w:r>
      <w:r w:rsidR="00CE57C8">
        <w:rPr>
          <w:rFonts w:ascii="Times" w:hAnsi="Times" w:cs="Times New Roman"/>
          <w:lang w:val="en"/>
        </w:rPr>
        <w:t xml:space="preserve"> fracture</w:t>
      </w:r>
      <w:r w:rsidR="0097793D">
        <w:rPr>
          <w:rFonts w:ascii="Times" w:hAnsi="Times" w:cs="Times New Roman"/>
          <w:lang w:val="en"/>
        </w:rPr>
        <w:fldChar w:fldCharType="begin" w:fldLock="1"/>
      </w:r>
      <w:r w:rsidR="00F87D19">
        <w:rPr>
          <w:rFonts w:ascii="Times" w:hAnsi="Times" w:cs="Times New Roman"/>
          <w:lang w:val="en"/>
        </w:rPr>
        <w:instrText>ADDIN CSL_CITATION {"citationItems":[{"id":"ITEM-1","itemData":{"DOI":"10.1136/ard.2008.092775","ISSN":"00034967","abstract":"Objectives: The risk of subsequent fractures is double the risk of having a first fracture. We analysed whether this risk is constant or not over time. Methods: A population-based study in 4140 postmenopausal women, aged between 50 and 90 years, on radiographic confirmed clinical fractures from menopause onwards analysed by Cox regression. Results: 924 (22%) women had a first fracture and 234 (26% of 924) a subsequent fracture. Four percent of all first fractures occurred in each year from menopause onwards, while after a first fracture, 23% of all subsequent fractures occurred within one year and 54% within five years. When calculated from time of a first fracture, the relative risk (RR) of subsequent fracture was 2.1 (95% confidence interval (CI): 1.7-2.6) and remained increased during 15 years. When calculated for specific time intervals after a first fracture, the RR was 5.3 (CI: 4.0-6.6) within one year, 2.8 (CI: 2.0-3.6) within 2-5 years, 1.4 (1.0-1.8) within 6-10 years and 0.41 (CI: 0.29 -0.53) after &gt;10 years. Conclusions: From menopause onwards, clinical fractures cluster in time indicating the need for early action to prevent subsequent fractures.","author":[{"dropping-particle":"","family":"Geel","given":"TACM","non-dropping-particle":"Van","parse-names":false,"suffix":""},{"dropping-particle":"","family":"Helden","given":"S","non-dropping-particle":"Van","parse-names":false,"suffix":""},{"dropping-particle":"","family":"Geusens","given":"PP","non-dropping-particle":"","parse-names":false,"suffix":""},{"dropping-particle":"","family":"Winkens","given":"B","non-dropping-particle":"","parse-names":false,"suffix":""},{"dropping-particle":"","family":"Dinant","given":"GJ","non-dropping-particle":"","parse-names":false,"suffix":""}],"container-title":"Annals of the Rheumatic Diseases","id":"ITEM-1","issue":"1","issued":{"date-parts":[["2009"]]},"page":"99-102","title":"Clinical subsequent fractures cluster in time after first fractures","type":"article-journal","volume":"68"},"uris":["http://www.mendeley.com/documents/?uuid=c0bbb0dc-ddbf-46ee-bba3-8b166ccd7762"]},{"id":"ITEM-2","itemData":{"DOI":"10.1007/s00198-016-3868-0","ISSN":"14332965","abstract":"© 2016, International Osteoporosis Foundation and National Osteoporosis Foundation. Summary: The risk of major osteoporotic fracture (MOF) after a first MOF is increased over the whole duration of follow-up, but the imminent risk is even higher. If the acute increment in risk in the few years following MOF is amenable to therapeutic intervention, then immediate short-term treatments may provide worthwhile clinical dividends in a very cost-effective manner. Introduction: A history of fracture is a strong risk factor for future fractures. The aim of the present study was to determine whether the predictive value of a past MOF for future MOF changed with time. Methods: The study was based on a population-based cohort of 18,872 men and women born between 1907 and 1935. Fractures were documented over 510,265 person-years. An extension of Poisson regression was used to investigate the relationship between the first MOF and the second. All associations were adjusted for age and time since baseline. Results: Five thousand thirty-nine individuals sustained one or more MOFs, of whom 1919 experienced a second MOF. The risk of a second MOF after a first increased by 4% for each year of age (95% CI 1.02–1.06) and was 41% higher for women than men (95% CI 1.25–1.59). The risk of a second MOF was highest imm ediately after the first fracture and thereafter decreased with time though remained higher than the population risk throughout follow-up. For example, 1 year after the first MOF, the risk of a second fracture was 2.7 (2.4–3.0) fold higher than the population risk. After 10 years, this risk ratio was 1.4 (1.2–1.6). The effect was more marked with increasing age. Conclusions: The risk of MOF after a first MOF is increased over the whole follow-up, but the imminent risk is even higher. If the acute increment in risk in the few years following MOF is amenable to therapeutic intervention, then immediate short-term treatments may provide worthwhile clinical dividends in a very cost-effective manner, particularly in the elderly.","author":[{"dropping-particle":"","family":"Johansson","given":"H.","non-dropping-particle":"","parse-names":false,"suffix":""},{"dropping-particle":"","family":"Siggeirsdóttir","given":"K.","non-dropping-particle":"","parse-names":false,"suffix":""},{"dropping-particle":"","family":"Harvey","given":"N. C.","non-dropping-particle":"","parse-names":false,"suffix":""},{"dropping-particle":"","family":"Odén","given":"A.","non-dropping-particle":"","parse-names":false,"suffix":""},{"dropping-particle":"","family":"Gudnason","given":"V.","non-dropping-particle":"","parse-names":false,"suffix":""},{"dropping-particle":"","family":"McCloskey","given":"E.","non-dropping-particle":"","parse-names":false,"suffix":""},{"dropping-particle":"","family":"Sigurdsson","given":"G.","non-dropping-particle":"","parse-names":false,"suffix":""},{"dropping-particle":"","family":"Kanis","given":"J. A.","non-dropping-particle":"","parse-names":false,"suffix":""}],"container-title":"Osteoporosis International","id":"ITEM-2","issue":"3","issued":{"date-parts":[["2017"]]},"page":"775-780","title":"Imminent risk of fracture after fracture","type":"article-journal","volume":"28"},"uris":["http://www.mendeley.com/documents/?uuid=86940f4c-74f1-497b-aef3-3dfa648ba78e"]}],"mendeley":{"formattedCitation":"[5, 6]","plainTextFormattedCitation":"[5, 6]","previouslyFormattedCitation":"[5, 6]"},"properties":{"noteIndex":0},"schema":"https://github.com/citation-style-language/schema/raw/master/csl-citation.json"}</w:instrText>
      </w:r>
      <w:r w:rsidR="0097793D">
        <w:rPr>
          <w:rFonts w:ascii="Times" w:hAnsi="Times" w:cs="Times New Roman"/>
          <w:lang w:val="en"/>
        </w:rPr>
        <w:fldChar w:fldCharType="separate"/>
      </w:r>
      <w:r w:rsidR="006E0988" w:rsidRPr="006E0988">
        <w:rPr>
          <w:rFonts w:ascii="Times" w:hAnsi="Times" w:cs="Times New Roman"/>
          <w:noProof/>
          <w:lang w:val="en"/>
        </w:rPr>
        <w:t>[5, 6]</w:t>
      </w:r>
      <w:r w:rsidR="0097793D">
        <w:rPr>
          <w:rFonts w:ascii="Times" w:hAnsi="Times" w:cs="Times New Roman"/>
          <w:lang w:val="en"/>
        </w:rPr>
        <w:fldChar w:fldCharType="end"/>
      </w:r>
      <w:r w:rsidR="00CE57C8">
        <w:rPr>
          <w:rFonts w:ascii="Times" w:hAnsi="Times" w:cs="Times New Roman"/>
          <w:lang w:val="en"/>
        </w:rPr>
        <w:t xml:space="preserve">. </w:t>
      </w:r>
      <w:r w:rsidR="003636E2">
        <w:rPr>
          <w:rFonts w:ascii="Times" w:hAnsi="Times" w:cs="Times New Roman"/>
          <w:lang w:val="en"/>
        </w:rPr>
        <w:t>Non-surprisingly</w:t>
      </w:r>
      <w:r w:rsidR="008F6682">
        <w:rPr>
          <w:rFonts w:ascii="Times" w:hAnsi="Times" w:cs="Times New Roman"/>
          <w:lang w:val="en"/>
        </w:rPr>
        <w:t>, i</w:t>
      </w:r>
      <w:r w:rsidR="009F5A36">
        <w:rPr>
          <w:rFonts w:ascii="Times" w:hAnsi="Times" w:cs="Times New Roman"/>
          <w:lang w:val="en"/>
        </w:rPr>
        <w:t xml:space="preserve">t </w:t>
      </w:r>
      <w:r w:rsidR="00CB4533">
        <w:rPr>
          <w:rFonts w:ascii="Times" w:hAnsi="Times" w:cs="Times New Roman"/>
          <w:lang w:val="en"/>
        </w:rPr>
        <w:t>has been reported that up to 45% o</w:t>
      </w:r>
      <w:r w:rsidR="009F5A36">
        <w:rPr>
          <w:rFonts w:ascii="Times" w:hAnsi="Times" w:cs="Times New Roman"/>
          <w:lang w:val="en"/>
        </w:rPr>
        <w:t>f all hip fracture patients have</w:t>
      </w:r>
      <w:r w:rsidR="007E1C98">
        <w:rPr>
          <w:rFonts w:ascii="Times" w:hAnsi="Times" w:cs="Times New Roman"/>
          <w:lang w:val="en"/>
        </w:rPr>
        <w:t xml:space="preserve"> had</w:t>
      </w:r>
      <w:r w:rsidR="009F5A36">
        <w:rPr>
          <w:rFonts w:ascii="Times" w:hAnsi="Times" w:cs="Times New Roman"/>
          <w:lang w:val="en"/>
        </w:rPr>
        <w:t xml:space="preserve"> </w:t>
      </w:r>
      <w:r w:rsidR="00CB4533">
        <w:rPr>
          <w:rFonts w:ascii="Times" w:hAnsi="Times" w:cs="Times New Roman"/>
          <w:lang w:val="en"/>
        </w:rPr>
        <w:t>a prior fracture</w:t>
      </w:r>
      <w:r w:rsidR="009F5A36">
        <w:rPr>
          <w:rFonts w:ascii="Times" w:hAnsi="Times" w:cs="Times New Roman"/>
          <w:lang w:val="en"/>
        </w:rPr>
        <w:t xml:space="preserve">, and a </w:t>
      </w:r>
      <w:r w:rsidR="00D43192">
        <w:rPr>
          <w:rFonts w:ascii="Times" w:hAnsi="Times" w:cs="Times New Roman"/>
          <w:lang w:val="en"/>
        </w:rPr>
        <w:t xml:space="preserve">study </w:t>
      </w:r>
      <w:r w:rsidR="00B00F5C">
        <w:rPr>
          <w:rFonts w:ascii="Times" w:hAnsi="Times" w:cs="Times New Roman"/>
          <w:lang w:val="en"/>
        </w:rPr>
        <w:t xml:space="preserve">in Danish </w:t>
      </w:r>
      <w:r w:rsidR="00B82375">
        <w:rPr>
          <w:rFonts w:ascii="Times" w:hAnsi="Times" w:cs="Times New Roman"/>
          <w:lang w:val="en"/>
        </w:rPr>
        <w:t xml:space="preserve">hip fracture </w:t>
      </w:r>
      <w:r w:rsidR="00B00F5C">
        <w:rPr>
          <w:rFonts w:ascii="Times" w:hAnsi="Times" w:cs="Times New Roman"/>
          <w:lang w:val="en"/>
        </w:rPr>
        <w:t xml:space="preserve">patients </w:t>
      </w:r>
      <w:r w:rsidR="00D43192">
        <w:rPr>
          <w:rFonts w:ascii="Times" w:hAnsi="Times" w:cs="Times New Roman"/>
          <w:lang w:val="en"/>
        </w:rPr>
        <w:t xml:space="preserve">demonstrated that 28% </w:t>
      </w:r>
      <w:r w:rsidR="00B00F5C">
        <w:rPr>
          <w:rFonts w:ascii="Times" w:hAnsi="Times" w:cs="Times New Roman"/>
          <w:lang w:val="en"/>
        </w:rPr>
        <w:t>had</w:t>
      </w:r>
      <w:r w:rsidR="00E231AE">
        <w:rPr>
          <w:rFonts w:ascii="Times" w:hAnsi="Times" w:cs="Times New Roman"/>
          <w:lang w:val="en"/>
        </w:rPr>
        <w:t xml:space="preserve"> </w:t>
      </w:r>
      <w:r w:rsidR="00802C95">
        <w:rPr>
          <w:rFonts w:ascii="Times" w:hAnsi="Times" w:cs="Times New Roman"/>
          <w:lang w:val="en"/>
        </w:rPr>
        <w:t>sustained a MOF</w:t>
      </w:r>
      <w:r w:rsidR="00E231AE">
        <w:rPr>
          <w:rFonts w:ascii="Times" w:hAnsi="Times" w:cs="Times New Roman"/>
          <w:lang w:val="en"/>
        </w:rPr>
        <w:t xml:space="preserve"> within the past 10 years</w:t>
      </w:r>
      <w:r w:rsidR="00E231AE">
        <w:rPr>
          <w:rFonts w:ascii="Times" w:hAnsi="Times" w:cs="Times New Roman"/>
          <w:lang w:val="en"/>
        </w:rPr>
        <w:fldChar w:fldCharType="begin" w:fldLock="1"/>
      </w:r>
      <w:r w:rsidR="00EA71A7">
        <w:rPr>
          <w:rFonts w:ascii="Times" w:hAnsi="Times" w:cs="Times New Roman"/>
          <w:lang w:val="en"/>
        </w:rPr>
        <w:instrText>ADDIN CSL_CITATION {"citationItems":[{"id":"ITEM-1","itemData":{"DOI":"10.1007/s00198-003-1452-x","ISSN":"0937941X","abstract":"As prior fracture is consistently associated with increased risk of subsequent fracture, subjects with a history of prior fracture represent a high risk group which should be targeted for intervention to reduce future fracture rates. The aim of this study was to investigate whether prior osteoporotic fracture affected treatment patterns among subjects admitted with hip fractures. All hip fracture admissions to two major teaching hospitals of the University of New South Wales, Sydney, Australia, over the 12-month period between July 1997 and June 1998 were identified retrospectively from medical records. Patient demographics, frequency and location of prior fractures, and treatment status on admission were recorded. There were a total of 348 atraumatic hip fracture admissions over this 12-month period. Forty five percent of 251 women and 30% of 97 men with an osteoporotic hip fracture had a known prior fracture, including prior hip fracture in 19% of the women and 8% of the men. Among subjects with prior fractures, only 18% of women and 7% of men were on any specific anti-osteoporosis therapy. Even among those with a prior hip fracture, only 21% of women and none of the men were taking optimal appropriate therapy. A high proportion of individuals suffering hip fractures had sustained prior \"signal\" fractures. Although more subjects with prior fracture received treatment than those without prior fracture, total treatment levels were low, and the majority of high-risk subjects did not receive therapy shown to reduce the risk of further fractures.","author":[{"dropping-particle":"","family":"Port","given":"Leah","non-dropping-particle":"","parse-names":false,"suffix":""},{"dropping-particle":"","family":"Center","given":"Jacqueline","non-dropping-particle":"","parse-names":false,"suffix":""},{"dropping-particle":"","family":"Briffa","given":"N. Kathy","non-dropping-particle":"","parse-names":false,"suffix":""},{"dropping-particle":"","family":"Nguyen","given":"Tuan","non-dropping-particle":"","parse-names":false,"suffix":""},{"dropping-particle":"","family":"Cumming","given":"Robert","non-dropping-particle":"","parse-names":false,"suffix":""},{"dropping-particle":"","family":"Eisman","given":"John","non-dropping-particle":"","parse-names":false,"suffix":""}],"container-title":"Osteoporosis International","id":"ITEM-1","issue":"9","issued":{"date-parts":[["2003"]]},"page":"780-784","title":"Osteoporotic fracture: Missed opportunity for intervention","type":"article-journal","volume":"14"},"uris":["http://www.mendeley.com/documents/?uuid=7ee3aa89-86cc-4a35-a467-e0bb790c2222"]},{"id":"ITEM-2","itemData":{"DOI":"10.1097/BLO.0b013e3180534269","ISSN":"15281132","abstract":"Treating osteoporosis in patients with prior fractures potentially results in a 50% reduction of risk of future fractures. We retrospectively reviewed 632 patients with incident hip fractures to evaluate (1) the prevalence of prior fractures in incident hip fractures, (2) whether prior fractures led to an increase in the treatment of osteoporosis, and (3) the cost utility of osteoporosis treatment after a prior fracture. The patients were treated at three hospitals from January 2000 to June 2001 and 514 (80%) were women. A minimal trauma fracture was defined as a fracture resulting from a fall while standing or walking or falling from a height less than 4 feet. Two hundred eighty-two patients (45%) with incident hip fractures described a prior minimal trauma fracture. Osteoporosis was diagnosed in 43 (13%) women and three (5%) men. In 107 cases (17%), the incident hip fracture was the second hip fracture. A prior minimal trauma fracture did not increase treatment for osteoporosis. Presuming a 50% reduction in fracture risk with medications, treating the 282 patients with prior minimal trauma fracture would have resulted in a savings of $3.5 million. © 2007 Lippincott Williams &amp; Wilkins, Inc.","author":[{"dropping-particle":"","family":"Edwards","given":"Beatrice J.","non-dropping-particle":"","parse-names":false,"suffix":""},{"dropping-particle":"","family":"Bunta","given":"Andrew D.","non-dropping-particle":"","parse-names":false,"suffix":""},{"dropping-particle":"","family":"Simonelli","given":"Christine","non-dropping-particle":"","parse-names":false,"suffix":""},{"dropping-particle":"","family":"Bolander","given":"Mark","non-dropping-particle":"","parse-names":false,"suffix":""},{"dropping-particle":"","family":"Fitzpatrick","given":"Lorraine A.","non-dropping-particle":"","parse-names":false,"suffix":""}],"container-title":"Clinical Orthopaedics and Related Research","id":"ITEM-2","issue":"461","issued":{"date-parts":[["2007"]]},"page":"226-230","title":"Prior fractures are common in patients with subsequent hip fractures","type":"article-journal"},"uris":["http://www.mendeley.com/documents/?uuid=5bab194b-35fc-4034-abc7-d9f8e1cb14c3"]},{"id":"ITEM-3","itemData":{"DOI":"10.1007/s00198-017-4247-1","ISSN":"1433-2965 (Electronic)","PMID":"28965215","abstract":"Fracture liaison services prevent hip fractures by identifying other osteoporotic fractures that generally debut at a younger age. However, this study showed that a minority of hip fracture patients are already known to the health services through having had prior osteoporotic fractures. Identification of vertebral fractures in particular is lacking. INTRODUCTION: The purpose of this study was to examine the prevalence of prior major osteoporotic fractures (MOF) in the prior 10 years preceding hip fracture in order to provide information about the potential for prevention of hip fractures by fracture liaison services (FLS). METHODS: We included all patients aged 50+ with surgically treated hip fracture in one calendar year (N = 8158) in the Danish Hospital Discharge Register. Prior fractures were identified using the same data source. A prior hip fracture was only included as a prior fracture if occurring more than 6 months before the present fracture. RESULTS: A total of 28% of hip fracture patients (32% of women and 19% of men) had at least one recognized MOF in the preceding 10 years. Forearm and humerus fractures constituted &gt; 70% of prior MOF. In both genders, vertebral fractures only represented a small percentage (2.6%) of previously recognized MOF. Men were less likely than women to have experienced a prior MOF, chiefly due to fewer forearm and humerus fractures. CONCLUSION: The majority of hip fractures-and in particular hip fractures in men-occur without a previously treated MOF that could have resulted in early detection and treatment of osteoporosis. With current treatment modalities, a maximum of one in six hip fractures in Denmark can be prevented through FLS initiatives. Identification of patients with vertebral fractures for assessment and treatment is therefore critical for successful prevention of hip fractures using this strategy.","author":[{"dropping-particle":"","family":"Frederiksen","given":"A","non-dropping-particle":"","parse-names":false,"suffix":""},{"dropping-particle":"","family":"Abrahamsen","given":"B","non-dropping-particle":"","parse-names":false,"suffix":""},{"dropping-particle":"","family":"Johansen","given":"P B","non-dropping-particle":"","parse-names":false,"suffix":""},{"dropping-particle":"","family":"Sorensen","given":"H A","non-dropping-particle":"","parse-names":false,"suffix":""}],"container-title":"Osteoporosis international : a journal established as result of cooperation between the European Foundation for Osteoporosis and the National Osteoporosis Foundation of the USA","id":"ITEM-3","issue":"1","issued":{"date-parts":[["2018","1"]]},"language":"eng","page":"109-114","publisher-place":"England","title":"Danish, national cross-sectional observational study on the prevalence of prior major osteoporotic fractures in adults presenting with hip fracture-limitations and scope for fracture liaison services in prevention of hip fracture.","type":"article-journal","volume":"29"},"uris":["http://www.mendeley.com/documents/?uuid=1a14079e-dd42-4a2f-aa88-dbf312bbc19b"]}],"mendeley":{"formattedCitation":"[7–9]","plainTextFormattedCitation":"[7–9]","previouslyFormattedCitation":"[7–9]"},"properties":{"noteIndex":0},"schema":"https://github.com/citation-style-language/schema/raw/master/csl-citation.json"}</w:instrText>
      </w:r>
      <w:r w:rsidR="00E231AE">
        <w:rPr>
          <w:rFonts w:ascii="Times" w:hAnsi="Times" w:cs="Times New Roman"/>
          <w:lang w:val="en"/>
        </w:rPr>
        <w:fldChar w:fldCharType="separate"/>
      </w:r>
      <w:r w:rsidR="0043152A" w:rsidRPr="0043152A">
        <w:rPr>
          <w:rFonts w:ascii="Times" w:hAnsi="Times" w:cs="Times New Roman"/>
          <w:noProof/>
          <w:lang w:val="en"/>
        </w:rPr>
        <w:t>[7–9]</w:t>
      </w:r>
      <w:r w:rsidR="00E231AE">
        <w:rPr>
          <w:rFonts w:ascii="Times" w:hAnsi="Times" w:cs="Times New Roman"/>
          <w:lang w:val="en"/>
        </w:rPr>
        <w:fldChar w:fldCharType="end"/>
      </w:r>
      <w:r w:rsidR="00802C95">
        <w:rPr>
          <w:rFonts w:ascii="Times" w:hAnsi="Times" w:cs="Times New Roman"/>
          <w:lang w:val="en"/>
        </w:rPr>
        <w:t>.</w:t>
      </w:r>
      <w:r w:rsidR="00260E44">
        <w:rPr>
          <w:rFonts w:ascii="Times" w:hAnsi="Times" w:cs="Times New Roman"/>
          <w:lang w:val="en"/>
        </w:rPr>
        <w:t xml:space="preserve"> </w:t>
      </w:r>
      <w:r w:rsidR="00B7041F">
        <w:rPr>
          <w:rFonts w:ascii="Times" w:hAnsi="Times" w:cs="Times New Roman"/>
          <w:lang w:val="en"/>
        </w:rPr>
        <w:t>The potential of a</w:t>
      </w:r>
      <w:r w:rsidR="006D7887">
        <w:rPr>
          <w:rFonts w:ascii="Times" w:hAnsi="Times" w:cs="Times New Roman"/>
          <w:lang w:val="en"/>
        </w:rPr>
        <w:t xml:space="preserve">nti-osteoporosis medications (AOM) to </w:t>
      </w:r>
      <w:r w:rsidR="00305D73" w:rsidRPr="00397404">
        <w:rPr>
          <w:rFonts w:ascii="Times" w:hAnsi="Times" w:cs="Times New Roman"/>
          <w:lang w:val="en-US"/>
        </w:rPr>
        <w:t>disrupt</w:t>
      </w:r>
      <w:r w:rsidR="006D7887">
        <w:rPr>
          <w:rFonts w:ascii="Times" w:hAnsi="Times" w:cs="Times New Roman"/>
          <w:lang w:val="en"/>
        </w:rPr>
        <w:t xml:space="preserve"> this fracture</w:t>
      </w:r>
      <w:r w:rsidR="00B7041F">
        <w:rPr>
          <w:rFonts w:ascii="Times" w:hAnsi="Times" w:cs="Times New Roman"/>
          <w:lang w:val="en"/>
        </w:rPr>
        <w:t xml:space="preserve"> cascade by reducing subsequent fracture risk has been demonstrated</w:t>
      </w:r>
      <w:r w:rsidR="0019751F">
        <w:rPr>
          <w:rFonts w:ascii="Times" w:hAnsi="Times" w:cs="Times New Roman"/>
          <w:lang w:val="en"/>
        </w:rPr>
        <w:fldChar w:fldCharType="begin" w:fldLock="1"/>
      </w:r>
      <w:r w:rsidR="00EA71A7">
        <w:rPr>
          <w:rFonts w:ascii="Times" w:hAnsi="Times" w:cs="Times New Roman"/>
          <w:lang w:val="en"/>
        </w:rPr>
        <w:instrText>ADDIN CSL_CITATION {"citationItems":[{"id":"ITEM-1","itemData":{"DOI":"10.1016/j.berh.2019.04.005","ISSN":"15321770","abstract":"In view of the high imminent risk for subsequent fractures, eval- uation as early as possible after the fracture will result in early decisions about drug treatment, fall prevention and nutritional supplements. Drug treatment includes anti-resorptive and bone forming agents. Anti-resorptive therapy with broad spectrum fracture prevention and early anti-fracture effects are the first choice. In patients with multiple or severe VFs, the bone forming agent teriparatide should be considered. Adequate calcium and vitamin D are needed in all patients, together with appropriate nutrition, including adequate protein intake.","author":[{"dropping-particle":"","family":"Geusens","given":"P.","non-dropping-particle":"","parse-names":false,"suffix":""},{"dropping-particle":"","family":"Lems","given":"W. F.","non-dropping-particle":"","parse-names":false,"suffix":""},{"dropping-particle":"","family":"Bours","given":"S.","non-dropping-particle":"","parse-names":false,"suffix":""},{"dropping-particle":"","family":"Bergh","given":"J. P.","non-dropping-particle":"vd","parse-names":false,"suffix":""}],"container-title":"Best Practice and Research: Clinical Rheumatology","id":"ITEM-1","issue":"2","issued":{"date-parts":[["2019"]]},"page":"290-300","title":"Secondary fracture prevention: Drug treatment, fall prevention and nutrition requirements","type":"article-journal","volume":"33"},"uris":["http://www.mendeley.com/documents/?uuid=3e8df919-d42e-4486-85b1-833ac80534f4"]}],"mendeley":{"formattedCitation":"[10]","plainTextFormattedCitation":"[10]","previouslyFormattedCitation":"[10]"},"properties":{"noteIndex":0},"schema":"https://github.com/citation-style-language/schema/raw/master/csl-citation.json"}</w:instrText>
      </w:r>
      <w:r w:rsidR="0019751F">
        <w:rPr>
          <w:rFonts w:ascii="Times" w:hAnsi="Times" w:cs="Times New Roman"/>
          <w:lang w:val="en"/>
        </w:rPr>
        <w:fldChar w:fldCharType="separate"/>
      </w:r>
      <w:r w:rsidR="0043152A" w:rsidRPr="0043152A">
        <w:rPr>
          <w:rFonts w:ascii="Times" w:hAnsi="Times" w:cs="Times New Roman"/>
          <w:noProof/>
          <w:lang w:val="en"/>
        </w:rPr>
        <w:t>[10]</w:t>
      </w:r>
      <w:r w:rsidR="0019751F">
        <w:rPr>
          <w:rFonts w:ascii="Times" w:hAnsi="Times" w:cs="Times New Roman"/>
          <w:lang w:val="en"/>
        </w:rPr>
        <w:fldChar w:fldCharType="end"/>
      </w:r>
      <w:r w:rsidR="00107E03">
        <w:rPr>
          <w:rFonts w:ascii="Times" w:hAnsi="Times" w:cs="Times New Roman"/>
          <w:lang w:val="en"/>
        </w:rPr>
        <w:t>. Hence,</w:t>
      </w:r>
      <w:r w:rsidR="00B7041F">
        <w:rPr>
          <w:rFonts w:ascii="Times" w:hAnsi="Times" w:cs="Times New Roman"/>
          <w:lang w:val="en"/>
        </w:rPr>
        <w:t xml:space="preserve"> Danish guidelines – </w:t>
      </w:r>
      <w:r w:rsidR="004F3EB8">
        <w:rPr>
          <w:rFonts w:ascii="Times" w:hAnsi="Times" w:cs="Times New Roman"/>
          <w:lang w:val="en"/>
        </w:rPr>
        <w:t xml:space="preserve">generally </w:t>
      </w:r>
      <w:r w:rsidR="00B7041F">
        <w:rPr>
          <w:rFonts w:ascii="Times" w:hAnsi="Times" w:cs="Times New Roman"/>
          <w:lang w:val="en"/>
        </w:rPr>
        <w:t>in a</w:t>
      </w:r>
      <w:r w:rsidR="00BD48DB">
        <w:rPr>
          <w:rFonts w:ascii="Times" w:hAnsi="Times" w:cs="Times New Roman"/>
          <w:lang w:val="en"/>
        </w:rPr>
        <w:t xml:space="preserve">ccordance </w:t>
      </w:r>
      <w:r w:rsidR="00B00F5C">
        <w:rPr>
          <w:rFonts w:ascii="Times" w:hAnsi="Times" w:cs="Times New Roman"/>
          <w:lang w:val="en"/>
        </w:rPr>
        <w:t>with international guidelines</w:t>
      </w:r>
      <w:r w:rsidR="00B7041F">
        <w:rPr>
          <w:rFonts w:ascii="Times" w:hAnsi="Times" w:cs="Times New Roman"/>
          <w:lang w:val="en"/>
        </w:rPr>
        <w:t xml:space="preserve"> - </w:t>
      </w:r>
      <w:r w:rsidR="001E1A49">
        <w:rPr>
          <w:rFonts w:ascii="Times" w:hAnsi="Times" w:cs="Times New Roman"/>
          <w:lang w:val="en"/>
        </w:rPr>
        <w:t xml:space="preserve">recommend assessment for osteoporosis in patients with any fragility fracture, </w:t>
      </w:r>
      <w:r w:rsidR="00155D0B">
        <w:rPr>
          <w:rFonts w:ascii="Times" w:hAnsi="Times" w:cs="Times New Roman"/>
          <w:lang w:val="en"/>
        </w:rPr>
        <w:t>while recognizing</w:t>
      </w:r>
      <w:r w:rsidR="001E1A49">
        <w:rPr>
          <w:rFonts w:ascii="Times" w:hAnsi="Times" w:cs="Times New Roman"/>
          <w:lang w:val="en"/>
        </w:rPr>
        <w:t xml:space="preserve"> </w:t>
      </w:r>
      <w:r w:rsidR="00260E44">
        <w:rPr>
          <w:rFonts w:ascii="Times" w:hAnsi="Times" w:cs="Times New Roman"/>
          <w:lang w:val="en"/>
        </w:rPr>
        <w:t xml:space="preserve">vertebral and proximal </w:t>
      </w:r>
      <w:r w:rsidR="001E1A49">
        <w:rPr>
          <w:rFonts w:ascii="Times" w:hAnsi="Times" w:cs="Times New Roman"/>
          <w:lang w:val="en"/>
        </w:rPr>
        <w:t>hip fractures</w:t>
      </w:r>
      <w:r w:rsidR="00260E44">
        <w:rPr>
          <w:rFonts w:ascii="Times" w:hAnsi="Times" w:cs="Times New Roman"/>
          <w:lang w:val="en"/>
        </w:rPr>
        <w:t xml:space="preserve"> as </w:t>
      </w:r>
      <w:r w:rsidR="0052369B">
        <w:rPr>
          <w:rFonts w:ascii="Times" w:hAnsi="Times" w:cs="Times New Roman"/>
          <w:lang w:val="en"/>
        </w:rPr>
        <w:t>highly suggestive of</w:t>
      </w:r>
      <w:r w:rsidR="00260E44">
        <w:rPr>
          <w:rFonts w:ascii="Times" w:hAnsi="Times" w:cs="Times New Roman"/>
          <w:lang w:val="en"/>
        </w:rPr>
        <w:t xml:space="preserve"> osteoporosis and thus mandating AOM therapy unless disqualifying circumstances </w:t>
      </w:r>
      <w:r w:rsidR="00DB6E37">
        <w:rPr>
          <w:rFonts w:ascii="Times" w:hAnsi="Times" w:cs="Times New Roman"/>
          <w:lang w:val="en"/>
        </w:rPr>
        <w:t>prevail</w:t>
      </w:r>
      <w:r w:rsidR="00260E44">
        <w:rPr>
          <w:rFonts w:ascii="Times" w:hAnsi="Times" w:cs="Times New Roman"/>
          <w:lang w:val="en"/>
        </w:rPr>
        <w:fldChar w:fldCharType="begin" w:fldLock="1"/>
      </w:r>
      <w:r w:rsidR="009F7D62">
        <w:rPr>
          <w:rFonts w:ascii="Times" w:hAnsi="Times" w:cs="Times New Roman"/>
          <w:lang w:val="en"/>
        </w:rPr>
        <w:instrText>ADDIN CSL_CITATION {"citationItems":[{"id":"ITEM-1","itemData":{"author":[{"dropping-particle":"","family":"Hitz","given":"Mette","non-dropping-particle":"","parse-names":false,"suffix":""},{"dropping-particle":"","family":"Harsløf","given":"Torben","non-dropping-particle":"","parse-names":false,"suffix":""},{"dropping-particle":"","family":"Ejersted","given":"Charlotte","non-dropping-particle":"","parse-names":false,"suffix":""},{"dropping-particle":"","family":"Bech-Jensen","given":"Jens-Erik","non-dropping-particle":"","parse-names":false,"suffix":""},{"dropping-particle":"","family":"Brockstedt","given":"Helle","non-dropping-particle":"","parse-names":false,"suffix":""},{"dropping-particle":"","family":"Vestergaard","given":"Peter","non-dropping-particle":"","parse-names":false,"suffix":""},{"dropping-particle":"","family":"Frost","given":"Morten","non-dropping-particle":"","parse-names":false,"suffix":""},{"dropping-particle":"","family":"Langdahl","given":"Bente","non-dropping-particle":"","parse-names":false,"suffix":""}],"id":"ITEM-1","issued":{"date-parts":[["2019"]]},"title":"NBV: Postmenopausal osteoporose","type":"report"},"uris":["http://www.mendeley.com/documents/?uuid=4d291df8-d6a9-4d56-825a-a25a201599a8"]},{"id":"ITEM-2","itemData":{"author":[{"dropping-particle":"","family":"Hermann","given":"Pernille","non-dropping-particle":"","parse-names":false,"suffix":""},{"dropping-particle":"","family":"Frost","given":"Morten","non-dropping-particle":"","parse-names":false,"suffix":""},{"dropping-particle":"","family":"Abrahamsen","given":"Bo","non-dropping-particle":"","parse-names":false,"suffix":""},{"dropping-particle":"","family":"Vestergaard","given":"Peter","non-dropping-particle":"","parse-names":false,"suffix":""},{"dropping-particle":"","family":"Sørensen","given":"Henrik A","non-dropping-particle":"","parse-names":false,"suffix":""},{"dropping-particle":"","family":"Schwarz","given":"Peter","non-dropping-particle":"","parse-names":false,"suffix":""},{"dropping-particle":"","family":"Eiken","given":"Pia","non-dropping-particle":"","parse-names":false,"suffix":""}],"id":"ITEM-2","issued":{"date-parts":[["2020"]]},"title":"NBV: Behandling af mandlig osteoporose","type":"report"},"uris":["http://www.mendeley.com/documents/?uuid=d7899b14-3d39-4fdb-9ed5-a23f242a86e3"]},{"id":"ITEM-3","itemData":{"DOI":"10.1007/s00198-018-4704-5","PMID":"30324412","abstract":"Summary Guidance is provided in a European setting on the assessment and treatment of postmenopausal women at risk from fractures due to osteoporosis. Introduction The International Osteoporosis Foundation and European Society for Clinical and Economic Aspects of Osteoporosis and Osteoarthritis published guidance for the diagnosis and management of osteoporosis in 2013. This manuscript updates these in a European setting. Methods Systematic reviews were updated. Results The following areas are reviewed: the role of bone mineral density measurement for the diagnosis of osteoporosis and assessment of fracture risk; general and pharmacological management of osteoporosis; monitoring of treatment; assessment of fracture risk; case-finding strategies; investigation of patients; health economics of treatment. The update includes new infor- mation on the evaluation of bone microstructure evaluation in facture risk assessment, the role of FRAX® and Fracture Liaison Services in secondary fracture prevention, long-term effects on fracture risk of dietary intakes, and increased fracture risk on stopping drug treatment. Conclusions A platform is provided on which specific guidelines can be developed for national use.","author":[{"dropping-particle":"","family":"Kanis","given":"John","non-dropping-particle":"","parse-names":false,"suffix":""},{"dropping-particle":"","family":"Cooper","given":"Cyrus","non-dropping-particle":"","parse-names":false,"suffix":""},{"dropping-particle":"","family":"Rizzoli","given":"Rene","non-dropping-particle":"","parse-names":false,"suffix":""},{"dropping-particle":"","family":"Reginster","given":"Jean-Yves","non-dropping-particle":"","parse-names":false,"suffix":""},{"dropping-particle":"","family":"Scientific Advisory Board of the European Society for Clinical and Economic Aspects of Osteoporosis (ESCEO)","given":"","non-dropping-particle":"","parse-names":false,"suffix":""},{"dropping-particle":"","family":"Committees of Scientific Advisors and National Societies of the International Osteoporosis Foundation","given":"","non-dropping-particle":"","parse-names":false,"suffix":""}],"container-title":"Osteoporosis International","id":"ITEM-3","issue":"1","issued":{"date-parts":[["2019"]]},"page":"3-44","title":"European guidance for the diagnosis and management of osteoporosis in postmenopausal women","type":"article-journal","volume":"30"},"uris":["http://www.mendeley.com/documents/?uuid=8d2f5657-22f4-4623-b04d-dcdd926fa5fb"]},{"id":"ITEM-4","itemData":{"author":[{"dropping-particle":"","family":"Cooper","given":"Cyrus","non-dropping-particle":"","parse-names":false,"suffix":""},{"dropping-particle":"","family":"Ferrari","given":"Serge","non-dropping-particle":"","parse-names":false,"suffix":""},{"dropping-particle":"","family":"IOF Board and Executive Committee","given":"","non-dropping-particle":"","parse-names":false,"suffix":""}],"id":"ITEM-4","issued":{"date-parts":[["2017"]]},"number-of-pages":"1-76","title":"IOF Compendium of Osteoporosis","type":"report"},"uris":["http://www.mendeley.com/documents/?uuid=0835b78b-739d-40f3-ba22-c9b5e715052b"]},{"id":"ITEM-5","itemData":{"DOI":"10.1007/s11657-017-0324-5","ISBN":"1862-3514","ISSN":"18623514","PMID":"28425085","abstract":"INTRODUCTION In 2008, the UK National Osteoporosis Guideline Group (NOGG) produced a guideline on the prevention and treatment of osteoporosis, with an update in 2013. This paper presents a major update of the guideline, the scope of which is to review the assessment and management of osteoporosis and the prevention of fragility fractures in postmenopausal women and men age 50 years or over. METHODS Where available, systematic reviews, meta-analyses and randomised controlled trials were used to provide the evidence base. Conclusions and recommendations were systematically graded according to the strength of the available evidence. RESULTS Review of the evidence and recommendations are provided for the diagnosis of osteoporosis, fracture-risk assessment, lifestyle measures and pharmacological interventions, duration and monitoring of bisphosphonate therapy, glucocorticoid-induced osteoporosis, osteoporosis in men, postfracture care and intervention thresholds. CONCLUSION The guideline, which has received accreditation from the National Institute of Health and Care Excellence (NICE), provides a comprehensive overview of the assessment and management of osteoporosis for all healthcare professionals who are involved in its management.","author":[{"dropping-particle":"","family":"Compston","given":"J.","non-dropping-particle":"","parse-names":false,"suffix":""},{"dropping-particle":"","family":"Cooper","given":"A.","non-dropping-particle":"","parse-names":false,"suffix":""},{"dropping-particle":"","family":"Cooper","given":"C.","non-dropping-particle":"","parse-names":false,"suffix":""},{"dropping-particle":"","family":"Gittoes","given":"N.","non-dropping-particle":"","parse-names":false,"suffix":""},{"dropping-particle":"","family":"Gregson","given":"C.","non-dropping-particle":"","parse-names":false,"suffix":""},{"dropping-particle":"","family":"Harvey","given":"N.","non-dropping-particle":"","parse-names":false,"suffix":""},{"dropping-particle":"","family":"Hope","given":"S.","non-dropping-particle":"","parse-names":false,"suffix":""},{"dropping-particle":"","family":"Kanis","given":"J. A.","non-dropping-particle":"","parse-names":false,"suffix":""},{"dropping-particle":"V.","family":"McCloskey","given":"E.","non-dropping-particle":"","parse-names":false,"suffix":""},{"dropping-particle":"","family":"Poole","given":"K. E.S.","non-dropping-particle":"","parse-names":false,"suffix":""},{"dropping-particle":"","family":"Reid","given":"D. M.","non-dropping-particle":"","parse-names":false,"suffix":""},{"dropping-particle":"","family":"Selby","given":"P.","non-dropping-particle":"","parse-names":false,"suffix":""},{"dropping-particle":"","family":"Thompson","given":"F.","non-dropping-particle":"","parse-names":false,"suffix":""},{"dropping-particle":"","family":"Thurston","given":"A.","non-dropping-particle":"","parse-names":false,"suffix":""},{"dropping-particle":"","family":"Vine","given":"N.","non-dropping-particle":"","parse-names":false,"suffix":""}],"container-title":"Archives of Osteoporosis","id":"ITEM-5","issue":"1","issued":{"date-parts":[["2017"]]},"page":"43","title":"UK clinical guideline for the prevention and treatment of osteoporosis","type":"article-journal","volume":"12"},"uris":["http://www.mendeley.com/documents/?uuid=1a36c8c1-b34e-497c-b021-4cc0c4dbed74"]},{"id":"ITEM-6","itemData":{"DOI":"10.1002/jbmr.3877","ISSN":"15234681","PMID":"31538675","abstract":"Osteoporosis-related fractures are undertreated, due in part to misinformation about recommended approaches to patient care and discrepancies among treatment guidelines. To help bridge this gap and improve patient outcomes, the American Society for Bone and Mineral Research assembled a multistakeholder coalition to develop clinical recommendations for the optimal prevention of secondary fracture among people aged 65 years and older with a hip or vertebral fracture. The coalition developed 13 recommendations (7 primary and 6 secondary) strongly supported by the empirical literature. The coalition recommends increased communication with patients regarding fracture risk, mortality and morbidity outcomes, and fracture risk reduction. Risk assessment (including fall history) should occur at regular intervals with referral to physical and/or occupational therapy as appropriate. Oral, intravenous, and subcutaneous pharmacotherapies are efficacious and can reduce risk of future fracture. Patients need education, however, about the benefits and risks of both treatment and not receiving treatment. Oral bisphosphonates alendronate and risedronate are first-line options and are generally well tolerated; otherwise, intravenous zoledronic acid and subcutaneous denosumab can be considered. Anabolic agents are expensive but may be beneficial for selected patients at high risk. Optimal duration of pharmacotherapy is unknown but because the risk for second fractures is highest in the early post-fracture period, prompt treatment is recommended. Adequate dietary or supplemental vitamin D and calcium intake should be assured. Individuals being treated for osteoporosis should be reevaluated for fracture risk routinely, including via patient education about osteoporosis and fractures and monitoring for adverse treatment effects. Patients should be strongly encouraged to avoid tobacco, consume alcohol in moderation at most, and engage in regular exercise and fall prevention strategies. Finally, referral to endocrinologists or other osteoporosis specialists may be warranted for individuals who experience repeated fracture or bone loss and those with complicating comorbidities (eg, hyperparathyroidism, chronic kidney disease). © 2019 American Society for Bone and Mineral Research.","author":[{"dropping-particle":"","family":"Conley","given":"Robert B.","non-dropping-particle":"","parse-names":false,"suffix":""},{"dropping-particle":"","family":"Adib","given":"Gemma","non-dropping-particle":"","parse-names":false,"suffix":""},{"dropping-particle":"","family":"Adler","given":"Robert A.","non-dropping-particle":"","parse-names":false,"suffix":""},{"dropping-particle":"","family":"Åkesson","given":"Kristina E.","non-dropping-particle":"","parse-names":false,"suffix":""},{"dropping-particle":"","family":"Alexander","given":"Ivy M.","non-dropping-particle":"","parse-names":false,"suffix":""},{"dropping-particle":"","family":"Amenta","given":"Kelly C.","non-dropping-particle":"","parse-names":false,"suffix":""},{"dropping-particle":"","family":"Blank","given":"Robert D.","non-dropping-particle":"","parse-names":false,"suffix":""},{"dropping-particle":"","family":"Brox","given":"William Timothy","non-dropping-particle":"","parse-names":false,"suffix":""},{"dropping-particle":"","family":"Carmody","given":"Emily E.","non-dropping-particle":"","parse-names":false,"suffix":""},{"dropping-particle":"","family":"Chapman-Novakofski","given":"Karen","non-dropping-particle":"","parse-names":false,"suffix":""},{"dropping-particle":"","family":"Clarke","given":"Bart L.","non-dropping-particle":"","parse-names":false,"suffix":""},{"dropping-particle":"","family":"Cody","given":"Kathleen M.","non-dropping-particle":"","parse-names":false,"suffix":""},{"dropping-particle":"","family":"Cooper","given":"Cyrus","non-dropping-particle":"","parse-names":false,"suffix":""},{"dropping-particle":"","family":"Crandall","given":"Carolyn J.","non-dropping-particle":"","parse-names":false,"suffix":""},{"dropping-particle":"","family":"Dirschl","given":"Douglas R.","non-dropping-particle":"","parse-names":false,"suffix":""},{"dropping-particle":"","family":"Eagen","given":"Thomas J.","non-dropping-particle":"","parse-names":false,"suffix":""},{"dropping-particle":"","family":"Elderkin","given":"Ann L.","non-dropping-particle":"","parse-names":false,"suffix":""},{"dropping-particle":"","family":"Fujita","given":"Masaki","non-dropping-particle":"","parse-names":false,"suffix":""},{"dropping-particle":"","family":"Greenspan","given":"Susan L.","non-dropping-particle":"","parse-names":false,"suffix":""},{"dropping-particle":"","family":"Halbout","given":"Philippe","non-dropping-particle":"","parse-names":false,"suffix":""},{"dropping-particle":"","family":"Hochberg","given":"Marc C.","non-dropping-particle":"","parse-names":false,"suffix":""},{"dropping-particle":"","family":"Javaid","given":"Muhammad","non-dropping-particle":"","parse-names":false,"suffix":""},{"dropping-particle":"","family":"Jeray","given":"Kyle J.","non-dropping-particle":"","parse-names":false,"suffix":""},{"dropping-particle":"","family":"Kearns","given":"Ann E.","non-dropping-particle":"","parse-names":false,"suffix":""},{"dropping-particle":"","family":"King","given":"Toby","non-dropping-particle":"","parse-names":false,"suffix":""},{"dropping-particle":"","family":"Koinis","given":"Thomas F.","non-dropping-particle":"","parse-names":false,"suffix":""},{"dropping-particle":"","family":"Koontz","given":"Jennifer Scott","non-dropping-particle":"","parse-names":false,"suffix":""},{"dropping-particle":"","family":"Kužma","given":"Martin","non-dropping-particle":"","parse-names":false,"suffix":""},{"dropping-particle":"","family":"Lindsey","given":"Carleen","non-dropping-particle":"","parse-names":false,"suffix":""},{"dropping-particle":"","family":"Lorentzon","given":"Mattias","non-dropping-particle":"","parse-names":false,"suffix":""},{"dropping-particle":"","family":"Lyritis","given":"George P.","non-dropping-particle":"","parse-names":false,"suffix":""},{"dropping-particle":"","family":"Michaud","given":"Laura Boehnke","non-dropping-particle":"","parse-names":false,"suffix":""},{"dropping-particle":"","family":"Miciano","given":"Armando","non-dropping-particle":"","parse-names":false,"suffix":""},{"dropping-particle":"","family":"Morin","given":"Suzanne N.","non-dropping-particle":"","parse-names":false,"suffix":""},{"dropping-particle":"","family":"Mujahid","given":"Nadia","non-dropping-particle":"","parse-names":false,"suffix":""},{"dropping-particle":"","family":"Napoli","given":"Nicola","non-dropping-particle":"","parse-names":false,"suffix":""},{"dropping-particle":"","family":"Olenginski","given":"Thomas P.","non-dropping-particle":"","parse-names":false,"suffix":""},{"dropping-particle":"","family":"Puzas","given":"J. Edward","non-dropping-particle":"","parse-names":false,"suffix":""},{"dropping-particle":"","family":"Rizou","given":"Stavroula","non-dropping-particle":"","parse-names":false,"suffix":""},{"dropping-particle":"","family":"Rosen","given":"Clifford J.","non-dropping-particle":"","parse-names":false,"suffix":""},{"dropping-particle":"","family":"Saag","given":"Kenneth","non-dropping-particle":"","parse-names":false,"suffix":""},{"dropping-particle":"","family":"Thompson","given":"Elizabeth","non-dropping-particle":"","parse-names":false,"suffix":""},{"dropping-particle":"","family":"Tosi","given":"Laura L.","non-dropping-particle":"","parse-names":false,"suffix":""},{"dropping-particle":"","family":"Tracer","given":"Howard","non-dropping-particle":"","parse-names":false,"suffix":""},{"dropping-particle":"","family":"Khosla","given":"Sundeep","non-dropping-particle":"","parse-names":false,"suffix":""},{"dropping-particle":"","family":"Kiel","given":"Douglas P.","non-dropping-particle":"","parse-names":false,"suffix":""}],"container-title":"Journal of Bone and Mineral Research","id":"ITEM-6","issue":"1","issued":{"date-parts":[["2020"]]},"page":"36-52","title":"Secondary Fracture Prevention: Consensus Clinical Recommendations from a Multistakeholder Coalition","type":"article-journal","volume":"35"},"uris":["http://www.mendeley.com/documents/?uuid=253d7c51-72e5-4074-89fb-7dc6f7949bdf"]}],"mendeley":{"formattedCitation":"[11–16]","plainTextFormattedCitation":"[11–16]","previouslyFormattedCitation":"[11–16]"},"properties":{"noteIndex":0},"schema":"https://github.com/citation-style-language/schema/raw/master/csl-citation.json"}</w:instrText>
      </w:r>
      <w:r w:rsidR="00260E44">
        <w:rPr>
          <w:rFonts w:ascii="Times" w:hAnsi="Times" w:cs="Times New Roman"/>
          <w:lang w:val="en"/>
        </w:rPr>
        <w:fldChar w:fldCharType="separate"/>
      </w:r>
      <w:r w:rsidR="009F7D62" w:rsidRPr="009F7D62">
        <w:rPr>
          <w:rFonts w:ascii="Times" w:hAnsi="Times" w:cs="Times New Roman"/>
          <w:noProof/>
          <w:lang w:val="en"/>
        </w:rPr>
        <w:t>[11–16]</w:t>
      </w:r>
      <w:r w:rsidR="00260E44">
        <w:rPr>
          <w:rFonts w:ascii="Times" w:hAnsi="Times" w:cs="Times New Roman"/>
          <w:lang w:val="en"/>
        </w:rPr>
        <w:fldChar w:fldCharType="end"/>
      </w:r>
      <w:r w:rsidR="001E1A49">
        <w:rPr>
          <w:rFonts w:ascii="Times" w:hAnsi="Times" w:cs="Times New Roman"/>
          <w:lang w:val="en"/>
        </w:rPr>
        <w:t xml:space="preserve">. </w:t>
      </w:r>
    </w:p>
    <w:p w14:paraId="49DE799C" w14:textId="6B9538A3" w:rsidR="00D9773F" w:rsidRDefault="00260E44" w:rsidP="00872C50">
      <w:pPr>
        <w:spacing w:line="480" w:lineRule="auto"/>
        <w:rPr>
          <w:rFonts w:ascii="Times" w:hAnsi="Times" w:cs="Times New Roman"/>
          <w:lang w:val="en"/>
        </w:rPr>
      </w:pPr>
      <w:r>
        <w:rPr>
          <w:rFonts w:ascii="Times" w:hAnsi="Times" w:cs="Times New Roman"/>
          <w:lang w:val="en"/>
        </w:rPr>
        <w:t xml:space="preserve">Despite </w:t>
      </w:r>
      <w:r w:rsidR="00C06E34">
        <w:rPr>
          <w:rFonts w:ascii="Times" w:hAnsi="Times" w:cs="Times New Roman"/>
          <w:lang w:val="en"/>
        </w:rPr>
        <w:t>these</w:t>
      </w:r>
      <w:r>
        <w:rPr>
          <w:rFonts w:ascii="Times" w:hAnsi="Times" w:cs="Times New Roman"/>
          <w:lang w:val="en"/>
        </w:rPr>
        <w:t xml:space="preserve"> recommendations, </w:t>
      </w:r>
      <w:r w:rsidR="00C81030">
        <w:rPr>
          <w:rFonts w:ascii="Times" w:hAnsi="Times" w:cs="Times New Roman"/>
          <w:lang w:val="en"/>
        </w:rPr>
        <w:t>the majority</w:t>
      </w:r>
      <w:r>
        <w:rPr>
          <w:rFonts w:ascii="Times" w:hAnsi="Times" w:cs="Times New Roman"/>
          <w:lang w:val="en"/>
        </w:rPr>
        <w:t xml:space="preserve"> of fragility fracture patients </w:t>
      </w:r>
      <w:r w:rsidR="00707D6C">
        <w:rPr>
          <w:rFonts w:ascii="Times" w:hAnsi="Times" w:cs="Times New Roman"/>
          <w:lang w:val="en"/>
        </w:rPr>
        <w:t xml:space="preserve">are not initiated on AOM, </w:t>
      </w:r>
      <w:r w:rsidR="007D2540">
        <w:rPr>
          <w:rFonts w:ascii="Times" w:hAnsi="Times" w:cs="Times New Roman"/>
          <w:lang w:val="en"/>
        </w:rPr>
        <w:t>as</w:t>
      </w:r>
      <w:r w:rsidR="00074BC0">
        <w:rPr>
          <w:rFonts w:ascii="Times" w:hAnsi="Times" w:cs="Times New Roman"/>
          <w:lang w:val="en"/>
        </w:rPr>
        <w:t xml:space="preserve"> h</w:t>
      </w:r>
      <w:r w:rsidR="00707D6C">
        <w:rPr>
          <w:rFonts w:ascii="Times" w:hAnsi="Times" w:cs="Times New Roman"/>
          <w:lang w:val="en"/>
        </w:rPr>
        <w:t>as</w:t>
      </w:r>
      <w:r w:rsidR="005E4CF6">
        <w:rPr>
          <w:rFonts w:ascii="Times" w:hAnsi="Times" w:cs="Times New Roman"/>
          <w:lang w:val="en"/>
        </w:rPr>
        <w:t xml:space="preserve"> been</w:t>
      </w:r>
      <w:r w:rsidR="00707D6C">
        <w:rPr>
          <w:rFonts w:ascii="Times" w:hAnsi="Times" w:cs="Times New Roman"/>
          <w:lang w:val="en"/>
        </w:rPr>
        <w:t xml:space="preserve"> demonstrated consistently across settings and health</w:t>
      </w:r>
      <w:r w:rsidR="00B857F5">
        <w:rPr>
          <w:rFonts w:ascii="Times" w:hAnsi="Times" w:cs="Times New Roman"/>
          <w:lang w:val="en"/>
        </w:rPr>
        <w:t>care</w:t>
      </w:r>
      <w:r w:rsidR="00707D6C">
        <w:rPr>
          <w:rFonts w:ascii="Times" w:hAnsi="Times" w:cs="Times New Roman"/>
          <w:lang w:val="en"/>
        </w:rPr>
        <w:t xml:space="preserve"> systems</w:t>
      </w:r>
      <w:r w:rsidR="002F036D">
        <w:rPr>
          <w:rFonts w:ascii="Times" w:hAnsi="Times" w:cs="Times New Roman"/>
          <w:lang w:val="en"/>
        </w:rPr>
        <w:fldChar w:fldCharType="begin" w:fldLock="1"/>
      </w:r>
      <w:r w:rsidR="009F7D62">
        <w:rPr>
          <w:rFonts w:ascii="Times" w:hAnsi="Times" w:cs="Times New Roman"/>
          <w:lang w:val="en"/>
        </w:rPr>
        <w:instrText>ADDIN CSL_CITATION {"citationItems":[{"id":"ITEM-1","itemData":{"DOI":"10.1007/s00198-004-1675-5","ISBN":"0937-941X","ISSN":"0937941X","PMID":"15258724","abstract":"Fragility fractures are a strong indicator of underlying osteoporosis (OP). With the risk of future fracture being increased 1.5- to 9.5-fold following a fragility fracture, the diagnosis and treatment of OP in men and women with fragility fractures provides the opportunity to prevent future fragility fractures. This review describes the current status of practice in investigation and diagnosis of OP in men and women with fragility fractures, the rates and types of postfracture treatment in patients with fragility fractures and OP, interventions undertaken in this population, and the barriers to OP identification and treatment. A literature search performed in Medline, Healthstar, CINAHL, EMBASE, PreMedline, the Cochrane Central Register of Controlled Trials, and the Cochrane Database of Systematic Reviews identified 37 studies on OP diagnosis, treatment, and interventions. The studies varied in design methodology, study facilities, types of fractures, and pharmacological treatments. Some studies revealed that no patients with fragility fractures received investigation or treatment for underlying OP. Investigation of OP by bone mineral density was low: 14 of 16 studies reported investigation of less than 32% of patients. Investigation by bone mineral density resulted in high rates of OP diagnosis (35-100%), but only moderate use of calcium and vitamin D (8-62%, median 18%) and bisphosphates (0.5-38%) in patients investigated postfracture. Studies on barriers to OP identification and treatment focused on various groups of health practitioners. Barriers included the cost of therapies, time and cost of resources for diagnosis, concerns about medications, and the lack of clarity regarding the responsibility to undertake this care.","author":[{"dropping-particle":"","family":"Elliot-Gibson","given":"V.","non-dropping-particle":"","parse-names":false,"suffix":""},{"dropping-particle":"","family":"Bogoch","given":"E. R.","non-dropping-particle":"","parse-names":false,"suffix":""},{"dropping-particle":"","family":"Jamal","given":"S. A.","non-dropping-particle":"","parse-names":false,"suffix":""},{"dropping-particle":"","family":"Beaton","given":"D. E.","non-dropping-particle":"","parse-names":false,"suffix":""}],"container-title":"Osteoporosis International","id":"ITEM-1","issue":"10","issued":{"date-parts":[["2004"]]},"page":"767-778","title":"Practice patterns in the diagnosis and treatment of osteoporosis after a fragility fracture: A systematic review","type":"article-journal","volume":"15"},"uris":["http://www.mendeley.com/documents/?uuid=922c4cf2-c0af-4cc1-aac2-3ed68c7b83ac"]},{"id":"ITEM-2","itemData":{"DOI":"10.1186/1471-2474-5-11","ISBN":"1471-2474 (Electronic)\\r1471-2474 (Linking)","ISSN":"14712474","PMID":"15068488","abstract":"The presence of a fragility fracture is a major risk factor for osteoporosis, and should be an indicator for osteoporosis diagnosis and therapy. However, the extent to which patients who fracture are assessed and treated for osteoporosis is not clear.","author":[{"dropping-particle":"","family":"Papaioannou","given":"Alexandra","non-dropping-particle":"","parse-names":false,"suffix":""},{"dropping-particle":"","family":"Giangregorio","given":"Lora","non-dropping-particle":"","parse-names":false,"suffix":""},{"dropping-particle":"","family":"Kvern","given":"Brent","non-dropping-particle":"","parse-names":false,"suffix":""},{"dropping-particle":"","family":"Boulos","given":"Pauline","non-dropping-particle":"","parse-names":false,"suffix":""},{"dropping-particle":"","family":"Ioannidis","given":"George","non-dropping-particle":"","parse-names":false,"suffix":""},{"dropping-particle":"","family":"Adachi","given":"Jonathan D.","non-dropping-particle":"","parse-names":false,"suffix":""}],"container-title":"BMC Musculoskeletal Disorders","id":"ITEM-2","issue":"11","issued":{"date-parts":[["2004"]]},"page":"1-6","title":"The osteoporosis care gap in Canada","type":"article-journal","volume":"5"},"uris":["http://www.mendeley.com/documents/?uuid=e2dc8c1a-c778-42d0-bf2a-9a654b18e482"]},{"id":"ITEM-3","itemData":{"DOI":"10.12809/hkmj187227","abstract":"Introduction: Patients who sustain an osteoporotic fracture are at increased risk of sustaining further osteoporotic fracture. The risk can be reduced by prescription of anti-osteoporosis medication. The aim of the present study was to determine the current practice in Hong Kong regarding secondary drug prevention of fragility fractures after osteoporotic hip fracture. Methods: Dispensation of anti-osteoporosis medication records from patients with new fragility hip fractures aged ≥65 years were retrieved using the Hospital Authority Clinical Data Analysis and Reporting System from 2009 to 2012. The intervention rate each year was determined from the percentage of patients receiving anti-osteoporosis medication within 1 year after hip fracture. Results: A total of 15 866 patients with osteoporotic hip fracture who met the criteria were included. The intervention rate differed each year from 2009 to 2012, ranging between 9% and 15%. Orthopaedic surgeons initiated 63% of anti-osteoporosis medication, whereas physicians initiated 37%. The anti-osteoporosis drugs being prescribed included alendronic acid (76%), ibandronic acid (12%), strontium ranelate (5%), and zoledronic acid (4%). Conclusion: Most patients with hip fracture remained untreated for 1 year after the osteoporotic hip fracture. The Hospital Authority should allocate more resources to implement a best practice framework for treatment of patients with hip fracture at high risk of secondary fracture.","author":[{"dropping-particle":"","family":"Cheung","given":"MY","non-dropping-particle":"","parse-names":false,"suffix":""},{"dropping-particle":"","family":"Ho","given":"Angela WH","non-dropping-particle":"","parse-names":false,"suffix":""},{"dropping-particle":"","family":"Wong","given":"SH","non-dropping-particle":"","parse-names":false,"suffix":""}],"container-title":"Hong Kong medical journal","id":"ITEM-3","issue":"6","issued":{"date-parts":[["2018"]]},"page":"579-83","title":"Post-fracture care gap: a retrospective population-based analysis of Hong Kong from 2009 to 2012","type":"article-journal","volume":"24"},"uris":["http://www.mendeley.com/documents/?uuid=2bd4e3e4-8ca5-47e0-97be-de37d3cbca34"]},{"id":"ITEM-4","itemData":{"DOI":"10.1007/s00198-010-1359-2","ISBN":"1433-2965 (Electronic)\\n0937-941X (Linking)","ISSN":"0937941X","PMID":"20683706","abstract":"Canadian women over 50 years old were studied over a 10-year period to see if those who sustained a fracture (caused by minimal trauma) were receiving the recommended osteoporosis therapy. We found that approximately half of these women were not being treated, indicating a significant care gap in osteoporosis treatment. INTRODUCTION: Prevalent fragility fracture strongly predicts future fracture. Previous studies have indicated that women with fragility fractures are not receiving the indicated treatment. We aimed to describe post fracture care in Canadian women using a large, population-based prospective cohort that began in 1995-1997. METHODS: We followed 5,566 women over 50 years of age from across Canada over a period of 10 years in the Canadian Multicentre Osteoporosis Study. Information on medication use and incident clinical fragility fractures was obtained during a yearly questionnaire or interview and fractures were confirmed by radiographic/medical reports. RESULTS: Over the 10-year study period, 42-56% of women with yearly incident clinical fragility fractures were not treated with an osteoporosis medication. During year 1 of the study, 22% of the women who had experienced a fragility fracture were on treatment with a bisphosphonate and 26% were on hormone therapy (HT). We were not able to differentiate HT use for menopause symptoms vs osteoporosis. Use of bisphosphonate therapy increased over time; odds ratio (OR) for use at year 10 compared to use at year 1 was 3.65 (95% confidence interval (CI) 1.83-7.26). In contrast, HT use declined, with an OR of 0.07 (95%CI 0.02-0.24) at year 10 compared to year 1 of the study. CONCLUSION: In a large population-based cohort study, we found a therapeutic care gap in women with osteoporosis and fragility fractures. Although bisphosphonate therapy usage improved over time, a substantial gap remains","author":[{"dropping-particle":"","family":"Fraser","given":"L. A.","non-dropping-particle":"","parse-names":false,"suffix":""},{"dropping-particle":"","family":"Ioannidis","given":"G.","non-dropping-particle":"","parse-names":false,"suffix":""},{"dropping-particle":"","family":"Adachi","given":"J. D.","non-dropping-particle":"","parse-names":false,"suffix":""},{"dropping-particle":"","family":"Pickard","given":"L.","non-dropping-particle":"","parse-names":false,"suffix":""},{"dropping-particle":"","family":"Kaiser","given":"S. M.","non-dropping-particle":"","parse-names":false,"suffix":""},{"dropping-particle":"","family":"Prior","given":"J.","non-dropping-particle":"","parse-names":false,"suffix":""},{"dropping-particle":"","family":"Brown","given":"J. P.","non-dropping-particle":"","parse-names":false,"suffix":""},{"dropping-particle":"","family":"Hanley","given":"D. A.","non-dropping-particle":"","parse-names":false,"suffix":""},{"dropping-particle":"","family":"Olszynski","given":"W. P.","non-dropping-particle":"","parse-names":false,"suffix":""},{"dropping-particle":"","family":"Anastassiades","given":"T.","non-dropping-particle":"","parse-names":false,"suffix":""},{"dropping-particle":"","family":"Jamal","given":"S.","non-dropping-particle":"","parse-names":false,"suffix":""},{"dropping-particle":"","family":"Josse","given":"R.","non-dropping-particle":"","parse-names":false,"suffix":""},{"dropping-particle":"","family":"Goltzman","given":"D.","non-dropping-particle":"","parse-names":false,"suffix":""},{"dropping-particle":"","family":"Papaioannou","given":"A.","non-dropping-particle":"","parse-names":false,"suffix":""}],"container-title":"Osteoporosis International","id":"ITEM-4","issue":"3","issued":{"date-parts":[["2011"]]},"page":"789-796","title":"Fragility fractures and the osteoporosis care gap in women: The Canadian Multicentre Osteoporosis Study","type":"article-journal","volume":"22"},"uris":["http://www.mendeley.com/documents/?uuid=c140acfb-819d-44dd-8f6f-ab4f3ff879ca"]},{"id":"ITEM-5","itemData":{"DOI":"10.1007/s00198-014-2827-x","ISBN":"0937-941x","ISSN":"14332965","PMID":"25112720","abstract":"Pharmacologic therapy is recommended to reduce future fracture risk. We examined osteoporosis medications dispensed to older women after first fracture. Only 23 % received therapy during the first year post-fracture. Prior osteoporosis therapy, a prior osteoporosis diagnosis, and older age were good predictors of post-fracture osteoporosis therapy. INTRODUCTION: Pharmacologic therapy is recommended after osteoporotic fracture to reduce future fracture risk. The objective of this retrospective study was to examine osteoporosis therapy dispensed to women post-fracture. METHODS: We identified women &gt;/=50 years old in a large administrative claims database from 2003 to mid-2012 who were continuously enrolled 2 years before (baseline) and 1 year after first osteoporotic fracture. Exclusions were Paget's disease or malignant neoplasm. Pre- and post-fracture osteoporosis therapies (oral and parenteral) were assessed overall and by fracture site. RESULTS: A total of 47,171 women of mean (SD) age of 63 (10) years were eligible; fractures included 8 % hip, 17 % vertebral, 73 % non-hip/non-vertebral, and 3 % multiple fracture sites. Only 18 % received osteoporosis therapy within 90 days and 23 % within 1 year post-fracture. Overall, 19 % of women had a prior osteoporosis diagnosis; 20 % had received osteoporosis therapy during baseline. Of 37,649 (80 %) women without baseline therapy, only 9 % initiated pharmacologic therapy within 1 year. The adjusted odds ratio (OR) of therapy within 1 year post-fracture was significantly greater for women who had received baseline osteoporosis therapy (versus none) and who had vertebral (OR 12.7, 95 % confidence interval (CI) 11.2-14.5), hip (15.2, 12.5-18.7), or non-hip/non-vertebral fracture (34.4, 31.7-37.3). Other significant predictors included pre-fracture osteoporosis diagnosis (1.6, 1.4-1.7) and older age (OR range, 1.3-1.7). Treatment adherence was significantly better among women with baseline osteoporosis diagnosis. CONCLUSIONS: The substantial post-fracture treatment gap represents an important unmet need for women with osteoporotic fractures. Fracture liaison or adherence programs could lead to improved post-fracture treatment rates.","author":[{"dropping-particle":"","family":"Wilk","given":"A.","non-dropping-particle":"","parse-names":false,"suffix":""},{"dropping-particle":"","family":"Sajjan","given":"S.","non-dropping-particle":"","parse-names":false,"suffix":""},{"dropping-particle":"","family":"Modi","given":"A.","non-dropping-particle":"","parse-names":false,"suffix":""},{"dropping-particle":"","family":"Fan","given":"C. P.S.","non-dropping-particle":"","parse-names":false,"suffix":""},{"dropping-particle":"","family":"Mavros","given":"P.","non-dropping-particle":"","parse-names":false,"suffix":""}],"container-title":"Osteoporosis International","id":"ITEM-5","issue":"12","issued":{"date-parts":[["2014"]]},"page":"2777-2786","title":"Post-fracture pharmacotherapy for women with osteoporotic fracture: analysis of a managed care population in the USA","type":"article-journal","volume":"25"},"uris":["http://www.mendeley.com/documents/?uuid=03c81add-edbc-4de4-b07a-493d23e93cbe"]},{"id":"ITEM-6","itemData":{"DOI":"10.1007/s00198-011-1536-y","ISSN":"0937941X","abstract":"UNLABELLED: Older veterans with acute hip fracture do not receive adequate evaluation and treatment for osteoporosis, irrespective of their age and underlying health status. INTRODUCTION: Hip fractures are a serious complication of osteoporosis, leading to high mortality and morbidity. Prior studies have found significant undertreatment of osteoporosis in women with hip fracture. We examined the rate of bone density (BMD) testing and osteoporosis treatment among a predominantly male population hospitalized with hip fractures. METHODS: We conducted a retrospective cohort study of patients age 65 years and older hospitalized in U.S. Department of Veterans Affairs (VA) hospitals with hip fracture (N = 3,347) between 1 October, 2004 and 30 September, 2006. The primary outcome was receipt of BMD testing or initiation of pharmacotherapy within 12 months of fracture. RESULTS: The mean age of the study population was 79.0 years (SD = 6.7), 96.5% were male, and 83.3% were white. Only 1.2% of hip fracture patients underwent BMD testing and 14.5% received osteoporosis therapy within 12 months of fracture. Among fracture patients with minimal comorbid illness (N = 756) only 1.6% underwent BMD testing and 13.0% received pharmacotherapy. In logistic regression models, treatment rates were higher for women compared to men (odds ratio, 3.30; 95% CI, 2.16-5.04) and lower for blacks compared to whites (odds ratio, 0.67; 95% CI, 0.45-0.99). CONCLUSIONS: Evaluation and treatment of osteoporosis among patients with fractures is suboptimal even in an integrated healthcare delivery system with generous pharmaceutical coverage. This study suggests that the undertreatment of osteoporosis demonstrated in the private sector is also present within the VA.","author":[{"dropping-particle":"","family":"Shibli-Rahhal","given":"A.","non-dropping-particle":"","parse-names":false,"suffix":""},{"dropping-particle":"","family":"Vaughan-Sarrazin","given":"M. S.","non-dropping-particle":"","parse-names":false,"suffix":""},{"dropping-particle":"","family":"Richardson","given":"K.","non-dropping-particle":"","parse-names":false,"suffix":""},{"dropping-particle":"","family":"Cram","given":"P.","non-dropping-particle":"","parse-names":false,"suffix":""}],"container-title":"Osteoporosis International","id":"ITEM-6","issue":"12","issued":{"date-parts":[["2011"]]},"page":"2973-2980","title":"Testing and treatment for osteoporosis following hip fracture in an integrated U.S. healthcare delivery system","type":"article-journal","volume":"22"},"uris":["http://www.mendeley.com/documents/?uuid=8868157d-acfe-4976-9df5-74683cbd5c4d"]},{"id":"ITEM-7","itemData":{"DOI":"10.1007/s00198-007-0483-0","ISBN":"0937-941X (Print)\\n0937-941X (Linking)","ISSN":"0937941X","PMID":"17924051","abstract":"UNLABELLED We examined osteoporosis diagnosis/treatment in 2,187 community dwelling men age 50+. After five years in the study, 90% of men with fragility fractures remained undiagnosed and untreated for osteoporosis. The need to treat fragility fractures is well established in guidelines, and these numbers represent an important care gap. INTRODUCTION Whether physicians in the community are recognizing and appropriately treating osteoporosis and fragility fractures in men remains unknown. We examined the rate of diagnosis and treatment in community dwelling men participating in the Canadian Multicentre Osteoporosis Study (CaMos). METHODS Between February 1996 and September 2002, 2,187 participants were recruited from nine sites across Canada and prospectively followed. Information on osteoporosis diagnosis, fractures, medications were collected annually by a detailed questionnaire. DXA examination of lumbar spine (L1-4) and hip were conducted at baseline and year five. RESULTS Diagnosis and treatment in men with clinical fragility fractures was low: at baseline and year five only 2.3% and 10.3% of men with a clinical fracture reported an osteoporosis diagnosis, respectively. At year five, 90% of men with a clinical fragility fracture were untreated. Hip fractures were the most commonly treated (37.5% by year five). A diagnosis of osteoporosis resulted in greater treatment: 67% of participants with diagnosed osteoporosis were treated with a bisphosphonate and 87% were taking calcium and/or vitamin D (year five). CONCLUSIONS In this population-based study, both a diagnostic and therapeutic gap existed between knowledge and practice related to fragility fractures and osteoporosis in men aged &gt;or=50 years.","author":[{"dropping-particle":"","family":"Papaioannou","given":"A.","non-dropping-particle":"","parse-names":false,"suffix":""},{"dropping-particle":"","family":"Kennedy","given":"C. C.","non-dropping-particle":"","parse-names":false,"suffix":""},{"dropping-particle":"","family":"Ioannidis","given":"G.","non-dropping-particle":"","parse-names":false,"suffix":""},{"dropping-particle":"","family":"Gao","given":"Y.","non-dropping-particle":"","parse-names":false,"suffix":""},{"dropping-particle":"","family":"Sawka","given":"A. M.","non-dropping-particle":"","parse-names":false,"suffix":""},{"dropping-particle":"","family":"Goltzman","given":"D.","non-dropping-particle":"","parse-names":false,"suffix":""},{"dropping-particle":"","family":"Tenenhouse","given":"A.","non-dropping-particle":"","parse-names":false,"suffix":""},{"dropping-particle":"","family":"Pickard","given":"L.","non-dropping-particle":"","parse-names":false,"suffix":""},{"dropping-particle":"","family":"Olszynski","given":"W. P.","non-dropping-particle":"","parse-names":false,"suffix":""},{"dropping-particle":"","family":"Davison","given":"K. S.","non-dropping-particle":"","parse-names":false,"suffix":""},{"dropping-particle":"","family":"Kaiser","given":"S.","non-dropping-particle":"","parse-names":false,"suffix":""},{"dropping-particle":"","family":"Josse","given":"R. G.","non-dropping-particle":"","parse-names":false,"suffix":""},{"dropping-particle":"","family":"Kreiger","given":"N.","non-dropping-particle":"","parse-names":false,"suffix":""},{"dropping-particle":"","family":"Hanley","given":"D. A.","non-dropping-particle":"","parse-names":false,"suffix":""},{"dropping-particle":"","family":"Prior","given":"J. C.","non-dropping-particle":"","parse-names":false,"suffix":""},{"dropping-particle":"","family":"Brown","given":"J. P.","non-dropping-particle":"","parse-names":false,"suffix":""},{"dropping-particle":"","family":"Anastassiades","given":"T.","non-dropping-particle":"","parse-names":false,"suffix":""},{"dropping-particle":"","family":"Adachi","given":"J. D.","non-dropping-particle":"","parse-names":false,"suffix":""}],"container-title":"Osteoporosis International","id":"ITEM-7","issue":"4","issued":{"date-parts":[["2008"]]},"page":"581-587","title":"The osteoporosis care gap in men with fragility fractures: The Canadian Multicentre Osteoporosis Study","type":"article-journal","volume":"19"},"uris":["http://www.mendeley.com/documents/?uuid=cc903d32-c7a5-4a70-a100-9f75b6a22281"]},{"id":"ITEM-8","itemData":{"DOI":"10.1016/j.archger.2008.06.007","ISSN":"01674943","abstract":"The national Finnish guidelines for medical treatment of hip fracture patients are: osteoporosis medication and the daily concomitant use of vitamin D and calcium supplements. We investigated the post-fracture medical therapy for osteoporosis and the calcium and vitamin D therapy among hip fracture patients in two Finnish hospitals. The pre-fracture osteoporosis medication and use of calcium and vitamin D supplements of the patients were inquired on admission. The patient-specific use of osteoporosis medication and of prescribed calcium and vitamin D therapy during the follow-up time were checked from The Finnish Social Insurance Institution. At the end of the follow-up, those who were alive were inquired about the use of medication at the time. Eight percent of the 223 patients used osteoporosis medication and 8% used prescribed calcium and vitamin D supplements before the fracture. During the follow-up, the figures were 39% (52/133) and 53% (70/133), respectively, and at the end of the follow-up, correspondingly, 25% (29/114) and 44% (50/114). The follow-up time was 19.5-35 months. The post-fracture medical therapy for osteoporosis was insufficient. More effort should be focused on the secondary prevention following hip fracture in order to ensure the recommended treatment of osteoporosis. © 2008 Elsevier Ireland Ltd. All rights reserved.","author":[{"dropping-particle":"","family":"Lüthje","given":"Peter","non-dropping-particle":"","parse-names":false,"suffix":""},{"dropping-particle":"","family":"Nurmi-Lüthje","given":"Ilona","non-dropping-particle":"","parse-names":false,"suffix":""},{"dropping-particle":"","family":"Kaukonen","given":"Juha Pekka","non-dropping-particle":"","parse-names":false,"suffix":""},{"dropping-particle":"","family":"Kuurne","given":"Salla","non-dropping-particle":"","parse-names":false,"suffix":""},{"dropping-particle":"","family":"Naboulsi","given":"Helena","non-dropping-particle":"","parse-names":false,"suffix":""},{"dropping-particle":"","family":"Kataja","given":"Matti","non-dropping-particle":"","parse-names":false,"suffix":""}],"container-title":"Archives of Gerontology and Geriatrics","id":"ITEM-8","issue":"1","issued":{"date-parts":[["2009"]]},"page":"153-157","title":"Undertreatment of osteoporosis following hip fracture in the elderly","type":"article-journal","volume":"49"},"uris":["http://www.mendeley.com/documents/?uuid=c73b5d43-09a9-45e1-9c85-e6fa91d74066"]},{"id":"ITEM-9","itemData":{"DOI":"10.1007/s00198-011-1630-1","ISBN":"1433-2965; 0937-941X","ISSN":"0937941X","PMID":"21476038","abstract":"UNLABELLED: The post-fracture care gap has not narrowed in recent years. Following an initial improvement, rates of medication initiation have actually declined.\\n\\nINTRODUCTION: The current study characterizes temporal changes in post-fracture bone mineral density (BMD) testing or osteoporosis treatment initiation from 1996/1997 to 2007/2008.\\n\\nMETHODS: A population-based administrative data repository for Manitoba, Canada was accessed to identify non-traumatic fractures in individuals aged 50 years and older. Outcomes included BMD testing or dispensation of an osteoporosis medication in the 12 months following the fracture.\\n\\nRESULTS: Thirty thousand nine hundred and twenty (30,920) fracture events met the inclusion criteria; 15,670 affected major osteoporotic fracture sites. Based on either BMD testing or treatment initiation, intervention rates reached a maximum of only 15.5% in 2003/2004, compared with 6.3% in 1996/1997, and 13.2% in 2007/2008 (p-for-trend &lt; 0.001). Post-fracture BMD testing increased from 0.7% in 1996/1997 to 8.9% 2007/2008 (p-for-trend &lt; 0.001). Osteoporosis medication use increased from 6.1% in 1996/1997 to 12.3% in 2001/2002 and then progressively declined to 5.9% by 2007/2008 (p-for-trend = 0.025). Similar trends were observed when only major osteoporotic fractures were included. The initiation of BMD testing or medication varied according to age, gender, geographic region, and income.\\n\\nCONCLUSION: Despite increased attention to gaps in osteoporosis management post-fracture in the last 10 years, the situation has not improved: in 2007/20008, fewer than 20% of untreated individuals with a low-trauma fracture received intervention. Novel strategies are required to disseminate and implement best practices at the point of care to reduce the risk of recurrent fractures.","author":[{"dropping-particle":"","family":"Leslie","given":"W. D.","non-dropping-particle":"","parse-names":false,"suffix":""},{"dropping-particle":"","family":"Giangregorio","given":"L. M.","non-dropping-particle":"","parse-names":false,"suffix":""},{"dropping-particle":"","family":"Yogendran","given":"M.","non-dropping-particle":"","parse-names":false,"suffix":""},{"dropping-particle":"","family":"Azimaee","given":"M.","non-dropping-particle":"","parse-names":false,"suffix":""},{"dropping-particle":"","family":"Morin","given":"S.","non-dropping-particle":"","parse-names":false,"suffix":""},{"dropping-particle":"","family":"Metge","given":"C.","non-dropping-particle":"","parse-names":false,"suffix":""},{"dropping-particle":"","family":"Caetano","given":"P.","non-dropping-particle":"","parse-names":false,"suffix":""},{"dropping-particle":"","family":"Lix","given":"L. M.","non-dropping-particle":"","parse-names":false,"suffix":""}],"container-title":"Osteoporosis International","id":"ITEM-9","issue":"5","issued":{"date-parts":[["2012"]]},"page":"1623-1629","title":"A population-based analysis of the post-fracture care gap 1996-2008: The situation is not improving","type":"article-journal","volume":"23"},"uris":["http://www.mendeley.com/documents/?uuid=b2ab9577-d686-45a5-87d9-0cbf82aa2b31"]},{"id":"ITEM-10","itemData":{"DOI":"10.1007/s00198-018-4553-2","ISSN":"14332965","abstract":"© 2018, International Osteoporosis Foundation and National Osteoporosis Foundation. Summary: We evaluated osteoporosis treatment and DEXA utilization rates of patients who were admitted for hip fracture in a single healthcare system in Hawaii from 2015 to 2016. We found that osteoporosis treatment and DEXA utilization rates were low, highlighting a critical gap in osteoporosis care after admission for hip fracture. Introduction: The objective of this study was to evaluate osteoporosis care after an admission for hip fracture at three community hospitals within a single healthcare system in Hawaii. Methods: A retrospective chart review was conducted (n = 428) of patients ≥ 50 years and hospitalized for hip fractures between January 1, 2015, and May 31, 2016, at three major hospitals within Hawaii Pacific Health, a large healthcare system in Hawaii. Basic demographics were collected, and medications prescribed were quantified and described within 1 year of hip fracture. Logistic regression was used to evaluate the association between collected variables and the odds of osteoporosis treatment. Results: Only 115 (26.9%) patients were prescribed a medication for osteoporosis as a secondary prevention within a year of hospitalization for hip fracture. DEXA scans were performed in 137 (32.0%) patients. Most of the treated patients were prescribed oral bisphosphonates. Treatment facility, female gender, and higher BMI were found to be predictive factors for osteoporosis treatment. Conclusion: The use of osteoporosis medication for secondary prevention after admission for hip fracture in Hawaii is low. Efforts need to be made to improve treatment rates, especially among males.","author":[{"dropping-particle":"","family":"Nguyen","given":"E. T.","non-dropping-particle":"","parse-names":false,"suffix":""},{"dropping-particle":"","family":"Posas-Mendoza","given":"T.","non-dropping-particle":"","parse-names":false,"suffix":""},{"dropping-particle":"","family":"Siu","given":"A. M.","non-dropping-particle":"","parse-names":false,"suffix":""},{"dropping-particle":"","family":"Ahn","given":"H. J.","non-dropping-particle":"","parse-names":false,"suffix":""},{"dropping-particle":"","family":"Choi","given":"S. Y.","non-dropping-particle":"","parse-names":false,"suffix":""},{"dropping-particle":"","family":"Lim","given":"S. Y.","non-dropping-particle":"","parse-names":false,"suffix":""}],"container-title":"Osteoporosis International","id":"ITEM-10","issue":"8","issued":{"date-parts":[["2018"]]},"page":"1827-1832","publisher":"Osteoporosis International","title":"Low rates of osteoporosis treatment after hospitalization for hip fracture in Hawaii","type":"article-journal","volume":"29"},"uris":["http://www.mendeley.com/documents/?uuid=f896044e-a99d-441e-9774-344b7431e85d"]}],"mendeley":{"formattedCitation":"[17–26]","plainTextFormattedCitation":"[17–26]","previouslyFormattedCitation":"[17–26]"},"properties":{"noteIndex":0},"schema":"https://github.com/citation-style-language/schema/raw/master/csl-citation.json"}</w:instrText>
      </w:r>
      <w:r w:rsidR="002F036D">
        <w:rPr>
          <w:rFonts w:ascii="Times" w:hAnsi="Times" w:cs="Times New Roman"/>
          <w:lang w:val="en"/>
        </w:rPr>
        <w:fldChar w:fldCharType="separate"/>
      </w:r>
      <w:r w:rsidR="009F7D62" w:rsidRPr="009F7D62">
        <w:rPr>
          <w:rFonts w:ascii="Times" w:hAnsi="Times" w:cs="Times New Roman"/>
          <w:noProof/>
          <w:lang w:val="en"/>
        </w:rPr>
        <w:t>[17–26]</w:t>
      </w:r>
      <w:r w:rsidR="002F036D">
        <w:rPr>
          <w:rFonts w:ascii="Times" w:hAnsi="Times" w:cs="Times New Roman"/>
          <w:lang w:val="en"/>
        </w:rPr>
        <w:fldChar w:fldCharType="end"/>
      </w:r>
      <w:r w:rsidR="00707D6C">
        <w:rPr>
          <w:rFonts w:ascii="Times" w:hAnsi="Times" w:cs="Times New Roman"/>
          <w:lang w:val="en"/>
        </w:rPr>
        <w:t>. This post-fracture treatment gap seem to be more pronounced in men</w:t>
      </w:r>
      <w:r w:rsidR="00B723B0">
        <w:rPr>
          <w:rFonts w:ascii="Times" w:hAnsi="Times" w:cs="Times New Roman"/>
          <w:lang w:val="en"/>
        </w:rPr>
        <w:fldChar w:fldCharType="begin" w:fldLock="1"/>
      </w:r>
      <w:r w:rsidR="009F7D62">
        <w:rPr>
          <w:rFonts w:ascii="Times" w:hAnsi="Times" w:cs="Times New Roman"/>
          <w:lang w:val="en"/>
        </w:rPr>
        <w:instrText>ADDIN CSL_CITATION {"citationItems":[{"id":"ITEM-1","itemData":{"DOI":"10.1016/j.archger.2008.06.007","ISSN":"01674943","abstract":"The national Finnish guidelines for medical treatment of hip fracture patients are: osteoporosis medication and the daily concomitant use of vitamin D and calcium supplements. We investigated the post-fracture medical therapy for osteoporosis and the calcium and vitamin D therapy among hip fracture patients in two Finnish hospitals. The pre-fracture osteoporosis medication and use of calcium and vitamin D supplements of the patients were inquired on admission. The patient-specific use of osteoporosis medication and of prescribed calcium and vitamin D therapy during the follow-up time were checked from The Finnish Social Insurance Institution. At the end of the follow-up, those who were alive were inquired about the use of medication at the time. Eight percent of the 223 patients used osteoporosis medication and 8% used prescribed calcium and vitamin D supplements before the fracture. During the follow-up, the figures were 39% (52/133) and 53% (70/133), respectively, and at the end of the follow-up, correspondingly, 25% (29/114) and 44% (50/114). The follow-up time was 19.5-35 months. The post-fracture medical therapy for osteoporosis was insufficient. More effort should be focused on the secondary prevention following hip fracture in order to ensure the recommended treatment of osteoporosis. © 2008 Elsevier Ireland Ltd. All rights reserved.","author":[{"dropping-particle":"","family":"Lüthje","given":"Peter","non-dropping-particle":"","parse-names":false,"suffix":""},{"dropping-particle":"","family":"Nurmi-Lüthje","given":"Ilona","non-dropping-particle":"","parse-names":false,"suffix":""},{"dropping-particle":"","family":"Kaukonen","given":"Juha Pekka","non-dropping-particle":"","parse-names":false,"suffix":""},{"dropping-particle":"","family":"Kuurne","given":"Salla","non-dropping-particle":"","parse-names":false,"suffix":""},{"dropping-particle":"","family":"Naboulsi","given":"Helena","non-dropping-particle":"","parse-names":false,"suffix":""},{"dropping-particle":"","family":"Kataja","given":"Matti","non-dropping-particle":"","parse-names":false,"suffix":""}],"container-title":"Archives of Gerontology and Geriatrics","id":"ITEM-1","issue":"1","issued":{"date-parts":[["2009"]]},"page":"153-157","title":"Undertreatment of osteoporosis following hip fracture in the elderly","type":"article-journal","volume":"49"},"uris":["http://www.mendeley.com/documents/?uuid=c73b5d43-09a9-45e1-9c85-e6fa91d74066"]},{"id":"ITEM-2","itemData":{"DOI":"10.1007/s00198-011-1630-1","ISBN":"1433-2965; 0937-941X","ISSN":"0937941X","PMID":"21476038","abstract":"UNLABELLED: The post-fracture care gap has not narrowed in recent years. Following an initial improvement, rates of medication initiation have actually declined.\\n\\nINTRODUCTION: The current study characterizes temporal changes in post-fracture bone mineral density (BMD) testing or osteoporosis treatment initiation from 1996/1997 to 2007/2008.\\n\\nMETHODS: A population-based administrative data repository for Manitoba, Canada was accessed to identify non-traumatic fractures in individuals aged 50 years and older. Outcomes included BMD testing or dispensation of an osteoporosis medication in the 12 months following the fracture.\\n\\nRESULTS: Thirty thousand nine hundred and twenty (30,920) fracture events met the inclusion criteria; 15,670 affected major osteoporotic fracture sites. Based on either BMD testing or treatment initiation, intervention rates reached a maximum of only 15.5% in 2003/2004, compared with 6.3% in 1996/1997, and 13.2% in 2007/2008 (p-for-trend &lt; 0.001). Post-fracture BMD testing increased from 0.7% in 1996/1997 to 8.9% 2007/2008 (p-for-trend &lt; 0.001). Osteoporosis medication use increased from 6.1% in 1996/1997 to 12.3% in 2001/2002 and then progressively declined to 5.9% by 2007/2008 (p-for-trend = 0.025). Similar trends were observed when only major osteoporotic fractures were included. The initiation of BMD testing or medication varied according to age, gender, geographic region, and income.\\n\\nCONCLUSION: Despite increased attention to gaps in osteoporosis management post-fracture in the last 10 years, the situation has not improved: in 2007/20008, fewer than 20% of untreated individuals with a low-trauma fracture received intervention. Novel strategies are required to disseminate and implement best practices at the point of care to reduce the risk of recurrent fractures.","author":[{"dropping-particle":"","family":"Leslie","given":"W. D.","non-dropping-particle":"","parse-names":false,"suffix":""},{"dropping-particle":"","family":"Giangregorio","given":"L. M.","non-dropping-particle":"","parse-names":false,"suffix":""},{"dropping-particle":"","family":"Yogendran","given":"M.","non-dropping-particle":"","parse-names":false,"suffix":""},{"dropping-particle":"","family":"Azimaee","given":"M.","non-dropping-particle":"","parse-names":false,"suffix":""},{"dropping-particle":"","family":"Morin","given":"S.","non-dropping-particle":"","parse-names":false,"suffix":""},{"dropping-particle":"","family":"Metge","given":"C.","non-dropping-particle":"","parse-names":false,"suffix":""},{"dropping-particle":"","family":"Caetano","given":"P.","non-dropping-particle":"","parse-names":false,"suffix":""},{"dropping-particle":"","family":"Lix","given":"L. M.","non-dropping-particle":"","parse-names":false,"suffix":""}],"container-title":"Osteoporosis International","id":"ITEM-2","issue":"5","issued":{"date-parts":[["2012"]]},"page":"1623-1629","title":"A population-based analysis of the post-fracture care gap 1996-2008: The situation is not improving","type":"article-journal","volume":"23"},"uris":["http://www.mendeley.com/documents/?uuid=b2ab9577-d686-45a5-87d9-0cbf82aa2b31"]},{"id":"ITEM-3","itemData":{"DOI":"10.1007/s00198-018-4553-2","ISSN":"14332965","abstract":"© 2018, International Osteoporosis Foundation and National Osteoporosis Foundation. Summary: We evaluated osteoporosis treatment and DEXA utilization rates of patients who were admitted for hip fracture in a single healthcare system in Hawaii from 2015 to 2016. We found that osteoporosis treatment and DEXA utilization rates were low, highlighting a critical gap in osteoporosis care after admission for hip fracture. Introduction: The objective of this study was to evaluate osteoporosis care after an admission for hip fracture at three community hospitals within a single healthcare system in Hawaii. Methods: A retrospective chart review was conducted (n = 428) of patients ≥ 50 years and hospitalized for hip fractures between January 1, 2015, and May 31, 2016, at three major hospitals within Hawaii Pacific Health, a large healthcare system in Hawaii. Basic demographics were collected, and medications prescribed were quantified and described within 1 year of hip fracture. Logistic regression was used to evaluate the association between collected variables and the odds of osteoporosis treatment. Results: Only 115 (26.9%) patients were prescribed a medication for osteoporosis as a secondary prevention within a year of hospitalization for hip fracture. DEXA scans were performed in 137 (32.0%) patients. Most of the treated patients were prescribed oral bisphosphonates. Treatment facility, female gender, and higher BMI were found to be predictive factors for osteoporosis treatment. Conclusion: The use of osteoporosis medication for secondary prevention after admission for hip fracture in Hawaii is low. Efforts need to be made to improve treatment rates, especially among males.","author":[{"dropping-particle":"","family":"Nguyen","given":"E. T.","non-dropping-particle":"","parse-names":false,"suffix":""},{"dropping-particle":"","family":"Posas-Mendoza","given":"T.","non-dropping-particle":"","parse-names":false,"suffix":""},{"dropping-particle":"","family":"Siu","given":"A. M.","non-dropping-particle":"","parse-names":false,"suffix":""},{"dropping-particle":"","family":"Ahn","given":"H. J.","non-dropping-particle":"","parse-names":false,"suffix":""},{"dropping-particle":"","family":"Choi","given":"S. Y.","non-dropping-particle":"","parse-names":false,"suffix":""},{"dropping-particle":"","family":"Lim","given":"S. Y.","non-dropping-particle":"","parse-names":false,"suffix":""}],"container-title":"Osteoporosis International","id":"ITEM-3","issue":"8","issued":{"date-parts":[["2018"]]},"page":"1827-1832","publisher":"Osteoporosis International","title":"Low rates of osteoporosis treatment after hospitalization for hip fracture in Hawaii","type":"article-journal","volume":"29"},"uris":["http://www.mendeley.com/documents/?uuid=f896044e-a99d-441e-9774-344b7431e85d"]}],"mendeley":{"formattedCitation":"[24–26]","plainTextFormattedCitation":"[24–26]","previouslyFormattedCitation":"[24–26]"},"properties":{"noteIndex":0},"schema":"https://github.com/citation-style-language/schema/raw/master/csl-citation.json"}</w:instrText>
      </w:r>
      <w:r w:rsidR="00B723B0">
        <w:rPr>
          <w:rFonts w:ascii="Times" w:hAnsi="Times" w:cs="Times New Roman"/>
          <w:lang w:val="en"/>
        </w:rPr>
        <w:fldChar w:fldCharType="separate"/>
      </w:r>
      <w:r w:rsidR="009F7D62" w:rsidRPr="009F7D62">
        <w:rPr>
          <w:rFonts w:ascii="Times" w:hAnsi="Times" w:cs="Times New Roman"/>
          <w:noProof/>
          <w:lang w:val="en"/>
        </w:rPr>
        <w:t>[24–26]</w:t>
      </w:r>
      <w:r w:rsidR="00B723B0">
        <w:rPr>
          <w:rFonts w:ascii="Times" w:hAnsi="Times" w:cs="Times New Roman"/>
          <w:lang w:val="en"/>
        </w:rPr>
        <w:fldChar w:fldCharType="end"/>
      </w:r>
      <w:r w:rsidR="000D6B0F">
        <w:rPr>
          <w:rFonts w:ascii="Times" w:hAnsi="Times" w:cs="Times New Roman"/>
          <w:lang w:val="en"/>
        </w:rPr>
        <w:t>.</w:t>
      </w:r>
      <w:r w:rsidR="00707D6C">
        <w:rPr>
          <w:rFonts w:ascii="Times" w:hAnsi="Times" w:cs="Times New Roman"/>
          <w:lang w:val="en"/>
        </w:rPr>
        <w:t xml:space="preserve"> </w:t>
      </w:r>
      <w:r w:rsidR="000A036C">
        <w:rPr>
          <w:rFonts w:ascii="Times" w:hAnsi="Times" w:cs="Times New Roman"/>
          <w:lang w:val="en"/>
        </w:rPr>
        <w:t>We have</w:t>
      </w:r>
      <w:r w:rsidR="00DA121C">
        <w:rPr>
          <w:rFonts w:ascii="Times" w:hAnsi="Times" w:cs="Times New Roman"/>
          <w:lang w:val="en"/>
        </w:rPr>
        <w:t xml:space="preserve"> recently published</w:t>
      </w:r>
      <w:r w:rsidR="005E4CF6">
        <w:rPr>
          <w:rFonts w:ascii="Times" w:hAnsi="Times" w:cs="Times New Roman"/>
          <w:lang w:val="en"/>
        </w:rPr>
        <w:t xml:space="preserve"> </w:t>
      </w:r>
      <w:r w:rsidR="000A036C">
        <w:rPr>
          <w:rFonts w:ascii="Times" w:hAnsi="Times" w:cs="Times New Roman"/>
          <w:lang w:val="en"/>
        </w:rPr>
        <w:t xml:space="preserve">a </w:t>
      </w:r>
      <w:r w:rsidR="005E4CF6">
        <w:rPr>
          <w:rFonts w:ascii="Times" w:hAnsi="Times" w:cs="Times New Roman"/>
          <w:lang w:val="en"/>
        </w:rPr>
        <w:t xml:space="preserve">study of the changing treatment gap from 2005-15 across the United Kingdom, Catalonia, and Denmark, </w:t>
      </w:r>
      <w:r w:rsidR="009223C0">
        <w:rPr>
          <w:rFonts w:ascii="Times" w:hAnsi="Times" w:cs="Times New Roman"/>
          <w:lang w:val="en"/>
        </w:rPr>
        <w:t xml:space="preserve">which </w:t>
      </w:r>
      <w:r w:rsidR="00DA121C">
        <w:rPr>
          <w:rFonts w:ascii="Times" w:hAnsi="Times" w:cs="Times New Roman"/>
          <w:lang w:val="en"/>
        </w:rPr>
        <w:t>confirmed</w:t>
      </w:r>
      <w:r w:rsidR="005E4CF6">
        <w:rPr>
          <w:rFonts w:ascii="Times" w:hAnsi="Times" w:cs="Times New Roman"/>
          <w:lang w:val="en"/>
        </w:rPr>
        <w:t xml:space="preserve"> the continuing existence of this</w:t>
      </w:r>
      <w:r w:rsidR="00D52FC9">
        <w:rPr>
          <w:rFonts w:ascii="Times" w:hAnsi="Times" w:cs="Times New Roman"/>
          <w:lang w:val="en"/>
        </w:rPr>
        <w:t xml:space="preserve"> treatment gap – with a persist</w:t>
      </w:r>
      <w:r w:rsidR="009223C0">
        <w:rPr>
          <w:rFonts w:ascii="Times" w:hAnsi="Times" w:cs="Times New Roman"/>
          <w:lang w:val="en"/>
        </w:rPr>
        <w:t>ent</w:t>
      </w:r>
      <w:r w:rsidR="00D52FC9">
        <w:rPr>
          <w:rFonts w:ascii="Times" w:hAnsi="Times" w:cs="Times New Roman"/>
          <w:lang w:val="en"/>
        </w:rPr>
        <w:t xml:space="preserve"> treatment gap of approximately 88-90% in Denmark </w:t>
      </w:r>
      <w:r w:rsidR="009D015E">
        <w:rPr>
          <w:rFonts w:ascii="Times" w:hAnsi="Times" w:cs="Times New Roman"/>
          <w:lang w:val="en"/>
        </w:rPr>
        <w:t>–</w:t>
      </w:r>
      <w:r w:rsidR="005E4CF6">
        <w:rPr>
          <w:rFonts w:ascii="Times" w:hAnsi="Times" w:cs="Times New Roman"/>
          <w:lang w:val="en"/>
        </w:rPr>
        <w:t xml:space="preserve"> </w:t>
      </w:r>
      <w:r w:rsidR="009D015E">
        <w:rPr>
          <w:rFonts w:ascii="Times" w:hAnsi="Times" w:cs="Times New Roman"/>
          <w:lang w:val="en"/>
        </w:rPr>
        <w:t>among patients with a</w:t>
      </w:r>
      <w:r w:rsidR="005E2009">
        <w:rPr>
          <w:rFonts w:ascii="Times" w:hAnsi="Times" w:cs="Times New Roman"/>
          <w:lang w:val="en"/>
        </w:rPr>
        <w:t>ny</w:t>
      </w:r>
      <w:r w:rsidR="009D015E">
        <w:rPr>
          <w:rFonts w:ascii="Times" w:hAnsi="Times" w:cs="Times New Roman"/>
          <w:lang w:val="en"/>
        </w:rPr>
        <w:t xml:space="preserve"> first incident </w:t>
      </w:r>
      <w:r w:rsidR="00C93B42">
        <w:rPr>
          <w:rFonts w:ascii="Times" w:hAnsi="Times" w:cs="Times New Roman"/>
          <w:lang w:val="en"/>
        </w:rPr>
        <w:t xml:space="preserve">osteoporotic </w:t>
      </w:r>
      <w:r w:rsidR="009D015E">
        <w:rPr>
          <w:rFonts w:ascii="Times" w:hAnsi="Times" w:cs="Times New Roman"/>
          <w:lang w:val="en"/>
        </w:rPr>
        <w:t>fracture</w:t>
      </w:r>
      <w:r w:rsidR="00735E02">
        <w:rPr>
          <w:rFonts w:ascii="Times" w:hAnsi="Times" w:cs="Times New Roman"/>
          <w:lang w:val="en"/>
        </w:rPr>
        <w:fldChar w:fldCharType="begin" w:fldLock="1"/>
      </w:r>
      <w:r w:rsidR="00EF75BA">
        <w:rPr>
          <w:rFonts w:ascii="Times" w:hAnsi="Times" w:cs="Times New Roman"/>
          <w:lang w:val="en"/>
        </w:rPr>
        <w:instrText>ADDIN CSL_CITATION {"citationItems":[{"id":"ITEM-1","itemData":{"DOI":"10.1007/s00198-020-05358-4","abstract":"This paper demonstrates a large post-fracture anti-osteoporosis treatment gap in the period 2005 to 2015. The gap was stable in Denmark at around 88-90%, increased in Catalonia from 80 to 88%, and started to increase in the UK towards the end of our study. Improved post-fracture care is needed. INTRODUCTION: Patients experiencing a fragility fracture are at high risk of subsequent fractures, particularly within the first 2 years after the fracture. Previous studies have demonstrated that only a small proportion of fracture patients initiate therapy with an anti-osteoporotic medication (AOM), despite the proven fracture risk reduction of such therapies. The aim of this paper is to evaluate the changes in this post-fracture treatment gap across three different countries from 2005 to 2015. METHODS: This analysis, which is part of a multinational cohort study, included men and women, aged 50 years or older, sustaining a first incident fragility fracture. Using routinely collected patient data from three administrative health databases covering Catalonia, Denmark, and the United Kingdom, we estimated the treatment gap as the proportion of patients not treated with AOM within 1 year of their first incident fracture. RESULTS: A total of 648,369 fracture patients were included. Mean age 70.2-78.9 years; 22.2-31.7% were men. In Denmark, the treatment gap was stable at approximately 88-90% throughout the 2005 to 2015 time period. In Catalonia, the treatment gap increased from 80 to 88%. In the UK, an initially decreasing treatment gap-though never smaller than 63%-was replaced by an increasing gap towards the end of our study. The gap was more pronounced in men than in women. CONCLUSION: Despite repeated calls for improved secondary fracture prevention, an unacceptably large treatment gap remains, with time trends indicating that the problem may be getting worse in recent years.","author":[{"dropping-particle":"","family":"Skjødt","given":"Michael Kriegbaum","non-dropping-particle":"","parse-names":false,"suffix":""},{"dropping-particle":"","family":"Khalid","given":"Sara","non-dropping-particle":"","parse-names":false,"suffix":""},{"dropping-particle":"","family":"Ernst","given":"Martin","non-dropping-particle":"","parse-names":false,"suffix":""},{"dropping-particle":"","family":"Rubin","given":"Katrine Hass","non-dropping-particle":"","parse-names":false,"suffix":""},{"dropping-particle":"","family":"Martinez-Laguna","given":"Daniel","non-dropping-particle":"","parse-names":false,"suffix":""},{"dropping-particle":"","family":"Delmestri","given":"Antonella","non-dropping-particle":"","parse-names":false,"suffix":""},{"dropping-particle":"","family":"Javaid","given":"Mohamed Kassim","non-dropping-particle":"","parse-names":false,"suffix":""},{"dropping-particle":"","family":"Cooper","given":"Cyrus","non-dropping-particle":"","parse-names":false,"suffix":""},{"dropping-particle":"","family":"Libanati","given":"Cesar","non-dropping-particle":"","parse-names":false,"suffix":""},{"dropping-particle":"","family":"Toth","given":"Emese","non-dropping-particle":"","parse-names":false,"suffix":""},{"dropping-particle":"","family":"Abrahamsen","given":"Bo","non-dropping-particle":"","parse-names":false,"suffix":""},{"dropping-particle":"","family":"Prieto-Alhambra","given":"Daniel","non-dropping-particle":"","parse-names":false,"suffix":""}],"container-title":"Osteoporosis International","id":"ITEM-1","issued":{"date-parts":[["2020"]]},"page":"1535-44","title":"Secular trends in the initiation of therapy in secondary fracture prevention in Europe: a multi-national cohort study including data from Denmark, Catalonia, and the United Kingdom.","type":"article-journal","volume":"31"},"uris":["http://www.mendeley.com/documents/?uuid=7a2e687f-9b3f-4a8e-9138-b1ad0c31aa43"]}],"mendeley":{"formattedCitation":"[27]","plainTextFormattedCitation":"[27]","previouslyFormattedCitation":"[27]"},"properties":{"noteIndex":0},"schema":"https://github.com/citation-style-language/schema/raw/master/csl-citation.json"}</w:instrText>
      </w:r>
      <w:r w:rsidR="00735E02">
        <w:rPr>
          <w:rFonts w:ascii="Times" w:hAnsi="Times" w:cs="Times New Roman"/>
          <w:lang w:val="en"/>
        </w:rPr>
        <w:fldChar w:fldCharType="separate"/>
      </w:r>
      <w:r w:rsidR="009F7D62" w:rsidRPr="009F7D62">
        <w:rPr>
          <w:rFonts w:ascii="Times" w:hAnsi="Times" w:cs="Times New Roman"/>
          <w:noProof/>
          <w:lang w:val="en"/>
        </w:rPr>
        <w:t>[27]</w:t>
      </w:r>
      <w:r w:rsidR="00735E02">
        <w:rPr>
          <w:rFonts w:ascii="Times" w:hAnsi="Times" w:cs="Times New Roman"/>
          <w:lang w:val="en"/>
        </w:rPr>
        <w:fldChar w:fldCharType="end"/>
      </w:r>
      <w:r w:rsidR="005E4CF6">
        <w:rPr>
          <w:rFonts w:ascii="Times" w:hAnsi="Times" w:cs="Times New Roman"/>
          <w:lang w:val="en"/>
        </w:rPr>
        <w:t>.</w:t>
      </w:r>
      <w:r w:rsidR="002733E4">
        <w:rPr>
          <w:rFonts w:ascii="Times" w:hAnsi="Times" w:cs="Times New Roman"/>
          <w:lang w:val="en"/>
        </w:rPr>
        <w:t xml:space="preserve"> We have only identified one treatment gap study attempting to identify </w:t>
      </w:r>
      <w:r w:rsidR="002733E4">
        <w:rPr>
          <w:rFonts w:ascii="Times" w:hAnsi="Times" w:cs="Times New Roman"/>
          <w:lang w:val="en"/>
        </w:rPr>
        <w:lastRenderedPageBreak/>
        <w:t xml:space="preserve">the use of </w:t>
      </w:r>
      <w:r w:rsidR="000A4D63">
        <w:rPr>
          <w:rFonts w:ascii="Times" w:hAnsi="Times" w:cs="Times New Roman"/>
          <w:lang w:val="en"/>
        </w:rPr>
        <w:t>hospital-administered</w:t>
      </w:r>
      <w:r w:rsidR="002733E4">
        <w:rPr>
          <w:rFonts w:ascii="Times" w:hAnsi="Times" w:cs="Times New Roman"/>
          <w:lang w:val="en"/>
        </w:rPr>
        <w:t xml:space="preserve"> AOM</w:t>
      </w:r>
      <w:r w:rsidR="0052159C">
        <w:rPr>
          <w:rFonts w:ascii="Times" w:hAnsi="Times" w:cs="Times New Roman"/>
          <w:lang w:val="en"/>
        </w:rPr>
        <w:fldChar w:fldCharType="begin" w:fldLock="1"/>
      </w:r>
      <w:r w:rsidR="00175613">
        <w:rPr>
          <w:rFonts w:ascii="Times" w:hAnsi="Times" w:cs="Times New Roman"/>
          <w:lang w:val="en"/>
        </w:rPr>
        <w:instrText>ADDIN CSL_CITATION {"citationItems":[{"id":"ITEM-1","itemData":{"DOI":"10.1002/jbmr.3990","ISSN":"15234681","PMID":"32097504","abstract":"Structured secondary preventions programs, called fracture liaison services (FLSs), increase the rate of evaluation with bone densitometry and use of osteoporosis medication after fracture. However, the evidence regarding the effect on the risk of recurrent fracture is insufficient. The aim of this study was to investigate if implementation of FLS was associated with reduced risk of recurrent fractures. In this retrospective cohort study, electronic health records during 2012 to 2017 were used to identify a total of 21,083 patients from four hospitals in Western Sweden, two with FLS (n = 15,449) and two without (n = 5634). All patients aged 50 years or older (mean age 73.9 [SD 12.4] years, 76% women) with a major osteoporotic index fracture (hip, clinical spine, humerus, radius, and pelvis) were included. The primary outcome was recurrent major osteoporotic fracture. All patients with an index fracture during the FLS period (n = 13,946) were compared with all patients in the period before FLS implementation (n = 7137) in an intention-to-treat analysis. Time periods corresponding to the FLS hospitals were used for the non-FLS hospitals. In the hospitals with FLSs, there were 1247 recurrent fractures during a median follow-up time of 2.2 years (range 0–6 years). In an unadjusted Cox model, the risk of recurrent fracture was 18% lower in the FLS period compared with the control period (hazard ratio = 0.82, 95% confidence interval [CI] 0.73–0.92, p =.001), corresponding to a 3-year number needed to screen of 61, and did not change after adjustment for clinical risk factors. In the hospitals without FLSs, no change in recurrent fracture rate was observed. Treatment decisions were made according to the Swedish treatment guidelines. In conclusion, implementation of FLS was associated with a reduced risk of recurrent fracture, indicating that FLSs should be included routinely at hospitals treating fracture patients. © 2020 The Authors. Journal of Bone and Mineral Research published by American Society for Bone and Mineral Research.","author":[{"dropping-particle":"","family":"Axelsson","given":"Kristian F.","non-dropping-particle":"","parse-names":false,"suffix":""},{"dropping-particle":"","family":"Johansson","given":"Helena","non-dropping-particle":"","parse-names":false,"suffix":""},{"dropping-particle":"","family":"Lundh","given":"Dan","non-dropping-particle":"","parse-names":false,"suffix":""},{"dropping-particle":"","family":"Möller","given":"Michael","non-dropping-particle":"","parse-names":false,"suffix":""},{"dropping-particle":"","family":"Lorentzon","given":"Mattias","non-dropping-particle":"","parse-names":false,"suffix":""}],"container-title":"Journal of Bone and Mineral Research","id":"ITEM-1","issue":"7","issued":{"date-parts":[["2020"]]},"page":"1216-23","title":"Association Between Recurrent Fracture Risk and Implementation of Fracture Liaison Services in Four Swedish Hospitals: A Cohort Study","type":"article-journal","volume":"35"},"uris":["http://www.mendeley.com/documents/?uuid=c01f3e5b-b02f-48f5-8e45-afe35014343c"]}],"mendeley":{"formattedCitation":"[28]","plainTextFormattedCitation":"[28]","previouslyFormattedCitation":"[28]"},"properties":{"noteIndex":0},"schema":"https://github.com/citation-style-language/schema/raw/master/csl-citation.json"}</w:instrText>
      </w:r>
      <w:r w:rsidR="0052159C">
        <w:rPr>
          <w:rFonts w:ascii="Times" w:hAnsi="Times" w:cs="Times New Roman"/>
          <w:lang w:val="en"/>
        </w:rPr>
        <w:fldChar w:fldCharType="separate"/>
      </w:r>
      <w:r w:rsidR="0052159C" w:rsidRPr="0052159C">
        <w:rPr>
          <w:rFonts w:ascii="Times" w:hAnsi="Times" w:cs="Times New Roman"/>
          <w:noProof/>
          <w:lang w:val="en"/>
        </w:rPr>
        <w:t>[28]</w:t>
      </w:r>
      <w:r w:rsidR="0052159C">
        <w:rPr>
          <w:rFonts w:ascii="Times" w:hAnsi="Times" w:cs="Times New Roman"/>
          <w:lang w:val="en"/>
        </w:rPr>
        <w:fldChar w:fldCharType="end"/>
      </w:r>
      <w:r w:rsidR="00677DCD">
        <w:rPr>
          <w:rFonts w:ascii="Times" w:hAnsi="Times" w:cs="Times New Roman"/>
          <w:lang w:val="en"/>
        </w:rPr>
        <w:t>, and</w:t>
      </w:r>
      <w:r w:rsidR="00A64DD7">
        <w:rPr>
          <w:rFonts w:ascii="Times" w:hAnsi="Times" w:cs="Times New Roman"/>
          <w:lang w:val="en"/>
        </w:rPr>
        <w:t xml:space="preserve"> </w:t>
      </w:r>
      <w:r w:rsidR="0044040D">
        <w:rPr>
          <w:rFonts w:ascii="Times" w:hAnsi="Times" w:cs="Times New Roman"/>
          <w:lang w:val="en"/>
        </w:rPr>
        <w:t xml:space="preserve">only </w:t>
      </w:r>
      <w:r w:rsidR="00343624">
        <w:rPr>
          <w:rFonts w:ascii="Times" w:hAnsi="Times" w:cs="Times New Roman"/>
          <w:lang w:val="en"/>
        </w:rPr>
        <w:t>few</w:t>
      </w:r>
      <w:r w:rsidR="0044040D">
        <w:rPr>
          <w:rFonts w:ascii="Times" w:hAnsi="Times" w:cs="Times New Roman"/>
          <w:lang w:val="en"/>
        </w:rPr>
        <w:t xml:space="preserve"> stud</w:t>
      </w:r>
      <w:r w:rsidR="00343624">
        <w:rPr>
          <w:rFonts w:ascii="Times" w:hAnsi="Times" w:cs="Times New Roman"/>
          <w:lang w:val="en"/>
        </w:rPr>
        <w:t>ies</w:t>
      </w:r>
      <w:r w:rsidR="0044040D">
        <w:rPr>
          <w:rFonts w:ascii="Times" w:hAnsi="Times" w:cs="Times New Roman"/>
          <w:lang w:val="en"/>
        </w:rPr>
        <w:t xml:space="preserve"> </w:t>
      </w:r>
      <w:r w:rsidR="00677DCD">
        <w:rPr>
          <w:rFonts w:ascii="Times" w:hAnsi="Times" w:cs="Times New Roman"/>
          <w:lang w:val="en"/>
        </w:rPr>
        <w:t>reporting</w:t>
      </w:r>
      <w:r w:rsidR="00A64DD7">
        <w:rPr>
          <w:rFonts w:ascii="Times" w:hAnsi="Times" w:cs="Times New Roman"/>
          <w:lang w:val="en"/>
        </w:rPr>
        <w:t xml:space="preserve"> the </w:t>
      </w:r>
      <w:r w:rsidR="00E1347D">
        <w:rPr>
          <w:rFonts w:ascii="Times" w:hAnsi="Times" w:cs="Times New Roman"/>
          <w:lang w:val="en"/>
        </w:rPr>
        <w:t xml:space="preserve">use </w:t>
      </w:r>
      <w:r w:rsidR="00A64DD7">
        <w:rPr>
          <w:rFonts w:ascii="Times" w:hAnsi="Times" w:cs="Times New Roman"/>
          <w:lang w:val="en"/>
        </w:rPr>
        <w:t xml:space="preserve">of AOM which in Denmark would be </w:t>
      </w:r>
      <w:r w:rsidR="00677DCD">
        <w:rPr>
          <w:rFonts w:ascii="Times" w:hAnsi="Times" w:cs="Times New Roman"/>
          <w:lang w:val="en"/>
        </w:rPr>
        <w:t xml:space="preserve">administered at a hospital - </w:t>
      </w:r>
      <w:r w:rsidR="00A64DD7">
        <w:rPr>
          <w:rFonts w:ascii="Times" w:hAnsi="Times" w:cs="Times New Roman"/>
          <w:lang w:val="en"/>
        </w:rPr>
        <w:t>Zoledronic Acid and potentially Denosumab – in their treatment gap assessment</w:t>
      </w:r>
      <w:r w:rsidR="000257C1">
        <w:rPr>
          <w:rFonts w:ascii="Times" w:hAnsi="Times" w:cs="Times New Roman"/>
          <w:lang w:val="en"/>
        </w:rPr>
        <w:fldChar w:fldCharType="begin" w:fldLock="1"/>
      </w:r>
      <w:r w:rsidR="00175613">
        <w:rPr>
          <w:rFonts w:ascii="Times" w:hAnsi="Times" w:cs="Times New Roman"/>
          <w:lang w:val="en"/>
        </w:rPr>
        <w:instrText>ADDIN CSL_CITATION {"citationItems":[{"id":"ITEM-1","itemData":{"DOI":"10.12809/hkmj187227","abstract":"Introduction: Patients who sustain an osteoporotic fracture are at increased risk of sustaining further osteoporotic fracture. The risk can be reduced by prescription of anti-osteoporosis medication. The aim of the present study was to determine the current practice in Hong Kong regarding secondary drug prevention of fragility fractures after osteoporotic hip fracture. Methods: Dispensation of anti-osteoporosis medication records from patients with new fragility hip fractures aged ≥65 years were retrieved using the Hospital Authority Clinical Data Analysis and Reporting System from 2009 to 2012. The intervention rate each year was determined from the percentage of patients receiving anti-osteoporosis medication within 1 year after hip fracture. Results: A total of 15 866 patients with osteoporotic hip fracture who met the criteria were included. The intervention rate differed each year from 2009 to 2012, ranging between 9% and 15%. Orthopaedic surgeons initiated 63% of anti-osteoporosis medication, whereas physicians initiated 37%. The anti-osteoporosis drugs being prescribed included alendronic acid (76%), ibandronic acid (12%), strontium ranelate (5%), and zoledronic acid (4%). Conclusion: Most patients with hip fracture remained untreated for 1 year after the osteoporotic hip fracture. The Hospital Authority should allocate more resources to implement a best practice framework for treatment of patients with hip fracture at high risk of secondary fracture.","author":[{"dropping-particle":"","family":"Cheung","given":"MY","non-dropping-particle":"","parse-names":false,"suffix":""},{"dropping-particle":"","family":"Ho","given":"Angela WH","non-dropping-particle":"","parse-names":false,"suffix":""},{"dropping-particle":"","family":"Wong","given":"SH","non-dropping-particle":"","parse-names":false,"suffix":""}],"container-title":"Hong Kong medical journal","id":"ITEM-1","issue":"6","issued":{"date-parts":[["2018"]]},"page":"579-83","title":"Post-fracture care gap: a retrospective population-based analysis of Hong Kong from 2009 to 2012","type":"article-journal","volume":"24"},"uris":["http://www.mendeley.com/documents/?uuid=2bd4e3e4-8ca5-47e0-97be-de37d3cbca34"]},{"id":"ITEM-2","itemData":{"DOI":"10.1002/jbmr.2202","ISSN":"15234681","abstract":"Hip fractures are common, morbid, costly, and associated with subsequent fractures. Historically, postfracture osteoporosis medication use rates have been poor, but have not been recently examined in a large-scale study. We conducted a retrospective, observational cohort study based on U.S. administrative insurance claims data for beneficiaries with commercial or Medicare supplemental health insurance. Eligible participants were hospitalized for hip fracture between January 1, 2002, and December 31, 2011, and aged 50 years or older at admission. The outcome of interest was osteoporosis medication use within 12 months after discharge. Patients were censored after 12 months, loss to follow-up, or a medical claim for cancer or Paget's disease, whichever event occurred first. During the study period, 96,887 beneficiaries met the inclusion criteria; they had a mean age of 80 years and 70% were female. A total of 34,389 (35.5%) patients were censored before reaching 12 months of follow-up. The Kaplan-Meier estimated probability of osteoporosis medication use within 12 months after discharge was 28.5%. The rates declined significantly from 40.2% in 2002, to 20.5% in 2011 (p for trend &lt;0.001). In multivariable Cox proportional hazards models, a number of patient characteristics were associated with reduced likelihood of osteoporosis medication use, including older age and male gender. However, the predictor most strongly and most positively associated with osteoporosis medication use after fracture was osteoporosis medication use before the fracture (hazard ratio=7.45; 95% confidence interval [CI], 7.23-7.69). Most patients suffering a hip fracture do not use osteoporosis medication in the subsequent year and treatment rates have worsened. © 2014 Eli Lilly and Company. Journal of Bone and Mineral Research published by Wiley Periodicals, Inc. on behalf of the American Society for Bone and Mineral Research. © 2014 The Authors. Journal of Bone and Mineral Research Published by Wiley Periodicals, Inc. on behalf of the American Society for Bone and Mineral Research.","author":[{"dropping-particle":"","family":"Solomon","given":"Daniel H.","non-dropping-particle":"","parse-names":false,"suffix":""},{"dropping-particle":"","family":"Johnston","given":"Stephen S.","non-dropping-particle":"","parse-names":false,"suffix":""},{"dropping-particle":"","family":"Boytsov","given":"Natalie N.","non-dropping-particle":"","parse-names":false,"suffix":""},{"dropping-particle":"","family":"McMorrow","given":"Donna","non-dropping-particle":"","parse-names":false,"suffix":""},{"dropping-particle":"","family":"Lane","given":"Joseph M.","non-dropping-particle":"","parse-names":false,"suffix":""},{"dropping-particle":"","family":"Krohn","given":"Kelly D.","non-dropping-particle":"","parse-names":false,"suffix":""}],"container-title":"Journal of Bone and Mineral Research","id":"ITEM-2","issue":"9","issued":{"date-parts":[["2014"]]},"page":"1929-37","title":"Osteoporosis medication use after hip fracture in U.S. patients between 2002 and 2011","type":"article-journal","volume":"29"},"uris":["http://www.mendeley.com/documents/?uuid=d4697183-faf7-424b-8db7-bba2605a34cf"]}],"mendeley":{"formattedCitation":"[19, 29]","plainTextFormattedCitation":"[19, 29]","previouslyFormattedCitation":"[19, 29]"},"properties":{"noteIndex":0},"schema":"https://github.com/citation-style-language/schema/raw/master/csl-citation.json"}</w:instrText>
      </w:r>
      <w:r w:rsidR="000257C1">
        <w:rPr>
          <w:rFonts w:ascii="Times" w:hAnsi="Times" w:cs="Times New Roman"/>
          <w:lang w:val="en"/>
        </w:rPr>
        <w:fldChar w:fldCharType="separate"/>
      </w:r>
      <w:r w:rsidR="0052159C" w:rsidRPr="0052159C">
        <w:rPr>
          <w:rFonts w:ascii="Times" w:hAnsi="Times" w:cs="Times New Roman"/>
          <w:noProof/>
          <w:lang w:val="en"/>
        </w:rPr>
        <w:t>[19, 29]</w:t>
      </w:r>
      <w:r w:rsidR="000257C1">
        <w:rPr>
          <w:rFonts w:ascii="Times" w:hAnsi="Times" w:cs="Times New Roman"/>
          <w:lang w:val="en"/>
        </w:rPr>
        <w:fldChar w:fldCharType="end"/>
      </w:r>
      <w:r w:rsidR="007E1C98">
        <w:rPr>
          <w:rFonts w:ascii="Times" w:hAnsi="Times" w:cs="Times New Roman"/>
          <w:lang w:val="en"/>
        </w:rPr>
        <w:t xml:space="preserve">. Not including </w:t>
      </w:r>
      <w:r w:rsidR="00E1347D">
        <w:rPr>
          <w:rFonts w:ascii="Times" w:hAnsi="Times" w:cs="Times New Roman"/>
          <w:lang w:val="en"/>
        </w:rPr>
        <w:t>hospital-administered AOM</w:t>
      </w:r>
      <w:r w:rsidR="007E1C98">
        <w:rPr>
          <w:rFonts w:ascii="Times" w:hAnsi="Times" w:cs="Times New Roman"/>
          <w:lang w:val="en"/>
        </w:rPr>
        <w:t xml:space="preserve"> could inflate </w:t>
      </w:r>
      <w:r w:rsidR="00A64DD7">
        <w:rPr>
          <w:rFonts w:ascii="Times" w:hAnsi="Times" w:cs="Times New Roman"/>
          <w:lang w:val="en"/>
        </w:rPr>
        <w:t>treatment gap estimates</w:t>
      </w:r>
      <w:r w:rsidR="007E1C98">
        <w:rPr>
          <w:rFonts w:ascii="Times" w:hAnsi="Times" w:cs="Times New Roman"/>
          <w:lang w:val="en"/>
        </w:rPr>
        <w:t xml:space="preserve"> but capturing </w:t>
      </w:r>
      <w:r w:rsidR="00E1347D">
        <w:rPr>
          <w:rFonts w:ascii="Times" w:hAnsi="Times" w:cs="Times New Roman"/>
          <w:lang w:val="en"/>
        </w:rPr>
        <w:t>such</w:t>
      </w:r>
      <w:r w:rsidR="007E1C98">
        <w:rPr>
          <w:rFonts w:ascii="Times" w:hAnsi="Times" w:cs="Times New Roman"/>
          <w:lang w:val="en"/>
        </w:rPr>
        <w:t xml:space="preserve"> infusions and injections at the individual patient level is surprisingly challenging in most healthcare systems</w:t>
      </w:r>
      <w:r w:rsidR="00A64DD7">
        <w:rPr>
          <w:rFonts w:ascii="Times" w:hAnsi="Times" w:cs="Times New Roman"/>
          <w:lang w:val="en"/>
        </w:rPr>
        <w:t xml:space="preserve">. </w:t>
      </w:r>
      <w:r w:rsidR="001D32FE">
        <w:rPr>
          <w:rFonts w:ascii="Times" w:hAnsi="Times" w:cs="Times New Roman"/>
          <w:lang w:val="en"/>
        </w:rPr>
        <w:t xml:space="preserve">It is therefore unclear if substantial reductions in </w:t>
      </w:r>
      <w:r w:rsidR="00AB6FBA">
        <w:rPr>
          <w:rFonts w:ascii="Times" w:hAnsi="Times" w:cs="Times New Roman"/>
          <w:lang w:val="en"/>
        </w:rPr>
        <w:t xml:space="preserve">the </w:t>
      </w:r>
      <w:r w:rsidR="001D32FE">
        <w:rPr>
          <w:rFonts w:ascii="Times" w:hAnsi="Times" w:cs="Times New Roman"/>
          <w:lang w:val="en"/>
        </w:rPr>
        <w:t xml:space="preserve">treatment gap may </w:t>
      </w:r>
      <w:r w:rsidR="00305D73" w:rsidRPr="00397404">
        <w:rPr>
          <w:rFonts w:ascii="Times" w:hAnsi="Times" w:cs="Times New Roman"/>
          <w:lang w:val="en-US"/>
        </w:rPr>
        <w:t xml:space="preserve">in fact already </w:t>
      </w:r>
      <w:r w:rsidR="001D32FE">
        <w:rPr>
          <w:rFonts w:ascii="Times" w:hAnsi="Times" w:cs="Times New Roman"/>
          <w:lang w:val="en"/>
        </w:rPr>
        <w:t xml:space="preserve">have been achieved through increased use of </w:t>
      </w:r>
      <w:proofErr w:type="gramStart"/>
      <w:r w:rsidR="001D32FE">
        <w:rPr>
          <w:rFonts w:ascii="Times" w:hAnsi="Times" w:cs="Times New Roman"/>
          <w:lang w:val="en"/>
        </w:rPr>
        <w:t>hospital</w:t>
      </w:r>
      <w:r w:rsidR="00EF5DFE">
        <w:rPr>
          <w:rFonts w:ascii="Times" w:hAnsi="Times" w:cs="Times New Roman"/>
          <w:lang w:val="en"/>
        </w:rPr>
        <w:t>-administered</w:t>
      </w:r>
      <w:proofErr w:type="gramEnd"/>
      <w:r w:rsidR="00EF5DFE">
        <w:rPr>
          <w:rFonts w:ascii="Times" w:hAnsi="Times" w:cs="Times New Roman"/>
          <w:lang w:val="en"/>
        </w:rPr>
        <w:t xml:space="preserve"> </w:t>
      </w:r>
      <w:r w:rsidR="001D32FE">
        <w:rPr>
          <w:rFonts w:ascii="Times" w:hAnsi="Times" w:cs="Times New Roman"/>
          <w:lang w:val="en"/>
        </w:rPr>
        <w:t>AOM</w:t>
      </w:r>
      <w:r w:rsidR="00FE3710">
        <w:rPr>
          <w:rFonts w:ascii="Times" w:hAnsi="Times" w:cs="Times New Roman"/>
          <w:lang w:val="en"/>
        </w:rPr>
        <w:t>.</w:t>
      </w:r>
    </w:p>
    <w:p w14:paraId="6DEC0326" w14:textId="648383E4" w:rsidR="00C01F8E" w:rsidRPr="004F0D7C" w:rsidRDefault="00D9773F" w:rsidP="00872C50">
      <w:pPr>
        <w:spacing w:line="480" w:lineRule="auto"/>
        <w:rPr>
          <w:rFonts w:ascii="Times" w:hAnsi="Times" w:cs="Times New Roman"/>
          <w:lang w:val="en"/>
        </w:rPr>
      </w:pPr>
      <w:r>
        <w:rPr>
          <w:rFonts w:ascii="Times" w:hAnsi="Times" w:cs="Times New Roman"/>
          <w:lang w:val="en"/>
        </w:rPr>
        <w:t>I</w:t>
      </w:r>
      <w:r w:rsidR="00F774CB">
        <w:rPr>
          <w:rFonts w:ascii="Times" w:hAnsi="Times" w:cs="Times New Roman"/>
          <w:lang w:val="en"/>
        </w:rPr>
        <w:t>n th</w:t>
      </w:r>
      <w:r w:rsidR="0096108B">
        <w:rPr>
          <w:rFonts w:ascii="Times" w:hAnsi="Times" w:cs="Times New Roman"/>
          <w:lang w:val="en"/>
        </w:rPr>
        <w:t>is paper we</w:t>
      </w:r>
      <w:r w:rsidR="001D32FE">
        <w:rPr>
          <w:rFonts w:ascii="Times" w:hAnsi="Times" w:cs="Times New Roman"/>
          <w:lang w:val="en"/>
        </w:rPr>
        <w:t xml:space="preserve"> therefore</w:t>
      </w:r>
      <w:r w:rsidR="0096108B">
        <w:rPr>
          <w:rFonts w:ascii="Times" w:hAnsi="Times" w:cs="Times New Roman"/>
          <w:lang w:val="en"/>
        </w:rPr>
        <w:t xml:space="preserve"> aim to evaluate the</w:t>
      </w:r>
      <w:r w:rsidR="00F774CB">
        <w:rPr>
          <w:rFonts w:ascii="Times" w:hAnsi="Times" w:cs="Times New Roman"/>
          <w:lang w:val="en"/>
        </w:rPr>
        <w:t xml:space="preserve"> </w:t>
      </w:r>
      <w:r w:rsidR="0096108B">
        <w:rPr>
          <w:rFonts w:ascii="Times" w:hAnsi="Times" w:cs="Times New Roman"/>
          <w:lang w:val="en"/>
        </w:rPr>
        <w:t xml:space="preserve">Danish </w:t>
      </w:r>
      <w:r w:rsidR="004D07F6">
        <w:rPr>
          <w:rFonts w:ascii="Times" w:hAnsi="Times" w:cs="Times New Roman"/>
          <w:lang w:val="en"/>
        </w:rPr>
        <w:t xml:space="preserve">anti-osteoporosis </w:t>
      </w:r>
      <w:r w:rsidR="00F774CB">
        <w:rPr>
          <w:rFonts w:ascii="Times" w:hAnsi="Times" w:cs="Times New Roman"/>
          <w:lang w:val="en"/>
        </w:rPr>
        <w:t xml:space="preserve">treatment gap </w:t>
      </w:r>
      <w:r w:rsidR="0096108B">
        <w:rPr>
          <w:rFonts w:ascii="Times" w:hAnsi="Times" w:cs="Times New Roman"/>
          <w:lang w:val="en"/>
        </w:rPr>
        <w:t xml:space="preserve">from 2005-14 </w:t>
      </w:r>
      <w:r w:rsidR="00F774CB">
        <w:rPr>
          <w:rFonts w:ascii="Times" w:hAnsi="Times" w:cs="Times New Roman"/>
          <w:lang w:val="en"/>
        </w:rPr>
        <w:t xml:space="preserve">in annualized cohorts </w:t>
      </w:r>
      <w:r w:rsidR="0091656A">
        <w:rPr>
          <w:rFonts w:ascii="Times" w:hAnsi="Times" w:cs="Times New Roman"/>
          <w:lang w:val="en"/>
        </w:rPr>
        <w:t>of patients sustaining</w:t>
      </w:r>
      <w:r w:rsidR="00F774CB">
        <w:rPr>
          <w:rFonts w:ascii="Times" w:hAnsi="Times" w:cs="Times New Roman"/>
          <w:lang w:val="en"/>
        </w:rPr>
        <w:t xml:space="preserve"> </w:t>
      </w:r>
      <w:r w:rsidR="004D07F6">
        <w:rPr>
          <w:rFonts w:ascii="Times" w:hAnsi="Times" w:cs="Times New Roman"/>
          <w:lang w:val="en"/>
        </w:rPr>
        <w:t>a</w:t>
      </w:r>
      <w:r w:rsidR="00F774CB">
        <w:rPr>
          <w:rFonts w:ascii="Times" w:hAnsi="Times" w:cs="Times New Roman"/>
          <w:lang w:val="en"/>
        </w:rPr>
        <w:t xml:space="preserve"> </w:t>
      </w:r>
      <w:r w:rsidR="009041CE">
        <w:rPr>
          <w:rFonts w:ascii="Times" w:hAnsi="Times" w:cs="Times New Roman"/>
          <w:lang w:val="en"/>
        </w:rPr>
        <w:t>MOF</w:t>
      </w:r>
      <w:r w:rsidR="00030B5E">
        <w:rPr>
          <w:rFonts w:ascii="Times" w:hAnsi="Times" w:cs="Times New Roman"/>
          <w:lang w:val="en"/>
        </w:rPr>
        <w:t xml:space="preserve">, and to assess </w:t>
      </w:r>
      <w:r w:rsidR="0096108B">
        <w:rPr>
          <w:rFonts w:ascii="Times" w:hAnsi="Times" w:cs="Times New Roman"/>
          <w:lang w:val="en"/>
        </w:rPr>
        <w:t xml:space="preserve">the impact of including </w:t>
      </w:r>
      <w:proofErr w:type="gramStart"/>
      <w:r w:rsidR="0096108B">
        <w:rPr>
          <w:rFonts w:ascii="Times" w:hAnsi="Times" w:cs="Times New Roman"/>
          <w:lang w:val="en"/>
        </w:rPr>
        <w:t>hospital-administered</w:t>
      </w:r>
      <w:proofErr w:type="gramEnd"/>
      <w:r w:rsidR="00F774CB">
        <w:rPr>
          <w:rFonts w:ascii="Times" w:hAnsi="Times" w:cs="Times New Roman"/>
          <w:lang w:val="en"/>
        </w:rPr>
        <w:t xml:space="preserve"> </w:t>
      </w:r>
      <w:r w:rsidR="0096108B">
        <w:rPr>
          <w:rFonts w:ascii="Times" w:hAnsi="Times" w:cs="Times New Roman"/>
          <w:lang w:val="en"/>
        </w:rPr>
        <w:t xml:space="preserve">AOM </w:t>
      </w:r>
      <w:r w:rsidR="00581408">
        <w:rPr>
          <w:rFonts w:ascii="Times" w:hAnsi="Times" w:cs="Times New Roman"/>
          <w:lang w:val="en"/>
        </w:rPr>
        <w:t xml:space="preserve">on the treatment </w:t>
      </w:r>
      <w:r w:rsidR="001D32FE">
        <w:rPr>
          <w:rFonts w:ascii="Times" w:hAnsi="Times" w:cs="Times New Roman"/>
          <w:lang w:val="en"/>
        </w:rPr>
        <w:t xml:space="preserve">gap </w:t>
      </w:r>
      <w:r w:rsidR="00581408">
        <w:rPr>
          <w:rFonts w:ascii="Times" w:hAnsi="Times" w:cs="Times New Roman"/>
          <w:lang w:val="en"/>
        </w:rPr>
        <w:t>among these patients</w:t>
      </w:r>
      <w:r w:rsidR="0096108B">
        <w:rPr>
          <w:rFonts w:ascii="Times" w:hAnsi="Times" w:cs="Times New Roman"/>
          <w:lang w:val="en"/>
        </w:rPr>
        <w:t>.</w:t>
      </w:r>
      <w:r w:rsidR="00C01F8E" w:rsidRPr="004E3004">
        <w:rPr>
          <w:rFonts w:ascii="Times" w:hAnsi="Times" w:cs="Times New Roman"/>
          <w:b/>
          <w:lang w:val="en"/>
        </w:rPr>
        <w:br w:type="page"/>
      </w:r>
    </w:p>
    <w:p w14:paraId="7E4B002E" w14:textId="6D3E9583" w:rsidR="00C01F8E" w:rsidRPr="004907A0" w:rsidRDefault="00C01F8E" w:rsidP="00872C50">
      <w:pPr>
        <w:spacing w:line="480" w:lineRule="auto"/>
        <w:rPr>
          <w:rFonts w:ascii="Times" w:hAnsi="Times" w:cs="Times New Roman"/>
          <w:b/>
          <w:lang w:val="en"/>
        </w:rPr>
      </w:pPr>
      <w:r w:rsidRPr="004907A0">
        <w:rPr>
          <w:rFonts w:ascii="Times" w:hAnsi="Times" w:cs="Times New Roman"/>
          <w:b/>
          <w:lang w:val="en"/>
        </w:rPr>
        <w:lastRenderedPageBreak/>
        <w:t>Methods</w:t>
      </w:r>
    </w:p>
    <w:p w14:paraId="1E52E597" w14:textId="419B3119" w:rsidR="00C01F8E" w:rsidRDefault="006C1A81" w:rsidP="00872C50">
      <w:pPr>
        <w:spacing w:line="480" w:lineRule="auto"/>
        <w:rPr>
          <w:rFonts w:ascii="Times" w:hAnsi="Times"/>
          <w:lang w:val="en"/>
        </w:rPr>
      </w:pPr>
      <w:r w:rsidRPr="004907A0">
        <w:rPr>
          <w:rFonts w:ascii="Times" w:hAnsi="Times" w:cs="Times New Roman"/>
          <w:lang w:val="en"/>
        </w:rPr>
        <w:t xml:space="preserve">This is a post-hoc analysis </w:t>
      </w:r>
      <w:r w:rsidR="003E2E03" w:rsidRPr="004907A0">
        <w:rPr>
          <w:rFonts w:ascii="Times" w:hAnsi="Times"/>
          <w:lang w:val="en"/>
        </w:rPr>
        <w:t xml:space="preserve">of </w:t>
      </w:r>
      <w:r w:rsidR="00573D21">
        <w:rPr>
          <w:rFonts w:ascii="Times" w:hAnsi="Times"/>
          <w:lang w:val="en"/>
        </w:rPr>
        <w:t xml:space="preserve">Danish data </w:t>
      </w:r>
      <w:r w:rsidR="00FA1F76">
        <w:rPr>
          <w:rFonts w:ascii="Times" w:hAnsi="Times"/>
          <w:lang w:val="en"/>
        </w:rPr>
        <w:t>from</w:t>
      </w:r>
      <w:r w:rsidR="00573D21">
        <w:rPr>
          <w:rFonts w:ascii="Times" w:hAnsi="Times"/>
          <w:lang w:val="en"/>
        </w:rPr>
        <w:t xml:space="preserve"> </w:t>
      </w:r>
      <w:r w:rsidR="003E2E03" w:rsidRPr="004907A0">
        <w:rPr>
          <w:rFonts w:ascii="Times" w:hAnsi="Times"/>
          <w:lang w:val="en"/>
        </w:rPr>
        <w:t xml:space="preserve">the Multinational Observational Database Study on Imminent Osteoporotic Fracture Risk (the IFRISK study), </w:t>
      </w:r>
      <w:r w:rsidR="00A03B6C">
        <w:rPr>
          <w:rFonts w:ascii="Times" w:hAnsi="Times"/>
          <w:lang w:val="en"/>
        </w:rPr>
        <w:t>which is</w:t>
      </w:r>
      <w:r w:rsidR="003E2E03" w:rsidRPr="004907A0">
        <w:rPr>
          <w:rFonts w:ascii="Times" w:hAnsi="Times"/>
          <w:lang w:val="en"/>
        </w:rPr>
        <w:t xml:space="preserve"> </w:t>
      </w:r>
      <w:r w:rsidR="00466399">
        <w:rPr>
          <w:rFonts w:ascii="Times" w:hAnsi="Times"/>
          <w:lang w:val="en"/>
        </w:rPr>
        <w:t xml:space="preserve">a register-based study </w:t>
      </w:r>
      <w:r w:rsidR="002F1D52">
        <w:rPr>
          <w:rFonts w:ascii="Times" w:hAnsi="Times"/>
          <w:lang w:val="en"/>
        </w:rPr>
        <w:t xml:space="preserve">evaluating </w:t>
      </w:r>
      <w:r w:rsidR="00E036B5">
        <w:rPr>
          <w:rFonts w:ascii="Times" w:hAnsi="Times"/>
          <w:lang w:val="en"/>
        </w:rPr>
        <w:t xml:space="preserve">short-term </w:t>
      </w:r>
      <w:r w:rsidR="002F1D52">
        <w:rPr>
          <w:rFonts w:ascii="Times" w:hAnsi="Times"/>
          <w:lang w:val="en"/>
        </w:rPr>
        <w:t xml:space="preserve">fracture risk </w:t>
      </w:r>
      <w:r w:rsidR="003E2E03" w:rsidRPr="004907A0">
        <w:rPr>
          <w:rFonts w:ascii="Times" w:hAnsi="Times"/>
          <w:lang w:val="en"/>
        </w:rPr>
        <w:t>in patients at high risk of osteoporotic fractures</w:t>
      </w:r>
      <w:r w:rsidR="00DA4160">
        <w:rPr>
          <w:rFonts w:ascii="Times" w:hAnsi="Times"/>
          <w:lang w:val="en"/>
        </w:rPr>
        <w:fldChar w:fldCharType="begin" w:fldLock="1"/>
      </w:r>
      <w:r w:rsidR="00175613">
        <w:rPr>
          <w:rFonts w:ascii="Times" w:hAnsi="Times"/>
          <w:lang w:val="en"/>
        </w:rPr>
        <w:instrText>ADDIN CSL_CITATION {"citationItems":[{"id":"ITEM-1","itemData":{"URL":"http://www.encepp.eu/encepp/viewResource.htm?id=24100","accessed":{"date-parts":[["2020","6","23"]]},"container-title":"The European Union electronic Register of Post-Authorisation Studies (EU PAS Register)","id":"ITEM-1","issued":{"date-parts":[["2018"]]},"title":"Multinational Observational Database Study on Imminent Osteoporotic Fracture Risk: Stage 1","type":"webpage"},"uris":["http://www.mendeley.com/documents/?uuid=9ad4144e-a8f3-4136-97ee-e71229503f8d"]}],"mendeley":{"formattedCitation":"[30]","plainTextFormattedCitation":"[30]","previouslyFormattedCitation":"[30]"},"properties":{"noteIndex":0},"schema":"https://github.com/citation-style-language/schema/raw/master/csl-citation.json"}</w:instrText>
      </w:r>
      <w:r w:rsidR="00DA4160">
        <w:rPr>
          <w:rFonts w:ascii="Times" w:hAnsi="Times"/>
          <w:lang w:val="en"/>
        </w:rPr>
        <w:fldChar w:fldCharType="separate"/>
      </w:r>
      <w:r w:rsidR="0052159C" w:rsidRPr="0052159C">
        <w:rPr>
          <w:rFonts w:ascii="Times" w:hAnsi="Times"/>
          <w:noProof/>
          <w:lang w:val="en"/>
        </w:rPr>
        <w:t>[30]</w:t>
      </w:r>
      <w:r w:rsidR="00DA4160">
        <w:rPr>
          <w:rFonts w:ascii="Times" w:hAnsi="Times"/>
          <w:lang w:val="en"/>
        </w:rPr>
        <w:fldChar w:fldCharType="end"/>
      </w:r>
      <w:r w:rsidR="003E2E03" w:rsidRPr="004907A0">
        <w:rPr>
          <w:rFonts w:ascii="Times" w:hAnsi="Times"/>
          <w:lang w:val="en"/>
        </w:rPr>
        <w:t xml:space="preserve">. </w:t>
      </w:r>
      <w:r w:rsidR="00220561">
        <w:rPr>
          <w:rFonts w:ascii="Times" w:hAnsi="Times"/>
          <w:lang w:val="en"/>
        </w:rPr>
        <w:t>In Denmark, t</w:t>
      </w:r>
      <w:r w:rsidR="00742AD7">
        <w:rPr>
          <w:rFonts w:ascii="Times" w:hAnsi="Times"/>
          <w:lang w:val="en"/>
        </w:rPr>
        <w:t xml:space="preserve">he study was approved by the </w:t>
      </w:r>
      <w:r w:rsidR="00220561" w:rsidRPr="00220561">
        <w:rPr>
          <w:rFonts w:ascii="Times" w:hAnsi="Times"/>
          <w:lang w:val="en"/>
        </w:rPr>
        <w:t>Danish Medicines Agency, the Danish Data Protection Agency</w:t>
      </w:r>
      <w:r w:rsidR="00B465A9">
        <w:rPr>
          <w:rFonts w:ascii="Times" w:hAnsi="Times"/>
          <w:lang w:val="en"/>
        </w:rPr>
        <w:t>,</w:t>
      </w:r>
      <w:r w:rsidR="00220561" w:rsidRPr="00220561">
        <w:rPr>
          <w:rFonts w:ascii="Times" w:hAnsi="Times"/>
          <w:lang w:val="en"/>
        </w:rPr>
        <w:t xml:space="preserve"> and Statistics Denmark</w:t>
      </w:r>
      <w:r w:rsidR="00382BD7">
        <w:rPr>
          <w:rFonts w:ascii="Times" w:hAnsi="Times" w:cs="Times New Roman"/>
          <w:lang w:val="en"/>
        </w:rPr>
        <w:t xml:space="preserve"> (ref. number 706638). For this type of studies, ethical committee approval is not required.</w:t>
      </w:r>
    </w:p>
    <w:p w14:paraId="428B6F94" w14:textId="77777777" w:rsidR="005E01EF" w:rsidRDefault="00727C66" w:rsidP="00872C50">
      <w:pPr>
        <w:spacing w:line="480" w:lineRule="auto"/>
        <w:rPr>
          <w:rFonts w:ascii="Times" w:hAnsi="Times"/>
          <w:lang w:val="en"/>
        </w:rPr>
      </w:pPr>
      <w:r>
        <w:rPr>
          <w:rFonts w:ascii="Times" w:hAnsi="Times"/>
          <w:lang w:val="en"/>
        </w:rPr>
        <w:t>In this</w:t>
      </w:r>
      <w:r w:rsidR="00570925">
        <w:rPr>
          <w:rFonts w:ascii="Times" w:hAnsi="Times"/>
          <w:lang w:val="en"/>
        </w:rPr>
        <w:t xml:space="preserve"> retrospective</w:t>
      </w:r>
      <w:r>
        <w:rPr>
          <w:rFonts w:ascii="Times" w:hAnsi="Times"/>
          <w:lang w:val="en"/>
        </w:rPr>
        <w:t xml:space="preserve"> analysis, we applied a repeated cross-sectional design</w:t>
      </w:r>
      <w:r w:rsidR="0022301B">
        <w:rPr>
          <w:rFonts w:ascii="Times" w:hAnsi="Times"/>
          <w:lang w:val="en"/>
        </w:rPr>
        <w:t xml:space="preserve"> to evaluate the post-fracture</w:t>
      </w:r>
      <w:r w:rsidR="00426724">
        <w:rPr>
          <w:rFonts w:ascii="Times" w:hAnsi="Times"/>
          <w:lang w:val="en"/>
        </w:rPr>
        <w:t xml:space="preserve"> anti-osteoporosis</w:t>
      </w:r>
      <w:r w:rsidR="0022301B">
        <w:rPr>
          <w:rFonts w:ascii="Times" w:hAnsi="Times"/>
          <w:lang w:val="en"/>
        </w:rPr>
        <w:t xml:space="preserve"> treatment gap </w:t>
      </w:r>
      <w:r w:rsidR="00A03B6C">
        <w:rPr>
          <w:rFonts w:ascii="Times" w:hAnsi="Times"/>
          <w:lang w:val="en"/>
        </w:rPr>
        <w:t>in</w:t>
      </w:r>
      <w:r w:rsidR="00E56811">
        <w:rPr>
          <w:rFonts w:ascii="Times" w:hAnsi="Times"/>
          <w:lang w:val="en"/>
        </w:rPr>
        <w:t xml:space="preserve"> consecutive annuali</w:t>
      </w:r>
      <w:r w:rsidR="00155B37">
        <w:rPr>
          <w:rFonts w:ascii="Times" w:hAnsi="Times"/>
          <w:lang w:val="en"/>
        </w:rPr>
        <w:t>z</w:t>
      </w:r>
      <w:r w:rsidR="00E56811">
        <w:rPr>
          <w:rFonts w:ascii="Times" w:hAnsi="Times"/>
          <w:lang w:val="en"/>
        </w:rPr>
        <w:t>ed cohorts of</w:t>
      </w:r>
      <w:r w:rsidR="00995008">
        <w:rPr>
          <w:rFonts w:ascii="Times" w:hAnsi="Times"/>
          <w:lang w:val="en"/>
        </w:rPr>
        <w:t xml:space="preserve"> patients sustaining an</w:t>
      </w:r>
      <w:r w:rsidR="00E7656B">
        <w:rPr>
          <w:rFonts w:ascii="Times" w:hAnsi="Times"/>
          <w:lang w:val="en"/>
        </w:rPr>
        <w:t xml:space="preserve"> incident</w:t>
      </w:r>
      <w:r w:rsidR="00995008">
        <w:rPr>
          <w:rFonts w:ascii="Times" w:hAnsi="Times"/>
          <w:lang w:val="en"/>
        </w:rPr>
        <w:t xml:space="preserve"> </w:t>
      </w:r>
      <w:r w:rsidR="009041CE">
        <w:rPr>
          <w:rFonts w:ascii="Times" w:hAnsi="Times"/>
          <w:lang w:val="en"/>
        </w:rPr>
        <w:t>MOF</w:t>
      </w:r>
      <w:r w:rsidR="00995008">
        <w:rPr>
          <w:rFonts w:ascii="Times" w:hAnsi="Times"/>
          <w:lang w:val="en"/>
        </w:rPr>
        <w:t xml:space="preserve"> </w:t>
      </w:r>
      <w:r w:rsidR="0022301B">
        <w:rPr>
          <w:rFonts w:ascii="Times" w:hAnsi="Times"/>
          <w:lang w:val="en"/>
        </w:rPr>
        <w:t>from 2005 to 2014</w:t>
      </w:r>
      <w:r w:rsidR="007E1250">
        <w:rPr>
          <w:rFonts w:ascii="Times" w:hAnsi="Times"/>
          <w:lang w:val="en"/>
        </w:rPr>
        <w:t>.</w:t>
      </w:r>
      <w:r w:rsidR="00C10AA4">
        <w:rPr>
          <w:rFonts w:ascii="Times" w:hAnsi="Times"/>
          <w:lang w:val="en"/>
        </w:rPr>
        <w:t xml:space="preserve"> </w:t>
      </w:r>
      <w:r w:rsidR="007E1250">
        <w:rPr>
          <w:rFonts w:ascii="Times" w:hAnsi="Times"/>
          <w:lang w:val="en"/>
        </w:rPr>
        <w:t>Furthermore, we assessed</w:t>
      </w:r>
      <w:r w:rsidR="00A343C6">
        <w:rPr>
          <w:rFonts w:ascii="Times" w:hAnsi="Times"/>
          <w:lang w:val="en"/>
        </w:rPr>
        <w:t xml:space="preserve"> – as part of this analysis -</w:t>
      </w:r>
      <w:r w:rsidR="00127F05">
        <w:rPr>
          <w:rFonts w:ascii="Times" w:hAnsi="Times"/>
          <w:lang w:val="en"/>
        </w:rPr>
        <w:t xml:space="preserve"> the</w:t>
      </w:r>
      <w:r w:rsidR="007E1250">
        <w:rPr>
          <w:rFonts w:ascii="Times" w:hAnsi="Times"/>
          <w:lang w:val="en"/>
        </w:rPr>
        <w:t xml:space="preserve"> </w:t>
      </w:r>
      <w:r w:rsidR="00E8051C">
        <w:rPr>
          <w:rFonts w:ascii="Times" w:hAnsi="Times"/>
          <w:lang w:val="en"/>
        </w:rPr>
        <w:t xml:space="preserve">impact of </w:t>
      </w:r>
      <w:r w:rsidR="00C65513">
        <w:rPr>
          <w:rFonts w:ascii="Times" w:hAnsi="Times"/>
          <w:lang w:val="en"/>
        </w:rPr>
        <w:t>hospital-administered AOM</w:t>
      </w:r>
      <w:r w:rsidR="00F53176" w:rsidRPr="00F53176">
        <w:rPr>
          <w:rFonts w:ascii="Times" w:hAnsi="Times"/>
          <w:lang w:val="en"/>
        </w:rPr>
        <w:t xml:space="preserve"> </w:t>
      </w:r>
      <w:r w:rsidR="00F53176">
        <w:rPr>
          <w:rFonts w:ascii="Times" w:hAnsi="Times"/>
          <w:lang w:val="en"/>
        </w:rPr>
        <w:t>on the treatment gap</w:t>
      </w:r>
      <w:r w:rsidR="0022301B">
        <w:rPr>
          <w:rFonts w:ascii="Times" w:hAnsi="Times"/>
          <w:lang w:val="en"/>
        </w:rPr>
        <w:t xml:space="preserve">. </w:t>
      </w:r>
      <w:r w:rsidR="00EA543B">
        <w:rPr>
          <w:rFonts w:ascii="Times" w:hAnsi="Times"/>
          <w:lang w:val="en"/>
        </w:rPr>
        <w:t xml:space="preserve">The </w:t>
      </w:r>
      <w:r w:rsidR="00F455A8">
        <w:rPr>
          <w:rFonts w:ascii="Times" w:hAnsi="Times"/>
          <w:lang w:val="en"/>
        </w:rPr>
        <w:t xml:space="preserve">treatment gap </w:t>
      </w:r>
      <w:r w:rsidR="00EA543B">
        <w:rPr>
          <w:rFonts w:ascii="Times" w:hAnsi="Times"/>
          <w:lang w:val="en"/>
        </w:rPr>
        <w:t xml:space="preserve">was defined </w:t>
      </w:r>
      <w:r w:rsidR="00F455A8">
        <w:rPr>
          <w:rFonts w:ascii="Times" w:hAnsi="Times"/>
          <w:lang w:val="en"/>
        </w:rPr>
        <w:t xml:space="preserve">as the proportion of </w:t>
      </w:r>
      <w:r w:rsidR="002223F8">
        <w:rPr>
          <w:rFonts w:ascii="Times" w:hAnsi="Times"/>
          <w:lang w:val="en"/>
        </w:rPr>
        <w:t xml:space="preserve">fracture </w:t>
      </w:r>
      <w:r w:rsidR="00F455A8">
        <w:rPr>
          <w:rFonts w:ascii="Times" w:hAnsi="Times"/>
          <w:lang w:val="en"/>
        </w:rPr>
        <w:t xml:space="preserve">patients not treated with AOM </w:t>
      </w:r>
      <w:r w:rsidR="006D3FDB">
        <w:rPr>
          <w:rFonts w:ascii="Times" w:hAnsi="Times"/>
          <w:lang w:val="en"/>
        </w:rPr>
        <w:t>within 1 year of the index fracture.</w:t>
      </w:r>
      <w:r w:rsidR="00117C52" w:rsidRPr="00117C52">
        <w:rPr>
          <w:rFonts w:ascii="Times" w:hAnsi="Times"/>
          <w:lang w:val="en"/>
        </w:rPr>
        <w:t xml:space="preserve"> </w:t>
      </w:r>
      <w:r w:rsidR="00EF6677">
        <w:rPr>
          <w:rFonts w:ascii="Times" w:hAnsi="Times"/>
          <w:lang w:val="en"/>
        </w:rPr>
        <w:t xml:space="preserve">We performed the analyses separately for </w:t>
      </w:r>
      <w:r w:rsidR="009041CE">
        <w:rPr>
          <w:rFonts w:ascii="Times" w:hAnsi="Times"/>
          <w:lang w:val="en"/>
        </w:rPr>
        <w:t>MOF</w:t>
      </w:r>
      <w:r w:rsidR="00EF6677">
        <w:rPr>
          <w:rFonts w:ascii="Times" w:hAnsi="Times"/>
          <w:lang w:val="en"/>
        </w:rPr>
        <w:t xml:space="preserve"> and </w:t>
      </w:r>
      <w:r w:rsidR="009626A4">
        <w:rPr>
          <w:rFonts w:ascii="Times" w:hAnsi="Times"/>
          <w:lang w:val="en"/>
        </w:rPr>
        <w:t xml:space="preserve">for each </w:t>
      </w:r>
      <w:r w:rsidR="00EF6677">
        <w:rPr>
          <w:rFonts w:ascii="Times" w:hAnsi="Times"/>
          <w:lang w:val="en"/>
        </w:rPr>
        <w:t xml:space="preserve">of the components of </w:t>
      </w:r>
      <w:r w:rsidR="0017527E">
        <w:rPr>
          <w:rFonts w:ascii="Times" w:hAnsi="Times"/>
          <w:lang w:val="en"/>
        </w:rPr>
        <w:t>the</w:t>
      </w:r>
      <w:r w:rsidR="00EF6677">
        <w:rPr>
          <w:rFonts w:ascii="Times" w:hAnsi="Times"/>
          <w:lang w:val="en"/>
        </w:rPr>
        <w:t xml:space="preserve"> composite </w:t>
      </w:r>
      <w:r w:rsidR="0017527E">
        <w:rPr>
          <w:rFonts w:ascii="Times" w:hAnsi="Times"/>
          <w:lang w:val="en"/>
        </w:rPr>
        <w:t xml:space="preserve">MOF </w:t>
      </w:r>
      <w:r w:rsidR="00EF6677">
        <w:rPr>
          <w:rFonts w:ascii="Times" w:hAnsi="Times"/>
          <w:lang w:val="en"/>
        </w:rPr>
        <w:t>outcome</w:t>
      </w:r>
      <w:r w:rsidR="004F6E81">
        <w:rPr>
          <w:rFonts w:ascii="Times" w:hAnsi="Times"/>
          <w:lang w:val="en"/>
        </w:rPr>
        <w:t>, respectively</w:t>
      </w:r>
      <w:r w:rsidR="00EF6677">
        <w:rPr>
          <w:rFonts w:ascii="Times" w:hAnsi="Times"/>
          <w:lang w:val="en"/>
        </w:rPr>
        <w:t xml:space="preserve">. </w:t>
      </w:r>
    </w:p>
    <w:p w14:paraId="588CC2C0" w14:textId="077EC104" w:rsidR="00092D3A" w:rsidRPr="004907A0" w:rsidRDefault="00361EB9" w:rsidP="00872C50">
      <w:pPr>
        <w:spacing w:line="480" w:lineRule="auto"/>
        <w:rPr>
          <w:rFonts w:ascii="Times" w:hAnsi="Times"/>
          <w:lang w:val="en"/>
        </w:rPr>
      </w:pPr>
      <w:r>
        <w:rPr>
          <w:rFonts w:ascii="Times" w:hAnsi="Times"/>
          <w:lang w:val="en"/>
        </w:rPr>
        <w:t>To better understand the AOM treatment initiation and treatment gap, we also evaluated if any baseline covariates where associated with an increased likelihood of initiating AOM treatment. In addition, w</w:t>
      </w:r>
      <w:r w:rsidR="005E01EF">
        <w:rPr>
          <w:rFonts w:ascii="Times" w:hAnsi="Times"/>
          <w:lang w:val="en"/>
        </w:rPr>
        <w:t>e</w:t>
      </w:r>
      <w:r w:rsidR="00C0273F">
        <w:rPr>
          <w:rFonts w:ascii="Times" w:hAnsi="Times"/>
          <w:lang w:val="en"/>
        </w:rPr>
        <w:t xml:space="preserve"> also</w:t>
      </w:r>
      <w:r w:rsidR="005E01EF">
        <w:rPr>
          <w:rFonts w:ascii="Times" w:hAnsi="Times"/>
          <w:lang w:val="en"/>
        </w:rPr>
        <w:t xml:space="preserve"> evaluated</w:t>
      </w:r>
      <w:r w:rsidR="00F23012">
        <w:rPr>
          <w:rFonts w:ascii="Times" w:hAnsi="Times"/>
          <w:lang w:val="en"/>
        </w:rPr>
        <w:t xml:space="preserve"> </w:t>
      </w:r>
      <w:r w:rsidR="005E01EF">
        <w:rPr>
          <w:rFonts w:ascii="Times" w:hAnsi="Times"/>
          <w:lang w:val="en"/>
        </w:rPr>
        <w:t>treatment persistence</w:t>
      </w:r>
      <w:r w:rsidR="00F23012">
        <w:rPr>
          <w:rFonts w:ascii="Times" w:hAnsi="Times"/>
          <w:lang w:val="en"/>
        </w:rPr>
        <w:t>,</w:t>
      </w:r>
      <w:r w:rsidR="005E01EF">
        <w:rPr>
          <w:rFonts w:ascii="Times" w:hAnsi="Times"/>
          <w:lang w:val="en"/>
        </w:rPr>
        <w:t xml:space="preserve"> defined as the proportion of patients </w:t>
      </w:r>
      <w:r w:rsidR="00C0273F">
        <w:rPr>
          <w:rFonts w:ascii="Times" w:hAnsi="Times"/>
          <w:lang w:val="en"/>
        </w:rPr>
        <w:t xml:space="preserve">who remained on AOM treatment one year after the first </w:t>
      </w:r>
      <w:r w:rsidR="005E01EF">
        <w:rPr>
          <w:rFonts w:ascii="Times" w:hAnsi="Times"/>
          <w:lang w:val="en"/>
        </w:rPr>
        <w:t xml:space="preserve">AOM treatment </w:t>
      </w:r>
      <w:r w:rsidR="00C0273F">
        <w:rPr>
          <w:rFonts w:ascii="Times" w:hAnsi="Times"/>
          <w:lang w:val="en"/>
        </w:rPr>
        <w:t>administration following the index fracture</w:t>
      </w:r>
      <w:r>
        <w:rPr>
          <w:rFonts w:ascii="Times" w:hAnsi="Times"/>
          <w:lang w:val="en"/>
        </w:rPr>
        <w:t>.</w:t>
      </w:r>
    </w:p>
    <w:p w14:paraId="4A2069FE" w14:textId="77777777" w:rsidR="001C4F15" w:rsidRDefault="001C4F15" w:rsidP="001C4F15">
      <w:pPr>
        <w:spacing w:line="480" w:lineRule="auto"/>
        <w:rPr>
          <w:rFonts w:ascii="Times" w:hAnsi="Times" w:cs="Times New Roman"/>
          <w:u w:val="single"/>
          <w:lang w:val="en"/>
        </w:rPr>
      </w:pPr>
      <w:r w:rsidRPr="002F1D52">
        <w:rPr>
          <w:rFonts w:ascii="Times" w:hAnsi="Times" w:cs="Times New Roman"/>
          <w:u w:val="single"/>
          <w:lang w:val="en"/>
        </w:rPr>
        <w:t>Data sources</w:t>
      </w:r>
    </w:p>
    <w:p w14:paraId="588F122F" w14:textId="77777777" w:rsidR="001C4F15" w:rsidRDefault="001C4F15" w:rsidP="001C4F15">
      <w:pPr>
        <w:spacing w:line="480" w:lineRule="auto"/>
        <w:rPr>
          <w:rFonts w:ascii="Times" w:hAnsi="Times" w:cs="Times New Roman"/>
          <w:lang w:val="en"/>
        </w:rPr>
      </w:pPr>
      <w:r>
        <w:rPr>
          <w:rFonts w:ascii="Times" w:hAnsi="Times" w:cs="Times New Roman"/>
          <w:lang w:val="en"/>
        </w:rPr>
        <w:t xml:space="preserve">We utilized data from the Danish Health Registries. This included the National Patient Register, which contains information on all admissions to public Danish hospitals since 1977 and out-patient visits since 1995, including diagnosis codes and treatments; the National Cause of Death Register, giving date and cause of death from 1970 and onwards; and the National Prescription Database, </w:t>
      </w:r>
      <w:r>
        <w:rPr>
          <w:rFonts w:ascii="Times" w:hAnsi="Times" w:cs="Times New Roman"/>
          <w:lang w:val="en"/>
        </w:rPr>
        <w:lastRenderedPageBreak/>
        <w:t xml:space="preserve">which contains information on all filled prescriptions from 1995. These registries cover the entire Danish population until death or migration. </w:t>
      </w:r>
    </w:p>
    <w:p w14:paraId="0D3AD248" w14:textId="0FA22328" w:rsidR="00A22465" w:rsidRDefault="00466399" w:rsidP="00872C50">
      <w:pPr>
        <w:spacing w:line="480" w:lineRule="auto"/>
        <w:rPr>
          <w:rFonts w:ascii="Times" w:hAnsi="Times" w:cs="Times New Roman"/>
          <w:u w:val="single"/>
          <w:lang w:val="en"/>
        </w:rPr>
      </w:pPr>
      <w:r>
        <w:rPr>
          <w:rFonts w:ascii="Times" w:hAnsi="Times" w:cs="Times New Roman"/>
          <w:u w:val="single"/>
          <w:lang w:val="en"/>
        </w:rPr>
        <w:t>Study p</w:t>
      </w:r>
      <w:r w:rsidR="00A22465" w:rsidRPr="002F1D52">
        <w:rPr>
          <w:rFonts w:ascii="Times" w:hAnsi="Times" w:cs="Times New Roman"/>
          <w:u w:val="single"/>
          <w:lang w:val="en"/>
        </w:rPr>
        <w:t>opulation</w:t>
      </w:r>
    </w:p>
    <w:p w14:paraId="6CBC6BCC" w14:textId="3B1169E4" w:rsidR="00A22465" w:rsidRPr="002F1D52" w:rsidRDefault="00A22465" w:rsidP="00872C50">
      <w:pPr>
        <w:spacing w:line="480" w:lineRule="auto"/>
        <w:rPr>
          <w:rFonts w:ascii="Times" w:hAnsi="Times" w:cs="Times New Roman"/>
          <w:lang w:val="en"/>
        </w:rPr>
      </w:pPr>
      <w:r>
        <w:rPr>
          <w:rFonts w:ascii="Times" w:hAnsi="Times" w:cs="Times New Roman"/>
          <w:lang w:val="en"/>
        </w:rPr>
        <w:t xml:space="preserve">Eligible for inclusion were men and women with incident </w:t>
      </w:r>
      <w:r w:rsidR="0022222A">
        <w:rPr>
          <w:rFonts w:ascii="Times" w:hAnsi="Times" w:cs="Times New Roman"/>
          <w:lang w:val="en"/>
        </w:rPr>
        <w:t>hip</w:t>
      </w:r>
      <w:r w:rsidR="00EF6677">
        <w:rPr>
          <w:rFonts w:ascii="Times" w:hAnsi="Times" w:cs="Times New Roman"/>
          <w:lang w:val="en"/>
        </w:rPr>
        <w:t xml:space="preserve">, vertebral, </w:t>
      </w:r>
      <w:r w:rsidR="00876D62">
        <w:rPr>
          <w:rFonts w:ascii="Times" w:hAnsi="Times" w:cs="Times New Roman"/>
          <w:lang w:val="en"/>
        </w:rPr>
        <w:t>humerus</w:t>
      </w:r>
      <w:r w:rsidR="00EF6677">
        <w:rPr>
          <w:rFonts w:ascii="Times" w:hAnsi="Times" w:cs="Times New Roman"/>
          <w:lang w:val="en"/>
        </w:rPr>
        <w:t xml:space="preserve">, and/or </w:t>
      </w:r>
      <w:r w:rsidR="005940AC">
        <w:rPr>
          <w:rFonts w:ascii="Times" w:hAnsi="Times" w:cs="Times New Roman"/>
          <w:lang w:val="en"/>
        </w:rPr>
        <w:t xml:space="preserve">forearm </w:t>
      </w:r>
      <w:r w:rsidR="0022222A">
        <w:rPr>
          <w:rFonts w:ascii="Times" w:hAnsi="Times" w:cs="Times New Roman"/>
          <w:lang w:val="en"/>
        </w:rPr>
        <w:t>fractures</w:t>
      </w:r>
      <w:r w:rsidR="00EF6677">
        <w:rPr>
          <w:rFonts w:ascii="Times" w:hAnsi="Times" w:cs="Times New Roman"/>
          <w:lang w:val="en"/>
        </w:rPr>
        <w:t xml:space="preserve"> </w:t>
      </w:r>
      <w:r>
        <w:rPr>
          <w:rFonts w:ascii="Times" w:hAnsi="Times" w:cs="Times New Roman"/>
          <w:lang w:val="en"/>
        </w:rPr>
        <w:t xml:space="preserve">between 2005 and 2014, aged 50 years or older at the time of the fracture. Any first </w:t>
      </w:r>
      <w:r w:rsidR="005E61BD">
        <w:rPr>
          <w:rFonts w:ascii="Times" w:hAnsi="Times" w:cs="Times New Roman"/>
          <w:lang w:val="en"/>
        </w:rPr>
        <w:t>incident</w:t>
      </w:r>
      <w:r w:rsidR="00EF6677">
        <w:rPr>
          <w:rFonts w:ascii="Times" w:hAnsi="Times" w:cs="Times New Roman"/>
          <w:lang w:val="en"/>
        </w:rPr>
        <w:t xml:space="preserve"> hip, vertebral, </w:t>
      </w:r>
      <w:r w:rsidR="00876D62">
        <w:rPr>
          <w:rFonts w:ascii="Times" w:hAnsi="Times" w:cs="Times New Roman"/>
          <w:lang w:val="en"/>
        </w:rPr>
        <w:t>humerus</w:t>
      </w:r>
      <w:r w:rsidR="00EF6677">
        <w:rPr>
          <w:rFonts w:ascii="Times" w:hAnsi="Times" w:cs="Times New Roman"/>
          <w:lang w:val="en"/>
        </w:rPr>
        <w:t xml:space="preserve">, and </w:t>
      </w:r>
      <w:r w:rsidR="0012365C">
        <w:rPr>
          <w:rFonts w:ascii="Times" w:hAnsi="Times" w:cs="Times New Roman"/>
          <w:lang w:val="en"/>
        </w:rPr>
        <w:t xml:space="preserve">forearm </w:t>
      </w:r>
      <w:r w:rsidR="00EF6677">
        <w:rPr>
          <w:rFonts w:ascii="Times" w:hAnsi="Times" w:cs="Times New Roman"/>
          <w:lang w:val="en"/>
        </w:rPr>
        <w:t>fracture</w:t>
      </w:r>
      <w:r>
        <w:rPr>
          <w:rFonts w:ascii="Times" w:hAnsi="Times" w:cs="Times New Roman"/>
          <w:lang w:val="en"/>
        </w:rPr>
        <w:t xml:space="preserve"> in a given calendar year </w:t>
      </w:r>
      <w:r w:rsidR="00235E11">
        <w:rPr>
          <w:rFonts w:ascii="Times" w:hAnsi="Times" w:cs="Times New Roman"/>
          <w:lang w:val="en"/>
        </w:rPr>
        <w:t xml:space="preserve">(= index fracture) </w:t>
      </w:r>
      <w:r>
        <w:rPr>
          <w:rFonts w:ascii="Times" w:hAnsi="Times" w:cs="Times New Roman"/>
          <w:lang w:val="en"/>
        </w:rPr>
        <w:t>qualified for inclusion</w:t>
      </w:r>
      <w:r w:rsidR="00375667">
        <w:rPr>
          <w:rFonts w:ascii="Times" w:hAnsi="Times" w:cs="Times New Roman"/>
          <w:lang w:val="en"/>
        </w:rPr>
        <w:t xml:space="preserve"> in the respective </w:t>
      </w:r>
      <w:r w:rsidR="000A4774">
        <w:rPr>
          <w:rFonts w:ascii="Times" w:hAnsi="Times" w:cs="Times New Roman"/>
          <w:lang w:val="en"/>
        </w:rPr>
        <w:t xml:space="preserve">annual </w:t>
      </w:r>
      <w:r w:rsidR="00375667">
        <w:rPr>
          <w:rFonts w:ascii="Times" w:hAnsi="Times" w:cs="Times New Roman"/>
          <w:lang w:val="en"/>
        </w:rPr>
        <w:t>cohort</w:t>
      </w:r>
      <w:r w:rsidR="002B0117">
        <w:rPr>
          <w:rFonts w:ascii="Times" w:hAnsi="Times" w:cs="Times New Roman"/>
          <w:lang w:val="en"/>
        </w:rPr>
        <w:t xml:space="preserve"> for that fracture type</w:t>
      </w:r>
      <w:r w:rsidR="00EF6677">
        <w:rPr>
          <w:rFonts w:ascii="Times" w:hAnsi="Times" w:cs="Times New Roman"/>
          <w:lang w:val="en"/>
        </w:rPr>
        <w:t xml:space="preserve">, while only the first of these fractures within a given calendar year would qualify for inclusion in the respective annual </w:t>
      </w:r>
      <w:r w:rsidR="009041CE">
        <w:rPr>
          <w:rFonts w:ascii="Times" w:hAnsi="Times" w:cs="Times New Roman"/>
          <w:lang w:val="en"/>
        </w:rPr>
        <w:t>MOF</w:t>
      </w:r>
      <w:r w:rsidR="0070110A">
        <w:rPr>
          <w:rFonts w:ascii="Times" w:hAnsi="Times" w:cs="Times New Roman"/>
          <w:lang w:val="en"/>
        </w:rPr>
        <w:t xml:space="preserve"> </w:t>
      </w:r>
      <w:r w:rsidR="00EF6677">
        <w:rPr>
          <w:rFonts w:ascii="Times" w:hAnsi="Times" w:cs="Times New Roman"/>
          <w:lang w:val="en"/>
        </w:rPr>
        <w:t>cohort</w:t>
      </w:r>
      <w:r>
        <w:rPr>
          <w:rFonts w:ascii="Times" w:hAnsi="Times" w:cs="Times New Roman"/>
          <w:lang w:val="en"/>
        </w:rPr>
        <w:t xml:space="preserve">. </w:t>
      </w:r>
      <w:r w:rsidR="003A4E65">
        <w:rPr>
          <w:rFonts w:ascii="Times" w:hAnsi="Times" w:cs="Times New Roman"/>
          <w:lang w:val="en"/>
        </w:rPr>
        <w:t>I</w:t>
      </w:r>
      <w:r>
        <w:rPr>
          <w:rFonts w:ascii="Times" w:hAnsi="Times" w:cs="Times New Roman"/>
          <w:lang w:val="en"/>
        </w:rPr>
        <w:t>f a</w:t>
      </w:r>
      <w:r w:rsidR="00EF6677">
        <w:rPr>
          <w:rFonts w:ascii="Times" w:hAnsi="Times" w:cs="Times New Roman"/>
          <w:lang w:val="en"/>
        </w:rPr>
        <w:t xml:space="preserve"> </w:t>
      </w:r>
      <w:r>
        <w:rPr>
          <w:rFonts w:ascii="Times" w:hAnsi="Times" w:cs="Times New Roman"/>
          <w:lang w:val="en"/>
        </w:rPr>
        <w:t>fracture had been coded for the same anatomical location within the past 6 months,</w:t>
      </w:r>
      <w:r w:rsidR="003A4E65">
        <w:rPr>
          <w:rFonts w:ascii="Times" w:hAnsi="Times" w:cs="Times New Roman"/>
          <w:lang w:val="en"/>
        </w:rPr>
        <w:t xml:space="preserve"> </w:t>
      </w:r>
      <w:r w:rsidR="005E61BD">
        <w:rPr>
          <w:rFonts w:ascii="Times" w:hAnsi="Times" w:cs="Times New Roman"/>
          <w:lang w:val="en"/>
        </w:rPr>
        <w:t>the new fracture code would be considered to be either a complication to or follow-up for the index fracture and thus not be a cause for inclusion in the respective fracture cohort.</w:t>
      </w:r>
      <w:r w:rsidR="009841AC">
        <w:rPr>
          <w:rFonts w:ascii="Times" w:hAnsi="Times" w:cs="Times New Roman"/>
          <w:lang w:val="en"/>
        </w:rPr>
        <w:t xml:space="preserve"> Hence,</w:t>
      </w:r>
      <w:r w:rsidR="0035112A">
        <w:rPr>
          <w:rFonts w:ascii="Times" w:hAnsi="Times" w:cs="Times New Roman"/>
          <w:lang w:val="en"/>
        </w:rPr>
        <w:t xml:space="preserve"> </w:t>
      </w:r>
      <w:r w:rsidR="009841AC">
        <w:rPr>
          <w:rFonts w:ascii="Times" w:hAnsi="Times" w:cs="Times New Roman"/>
          <w:lang w:val="en"/>
        </w:rPr>
        <w:t>p</w:t>
      </w:r>
      <w:r>
        <w:rPr>
          <w:rFonts w:ascii="Times" w:hAnsi="Times" w:cs="Times New Roman"/>
          <w:lang w:val="en"/>
        </w:rPr>
        <w:t xml:space="preserve">atients </w:t>
      </w:r>
      <w:r w:rsidR="002B0117">
        <w:rPr>
          <w:rFonts w:ascii="Times" w:hAnsi="Times" w:cs="Times New Roman"/>
          <w:lang w:val="en"/>
        </w:rPr>
        <w:t xml:space="preserve">can </w:t>
      </w:r>
      <w:r>
        <w:rPr>
          <w:rFonts w:ascii="Times" w:hAnsi="Times" w:cs="Times New Roman"/>
          <w:lang w:val="en"/>
        </w:rPr>
        <w:t xml:space="preserve">contribute to the treatment gap analysis in several </w:t>
      </w:r>
      <w:r w:rsidR="00EF6677">
        <w:rPr>
          <w:rFonts w:ascii="Times" w:hAnsi="Times" w:cs="Times New Roman"/>
          <w:lang w:val="en"/>
        </w:rPr>
        <w:t>fracture cohorts, yet onl</w:t>
      </w:r>
      <w:r>
        <w:rPr>
          <w:rFonts w:ascii="Times" w:hAnsi="Times" w:cs="Times New Roman"/>
          <w:lang w:val="en"/>
        </w:rPr>
        <w:t xml:space="preserve">y once per </w:t>
      </w:r>
      <w:r w:rsidR="00876D62">
        <w:rPr>
          <w:rFonts w:ascii="Times" w:hAnsi="Times" w:cs="Times New Roman"/>
          <w:lang w:val="en"/>
        </w:rPr>
        <w:t xml:space="preserve">fracture group (MOF, hip, vertebral, humerus, </w:t>
      </w:r>
      <w:r w:rsidR="0012365C">
        <w:rPr>
          <w:rFonts w:ascii="Times" w:hAnsi="Times" w:cs="Times New Roman"/>
          <w:lang w:val="en"/>
        </w:rPr>
        <w:t>forearm</w:t>
      </w:r>
      <w:r w:rsidR="00876D62">
        <w:rPr>
          <w:rFonts w:ascii="Times" w:hAnsi="Times" w:cs="Times New Roman"/>
          <w:lang w:val="en"/>
        </w:rPr>
        <w:t>)</w:t>
      </w:r>
      <w:r w:rsidR="00EF6677">
        <w:rPr>
          <w:rFonts w:ascii="Times" w:hAnsi="Times" w:cs="Times New Roman"/>
          <w:lang w:val="en"/>
        </w:rPr>
        <w:t xml:space="preserve"> per </w:t>
      </w:r>
      <w:r>
        <w:rPr>
          <w:rFonts w:ascii="Times" w:hAnsi="Times" w:cs="Times New Roman"/>
          <w:lang w:val="en"/>
        </w:rPr>
        <w:t>calendar year</w:t>
      </w:r>
      <w:r w:rsidR="002B0117">
        <w:rPr>
          <w:rFonts w:ascii="Times" w:hAnsi="Times" w:cs="Times New Roman"/>
          <w:lang w:val="en"/>
        </w:rPr>
        <w:t xml:space="preserve">, </w:t>
      </w:r>
      <w:r w:rsidR="009841AC">
        <w:rPr>
          <w:rFonts w:ascii="Times" w:hAnsi="Times" w:cs="Times New Roman"/>
          <w:lang w:val="en"/>
        </w:rPr>
        <w:t xml:space="preserve">with </w:t>
      </w:r>
      <w:r w:rsidR="002B0117">
        <w:rPr>
          <w:rFonts w:ascii="Times" w:hAnsi="Times" w:cs="Times New Roman"/>
          <w:lang w:val="en"/>
        </w:rPr>
        <w:t xml:space="preserve">the rationale being that the same patient can present a missed opportunity for </w:t>
      </w:r>
      <w:r w:rsidR="002245D6">
        <w:rPr>
          <w:rFonts w:ascii="Times" w:hAnsi="Times" w:cs="Times New Roman"/>
          <w:lang w:val="en"/>
        </w:rPr>
        <w:t xml:space="preserve">anti-osteoporosis </w:t>
      </w:r>
      <w:r w:rsidR="002B0117">
        <w:rPr>
          <w:rFonts w:ascii="Times" w:hAnsi="Times" w:cs="Times New Roman"/>
          <w:lang w:val="en"/>
        </w:rPr>
        <w:t>treatment in more than one calendar year</w:t>
      </w:r>
      <w:r w:rsidR="002245D6">
        <w:rPr>
          <w:rFonts w:ascii="Times" w:hAnsi="Times" w:cs="Times New Roman"/>
          <w:lang w:val="en"/>
        </w:rPr>
        <w:t xml:space="preserve"> and for more than one type of fracture</w:t>
      </w:r>
      <w:r w:rsidR="002B0117">
        <w:rPr>
          <w:rFonts w:ascii="Times" w:hAnsi="Times" w:cs="Times New Roman"/>
          <w:lang w:val="en"/>
        </w:rPr>
        <w:t>.</w:t>
      </w:r>
      <w:r w:rsidR="002245D6">
        <w:rPr>
          <w:rFonts w:ascii="Times" w:hAnsi="Times" w:cs="Times New Roman"/>
          <w:lang w:val="en"/>
        </w:rPr>
        <w:t xml:space="preserve"> </w:t>
      </w:r>
      <w:r w:rsidR="002B0117">
        <w:rPr>
          <w:rFonts w:ascii="Times" w:hAnsi="Times" w:cs="Times New Roman"/>
          <w:lang w:val="en"/>
        </w:rPr>
        <w:t>Patients were excluded if they had a history of breast or prostate cancer, bone metastasis, and/or Paget’s disease</w:t>
      </w:r>
      <w:r w:rsidR="002245D6">
        <w:rPr>
          <w:rFonts w:ascii="Times" w:hAnsi="Times" w:cs="Times New Roman"/>
          <w:lang w:val="en"/>
        </w:rPr>
        <w:t>.</w:t>
      </w:r>
    </w:p>
    <w:p w14:paraId="3E28E270" w14:textId="62413CF9" w:rsidR="00490979" w:rsidRDefault="00A47C18" w:rsidP="00872C50">
      <w:pPr>
        <w:spacing w:line="480" w:lineRule="auto"/>
        <w:rPr>
          <w:rFonts w:ascii="Times" w:hAnsi="Times" w:cs="Times New Roman"/>
          <w:lang w:val="en"/>
        </w:rPr>
      </w:pPr>
      <w:r>
        <w:rPr>
          <w:rFonts w:ascii="Times" w:hAnsi="Times" w:cs="Times New Roman"/>
          <w:lang w:val="en"/>
        </w:rPr>
        <w:t xml:space="preserve">The diagnosis codes used to identify fractures are listed in supplementary </w:t>
      </w:r>
      <w:r w:rsidR="00DA42C3">
        <w:rPr>
          <w:rFonts w:ascii="Times" w:hAnsi="Times" w:cs="Times New Roman"/>
          <w:lang w:val="en"/>
        </w:rPr>
        <w:t xml:space="preserve">table </w:t>
      </w:r>
      <w:r w:rsidR="00404E92">
        <w:rPr>
          <w:rFonts w:ascii="Times" w:hAnsi="Times" w:cs="Times New Roman"/>
          <w:lang w:val="en"/>
        </w:rPr>
        <w:t>1</w:t>
      </w:r>
      <w:r>
        <w:rPr>
          <w:rFonts w:ascii="Times" w:hAnsi="Times" w:cs="Times New Roman"/>
          <w:lang w:val="en"/>
        </w:rPr>
        <w:t xml:space="preserve">. </w:t>
      </w:r>
    </w:p>
    <w:p w14:paraId="07A87197" w14:textId="641A6BE5" w:rsidR="009565BB" w:rsidRPr="009565BB" w:rsidRDefault="009565BB" w:rsidP="00872C50">
      <w:pPr>
        <w:spacing w:line="480" w:lineRule="auto"/>
        <w:rPr>
          <w:rFonts w:ascii="Times" w:hAnsi="Times" w:cs="Times New Roman"/>
          <w:u w:val="single"/>
          <w:lang w:val="en"/>
        </w:rPr>
      </w:pPr>
      <w:r w:rsidRPr="009565BB">
        <w:rPr>
          <w:rFonts w:ascii="Times" w:hAnsi="Times" w:cs="Times New Roman"/>
          <w:u w:val="single"/>
          <w:lang w:val="en"/>
        </w:rPr>
        <w:t>Data extraction</w:t>
      </w:r>
    </w:p>
    <w:p w14:paraId="065E3674" w14:textId="180B6ACD" w:rsidR="009565BB" w:rsidRDefault="007315A2" w:rsidP="00872C50">
      <w:pPr>
        <w:spacing w:line="480" w:lineRule="auto"/>
        <w:rPr>
          <w:rFonts w:ascii="Times" w:hAnsi="Times" w:cs="Times New Roman"/>
          <w:lang w:val="en"/>
        </w:rPr>
      </w:pPr>
      <w:r>
        <w:rPr>
          <w:rFonts w:ascii="Times" w:hAnsi="Times" w:cs="Times New Roman"/>
          <w:lang w:val="en"/>
        </w:rPr>
        <w:t xml:space="preserve">For each participant in each cohort, the </w:t>
      </w:r>
      <w:r w:rsidR="009565BB">
        <w:rPr>
          <w:rFonts w:ascii="Times" w:hAnsi="Times" w:cs="Times New Roman"/>
          <w:lang w:val="en"/>
        </w:rPr>
        <w:t>date of the index fracture</w:t>
      </w:r>
      <w:r w:rsidR="0035112A">
        <w:rPr>
          <w:rFonts w:ascii="Times" w:hAnsi="Times" w:cs="Times New Roman"/>
          <w:lang w:val="en"/>
        </w:rPr>
        <w:t xml:space="preserve"> was defined as baseline</w:t>
      </w:r>
      <w:r w:rsidR="009565BB">
        <w:rPr>
          <w:rFonts w:ascii="Times" w:hAnsi="Times" w:cs="Times New Roman"/>
          <w:lang w:val="en"/>
        </w:rPr>
        <w:t xml:space="preserve">. The baseline period to identify demographic and clinical characteristics was defined as the </w:t>
      </w:r>
      <w:r w:rsidR="002245D6">
        <w:rPr>
          <w:rFonts w:ascii="Times" w:hAnsi="Times" w:cs="Times New Roman"/>
          <w:lang w:val="en"/>
        </w:rPr>
        <w:t>year</w:t>
      </w:r>
      <w:r w:rsidR="009565BB">
        <w:rPr>
          <w:rFonts w:ascii="Times" w:hAnsi="Times" w:cs="Times New Roman"/>
          <w:lang w:val="en"/>
        </w:rPr>
        <w:t xml:space="preserve"> prior to the index fracture</w:t>
      </w:r>
      <w:r w:rsidR="002245D6">
        <w:rPr>
          <w:rFonts w:ascii="Times" w:hAnsi="Times" w:cs="Times New Roman"/>
          <w:lang w:val="en"/>
        </w:rPr>
        <w:t xml:space="preserve"> for use of pharmaceutical products, the last 5 years prior to the index fracture for </w:t>
      </w:r>
      <w:proofErr w:type="spellStart"/>
      <w:r w:rsidR="002245D6">
        <w:rPr>
          <w:rFonts w:ascii="Times" w:hAnsi="Times" w:cs="Times New Roman"/>
          <w:lang w:val="en"/>
        </w:rPr>
        <w:t>Charlson</w:t>
      </w:r>
      <w:proofErr w:type="spellEnd"/>
      <w:r w:rsidR="002245D6">
        <w:rPr>
          <w:rFonts w:ascii="Times" w:hAnsi="Times" w:cs="Times New Roman"/>
          <w:lang w:val="en"/>
        </w:rPr>
        <w:t xml:space="preserve"> Comorbidity index</w:t>
      </w:r>
      <w:r w:rsidR="009565BB">
        <w:rPr>
          <w:rFonts w:ascii="Times" w:hAnsi="Times" w:cs="Times New Roman"/>
          <w:lang w:val="en"/>
        </w:rPr>
        <w:t xml:space="preserve">, </w:t>
      </w:r>
      <w:r w:rsidR="002245D6">
        <w:rPr>
          <w:rFonts w:ascii="Times" w:hAnsi="Times" w:cs="Times New Roman"/>
          <w:lang w:val="en"/>
        </w:rPr>
        <w:t xml:space="preserve">and any time prior to baseline for other baseline covariates including medical history. </w:t>
      </w:r>
    </w:p>
    <w:p w14:paraId="64AA1950" w14:textId="2B175093" w:rsidR="009565BB" w:rsidRDefault="009565BB" w:rsidP="00872C50">
      <w:pPr>
        <w:spacing w:line="480" w:lineRule="auto"/>
        <w:rPr>
          <w:rFonts w:ascii="Times" w:hAnsi="Times" w:cs="Times New Roman"/>
          <w:lang w:val="en"/>
        </w:rPr>
      </w:pPr>
      <w:r>
        <w:rPr>
          <w:rFonts w:ascii="Times" w:hAnsi="Times" w:cs="Times New Roman"/>
          <w:lang w:val="en"/>
        </w:rPr>
        <w:lastRenderedPageBreak/>
        <w:t xml:space="preserve">Follow-up data included </w:t>
      </w:r>
      <w:r w:rsidR="000939C4">
        <w:rPr>
          <w:rFonts w:ascii="Times" w:hAnsi="Times" w:cs="Times New Roman"/>
          <w:lang w:val="en"/>
        </w:rPr>
        <w:t>treatment with</w:t>
      </w:r>
      <w:r>
        <w:rPr>
          <w:rFonts w:ascii="Times" w:hAnsi="Times" w:cs="Times New Roman"/>
          <w:lang w:val="en"/>
        </w:rPr>
        <w:t xml:space="preserve"> </w:t>
      </w:r>
      <w:r w:rsidR="00B2021E">
        <w:rPr>
          <w:rFonts w:ascii="Times" w:hAnsi="Times" w:cs="Times New Roman"/>
          <w:lang w:val="en"/>
        </w:rPr>
        <w:t>AOM</w:t>
      </w:r>
      <w:r w:rsidR="00B6721F">
        <w:rPr>
          <w:rFonts w:ascii="Times" w:hAnsi="Times" w:cs="Times New Roman"/>
          <w:lang w:val="en"/>
        </w:rPr>
        <w:t xml:space="preserve"> from baseline until censored</w:t>
      </w:r>
      <w:r>
        <w:rPr>
          <w:rFonts w:ascii="Times" w:hAnsi="Times" w:cs="Times New Roman"/>
          <w:lang w:val="en"/>
        </w:rPr>
        <w:t xml:space="preserve">, </w:t>
      </w:r>
      <w:r w:rsidR="00B6721F">
        <w:rPr>
          <w:rFonts w:ascii="Times" w:hAnsi="Times" w:cs="Times New Roman"/>
          <w:lang w:val="en"/>
        </w:rPr>
        <w:t>defined by</w:t>
      </w:r>
      <w:r>
        <w:rPr>
          <w:rFonts w:ascii="Times" w:hAnsi="Times" w:cs="Times New Roman"/>
          <w:lang w:val="en"/>
        </w:rPr>
        <w:t xml:space="preserve"> </w:t>
      </w:r>
      <w:r w:rsidR="00B6721F">
        <w:rPr>
          <w:rFonts w:ascii="Times" w:hAnsi="Times" w:cs="Times New Roman"/>
          <w:lang w:val="en"/>
        </w:rPr>
        <w:t xml:space="preserve">treatment with </w:t>
      </w:r>
      <w:r>
        <w:rPr>
          <w:rFonts w:ascii="Times" w:hAnsi="Times" w:cs="Times New Roman"/>
          <w:lang w:val="en"/>
        </w:rPr>
        <w:t>bisphosphonates (including zoledronic acid), raloxifen</w:t>
      </w:r>
      <w:r w:rsidR="002D4C22">
        <w:rPr>
          <w:rFonts w:ascii="Times" w:hAnsi="Times" w:cs="Times New Roman"/>
          <w:lang w:val="en"/>
        </w:rPr>
        <w:t>e</w:t>
      </w:r>
      <w:r>
        <w:rPr>
          <w:rFonts w:ascii="Times" w:hAnsi="Times" w:cs="Times New Roman"/>
          <w:lang w:val="en"/>
        </w:rPr>
        <w:t xml:space="preserve">, teriparatide, denosumab, or strontium ranelate. </w:t>
      </w:r>
      <w:r w:rsidR="00B6721F">
        <w:rPr>
          <w:rFonts w:ascii="Times" w:hAnsi="Times" w:cs="Times New Roman"/>
          <w:lang w:val="en"/>
        </w:rPr>
        <w:t>Anti-osteoporosis medication therapy</w:t>
      </w:r>
      <w:r>
        <w:rPr>
          <w:rFonts w:ascii="Times" w:hAnsi="Times" w:cs="Times New Roman"/>
          <w:lang w:val="en"/>
        </w:rPr>
        <w:t xml:space="preserve"> was </w:t>
      </w:r>
      <w:r w:rsidR="00B6721F">
        <w:rPr>
          <w:rFonts w:ascii="Times" w:hAnsi="Times" w:cs="Times New Roman"/>
          <w:lang w:val="en"/>
        </w:rPr>
        <w:t xml:space="preserve">identified as the filling </w:t>
      </w:r>
      <w:r w:rsidR="00E05AE3">
        <w:rPr>
          <w:rFonts w:ascii="Times" w:hAnsi="Times" w:cs="Times New Roman"/>
          <w:lang w:val="en"/>
        </w:rPr>
        <w:t xml:space="preserve">of </w:t>
      </w:r>
      <w:r>
        <w:rPr>
          <w:rFonts w:ascii="Times" w:hAnsi="Times" w:cs="Times New Roman"/>
          <w:lang w:val="en"/>
        </w:rPr>
        <w:t>at least one prescription at a pharmacy, and</w:t>
      </w:r>
      <w:r w:rsidR="00B6721F">
        <w:rPr>
          <w:rFonts w:ascii="Times" w:hAnsi="Times" w:cs="Times New Roman"/>
          <w:lang w:val="en"/>
        </w:rPr>
        <w:t>/or</w:t>
      </w:r>
      <w:r>
        <w:rPr>
          <w:rFonts w:ascii="Times" w:hAnsi="Times" w:cs="Times New Roman"/>
          <w:lang w:val="en"/>
        </w:rPr>
        <w:t xml:space="preserve"> </w:t>
      </w:r>
      <w:r w:rsidR="00B6721F">
        <w:rPr>
          <w:rFonts w:ascii="Times" w:hAnsi="Times" w:cs="Times New Roman"/>
          <w:lang w:val="en"/>
        </w:rPr>
        <w:t xml:space="preserve">by </w:t>
      </w:r>
      <w:r>
        <w:rPr>
          <w:rFonts w:ascii="Times" w:hAnsi="Times" w:cs="Times New Roman"/>
          <w:lang w:val="en"/>
        </w:rPr>
        <w:t xml:space="preserve">at least </w:t>
      </w:r>
      <w:r w:rsidR="00062BF0">
        <w:rPr>
          <w:rFonts w:ascii="Times" w:hAnsi="Times" w:cs="Times New Roman"/>
          <w:lang w:val="en"/>
        </w:rPr>
        <w:t>one</w:t>
      </w:r>
      <w:r>
        <w:rPr>
          <w:rFonts w:ascii="Times" w:hAnsi="Times" w:cs="Times New Roman"/>
          <w:lang w:val="en"/>
        </w:rPr>
        <w:t xml:space="preserve"> procedure code </w:t>
      </w:r>
      <w:r w:rsidR="00FC46BF">
        <w:rPr>
          <w:rFonts w:ascii="Times" w:hAnsi="Times" w:cs="Times New Roman"/>
          <w:lang w:val="en"/>
        </w:rPr>
        <w:t>(SKS</w:t>
      </w:r>
      <w:r w:rsidR="008A1042">
        <w:rPr>
          <w:rFonts w:ascii="Times" w:hAnsi="Times" w:cs="Times New Roman"/>
          <w:lang w:val="en"/>
        </w:rPr>
        <w:t xml:space="preserve"> </w:t>
      </w:r>
      <w:r w:rsidR="00FC46BF">
        <w:rPr>
          <w:rFonts w:ascii="Times" w:hAnsi="Times" w:cs="Times New Roman"/>
          <w:lang w:val="en"/>
        </w:rPr>
        <w:t xml:space="preserve">code, which is a Danish healthcare classification system) </w:t>
      </w:r>
      <w:r>
        <w:rPr>
          <w:rFonts w:ascii="Times" w:hAnsi="Times" w:cs="Times New Roman"/>
          <w:lang w:val="en"/>
        </w:rPr>
        <w:t>for administration of zoledronic acid or denosumab.</w:t>
      </w:r>
      <w:r w:rsidR="00B6721F">
        <w:rPr>
          <w:rFonts w:ascii="Times" w:hAnsi="Times" w:cs="Times New Roman"/>
          <w:lang w:val="en"/>
        </w:rPr>
        <w:t xml:space="preserve"> </w:t>
      </w:r>
      <w:r w:rsidR="000939C4">
        <w:rPr>
          <w:rFonts w:ascii="Times" w:hAnsi="Times" w:cs="Times New Roman"/>
          <w:lang w:val="en"/>
        </w:rPr>
        <w:t xml:space="preserve">Users </w:t>
      </w:r>
      <w:r w:rsidR="00B6721F">
        <w:rPr>
          <w:rFonts w:ascii="Times" w:hAnsi="Times" w:cs="Times New Roman"/>
          <w:lang w:val="en"/>
        </w:rPr>
        <w:t xml:space="preserve">of AOM </w:t>
      </w:r>
      <w:r w:rsidR="002B0117">
        <w:rPr>
          <w:rFonts w:ascii="Times" w:hAnsi="Times" w:cs="Times New Roman"/>
          <w:lang w:val="en"/>
        </w:rPr>
        <w:t xml:space="preserve">who filled prescriptions but also received </w:t>
      </w:r>
      <w:r w:rsidR="00B6721F">
        <w:rPr>
          <w:rFonts w:ascii="Times" w:hAnsi="Times" w:cs="Times New Roman"/>
          <w:lang w:val="en"/>
        </w:rPr>
        <w:t xml:space="preserve">hospital-administered </w:t>
      </w:r>
      <w:r w:rsidR="002B0117">
        <w:rPr>
          <w:rFonts w:ascii="Times" w:hAnsi="Times" w:cs="Times New Roman"/>
          <w:lang w:val="en"/>
        </w:rPr>
        <w:t xml:space="preserve">AOM (by </w:t>
      </w:r>
      <w:r w:rsidR="00A3601D" w:rsidRPr="00397404">
        <w:rPr>
          <w:rFonts w:ascii="Times" w:hAnsi="Times" w:cs="Times New Roman"/>
          <w:lang w:val="en-US"/>
        </w:rPr>
        <w:t>“</w:t>
      </w:r>
      <w:r w:rsidR="002B0117">
        <w:rPr>
          <w:rFonts w:ascii="Times" w:hAnsi="Times" w:cs="Times New Roman"/>
          <w:lang w:val="en"/>
        </w:rPr>
        <w:t>SKS</w:t>
      </w:r>
      <w:r w:rsidR="00A3601D" w:rsidRPr="00397404">
        <w:rPr>
          <w:rFonts w:ascii="Times" w:hAnsi="Times" w:cs="Times New Roman"/>
          <w:lang w:val="en-US"/>
        </w:rPr>
        <w:t>”</w:t>
      </w:r>
      <w:r w:rsidR="002B0117">
        <w:rPr>
          <w:rFonts w:ascii="Times" w:hAnsi="Times" w:cs="Times New Roman"/>
          <w:lang w:val="en"/>
        </w:rPr>
        <w:t xml:space="preserve"> code) were counted only in the hospital</w:t>
      </w:r>
      <w:r w:rsidR="00336058">
        <w:rPr>
          <w:rFonts w:ascii="Times" w:hAnsi="Times" w:cs="Times New Roman"/>
          <w:lang w:val="en"/>
        </w:rPr>
        <w:t>-administered</w:t>
      </w:r>
      <w:r w:rsidR="002B0117">
        <w:rPr>
          <w:rFonts w:ascii="Times" w:hAnsi="Times" w:cs="Times New Roman"/>
          <w:lang w:val="en"/>
        </w:rPr>
        <w:t xml:space="preserve"> AOM group</w:t>
      </w:r>
      <w:r w:rsidR="00336058">
        <w:rPr>
          <w:rFonts w:ascii="Times" w:hAnsi="Times" w:cs="Times New Roman"/>
          <w:lang w:val="en"/>
        </w:rPr>
        <w:t>.</w:t>
      </w:r>
      <w:r w:rsidR="001C4F15">
        <w:rPr>
          <w:rFonts w:ascii="Times" w:hAnsi="Times" w:cs="Times New Roman"/>
          <w:lang w:val="en"/>
        </w:rPr>
        <w:t xml:space="preserve"> The ATC and SKS codes used to identify AOM </w:t>
      </w:r>
      <w:r w:rsidR="007F2FCC">
        <w:rPr>
          <w:rFonts w:ascii="Times" w:hAnsi="Times" w:cs="Times New Roman"/>
          <w:lang w:val="en"/>
        </w:rPr>
        <w:t>are</w:t>
      </w:r>
      <w:r w:rsidR="001C4F15">
        <w:rPr>
          <w:rFonts w:ascii="Times" w:hAnsi="Times" w:cs="Times New Roman"/>
          <w:lang w:val="en"/>
        </w:rPr>
        <w:t xml:space="preserve"> listed in </w:t>
      </w:r>
      <w:r w:rsidR="005B44CE">
        <w:rPr>
          <w:rFonts w:ascii="Times" w:hAnsi="Times" w:cs="Times New Roman"/>
          <w:lang w:val="en"/>
        </w:rPr>
        <w:t xml:space="preserve">supplementary table </w:t>
      </w:r>
      <w:r w:rsidR="001C4F15">
        <w:rPr>
          <w:rFonts w:ascii="Times" w:hAnsi="Times" w:cs="Times New Roman"/>
          <w:lang w:val="en"/>
        </w:rPr>
        <w:t xml:space="preserve">1.  </w:t>
      </w:r>
    </w:p>
    <w:p w14:paraId="51CAAB5F" w14:textId="209E82D7" w:rsidR="009A2781" w:rsidRPr="009565BB" w:rsidRDefault="009A2781" w:rsidP="00872C50">
      <w:pPr>
        <w:spacing w:line="480" w:lineRule="auto"/>
        <w:rPr>
          <w:rFonts w:ascii="Times" w:hAnsi="Times" w:cs="Times New Roman"/>
          <w:lang w:val="en"/>
        </w:rPr>
      </w:pPr>
      <w:r>
        <w:rPr>
          <w:rFonts w:ascii="Times" w:hAnsi="Times" w:cs="Times New Roman"/>
          <w:lang w:val="en"/>
        </w:rPr>
        <w:t>Treatment with glucocorticoids</w:t>
      </w:r>
      <w:r w:rsidR="00426547">
        <w:rPr>
          <w:rFonts w:ascii="Times" w:hAnsi="Times" w:cs="Times New Roman"/>
          <w:lang w:val="en"/>
        </w:rPr>
        <w:t xml:space="preserve"> (only oral glucocorticoids were included)</w:t>
      </w:r>
      <w:r>
        <w:rPr>
          <w:rFonts w:ascii="Times" w:hAnsi="Times" w:cs="Times New Roman"/>
          <w:lang w:val="en"/>
        </w:rPr>
        <w:t xml:space="preserve"> and hormone replacement therapy was defined by the filling of at least one prescription</w:t>
      </w:r>
      <w:r w:rsidR="00BD6E0B">
        <w:rPr>
          <w:rFonts w:ascii="Times" w:hAnsi="Times" w:cs="Times New Roman"/>
          <w:lang w:val="en"/>
        </w:rPr>
        <w:t xml:space="preserve"> at a pharmacy</w:t>
      </w:r>
      <w:r w:rsidR="00426547">
        <w:rPr>
          <w:rFonts w:ascii="Times" w:hAnsi="Times" w:cs="Times New Roman"/>
          <w:lang w:val="en"/>
        </w:rPr>
        <w:t xml:space="preserve">. </w:t>
      </w:r>
    </w:p>
    <w:p w14:paraId="2A2C991D" w14:textId="2AF10B64" w:rsidR="002F1D52" w:rsidRDefault="002F1D52" w:rsidP="00872C50">
      <w:pPr>
        <w:spacing w:line="480" w:lineRule="auto"/>
        <w:rPr>
          <w:rFonts w:ascii="Times" w:hAnsi="Times" w:cs="Times New Roman"/>
          <w:u w:val="single"/>
          <w:lang w:val="en"/>
        </w:rPr>
      </w:pPr>
      <w:r w:rsidRPr="002F1D52">
        <w:rPr>
          <w:rFonts w:ascii="Times" w:hAnsi="Times" w:cs="Times New Roman"/>
          <w:u w:val="single"/>
          <w:lang w:val="en"/>
        </w:rPr>
        <w:t>Statistical analysis</w:t>
      </w:r>
    </w:p>
    <w:p w14:paraId="76873369" w14:textId="34C65038" w:rsidR="0050498D" w:rsidRDefault="00B730FF" w:rsidP="00872C50">
      <w:pPr>
        <w:spacing w:line="480" w:lineRule="auto"/>
        <w:rPr>
          <w:rFonts w:ascii="Times" w:hAnsi="Times" w:cs="Times New Roman"/>
          <w:lang w:val="en"/>
        </w:rPr>
      </w:pPr>
      <w:r>
        <w:rPr>
          <w:rFonts w:ascii="Times" w:hAnsi="Times" w:cs="Times New Roman"/>
          <w:lang w:val="en"/>
        </w:rPr>
        <w:t xml:space="preserve">Each annual fracture cohort </w:t>
      </w:r>
      <w:r w:rsidR="007B6A1E">
        <w:rPr>
          <w:rFonts w:ascii="Times" w:hAnsi="Times" w:cs="Times New Roman"/>
          <w:lang w:val="en"/>
        </w:rPr>
        <w:t xml:space="preserve">was </w:t>
      </w:r>
      <w:r w:rsidR="00533BF0">
        <w:rPr>
          <w:rFonts w:ascii="Times" w:hAnsi="Times" w:cs="Times New Roman"/>
          <w:lang w:val="en"/>
        </w:rPr>
        <w:t>analy</w:t>
      </w:r>
      <w:r w:rsidR="00C21C7B">
        <w:rPr>
          <w:rFonts w:ascii="Times" w:hAnsi="Times" w:cs="Times New Roman"/>
          <w:lang w:val="en"/>
        </w:rPr>
        <w:t>z</w:t>
      </w:r>
      <w:r w:rsidR="00533BF0">
        <w:rPr>
          <w:rFonts w:ascii="Times" w:hAnsi="Times" w:cs="Times New Roman"/>
          <w:lang w:val="en"/>
        </w:rPr>
        <w:t xml:space="preserve">ed separately. </w:t>
      </w:r>
      <w:r w:rsidR="00293D45">
        <w:rPr>
          <w:rFonts w:ascii="Times" w:hAnsi="Times" w:cs="Times New Roman"/>
          <w:lang w:val="en"/>
        </w:rPr>
        <w:t xml:space="preserve">As part of the repeated cross-sectional design, patients entered each cohort at the time of their first </w:t>
      </w:r>
      <w:r w:rsidR="00426674">
        <w:rPr>
          <w:rFonts w:ascii="Times" w:hAnsi="Times" w:cs="Times New Roman"/>
          <w:lang w:val="en"/>
        </w:rPr>
        <w:t xml:space="preserve">eligible </w:t>
      </w:r>
      <w:r w:rsidR="00293D45">
        <w:rPr>
          <w:rFonts w:ascii="Times" w:hAnsi="Times" w:cs="Times New Roman"/>
          <w:lang w:val="en"/>
        </w:rPr>
        <w:t>incident fracture in the respective calendar year. Patients were censored at the time of death, migration, or 1 year after the index fracture</w:t>
      </w:r>
      <w:r w:rsidR="00803198">
        <w:rPr>
          <w:rFonts w:ascii="Times" w:hAnsi="Times" w:cs="Times New Roman"/>
          <w:lang w:val="en"/>
        </w:rPr>
        <w:t>, whichever occurred first</w:t>
      </w:r>
      <w:r w:rsidR="00293D45">
        <w:rPr>
          <w:rFonts w:ascii="Times" w:hAnsi="Times" w:cs="Times New Roman"/>
          <w:lang w:val="en"/>
        </w:rPr>
        <w:t>.</w:t>
      </w:r>
      <w:r w:rsidR="0050498D">
        <w:rPr>
          <w:rFonts w:ascii="Times" w:hAnsi="Times" w:cs="Times New Roman"/>
          <w:lang w:val="en"/>
        </w:rPr>
        <w:t xml:space="preserve"> </w:t>
      </w:r>
    </w:p>
    <w:p w14:paraId="774066F9" w14:textId="3FD1C383" w:rsidR="005E01EF" w:rsidRDefault="005E01EF" w:rsidP="00872C50">
      <w:pPr>
        <w:spacing w:line="480" w:lineRule="auto"/>
        <w:rPr>
          <w:rFonts w:ascii="Times" w:hAnsi="Times" w:cs="Times New Roman"/>
          <w:lang w:val="en"/>
        </w:rPr>
      </w:pPr>
      <w:r>
        <w:rPr>
          <w:rFonts w:ascii="Times" w:hAnsi="Times" w:cs="Times New Roman"/>
          <w:lang w:val="en"/>
        </w:rPr>
        <w:t xml:space="preserve">Treatment persistence was operationalized as </w:t>
      </w:r>
      <w:r w:rsidR="001334B1">
        <w:rPr>
          <w:rFonts w:ascii="Times" w:hAnsi="Times" w:cs="Times New Roman"/>
          <w:lang w:val="en"/>
        </w:rPr>
        <w:t xml:space="preserve">either the filling of a receipt for an AOM within 120 days of the 1-year anniversary for </w:t>
      </w:r>
      <w:r w:rsidR="00302908">
        <w:rPr>
          <w:rFonts w:ascii="Times" w:hAnsi="Times" w:cs="Times New Roman"/>
          <w:lang w:val="en"/>
        </w:rPr>
        <w:t xml:space="preserve">the first </w:t>
      </w:r>
      <w:r w:rsidR="001334B1">
        <w:rPr>
          <w:rFonts w:ascii="Times" w:hAnsi="Times" w:cs="Times New Roman"/>
          <w:lang w:val="en"/>
        </w:rPr>
        <w:t xml:space="preserve">AOM treatment </w:t>
      </w:r>
      <w:r w:rsidR="001B3902">
        <w:rPr>
          <w:rFonts w:ascii="Times" w:hAnsi="Times" w:cs="Times New Roman"/>
          <w:lang w:val="en"/>
        </w:rPr>
        <w:t xml:space="preserve">administration </w:t>
      </w:r>
      <w:r w:rsidR="00302908">
        <w:rPr>
          <w:rFonts w:ascii="Times" w:hAnsi="Times" w:cs="Times New Roman"/>
          <w:lang w:val="en"/>
        </w:rPr>
        <w:t>following the index fracture</w:t>
      </w:r>
      <w:r w:rsidR="001334B1">
        <w:rPr>
          <w:rFonts w:ascii="Times" w:hAnsi="Times" w:cs="Times New Roman"/>
          <w:lang w:val="en"/>
        </w:rPr>
        <w:t xml:space="preserve"> (as a pack of </w:t>
      </w:r>
      <w:proofErr w:type="spellStart"/>
      <w:r w:rsidR="001334B1">
        <w:rPr>
          <w:rFonts w:ascii="Times" w:hAnsi="Times" w:cs="Times New Roman"/>
          <w:lang w:val="en"/>
        </w:rPr>
        <w:t>alendronic</w:t>
      </w:r>
      <w:proofErr w:type="spellEnd"/>
      <w:r w:rsidR="001334B1">
        <w:rPr>
          <w:rFonts w:ascii="Times" w:hAnsi="Times" w:cs="Times New Roman"/>
          <w:lang w:val="en"/>
        </w:rPr>
        <w:t xml:space="preserve"> acid last</w:t>
      </w:r>
      <w:r w:rsidR="00302908">
        <w:rPr>
          <w:rFonts w:ascii="Times" w:hAnsi="Times" w:cs="Times New Roman"/>
          <w:lang w:val="en"/>
        </w:rPr>
        <w:t>s up to</w:t>
      </w:r>
      <w:r w:rsidR="001334B1">
        <w:rPr>
          <w:rFonts w:ascii="Times" w:hAnsi="Times" w:cs="Times New Roman"/>
          <w:lang w:val="en"/>
        </w:rPr>
        <w:t xml:space="preserve"> 84 days, and then adding a grace period of </w:t>
      </w:r>
      <w:r w:rsidR="00E612DC">
        <w:rPr>
          <w:rFonts w:ascii="Times" w:hAnsi="Times" w:cs="Times New Roman"/>
          <w:lang w:val="en"/>
        </w:rPr>
        <w:t>25</w:t>
      </w:r>
      <w:r w:rsidR="001334B1">
        <w:rPr>
          <w:rFonts w:ascii="Times" w:hAnsi="Times" w:cs="Times New Roman"/>
          <w:lang w:val="en"/>
        </w:rPr>
        <w:t>%) or as filled prescriptions (in Defined Daily Doses) accounting for at least one full year of AOM use (including a 25% grace period). Patients receiving zoledronic acid infusion w</w:t>
      </w:r>
      <w:r w:rsidR="00085308">
        <w:rPr>
          <w:rFonts w:ascii="Times" w:hAnsi="Times" w:cs="Times New Roman"/>
          <w:lang w:val="en"/>
        </w:rPr>
        <w:t>ere</w:t>
      </w:r>
      <w:r w:rsidR="001334B1">
        <w:rPr>
          <w:rFonts w:ascii="Times" w:hAnsi="Times" w:cs="Times New Roman"/>
          <w:lang w:val="en"/>
        </w:rPr>
        <w:t xml:space="preserve"> considered </w:t>
      </w:r>
      <w:r w:rsidR="00302908">
        <w:rPr>
          <w:rFonts w:ascii="Times" w:hAnsi="Times" w:cs="Times New Roman"/>
          <w:lang w:val="en"/>
        </w:rPr>
        <w:t xml:space="preserve">treatment </w:t>
      </w:r>
      <w:r w:rsidR="001334B1">
        <w:rPr>
          <w:rFonts w:ascii="Times" w:hAnsi="Times" w:cs="Times New Roman"/>
          <w:lang w:val="en"/>
        </w:rPr>
        <w:t>persistent at 1-year.</w:t>
      </w:r>
    </w:p>
    <w:p w14:paraId="10461928" w14:textId="7CBB62C7" w:rsidR="006F07A4" w:rsidRDefault="006F07A4" w:rsidP="00872C50">
      <w:pPr>
        <w:spacing w:line="480" w:lineRule="auto"/>
        <w:rPr>
          <w:rFonts w:ascii="Times" w:hAnsi="Times" w:cs="Times New Roman"/>
          <w:lang w:val="en"/>
        </w:rPr>
      </w:pPr>
      <w:r>
        <w:rPr>
          <w:rFonts w:ascii="Times" w:hAnsi="Times" w:cs="Times New Roman"/>
          <w:lang w:val="en"/>
        </w:rPr>
        <w:t>To identify factors associated with AOM treatment initiation, we performed a logistic regression analysis for the 2014 MOF cohort</w:t>
      </w:r>
      <w:r w:rsidR="00ED1F08">
        <w:rPr>
          <w:rFonts w:ascii="Times" w:hAnsi="Times" w:cs="Times New Roman"/>
          <w:lang w:val="en"/>
        </w:rPr>
        <w:t>,</w:t>
      </w:r>
      <w:r>
        <w:rPr>
          <w:rFonts w:ascii="Times" w:hAnsi="Times" w:cs="Times New Roman"/>
          <w:lang w:val="en"/>
        </w:rPr>
        <w:t xml:space="preserve"> </w:t>
      </w:r>
      <w:r w:rsidR="00ED1F08">
        <w:rPr>
          <w:rFonts w:ascii="Times" w:hAnsi="Times" w:cs="Times New Roman"/>
          <w:lang w:val="en"/>
        </w:rPr>
        <w:t>with</w:t>
      </w:r>
      <w:r>
        <w:rPr>
          <w:rFonts w:ascii="Times" w:hAnsi="Times" w:cs="Times New Roman"/>
          <w:lang w:val="en"/>
        </w:rPr>
        <w:t xml:space="preserve"> all baseline covariates</w:t>
      </w:r>
      <w:r w:rsidR="00ED1F08">
        <w:rPr>
          <w:rFonts w:ascii="Times" w:hAnsi="Times" w:cs="Times New Roman"/>
          <w:lang w:val="en"/>
        </w:rPr>
        <w:t xml:space="preserve"> used as input into the model</w:t>
      </w:r>
      <w:r>
        <w:rPr>
          <w:rFonts w:ascii="Times" w:hAnsi="Times" w:cs="Times New Roman"/>
          <w:lang w:val="en"/>
        </w:rPr>
        <w:t xml:space="preserve">. </w:t>
      </w:r>
    </w:p>
    <w:p w14:paraId="4951206E" w14:textId="184B8F6D" w:rsidR="0050498D" w:rsidRDefault="001039A1" w:rsidP="00872C50">
      <w:pPr>
        <w:spacing w:line="480" w:lineRule="auto"/>
        <w:rPr>
          <w:rFonts w:ascii="Times" w:hAnsi="Times" w:cs="Times New Roman"/>
          <w:lang w:val="en"/>
        </w:rPr>
      </w:pPr>
      <w:r>
        <w:rPr>
          <w:rFonts w:ascii="Times" w:hAnsi="Times" w:cs="Times New Roman"/>
          <w:lang w:val="en"/>
        </w:rPr>
        <w:lastRenderedPageBreak/>
        <w:t>Data were analy</w:t>
      </w:r>
      <w:r w:rsidR="00C21C7B">
        <w:rPr>
          <w:rFonts w:ascii="Times" w:hAnsi="Times" w:cs="Times New Roman"/>
          <w:lang w:val="en"/>
        </w:rPr>
        <w:t>z</w:t>
      </w:r>
      <w:r>
        <w:rPr>
          <w:rFonts w:ascii="Times" w:hAnsi="Times" w:cs="Times New Roman"/>
          <w:lang w:val="en"/>
        </w:rPr>
        <w:t xml:space="preserve">ed using </w:t>
      </w:r>
      <w:r w:rsidR="00432287">
        <w:rPr>
          <w:rFonts w:ascii="Times" w:hAnsi="Times" w:cs="Times New Roman"/>
          <w:lang w:val="en"/>
        </w:rPr>
        <w:t>Stata version 16.1</w:t>
      </w:r>
      <w:r w:rsidR="0050498D">
        <w:rPr>
          <w:rFonts w:ascii="Times" w:hAnsi="Times" w:cs="Times New Roman"/>
          <w:lang w:val="en"/>
        </w:rPr>
        <w:t xml:space="preserve">. Categorical data were summarized by </w:t>
      </w:r>
      <w:r w:rsidR="00CA2E36">
        <w:rPr>
          <w:rFonts w:ascii="Times" w:hAnsi="Times" w:cs="Times New Roman"/>
          <w:lang w:val="en"/>
        </w:rPr>
        <w:t xml:space="preserve">number and </w:t>
      </w:r>
      <w:r w:rsidR="0050498D">
        <w:rPr>
          <w:rFonts w:ascii="Times" w:hAnsi="Times" w:cs="Times New Roman"/>
          <w:lang w:val="en"/>
        </w:rPr>
        <w:t xml:space="preserve">proportion of patients, while continuous variables were summarized by mean. </w:t>
      </w:r>
      <w:r w:rsidR="00B517B8">
        <w:rPr>
          <w:rFonts w:ascii="Times" w:hAnsi="Times" w:cs="Times New Roman"/>
          <w:lang w:val="en"/>
        </w:rPr>
        <w:t xml:space="preserve">All analyses </w:t>
      </w:r>
      <w:r w:rsidR="00077DE0">
        <w:rPr>
          <w:rFonts w:ascii="Times" w:hAnsi="Times" w:cs="Times New Roman"/>
          <w:lang w:val="en"/>
        </w:rPr>
        <w:t>were</w:t>
      </w:r>
      <w:r w:rsidR="00B517B8">
        <w:rPr>
          <w:rFonts w:ascii="Times" w:hAnsi="Times" w:cs="Times New Roman"/>
          <w:lang w:val="en"/>
        </w:rPr>
        <w:t xml:space="preserve"> stratified according to the year </w:t>
      </w:r>
      <w:r w:rsidR="0073623F">
        <w:rPr>
          <w:rFonts w:ascii="Times" w:hAnsi="Times" w:cs="Times New Roman"/>
          <w:lang w:val="en"/>
        </w:rPr>
        <w:t xml:space="preserve">and type </w:t>
      </w:r>
      <w:r w:rsidR="00B517B8">
        <w:rPr>
          <w:rFonts w:ascii="Times" w:hAnsi="Times" w:cs="Times New Roman"/>
          <w:lang w:val="en"/>
        </w:rPr>
        <w:t>of fracture.</w:t>
      </w:r>
      <w:r w:rsidR="00B730FF">
        <w:rPr>
          <w:rFonts w:ascii="Times" w:hAnsi="Times" w:cs="Times New Roman"/>
          <w:lang w:val="en"/>
        </w:rPr>
        <w:t xml:space="preserve"> Outcomes analyses were performed on an overall level, </w:t>
      </w:r>
      <w:proofErr w:type="gramStart"/>
      <w:r w:rsidR="00B730FF">
        <w:rPr>
          <w:rFonts w:ascii="Times" w:hAnsi="Times" w:cs="Times New Roman"/>
          <w:lang w:val="en"/>
        </w:rPr>
        <w:t xml:space="preserve">and </w:t>
      </w:r>
      <w:r w:rsidR="005D4571">
        <w:rPr>
          <w:rFonts w:ascii="Times" w:hAnsi="Times" w:cs="Times New Roman"/>
          <w:lang w:val="en"/>
        </w:rPr>
        <w:t>also</w:t>
      </w:r>
      <w:proofErr w:type="gramEnd"/>
      <w:r w:rsidR="005D4571">
        <w:rPr>
          <w:rFonts w:ascii="Times" w:hAnsi="Times" w:cs="Times New Roman"/>
          <w:lang w:val="en"/>
        </w:rPr>
        <w:t xml:space="preserve"> </w:t>
      </w:r>
      <w:r w:rsidR="00B730FF">
        <w:rPr>
          <w:rFonts w:ascii="Times" w:hAnsi="Times" w:cs="Times New Roman"/>
          <w:lang w:val="en"/>
        </w:rPr>
        <w:t xml:space="preserve">stratified according to </w:t>
      </w:r>
      <w:r w:rsidR="009F235F">
        <w:rPr>
          <w:rFonts w:ascii="Times" w:hAnsi="Times" w:cs="Times New Roman"/>
          <w:lang w:val="en"/>
        </w:rPr>
        <w:t>gender</w:t>
      </w:r>
      <w:r w:rsidR="00F74F6E">
        <w:rPr>
          <w:rFonts w:ascii="Times" w:hAnsi="Times" w:cs="Times New Roman"/>
          <w:lang w:val="en"/>
        </w:rPr>
        <w:t xml:space="preserve"> and age at index fracture (&lt;75 vs ≥75 years)</w:t>
      </w:r>
      <w:r w:rsidR="00B730FF">
        <w:rPr>
          <w:rFonts w:ascii="Times" w:hAnsi="Times" w:cs="Times New Roman"/>
          <w:lang w:val="en"/>
        </w:rPr>
        <w:t xml:space="preserve">. </w:t>
      </w:r>
    </w:p>
    <w:p w14:paraId="6C10531B" w14:textId="77777777" w:rsidR="0050498D" w:rsidRPr="002F1D52" w:rsidRDefault="0050498D" w:rsidP="00872C50">
      <w:pPr>
        <w:spacing w:line="480" w:lineRule="auto"/>
        <w:rPr>
          <w:rFonts w:ascii="Times" w:hAnsi="Times" w:cs="Times New Roman"/>
          <w:lang w:val="en"/>
        </w:rPr>
      </w:pPr>
    </w:p>
    <w:p w14:paraId="14FAC39F" w14:textId="2899012F" w:rsidR="00C01F8E" w:rsidRPr="004907A0" w:rsidRDefault="00C01F8E" w:rsidP="00872C50">
      <w:pPr>
        <w:pStyle w:val="ListParagraph"/>
        <w:numPr>
          <w:ilvl w:val="0"/>
          <w:numId w:val="2"/>
        </w:numPr>
        <w:spacing w:line="480" w:lineRule="auto"/>
        <w:rPr>
          <w:rFonts w:ascii="Times" w:hAnsi="Times" w:cs="Times New Roman"/>
          <w:lang w:val="en"/>
        </w:rPr>
      </w:pPr>
      <w:r w:rsidRPr="004907A0">
        <w:rPr>
          <w:rFonts w:ascii="Times" w:hAnsi="Times" w:cs="Times New Roman"/>
          <w:lang w:val="en"/>
        </w:rPr>
        <w:br w:type="page"/>
      </w:r>
    </w:p>
    <w:p w14:paraId="7A08A9CC" w14:textId="3BD4A4B6" w:rsidR="00C01F8E" w:rsidRPr="004907A0" w:rsidRDefault="00C01F8E" w:rsidP="00872C50">
      <w:pPr>
        <w:spacing w:line="480" w:lineRule="auto"/>
        <w:rPr>
          <w:rFonts w:ascii="Times" w:hAnsi="Times" w:cs="Times New Roman"/>
          <w:b/>
          <w:lang w:val="en"/>
        </w:rPr>
      </w:pPr>
      <w:r w:rsidRPr="004907A0">
        <w:rPr>
          <w:rFonts w:ascii="Times" w:hAnsi="Times" w:cs="Times New Roman"/>
          <w:b/>
          <w:lang w:val="en"/>
        </w:rPr>
        <w:lastRenderedPageBreak/>
        <w:t>Results</w:t>
      </w:r>
    </w:p>
    <w:p w14:paraId="69DEE87D" w14:textId="0D062486" w:rsidR="005D4571" w:rsidRPr="00CE7D12" w:rsidRDefault="005D4571" w:rsidP="00872C50">
      <w:pPr>
        <w:spacing w:line="480" w:lineRule="auto"/>
        <w:rPr>
          <w:rFonts w:ascii="Times" w:hAnsi="Times" w:cs="Times New Roman"/>
          <w:u w:val="single"/>
          <w:lang w:val="en"/>
        </w:rPr>
      </w:pPr>
      <w:r w:rsidRPr="00CE7D12">
        <w:rPr>
          <w:rFonts w:ascii="Times" w:hAnsi="Times" w:cs="Times New Roman"/>
          <w:u w:val="single"/>
          <w:lang w:val="en"/>
        </w:rPr>
        <w:t>Demographics</w:t>
      </w:r>
      <w:r>
        <w:rPr>
          <w:rFonts w:ascii="Times" w:hAnsi="Times" w:cs="Times New Roman"/>
          <w:u w:val="single"/>
          <w:lang w:val="en"/>
        </w:rPr>
        <w:t xml:space="preserve"> of the fracture populations</w:t>
      </w:r>
    </w:p>
    <w:p w14:paraId="0F55FB59" w14:textId="49931296" w:rsidR="00CC66B1" w:rsidRDefault="00145770" w:rsidP="00872C50">
      <w:pPr>
        <w:spacing w:line="480" w:lineRule="auto"/>
        <w:rPr>
          <w:rFonts w:ascii="Times" w:hAnsi="Times" w:cs="Times New Roman"/>
          <w:lang w:val="en"/>
        </w:rPr>
      </w:pPr>
      <w:r>
        <w:rPr>
          <w:rFonts w:ascii="Times" w:hAnsi="Times" w:cs="Times New Roman"/>
          <w:lang w:val="en"/>
        </w:rPr>
        <w:t xml:space="preserve">For the </w:t>
      </w:r>
      <w:r w:rsidR="00624D8B">
        <w:rPr>
          <w:rFonts w:ascii="Times" w:hAnsi="Times" w:cs="Times New Roman"/>
          <w:lang w:val="en"/>
        </w:rPr>
        <w:t xml:space="preserve">MOF </w:t>
      </w:r>
      <w:r w:rsidR="00A3601D" w:rsidRPr="00DC1892">
        <w:rPr>
          <w:rFonts w:ascii="Times" w:hAnsi="Times" w:cs="Times New Roman"/>
          <w:lang w:val="en-US"/>
        </w:rPr>
        <w:t>cohort</w:t>
      </w:r>
      <w:r w:rsidR="000C69AD">
        <w:rPr>
          <w:rFonts w:ascii="Times" w:hAnsi="Times" w:cs="Times New Roman"/>
          <w:lang w:val="en-US"/>
        </w:rPr>
        <w:t>s</w:t>
      </w:r>
      <w:r w:rsidR="00624D8B">
        <w:rPr>
          <w:rFonts w:ascii="Times" w:hAnsi="Times" w:cs="Times New Roman"/>
          <w:lang w:val="en"/>
        </w:rPr>
        <w:t>, a total of 24</w:t>
      </w:r>
      <w:r w:rsidR="00D27A0D">
        <w:rPr>
          <w:rFonts w:ascii="Times" w:hAnsi="Times" w:cs="Times New Roman"/>
          <w:lang w:val="en"/>
        </w:rPr>
        <w:t>9</w:t>
      </w:r>
      <w:r w:rsidR="00624D8B">
        <w:rPr>
          <w:rFonts w:ascii="Times" w:hAnsi="Times" w:cs="Times New Roman"/>
          <w:lang w:val="en"/>
        </w:rPr>
        <w:t>,</w:t>
      </w:r>
      <w:r w:rsidR="00D27A0D">
        <w:rPr>
          <w:rFonts w:ascii="Times" w:hAnsi="Times" w:cs="Times New Roman"/>
          <w:lang w:val="en"/>
        </w:rPr>
        <w:t xml:space="preserve">897 </w:t>
      </w:r>
      <w:r w:rsidR="00382F9E">
        <w:rPr>
          <w:rFonts w:ascii="Times" w:hAnsi="Times" w:cs="Times New Roman"/>
          <w:lang w:val="en"/>
        </w:rPr>
        <w:t xml:space="preserve">fracture events </w:t>
      </w:r>
      <w:r w:rsidR="00A3601D" w:rsidRPr="00DC1892">
        <w:rPr>
          <w:rFonts w:ascii="Times" w:hAnsi="Times" w:cs="Times New Roman"/>
          <w:lang w:val="en-US"/>
        </w:rPr>
        <w:t>met the criteria for evaluation</w:t>
      </w:r>
      <w:r w:rsidR="00624D8B">
        <w:rPr>
          <w:rFonts w:ascii="Times" w:hAnsi="Times" w:cs="Times New Roman"/>
          <w:lang w:val="en"/>
        </w:rPr>
        <w:t xml:space="preserve"> for the study. </w:t>
      </w:r>
      <w:r w:rsidR="00CC66B1" w:rsidRPr="004907A0">
        <w:rPr>
          <w:rFonts w:ascii="Times" w:hAnsi="Times" w:cs="Times New Roman"/>
          <w:lang w:val="en"/>
        </w:rPr>
        <w:t>Following exclusion of patients with a di</w:t>
      </w:r>
      <w:r w:rsidR="00292FCA" w:rsidRPr="004907A0">
        <w:rPr>
          <w:rFonts w:ascii="Times" w:hAnsi="Times" w:cs="Times New Roman"/>
          <w:lang w:val="en"/>
        </w:rPr>
        <w:t xml:space="preserve">agnosis code for </w:t>
      </w:r>
      <w:r w:rsidR="00624D8B">
        <w:rPr>
          <w:rFonts w:ascii="Times" w:hAnsi="Times" w:cs="Times New Roman"/>
          <w:lang w:val="en"/>
        </w:rPr>
        <w:t xml:space="preserve">breast </w:t>
      </w:r>
      <w:r w:rsidR="00292FCA" w:rsidRPr="004907A0">
        <w:rPr>
          <w:rFonts w:ascii="Times" w:hAnsi="Times" w:cs="Times New Roman"/>
          <w:lang w:val="en"/>
        </w:rPr>
        <w:t>cancer (</w:t>
      </w:r>
      <w:r w:rsidR="00191F10">
        <w:rPr>
          <w:rFonts w:ascii="Times" w:hAnsi="Times" w:cs="Times New Roman"/>
          <w:lang w:val="en"/>
        </w:rPr>
        <w:t>n=</w:t>
      </w:r>
      <w:r w:rsidR="00D27A0D">
        <w:rPr>
          <w:rFonts w:ascii="Times" w:hAnsi="Times" w:cs="Times New Roman"/>
          <w:lang w:val="en"/>
        </w:rPr>
        <w:t>10,133</w:t>
      </w:r>
      <w:r w:rsidR="00292FCA" w:rsidRPr="004907A0">
        <w:rPr>
          <w:rFonts w:ascii="Times" w:hAnsi="Times" w:cs="Times New Roman"/>
          <w:lang w:val="en"/>
        </w:rPr>
        <w:t xml:space="preserve">), </w:t>
      </w:r>
      <w:r w:rsidR="00191F10">
        <w:rPr>
          <w:rFonts w:ascii="Times" w:hAnsi="Times" w:cs="Times New Roman"/>
          <w:lang w:val="en"/>
        </w:rPr>
        <w:t>prostate cancer (</w:t>
      </w:r>
      <w:r w:rsidR="00E87F9C">
        <w:rPr>
          <w:rFonts w:ascii="Times" w:hAnsi="Times" w:cs="Times New Roman"/>
          <w:lang w:val="en"/>
        </w:rPr>
        <w:t>n=</w:t>
      </w:r>
      <w:r w:rsidR="00191F10">
        <w:rPr>
          <w:rFonts w:ascii="Times" w:hAnsi="Times" w:cs="Times New Roman"/>
          <w:lang w:val="en"/>
        </w:rPr>
        <w:t>3,</w:t>
      </w:r>
      <w:r w:rsidR="00D27A0D">
        <w:rPr>
          <w:rFonts w:ascii="Times" w:hAnsi="Times" w:cs="Times New Roman"/>
          <w:lang w:val="en"/>
        </w:rPr>
        <w:t>192</w:t>
      </w:r>
      <w:r w:rsidR="00191F10">
        <w:rPr>
          <w:rFonts w:ascii="Times" w:hAnsi="Times" w:cs="Times New Roman"/>
          <w:lang w:val="en"/>
        </w:rPr>
        <w:t>), or bone metastasis or Paget’s disease (n=</w:t>
      </w:r>
      <w:r w:rsidR="00D27A0D">
        <w:rPr>
          <w:rFonts w:ascii="Times" w:hAnsi="Times" w:cs="Times New Roman"/>
          <w:lang w:val="en"/>
        </w:rPr>
        <w:t>392</w:t>
      </w:r>
      <w:r w:rsidR="00191F10">
        <w:rPr>
          <w:rFonts w:ascii="Times" w:hAnsi="Times" w:cs="Times New Roman"/>
          <w:lang w:val="en"/>
        </w:rPr>
        <w:t>)</w:t>
      </w:r>
      <w:r w:rsidR="00CC66B1" w:rsidRPr="004907A0">
        <w:rPr>
          <w:rFonts w:ascii="Times" w:hAnsi="Times" w:cs="Times New Roman"/>
          <w:lang w:val="en"/>
        </w:rPr>
        <w:t xml:space="preserve">, a total of </w:t>
      </w:r>
      <w:r w:rsidR="00191F10">
        <w:rPr>
          <w:rFonts w:ascii="Times" w:hAnsi="Times" w:cs="Times New Roman"/>
          <w:lang w:val="en"/>
        </w:rPr>
        <w:t>23</w:t>
      </w:r>
      <w:r w:rsidR="00D27A0D">
        <w:rPr>
          <w:rFonts w:ascii="Times" w:hAnsi="Times" w:cs="Times New Roman"/>
          <w:lang w:val="en"/>
        </w:rPr>
        <w:t>6,180</w:t>
      </w:r>
      <w:r w:rsidR="00CC66B1" w:rsidRPr="004907A0">
        <w:rPr>
          <w:rFonts w:ascii="Times" w:hAnsi="Times" w:cs="Times New Roman"/>
          <w:lang w:val="en"/>
        </w:rPr>
        <w:t xml:space="preserve"> </w:t>
      </w:r>
      <w:r w:rsidR="00382F9E">
        <w:rPr>
          <w:rFonts w:ascii="Times" w:hAnsi="Times" w:cs="Times New Roman"/>
          <w:lang w:val="en"/>
        </w:rPr>
        <w:t>fracture events</w:t>
      </w:r>
      <w:r w:rsidR="00382F9E" w:rsidRPr="004907A0">
        <w:rPr>
          <w:rFonts w:ascii="Times" w:hAnsi="Times" w:cs="Times New Roman"/>
          <w:lang w:val="en"/>
        </w:rPr>
        <w:t xml:space="preserve"> </w:t>
      </w:r>
      <w:r w:rsidR="00CC66B1" w:rsidRPr="004907A0">
        <w:rPr>
          <w:rFonts w:ascii="Times" w:hAnsi="Times" w:cs="Times New Roman"/>
          <w:lang w:val="en"/>
        </w:rPr>
        <w:t xml:space="preserve">were included in the </w:t>
      </w:r>
      <w:r w:rsidR="00E87F9C">
        <w:rPr>
          <w:rFonts w:ascii="Times" w:hAnsi="Times" w:cs="Times New Roman"/>
          <w:lang w:val="en"/>
        </w:rPr>
        <w:t>MOF cohorts</w:t>
      </w:r>
      <w:r w:rsidR="00A4682D">
        <w:rPr>
          <w:rFonts w:ascii="Times" w:hAnsi="Times" w:cs="Times New Roman"/>
          <w:lang w:val="en"/>
        </w:rPr>
        <w:t xml:space="preserve"> (table 1)</w:t>
      </w:r>
      <w:r w:rsidR="00CC66B1" w:rsidRPr="004907A0">
        <w:rPr>
          <w:rFonts w:ascii="Times" w:hAnsi="Times" w:cs="Times New Roman"/>
          <w:lang w:val="en"/>
        </w:rPr>
        <w:t>.</w:t>
      </w:r>
      <w:r w:rsidR="00E87F9C">
        <w:rPr>
          <w:rFonts w:ascii="Times" w:hAnsi="Times" w:cs="Times New Roman"/>
          <w:lang w:val="en"/>
        </w:rPr>
        <w:t xml:space="preserve"> For the hip, vertebral, </w:t>
      </w:r>
      <w:r w:rsidR="00686E38">
        <w:rPr>
          <w:rFonts w:ascii="Times" w:hAnsi="Times" w:cs="Times New Roman"/>
          <w:lang w:val="en"/>
        </w:rPr>
        <w:t xml:space="preserve">humerus, and </w:t>
      </w:r>
      <w:r w:rsidR="0012365C">
        <w:rPr>
          <w:rFonts w:ascii="Times" w:hAnsi="Times" w:cs="Times New Roman"/>
          <w:lang w:val="en"/>
        </w:rPr>
        <w:t xml:space="preserve">forearm </w:t>
      </w:r>
      <w:r w:rsidR="00686E38">
        <w:rPr>
          <w:rFonts w:ascii="Times" w:hAnsi="Times" w:cs="Times New Roman"/>
          <w:lang w:val="en"/>
        </w:rPr>
        <w:t>fracture cohort</w:t>
      </w:r>
      <w:r w:rsidR="00DD2DB6">
        <w:rPr>
          <w:rFonts w:ascii="Times" w:hAnsi="Times" w:cs="Times New Roman"/>
          <w:lang w:val="en"/>
        </w:rPr>
        <w:t>s</w:t>
      </w:r>
      <w:r w:rsidR="00686E38">
        <w:rPr>
          <w:rFonts w:ascii="Times" w:hAnsi="Times" w:cs="Times New Roman"/>
          <w:lang w:val="en"/>
        </w:rPr>
        <w:t>, a total of 81,498, 1</w:t>
      </w:r>
      <w:r w:rsidR="000F2632">
        <w:rPr>
          <w:rFonts w:ascii="Times" w:hAnsi="Times" w:cs="Times New Roman"/>
          <w:lang w:val="en"/>
        </w:rPr>
        <w:t>8,343</w:t>
      </w:r>
      <w:r w:rsidR="00686E38">
        <w:rPr>
          <w:rFonts w:ascii="Times" w:hAnsi="Times" w:cs="Times New Roman"/>
          <w:lang w:val="en"/>
        </w:rPr>
        <w:t xml:space="preserve">, 46,303, </w:t>
      </w:r>
      <w:r w:rsidR="00AF0EE6">
        <w:rPr>
          <w:rFonts w:ascii="Times" w:hAnsi="Times" w:cs="Times New Roman"/>
          <w:lang w:val="en"/>
        </w:rPr>
        <w:t xml:space="preserve">and </w:t>
      </w:r>
      <w:r w:rsidR="00686E38">
        <w:rPr>
          <w:rFonts w:ascii="Times" w:hAnsi="Times" w:cs="Times New Roman"/>
          <w:lang w:val="en"/>
        </w:rPr>
        <w:t xml:space="preserve">98,602 </w:t>
      </w:r>
      <w:r w:rsidR="00382F9E">
        <w:rPr>
          <w:rFonts w:ascii="Times" w:hAnsi="Times" w:cs="Times New Roman"/>
          <w:lang w:val="en"/>
        </w:rPr>
        <w:t xml:space="preserve">fracture events </w:t>
      </w:r>
      <w:r w:rsidR="00686E38">
        <w:rPr>
          <w:rFonts w:ascii="Times" w:hAnsi="Times" w:cs="Times New Roman"/>
          <w:lang w:val="en"/>
        </w:rPr>
        <w:t>were included, respectively</w:t>
      </w:r>
      <w:r w:rsidR="00952238">
        <w:rPr>
          <w:rFonts w:ascii="Times" w:hAnsi="Times" w:cs="Times New Roman"/>
          <w:lang w:val="en"/>
        </w:rPr>
        <w:t xml:space="preserve"> (s</w:t>
      </w:r>
      <w:r w:rsidR="00686E38">
        <w:rPr>
          <w:rFonts w:ascii="Times" w:hAnsi="Times" w:cs="Times New Roman"/>
          <w:lang w:val="en"/>
        </w:rPr>
        <w:t>upplementary tables 2</w:t>
      </w:r>
      <w:r w:rsidR="008755CD">
        <w:rPr>
          <w:rFonts w:ascii="Times" w:hAnsi="Times" w:cs="Times New Roman"/>
          <w:lang w:val="en"/>
        </w:rPr>
        <w:t xml:space="preserve"> to </w:t>
      </w:r>
      <w:r w:rsidR="00686E38">
        <w:rPr>
          <w:rFonts w:ascii="Times" w:hAnsi="Times" w:cs="Times New Roman"/>
          <w:lang w:val="en"/>
        </w:rPr>
        <w:t>5</w:t>
      </w:r>
      <w:r w:rsidR="00952238">
        <w:rPr>
          <w:rFonts w:ascii="Times" w:hAnsi="Times" w:cs="Times New Roman"/>
          <w:lang w:val="en"/>
        </w:rPr>
        <w:t>)</w:t>
      </w:r>
      <w:r w:rsidR="00686E38">
        <w:rPr>
          <w:rFonts w:ascii="Times" w:hAnsi="Times" w:cs="Times New Roman"/>
          <w:lang w:val="en"/>
        </w:rPr>
        <w:t>.</w:t>
      </w:r>
      <w:r w:rsidR="00AF0EE6">
        <w:rPr>
          <w:rFonts w:ascii="Times" w:hAnsi="Times" w:cs="Times New Roman"/>
          <w:lang w:val="en"/>
        </w:rPr>
        <w:t xml:space="preserve"> </w:t>
      </w:r>
      <w:r w:rsidR="00D13DB2">
        <w:rPr>
          <w:rFonts w:ascii="Times" w:hAnsi="Times" w:cs="Times New Roman"/>
          <w:lang w:val="en"/>
        </w:rPr>
        <w:t xml:space="preserve">The number of hip fractures decreased over the years, while the number of vertebral fractures increased. </w:t>
      </w:r>
    </w:p>
    <w:p w14:paraId="6351C8F7" w14:textId="75286612" w:rsidR="00097D4F" w:rsidRDefault="005D4571" w:rsidP="00872C50">
      <w:pPr>
        <w:spacing w:line="480" w:lineRule="auto"/>
        <w:rPr>
          <w:rFonts w:ascii="Times" w:hAnsi="Times" w:cs="Times New Roman"/>
          <w:lang w:val="en"/>
        </w:rPr>
      </w:pPr>
      <w:r>
        <w:rPr>
          <w:rFonts w:ascii="Times" w:hAnsi="Times" w:cs="Times New Roman"/>
          <w:lang w:val="en"/>
        </w:rPr>
        <w:t>T</w:t>
      </w:r>
      <w:r w:rsidR="006460D5">
        <w:rPr>
          <w:rFonts w:ascii="Times" w:hAnsi="Times" w:cs="Times New Roman"/>
          <w:lang w:val="en"/>
        </w:rPr>
        <w:t xml:space="preserve">he </w:t>
      </w:r>
      <w:r w:rsidR="00351435">
        <w:rPr>
          <w:rFonts w:ascii="Times" w:hAnsi="Times" w:cs="Times New Roman"/>
          <w:lang w:val="en"/>
        </w:rPr>
        <w:t xml:space="preserve">mean </w:t>
      </w:r>
      <w:r w:rsidR="006460D5">
        <w:rPr>
          <w:rFonts w:ascii="Times" w:hAnsi="Times" w:cs="Times New Roman"/>
          <w:lang w:val="en"/>
        </w:rPr>
        <w:t>age of the MOF cohorts were 72.</w:t>
      </w:r>
      <w:r w:rsidR="000F2632">
        <w:rPr>
          <w:rFonts w:ascii="Times" w:hAnsi="Times" w:cs="Times New Roman"/>
          <w:lang w:val="en"/>
        </w:rPr>
        <w:t>6</w:t>
      </w:r>
      <w:r w:rsidR="006460D5">
        <w:rPr>
          <w:rFonts w:ascii="Times" w:hAnsi="Times" w:cs="Times New Roman"/>
          <w:lang w:val="en"/>
        </w:rPr>
        <w:t>-7</w:t>
      </w:r>
      <w:r w:rsidR="000F2632">
        <w:rPr>
          <w:rFonts w:ascii="Times" w:hAnsi="Times" w:cs="Times New Roman"/>
          <w:lang w:val="en"/>
        </w:rPr>
        <w:t>3.9</w:t>
      </w:r>
      <w:r w:rsidR="006460D5">
        <w:rPr>
          <w:rFonts w:ascii="Times" w:hAnsi="Times" w:cs="Times New Roman"/>
          <w:lang w:val="en"/>
        </w:rPr>
        <w:t xml:space="preserve"> years and 2</w:t>
      </w:r>
      <w:r w:rsidR="000F2632">
        <w:rPr>
          <w:rFonts w:ascii="Times" w:hAnsi="Times" w:cs="Times New Roman"/>
          <w:lang w:val="en"/>
        </w:rPr>
        <w:t>4.3</w:t>
      </w:r>
      <w:r w:rsidR="006460D5">
        <w:rPr>
          <w:rFonts w:ascii="Times" w:hAnsi="Times" w:cs="Times New Roman"/>
          <w:lang w:val="en"/>
        </w:rPr>
        <w:t>-2</w:t>
      </w:r>
      <w:r w:rsidR="000F2632">
        <w:rPr>
          <w:rFonts w:ascii="Times" w:hAnsi="Times" w:cs="Times New Roman"/>
          <w:lang w:val="en"/>
        </w:rPr>
        <w:t>6.6</w:t>
      </w:r>
      <w:r w:rsidR="006460D5">
        <w:rPr>
          <w:rFonts w:ascii="Times" w:hAnsi="Times" w:cs="Times New Roman"/>
          <w:lang w:val="en"/>
        </w:rPr>
        <w:t>% were men</w:t>
      </w:r>
      <w:r w:rsidR="00631A69">
        <w:rPr>
          <w:rFonts w:ascii="Times" w:hAnsi="Times" w:cs="Times New Roman"/>
          <w:lang w:val="en"/>
        </w:rPr>
        <w:t xml:space="preserve"> (table 2)</w:t>
      </w:r>
      <w:r w:rsidR="006460D5">
        <w:rPr>
          <w:rFonts w:ascii="Times" w:hAnsi="Times" w:cs="Times New Roman"/>
          <w:lang w:val="en"/>
        </w:rPr>
        <w:t>.</w:t>
      </w:r>
      <w:r w:rsidR="00CE7D12">
        <w:rPr>
          <w:rFonts w:ascii="Times" w:hAnsi="Times" w:cs="Times New Roman"/>
          <w:lang w:val="en"/>
        </w:rPr>
        <w:t xml:space="preserve"> A major osteoporotic fracture had previously been sustained </w:t>
      </w:r>
      <w:r w:rsidR="00760F57">
        <w:rPr>
          <w:rFonts w:ascii="Times" w:hAnsi="Times" w:cs="Times New Roman"/>
          <w:lang w:val="en"/>
        </w:rPr>
        <w:t>in</w:t>
      </w:r>
      <w:r w:rsidR="006460D5">
        <w:rPr>
          <w:rFonts w:ascii="Times" w:hAnsi="Times" w:cs="Times New Roman"/>
          <w:lang w:val="en"/>
        </w:rPr>
        <w:t xml:space="preserve"> </w:t>
      </w:r>
      <w:r w:rsidR="007A504E">
        <w:rPr>
          <w:rFonts w:ascii="Times" w:hAnsi="Times" w:cs="Times New Roman"/>
          <w:lang w:val="en"/>
        </w:rPr>
        <w:t>2</w:t>
      </w:r>
      <w:r w:rsidR="000F2632">
        <w:rPr>
          <w:rFonts w:ascii="Times" w:hAnsi="Times" w:cs="Times New Roman"/>
          <w:lang w:val="en"/>
        </w:rPr>
        <w:t>4-29</w:t>
      </w:r>
      <w:r w:rsidR="007A504E">
        <w:rPr>
          <w:rFonts w:ascii="Times" w:hAnsi="Times" w:cs="Times New Roman"/>
          <w:lang w:val="en"/>
        </w:rPr>
        <w:t>%</w:t>
      </w:r>
      <w:r w:rsidR="00760F57">
        <w:rPr>
          <w:rFonts w:ascii="Times" w:hAnsi="Times" w:cs="Times New Roman"/>
          <w:lang w:val="en"/>
        </w:rPr>
        <w:t xml:space="preserve"> of the MOF patients</w:t>
      </w:r>
      <w:r w:rsidR="007A504E">
        <w:rPr>
          <w:rFonts w:ascii="Times" w:hAnsi="Times" w:cs="Times New Roman"/>
          <w:lang w:val="en"/>
        </w:rPr>
        <w:t xml:space="preserve">, </w:t>
      </w:r>
      <w:r w:rsidR="00690137">
        <w:rPr>
          <w:rFonts w:ascii="Times" w:hAnsi="Times" w:cs="Times New Roman"/>
          <w:lang w:val="en"/>
        </w:rPr>
        <w:t>while 3</w:t>
      </w:r>
      <w:r w:rsidR="00512B9A">
        <w:rPr>
          <w:rFonts w:ascii="Times" w:hAnsi="Times" w:cs="Times New Roman"/>
          <w:lang w:val="en"/>
        </w:rPr>
        <w:t>3</w:t>
      </w:r>
      <w:r w:rsidR="00690137">
        <w:rPr>
          <w:rFonts w:ascii="Times" w:hAnsi="Times" w:cs="Times New Roman"/>
          <w:lang w:val="en"/>
        </w:rPr>
        <w:t>-4</w:t>
      </w:r>
      <w:r w:rsidR="00512B9A">
        <w:rPr>
          <w:rFonts w:ascii="Times" w:hAnsi="Times" w:cs="Times New Roman"/>
          <w:lang w:val="en"/>
        </w:rPr>
        <w:t>0</w:t>
      </w:r>
      <w:r w:rsidR="00690137">
        <w:rPr>
          <w:rFonts w:ascii="Times" w:hAnsi="Times" w:cs="Times New Roman"/>
          <w:lang w:val="en"/>
        </w:rPr>
        <w:t xml:space="preserve">% had previously sustained any fracture. Less than 10% had been treated with corticosteroids in the previous year. </w:t>
      </w:r>
    </w:p>
    <w:p w14:paraId="136260E9" w14:textId="6ACA43CC" w:rsidR="00097D4F" w:rsidRPr="004907A0" w:rsidRDefault="007C43AF" w:rsidP="00872C50">
      <w:pPr>
        <w:spacing w:line="480" w:lineRule="auto"/>
        <w:rPr>
          <w:rFonts w:ascii="Times" w:hAnsi="Times" w:cs="Times New Roman"/>
          <w:lang w:val="en"/>
        </w:rPr>
      </w:pPr>
      <w:r>
        <w:rPr>
          <w:rFonts w:ascii="Times" w:hAnsi="Times" w:cs="Times New Roman"/>
          <w:lang w:val="en"/>
        </w:rPr>
        <w:t xml:space="preserve">Compared to the MOF </w:t>
      </w:r>
      <w:r w:rsidR="00E731AC">
        <w:rPr>
          <w:rFonts w:ascii="Times" w:hAnsi="Times" w:cs="Times New Roman"/>
          <w:lang w:val="en"/>
        </w:rPr>
        <w:t>cohorts</w:t>
      </w:r>
      <w:r>
        <w:rPr>
          <w:rFonts w:ascii="Times" w:hAnsi="Times" w:cs="Times New Roman"/>
          <w:lang w:val="en"/>
        </w:rPr>
        <w:t xml:space="preserve">, </w:t>
      </w:r>
      <w:r w:rsidR="009C33A5">
        <w:rPr>
          <w:rFonts w:ascii="Times" w:hAnsi="Times" w:cs="Times New Roman"/>
          <w:lang w:val="en"/>
        </w:rPr>
        <w:t xml:space="preserve">the </w:t>
      </w:r>
      <w:r w:rsidR="00690137">
        <w:rPr>
          <w:rFonts w:ascii="Times" w:hAnsi="Times" w:cs="Times New Roman"/>
          <w:lang w:val="en"/>
        </w:rPr>
        <w:t xml:space="preserve">hip fracture </w:t>
      </w:r>
      <w:r w:rsidR="00E731AC">
        <w:rPr>
          <w:rFonts w:ascii="Times" w:hAnsi="Times" w:cs="Times New Roman"/>
          <w:lang w:val="en"/>
        </w:rPr>
        <w:t>cohorts</w:t>
      </w:r>
      <w:r w:rsidR="00690137">
        <w:rPr>
          <w:rFonts w:ascii="Times" w:hAnsi="Times" w:cs="Times New Roman"/>
          <w:lang w:val="en"/>
        </w:rPr>
        <w:t xml:space="preserve"> </w:t>
      </w:r>
      <w:r w:rsidR="009C33A5">
        <w:rPr>
          <w:rFonts w:ascii="Times" w:hAnsi="Times" w:cs="Times New Roman"/>
          <w:lang w:val="en"/>
        </w:rPr>
        <w:t xml:space="preserve">(supplementary table 6) </w:t>
      </w:r>
      <w:r w:rsidR="005D4571">
        <w:rPr>
          <w:rFonts w:ascii="Times" w:hAnsi="Times" w:cs="Times New Roman"/>
          <w:lang w:val="en"/>
        </w:rPr>
        <w:t>were</w:t>
      </w:r>
      <w:r w:rsidR="00690137">
        <w:rPr>
          <w:rFonts w:ascii="Times" w:hAnsi="Times" w:cs="Times New Roman"/>
          <w:lang w:val="en"/>
        </w:rPr>
        <w:t xml:space="preserve"> older at baseline (mean age around 80 years), and more were men (28-31%). </w:t>
      </w:r>
      <w:r w:rsidR="005D4571">
        <w:rPr>
          <w:rFonts w:ascii="Times" w:hAnsi="Times" w:cs="Times New Roman"/>
          <w:lang w:val="en"/>
        </w:rPr>
        <w:t xml:space="preserve">A larger proportion </w:t>
      </w:r>
      <w:r w:rsidR="00820BE3">
        <w:rPr>
          <w:rFonts w:ascii="Times" w:hAnsi="Times" w:cs="Times New Roman"/>
          <w:lang w:val="en"/>
        </w:rPr>
        <w:t>had previously sustained a major osteoporotic fracture (30-3</w:t>
      </w:r>
      <w:r w:rsidR="00706FBE">
        <w:rPr>
          <w:rFonts w:ascii="Times" w:hAnsi="Times" w:cs="Times New Roman"/>
          <w:lang w:val="en"/>
        </w:rPr>
        <w:t>5</w:t>
      </w:r>
      <w:r w:rsidR="00820BE3">
        <w:rPr>
          <w:rFonts w:ascii="Times" w:hAnsi="Times" w:cs="Times New Roman"/>
          <w:lang w:val="en"/>
        </w:rPr>
        <w:t>%) or any fracture (39-4</w:t>
      </w:r>
      <w:r w:rsidR="007D6088">
        <w:rPr>
          <w:rFonts w:ascii="Times" w:hAnsi="Times" w:cs="Times New Roman"/>
          <w:lang w:val="en"/>
        </w:rPr>
        <w:t>5</w:t>
      </w:r>
      <w:r w:rsidR="00820BE3">
        <w:rPr>
          <w:rFonts w:ascii="Times" w:hAnsi="Times" w:cs="Times New Roman"/>
          <w:lang w:val="en"/>
        </w:rPr>
        <w:t xml:space="preserve">%), </w:t>
      </w:r>
      <w:r w:rsidR="00D01801">
        <w:rPr>
          <w:rFonts w:ascii="Times" w:hAnsi="Times" w:cs="Times New Roman"/>
          <w:lang w:val="en"/>
        </w:rPr>
        <w:t xml:space="preserve">and </w:t>
      </w:r>
      <w:r w:rsidR="00820BE3">
        <w:rPr>
          <w:rFonts w:ascii="Times" w:hAnsi="Times" w:cs="Times New Roman"/>
          <w:lang w:val="en"/>
        </w:rPr>
        <w:t>12-13% had previously sustained a hip fracture.</w:t>
      </w:r>
      <w:r w:rsidR="002347AE">
        <w:rPr>
          <w:rFonts w:ascii="Times" w:hAnsi="Times" w:cs="Times New Roman"/>
          <w:lang w:val="en"/>
        </w:rPr>
        <w:t xml:space="preserve"> The vertebral, humerus</w:t>
      </w:r>
      <w:r w:rsidR="00923E07">
        <w:rPr>
          <w:rFonts w:ascii="Times" w:hAnsi="Times" w:cs="Times New Roman"/>
          <w:lang w:val="en"/>
        </w:rPr>
        <w:t>,</w:t>
      </w:r>
      <w:r w:rsidR="002347AE">
        <w:rPr>
          <w:rFonts w:ascii="Times" w:hAnsi="Times" w:cs="Times New Roman"/>
          <w:lang w:val="en"/>
        </w:rPr>
        <w:t xml:space="preserve"> and </w:t>
      </w:r>
      <w:r w:rsidR="0012365C">
        <w:rPr>
          <w:rFonts w:ascii="Times" w:hAnsi="Times" w:cs="Times New Roman"/>
          <w:lang w:val="en"/>
        </w:rPr>
        <w:t xml:space="preserve">forearm </w:t>
      </w:r>
      <w:r w:rsidR="002347AE">
        <w:rPr>
          <w:rFonts w:ascii="Times" w:hAnsi="Times" w:cs="Times New Roman"/>
          <w:lang w:val="en"/>
        </w:rPr>
        <w:t xml:space="preserve">fracture cohorts </w:t>
      </w:r>
      <w:r w:rsidR="00A46B3A">
        <w:rPr>
          <w:rFonts w:ascii="Times" w:hAnsi="Times" w:cs="Times New Roman"/>
          <w:lang w:val="en"/>
        </w:rPr>
        <w:t>(supplementary table</w:t>
      </w:r>
      <w:r w:rsidR="008755CD">
        <w:rPr>
          <w:rFonts w:ascii="Times" w:hAnsi="Times" w:cs="Times New Roman"/>
          <w:lang w:val="en"/>
        </w:rPr>
        <w:t>s</w:t>
      </w:r>
      <w:r w:rsidR="00A46B3A">
        <w:rPr>
          <w:rFonts w:ascii="Times" w:hAnsi="Times" w:cs="Times New Roman"/>
          <w:lang w:val="en"/>
        </w:rPr>
        <w:t xml:space="preserve"> 7</w:t>
      </w:r>
      <w:r w:rsidR="008755CD">
        <w:rPr>
          <w:rFonts w:ascii="Times" w:hAnsi="Times" w:cs="Times New Roman"/>
          <w:lang w:val="en"/>
        </w:rPr>
        <w:t xml:space="preserve"> to </w:t>
      </w:r>
      <w:r w:rsidR="00A46B3A">
        <w:rPr>
          <w:rFonts w:ascii="Times" w:hAnsi="Times" w:cs="Times New Roman"/>
          <w:lang w:val="en"/>
        </w:rPr>
        <w:t xml:space="preserve">9) </w:t>
      </w:r>
      <w:r w:rsidR="002347AE">
        <w:rPr>
          <w:rFonts w:ascii="Times" w:hAnsi="Times" w:cs="Times New Roman"/>
          <w:lang w:val="en"/>
        </w:rPr>
        <w:t xml:space="preserve">were </w:t>
      </w:r>
      <w:r w:rsidR="00923E07">
        <w:rPr>
          <w:rFonts w:ascii="Times" w:hAnsi="Times" w:cs="Times New Roman"/>
          <w:lang w:val="en"/>
        </w:rPr>
        <w:t>overall</w:t>
      </w:r>
      <w:r w:rsidR="002347AE">
        <w:rPr>
          <w:rFonts w:ascii="Times" w:hAnsi="Times" w:cs="Times New Roman"/>
          <w:lang w:val="en"/>
        </w:rPr>
        <w:t xml:space="preserve"> comparable to the MOF cohort</w:t>
      </w:r>
      <w:r w:rsidR="00923E07">
        <w:rPr>
          <w:rFonts w:ascii="Times" w:hAnsi="Times" w:cs="Times New Roman"/>
          <w:lang w:val="en"/>
        </w:rPr>
        <w:t>s</w:t>
      </w:r>
      <w:r w:rsidR="00351435">
        <w:rPr>
          <w:rFonts w:ascii="Times" w:hAnsi="Times" w:cs="Times New Roman"/>
          <w:lang w:val="en"/>
        </w:rPr>
        <w:t xml:space="preserve">, except that </w:t>
      </w:r>
      <w:r w:rsidR="00923E07">
        <w:rPr>
          <w:rFonts w:ascii="Times" w:hAnsi="Times" w:cs="Times New Roman"/>
          <w:lang w:val="en"/>
        </w:rPr>
        <w:t xml:space="preserve">the </w:t>
      </w:r>
      <w:r w:rsidR="00351435">
        <w:rPr>
          <w:rFonts w:ascii="Times" w:hAnsi="Times" w:cs="Times New Roman"/>
          <w:lang w:val="en"/>
        </w:rPr>
        <w:t xml:space="preserve">vertebral fracture </w:t>
      </w:r>
      <w:r w:rsidR="00923E07">
        <w:rPr>
          <w:rFonts w:ascii="Times" w:hAnsi="Times" w:cs="Times New Roman"/>
          <w:lang w:val="en"/>
        </w:rPr>
        <w:t>cohorts</w:t>
      </w:r>
      <w:r w:rsidR="00351435">
        <w:rPr>
          <w:rFonts w:ascii="Times" w:hAnsi="Times" w:cs="Times New Roman"/>
          <w:lang w:val="en"/>
        </w:rPr>
        <w:t xml:space="preserve"> </w:t>
      </w:r>
      <w:r w:rsidR="00687959">
        <w:rPr>
          <w:rFonts w:ascii="Times" w:hAnsi="Times" w:cs="Times New Roman"/>
          <w:lang w:val="en"/>
        </w:rPr>
        <w:t>had higher proportions of</w:t>
      </w:r>
      <w:r w:rsidR="00351435">
        <w:rPr>
          <w:rFonts w:ascii="Times" w:hAnsi="Times" w:cs="Times New Roman"/>
          <w:lang w:val="en"/>
        </w:rPr>
        <w:t xml:space="preserve"> men (40-44%), while </w:t>
      </w:r>
      <w:r w:rsidR="00E836C5">
        <w:rPr>
          <w:rFonts w:ascii="Times" w:hAnsi="Times" w:cs="Times New Roman"/>
          <w:lang w:val="en"/>
        </w:rPr>
        <w:t xml:space="preserve">the </w:t>
      </w:r>
      <w:r w:rsidR="0012365C">
        <w:rPr>
          <w:rFonts w:ascii="Times" w:hAnsi="Times" w:cs="Times New Roman"/>
          <w:lang w:val="en"/>
        </w:rPr>
        <w:t xml:space="preserve">forearm </w:t>
      </w:r>
      <w:r w:rsidR="00351435">
        <w:rPr>
          <w:rFonts w:ascii="Times" w:hAnsi="Times" w:cs="Times New Roman"/>
          <w:lang w:val="en"/>
        </w:rPr>
        <w:t xml:space="preserve">fracture </w:t>
      </w:r>
      <w:r w:rsidR="00923E07">
        <w:rPr>
          <w:rFonts w:ascii="Times" w:hAnsi="Times" w:cs="Times New Roman"/>
          <w:lang w:val="en"/>
        </w:rPr>
        <w:t>cohorts</w:t>
      </w:r>
      <w:r w:rsidR="00351435">
        <w:rPr>
          <w:rFonts w:ascii="Times" w:hAnsi="Times" w:cs="Times New Roman"/>
          <w:lang w:val="en"/>
        </w:rPr>
        <w:t xml:space="preserve"> were younger (mean age around 70 years) and </w:t>
      </w:r>
      <w:r w:rsidR="00687959">
        <w:rPr>
          <w:rFonts w:ascii="Times" w:hAnsi="Times" w:cs="Times New Roman"/>
          <w:lang w:val="en"/>
        </w:rPr>
        <w:t>had lower proportions of</w:t>
      </w:r>
      <w:r w:rsidR="00351435">
        <w:rPr>
          <w:rFonts w:ascii="Times" w:hAnsi="Times" w:cs="Times New Roman"/>
          <w:lang w:val="en"/>
        </w:rPr>
        <w:t xml:space="preserve"> men (18-19%)</w:t>
      </w:r>
      <w:r w:rsidR="002347AE">
        <w:rPr>
          <w:rFonts w:ascii="Times" w:hAnsi="Times" w:cs="Times New Roman"/>
          <w:lang w:val="en"/>
        </w:rPr>
        <w:t>.</w:t>
      </w:r>
    </w:p>
    <w:p w14:paraId="2719C818" w14:textId="7BB54DA0" w:rsidR="00EB0E81" w:rsidRPr="004907A0" w:rsidRDefault="00EB0E81" w:rsidP="00872C50">
      <w:pPr>
        <w:spacing w:line="480" w:lineRule="auto"/>
        <w:rPr>
          <w:rFonts w:ascii="Times" w:hAnsi="Times" w:cs="Times New Roman"/>
          <w:u w:val="single"/>
          <w:lang w:val="en"/>
        </w:rPr>
      </w:pPr>
      <w:r w:rsidRPr="004907A0">
        <w:rPr>
          <w:rFonts w:ascii="Times" w:hAnsi="Times" w:cs="Times New Roman"/>
          <w:u w:val="single"/>
          <w:lang w:val="en"/>
        </w:rPr>
        <w:t>Treatment gap</w:t>
      </w:r>
    </w:p>
    <w:p w14:paraId="575CD75A" w14:textId="7508FF48" w:rsidR="0073356B" w:rsidRDefault="00DA5DA0" w:rsidP="00872C50">
      <w:pPr>
        <w:spacing w:line="480" w:lineRule="auto"/>
        <w:rPr>
          <w:rFonts w:ascii="Times" w:hAnsi="Times" w:cs="Times New Roman"/>
          <w:lang w:val="en"/>
        </w:rPr>
      </w:pPr>
      <w:r>
        <w:rPr>
          <w:rFonts w:ascii="Times" w:hAnsi="Times" w:cs="Times New Roman"/>
          <w:lang w:val="en"/>
        </w:rPr>
        <w:t>T</w:t>
      </w:r>
      <w:r w:rsidR="008A6D65">
        <w:rPr>
          <w:rFonts w:ascii="Times" w:hAnsi="Times" w:cs="Times New Roman"/>
          <w:lang w:val="en"/>
        </w:rPr>
        <w:t xml:space="preserve">he </w:t>
      </w:r>
      <w:r w:rsidR="00CC66B1" w:rsidRPr="004907A0">
        <w:rPr>
          <w:rFonts w:ascii="Times" w:hAnsi="Times" w:cs="Times New Roman"/>
          <w:lang w:val="en"/>
        </w:rPr>
        <w:t>post-fracture treatment gap</w:t>
      </w:r>
      <w:r w:rsidR="00A67413">
        <w:rPr>
          <w:rFonts w:ascii="Times" w:hAnsi="Times" w:cs="Times New Roman"/>
          <w:lang w:val="en"/>
        </w:rPr>
        <w:t xml:space="preserve"> in the </w:t>
      </w:r>
      <w:r w:rsidR="008A6D65">
        <w:rPr>
          <w:rFonts w:ascii="Times" w:hAnsi="Times" w:cs="Times New Roman"/>
          <w:lang w:val="en"/>
        </w:rPr>
        <w:t xml:space="preserve">2005 </w:t>
      </w:r>
      <w:r w:rsidR="00A67413">
        <w:rPr>
          <w:rFonts w:ascii="Times" w:hAnsi="Times" w:cs="Times New Roman"/>
          <w:lang w:val="en"/>
        </w:rPr>
        <w:t>MOF cohort</w:t>
      </w:r>
      <w:r w:rsidR="00CC66B1" w:rsidRPr="004907A0">
        <w:rPr>
          <w:rFonts w:ascii="Times" w:hAnsi="Times" w:cs="Times New Roman"/>
          <w:lang w:val="en"/>
        </w:rPr>
        <w:t xml:space="preserve"> was</w:t>
      </w:r>
      <w:r w:rsidR="001B046F" w:rsidRPr="004907A0">
        <w:rPr>
          <w:rFonts w:ascii="Times" w:hAnsi="Times" w:cs="Times New Roman"/>
          <w:lang w:val="en"/>
        </w:rPr>
        <w:t xml:space="preserve"> approximately</w:t>
      </w:r>
      <w:r w:rsidR="00CC66B1" w:rsidRPr="004907A0">
        <w:rPr>
          <w:rFonts w:ascii="Times" w:hAnsi="Times" w:cs="Times New Roman"/>
          <w:lang w:val="en"/>
        </w:rPr>
        <w:t xml:space="preserve"> 8</w:t>
      </w:r>
      <w:r w:rsidR="008A6D65">
        <w:rPr>
          <w:rFonts w:ascii="Times" w:hAnsi="Times" w:cs="Times New Roman"/>
          <w:lang w:val="en"/>
        </w:rPr>
        <w:t>5</w:t>
      </w:r>
      <w:r w:rsidR="00CC66B1" w:rsidRPr="004907A0">
        <w:rPr>
          <w:rFonts w:ascii="Times" w:hAnsi="Times" w:cs="Times New Roman"/>
          <w:lang w:val="en"/>
        </w:rPr>
        <w:t xml:space="preserve">%, decreasing to </w:t>
      </w:r>
      <w:r w:rsidR="008A6D65">
        <w:rPr>
          <w:rFonts w:ascii="Times" w:hAnsi="Times" w:cs="Times New Roman"/>
          <w:lang w:val="en"/>
        </w:rPr>
        <w:t>79</w:t>
      </w:r>
      <w:r w:rsidR="00CC66B1" w:rsidRPr="004907A0">
        <w:rPr>
          <w:rFonts w:ascii="Times" w:hAnsi="Times" w:cs="Times New Roman"/>
          <w:lang w:val="en"/>
        </w:rPr>
        <w:t>% in 2014</w:t>
      </w:r>
      <w:r w:rsidR="00937757" w:rsidRPr="004907A0">
        <w:rPr>
          <w:rFonts w:ascii="Times" w:hAnsi="Times" w:cs="Times New Roman"/>
          <w:lang w:val="en"/>
        </w:rPr>
        <w:t xml:space="preserve"> (figure 1)</w:t>
      </w:r>
      <w:r w:rsidR="00CC66B1" w:rsidRPr="004907A0">
        <w:rPr>
          <w:rFonts w:ascii="Times" w:hAnsi="Times" w:cs="Times New Roman"/>
          <w:lang w:val="en"/>
        </w:rPr>
        <w:t>.</w:t>
      </w:r>
      <w:r w:rsidR="00361C50" w:rsidRPr="004907A0">
        <w:rPr>
          <w:rFonts w:ascii="Times" w:hAnsi="Times" w:cs="Times New Roman"/>
          <w:lang w:val="en"/>
        </w:rPr>
        <w:t xml:space="preserve"> The narrowing treatment gap was </w:t>
      </w:r>
      <w:r w:rsidR="00F6710D" w:rsidRPr="004907A0">
        <w:rPr>
          <w:rFonts w:ascii="Times" w:hAnsi="Times" w:cs="Times New Roman"/>
          <w:lang w:val="en"/>
        </w:rPr>
        <w:t xml:space="preserve">mainly due to more patients already on </w:t>
      </w:r>
      <w:r w:rsidR="008B5CBB" w:rsidRPr="004907A0">
        <w:rPr>
          <w:rFonts w:ascii="Times" w:hAnsi="Times" w:cs="Times New Roman"/>
          <w:lang w:val="en"/>
        </w:rPr>
        <w:t>anti-osteoporosis</w:t>
      </w:r>
      <w:r w:rsidR="00F6710D" w:rsidRPr="004907A0">
        <w:rPr>
          <w:rFonts w:ascii="Times" w:hAnsi="Times" w:cs="Times New Roman"/>
          <w:lang w:val="en"/>
        </w:rPr>
        <w:t xml:space="preserve"> therapy </w:t>
      </w:r>
      <w:r w:rsidR="00EB4877" w:rsidRPr="004907A0">
        <w:rPr>
          <w:rFonts w:ascii="Times" w:hAnsi="Times" w:cs="Times New Roman"/>
          <w:lang w:val="en"/>
        </w:rPr>
        <w:t>at the time of fracture</w:t>
      </w:r>
      <w:r w:rsidR="001D310E">
        <w:rPr>
          <w:rFonts w:ascii="Times" w:hAnsi="Times" w:cs="Times New Roman"/>
          <w:lang w:val="en"/>
        </w:rPr>
        <w:t xml:space="preserve">, </w:t>
      </w:r>
      <w:r w:rsidR="00F6710D" w:rsidRPr="004907A0">
        <w:rPr>
          <w:rFonts w:ascii="Times" w:hAnsi="Times" w:cs="Times New Roman"/>
          <w:lang w:val="en"/>
        </w:rPr>
        <w:t>increasing from 8% in 2005 to 12% in 2014</w:t>
      </w:r>
      <w:r w:rsidR="001E48FF">
        <w:rPr>
          <w:rFonts w:ascii="Times" w:hAnsi="Times" w:cs="Times New Roman"/>
          <w:lang w:val="en"/>
        </w:rPr>
        <w:t xml:space="preserve">, </w:t>
      </w:r>
      <w:r w:rsidR="001E48FF">
        <w:rPr>
          <w:rFonts w:ascii="Times" w:hAnsi="Times" w:cs="Times New Roman"/>
          <w:lang w:val="en"/>
        </w:rPr>
        <w:lastRenderedPageBreak/>
        <w:t>although demonstrating a decreasing trend from 2012</w:t>
      </w:r>
      <w:r w:rsidR="00DD1C67">
        <w:rPr>
          <w:rFonts w:ascii="Times" w:hAnsi="Times" w:cs="Times New Roman"/>
          <w:lang w:val="en"/>
        </w:rPr>
        <w:t xml:space="preserve"> to 20</w:t>
      </w:r>
      <w:r w:rsidR="001E48FF">
        <w:rPr>
          <w:rFonts w:ascii="Times" w:hAnsi="Times" w:cs="Times New Roman"/>
          <w:lang w:val="en"/>
        </w:rPr>
        <w:t>14</w:t>
      </w:r>
      <w:r w:rsidR="002F57A7">
        <w:rPr>
          <w:rFonts w:ascii="Times" w:hAnsi="Times" w:cs="Times New Roman"/>
          <w:lang w:val="en"/>
        </w:rPr>
        <w:t>. T</w:t>
      </w:r>
      <w:r w:rsidR="00F6710D" w:rsidRPr="004907A0">
        <w:rPr>
          <w:rFonts w:ascii="Times" w:hAnsi="Times" w:cs="Times New Roman"/>
          <w:lang w:val="en"/>
        </w:rPr>
        <w:t xml:space="preserve">he proportion of fracture patients initiating treatment </w:t>
      </w:r>
      <w:r w:rsidR="001B046F" w:rsidRPr="004907A0">
        <w:rPr>
          <w:rFonts w:ascii="Times" w:hAnsi="Times" w:cs="Times New Roman"/>
          <w:lang w:val="en"/>
        </w:rPr>
        <w:t xml:space="preserve">within 1 year of their fracture </w:t>
      </w:r>
      <w:r w:rsidR="00F6710D" w:rsidRPr="004907A0">
        <w:rPr>
          <w:rFonts w:ascii="Times" w:hAnsi="Times" w:cs="Times New Roman"/>
          <w:lang w:val="en"/>
        </w:rPr>
        <w:t xml:space="preserve">increased from </w:t>
      </w:r>
      <w:r w:rsidR="008A6D65">
        <w:rPr>
          <w:rFonts w:ascii="Times" w:hAnsi="Times" w:cs="Times New Roman"/>
          <w:lang w:val="en"/>
        </w:rPr>
        <w:t>7</w:t>
      </w:r>
      <w:r w:rsidR="00F6710D" w:rsidRPr="004907A0">
        <w:rPr>
          <w:rFonts w:ascii="Times" w:hAnsi="Times" w:cs="Times New Roman"/>
          <w:lang w:val="en"/>
        </w:rPr>
        <w:t xml:space="preserve">% to </w:t>
      </w:r>
      <w:r w:rsidR="008A6D65">
        <w:rPr>
          <w:rFonts w:ascii="Times" w:hAnsi="Times" w:cs="Times New Roman"/>
          <w:lang w:val="en"/>
        </w:rPr>
        <w:t>9</w:t>
      </w:r>
      <w:r w:rsidR="00F6710D" w:rsidRPr="004907A0">
        <w:rPr>
          <w:rFonts w:ascii="Times" w:hAnsi="Times" w:cs="Times New Roman"/>
          <w:lang w:val="en"/>
        </w:rPr>
        <w:t>%.</w:t>
      </w:r>
      <w:r w:rsidR="00893D42" w:rsidRPr="004907A0">
        <w:rPr>
          <w:rFonts w:ascii="Times" w:hAnsi="Times" w:cs="Times New Roman"/>
          <w:lang w:val="en"/>
        </w:rPr>
        <w:t xml:space="preserve"> Whi</w:t>
      </w:r>
      <w:r w:rsidR="00AE4CB5" w:rsidRPr="004907A0">
        <w:rPr>
          <w:rFonts w:ascii="Times" w:hAnsi="Times" w:cs="Times New Roman"/>
          <w:lang w:val="en"/>
        </w:rPr>
        <w:t>le most treatment initiations w</w:t>
      </w:r>
      <w:r w:rsidR="00893D42" w:rsidRPr="004907A0">
        <w:rPr>
          <w:rFonts w:ascii="Times" w:hAnsi="Times" w:cs="Times New Roman"/>
          <w:lang w:val="en"/>
        </w:rPr>
        <w:t>ere prescription-based, a</w:t>
      </w:r>
      <w:r w:rsidR="008F32A7" w:rsidRPr="004907A0">
        <w:rPr>
          <w:rFonts w:ascii="Times" w:hAnsi="Times" w:cs="Times New Roman"/>
          <w:lang w:val="en"/>
        </w:rPr>
        <w:t>n increasing proportion of fracture patients were initiated on hospital-administered AOM.</w:t>
      </w:r>
      <w:r w:rsidR="001B046F" w:rsidRPr="004907A0">
        <w:rPr>
          <w:rFonts w:ascii="Times" w:hAnsi="Times" w:cs="Times New Roman"/>
          <w:lang w:val="en"/>
        </w:rPr>
        <w:t xml:space="preserve"> In 2014, </w:t>
      </w:r>
      <w:r w:rsidR="00AE4CB5" w:rsidRPr="004907A0">
        <w:rPr>
          <w:rFonts w:ascii="Times" w:hAnsi="Times" w:cs="Times New Roman"/>
          <w:lang w:val="en"/>
        </w:rPr>
        <w:t>however, this was</w:t>
      </w:r>
      <w:r w:rsidR="001B046F" w:rsidRPr="004907A0">
        <w:rPr>
          <w:rFonts w:ascii="Times" w:hAnsi="Times" w:cs="Times New Roman"/>
          <w:lang w:val="en"/>
        </w:rPr>
        <w:t xml:space="preserve"> still as little </w:t>
      </w:r>
      <w:r w:rsidR="002F57A7">
        <w:rPr>
          <w:rFonts w:ascii="Times" w:hAnsi="Times" w:cs="Times New Roman"/>
          <w:lang w:val="en"/>
        </w:rPr>
        <w:t xml:space="preserve">as </w:t>
      </w:r>
      <w:r w:rsidR="00D20116" w:rsidRPr="004907A0">
        <w:rPr>
          <w:rFonts w:ascii="Times" w:hAnsi="Times" w:cs="Times New Roman"/>
          <w:lang w:val="en"/>
        </w:rPr>
        <w:t>0.</w:t>
      </w:r>
      <w:r w:rsidR="008A6D65">
        <w:rPr>
          <w:rFonts w:ascii="Times" w:hAnsi="Times" w:cs="Times New Roman"/>
          <w:lang w:val="en"/>
        </w:rPr>
        <w:t>6</w:t>
      </w:r>
      <w:r w:rsidR="00D20116" w:rsidRPr="004907A0">
        <w:rPr>
          <w:rFonts w:ascii="Times" w:hAnsi="Times" w:cs="Times New Roman"/>
          <w:lang w:val="en"/>
        </w:rPr>
        <w:t>%</w:t>
      </w:r>
      <w:r w:rsidR="002F57A7">
        <w:rPr>
          <w:rFonts w:ascii="Times" w:hAnsi="Times" w:cs="Times New Roman"/>
          <w:lang w:val="en"/>
        </w:rPr>
        <w:t xml:space="preserve"> of all patients in the MOF cohort</w:t>
      </w:r>
      <w:r w:rsidR="00D20116" w:rsidRPr="004907A0">
        <w:rPr>
          <w:rFonts w:ascii="Times" w:hAnsi="Times" w:cs="Times New Roman"/>
          <w:lang w:val="en"/>
        </w:rPr>
        <w:t>.</w:t>
      </w:r>
      <w:r w:rsidR="005620C1" w:rsidRPr="004907A0">
        <w:rPr>
          <w:rFonts w:ascii="Times" w:hAnsi="Times" w:cs="Times New Roman"/>
          <w:lang w:val="en"/>
        </w:rPr>
        <w:t xml:space="preserve"> </w:t>
      </w:r>
    </w:p>
    <w:p w14:paraId="2307922B" w14:textId="5248A66B" w:rsidR="009F68A4" w:rsidRPr="004907A0" w:rsidRDefault="009F68A4" w:rsidP="00872C50">
      <w:pPr>
        <w:spacing w:line="480" w:lineRule="auto"/>
        <w:rPr>
          <w:rFonts w:ascii="Times" w:hAnsi="Times" w:cs="Times New Roman"/>
          <w:lang w:val="en"/>
        </w:rPr>
      </w:pPr>
      <w:r>
        <w:rPr>
          <w:rFonts w:ascii="Times" w:hAnsi="Times" w:cs="Times New Roman"/>
          <w:lang w:val="en"/>
        </w:rPr>
        <w:t>Treatment persistence, defined as patients receiving AOM within 1 year of the index fracture and still receiving AOM after an additional year, was found to be 81% across the annualized fracture cohorts.</w:t>
      </w:r>
      <w:r w:rsidR="005A5D96">
        <w:rPr>
          <w:rFonts w:ascii="Times" w:hAnsi="Times" w:cs="Times New Roman"/>
          <w:lang w:val="en"/>
        </w:rPr>
        <w:t xml:space="preserve"> </w:t>
      </w:r>
    </w:p>
    <w:p w14:paraId="078A1F83" w14:textId="10EBB857" w:rsidR="00EB0E81" w:rsidRPr="004907A0" w:rsidRDefault="00EB0E81" w:rsidP="00872C50">
      <w:pPr>
        <w:spacing w:line="480" w:lineRule="auto"/>
        <w:rPr>
          <w:rFonts w:ascii="Times" w:hAnsi="Times" w:cs="Times New Roman"/>
          <w:u w:val="single"/>
          <w:lang w:val="en"/>
        </w:rPr>
      </w:pPr>
      <w:r w:rsidRPr="004907A0">
        <w:rPr>
          <w:rFonts w:ascii="Times" w:hAnsi="Times" w:cs="Times New Roman"/>
          <w:u w:val="single"/>
          <w:lang w:val="en"/>
        </w:rPr>
        <w:t>Treatment gap according to fracture location</w:t>
      </w:r>
    </w:p>
    <w:p w14:paraId="341CB9A2" w14:textId="3B860168" w:rsidR="00097219" w:rsidRDefault="007A271A" w:rsidP="00872C50">
      <w:pPr>
        <w:spacing w:line="480" w:lineRule="auto"/>
        <w:rPr>
          <w:rFonts w:ascii="Times" w:hAnsi="Times" w:cs="Times New Roman"/>
          <w:lang w:val="en"/>
        </w:rPr>
      </w:pPr>
      <w:r w:rsidRPr="004907A0">
        <w:rPr>
          <w:rFonts w:ascii="Times" w:hAnsi="Times" w:cs="Times New Roman"/>
          <w:lang w:val="en"/>
        </w:rPr>
        <w:t>Stratifying</w:t>
      </w:r>
      <w:r w:rsidR="00931C9A" w:rsidRPr="004907A0">
        <w:rPr>
          <w:rFonts w:ascii="Times" w:hAnsi="Times" w:cs="Times New Roman"/>
          <w:lang w:val="en"/>
        </w:rPr>
        <w:t xml:space="preserve"> </w:t>
      </w:r>
      <w:r w:rsidR="00C53BB6" w:rsidRPr="004907A0">
        <w:rPr>
          <w:rFonts w:ascii="Times" w:hAnsi="Times" w:cs="Times New Roman"/>
          <w:lang w:val="en"/>
        </w:rPr>
        <w:t>the</w:t>
      </w:r>
      <w:r w:rsidRPr="004907A0">
        <w:rPr>
          <w:rFonts w:ascii="Times" w:hAnsi="Times" w:cs="Times New Roman"/>
          <w:lang w:val="en"/>
        </w:rPr>
        <w:t xml:space="preserve"> treatment gap</w:t>
      </w:r>
      <w:r w:rsidR="00C53BB6" w:rsidRPr="004907A0">
        <w:rPr>
          <w:rFonts w:ascii="Times" w:hAnsi="Times" w:cs="Times New Roman"/>
          <w:lang w:val="en"/>
        </w:rPr>
        <w:t xml:space="preserve"> analysis according to fracture </w:t>
      </w:r>
      <w:r w:rsidR="00F46AE2">
        <w:rPr>
          <w:rFonts w:ascii="Times" w:hAnsi="Times" w:cs="Times New Roman"/>
          <w:lang w:val="en"/>
        </w:rPr>
        <w:t>location</w:t>
      </w:r>
      <w:r w:rsidR="00745F74">
        <w:rPr>
          <w:rFonts w:ascii="Times" w:hAnsi="Times" w:cs="Times New Roman"/>
          <w:lang w:val="en"/>
        </w:rPr>
        <w:t xml:space="preserve"> (figure 2)</w:t>
      </w:r>
      <w:r w:rsidR="00F46AE2">
        <w:rPr>
          <w:rFonts w:ascii="Times" w:hAnsi="Times" w:cs="Times New Roman"/>
          <w:lang w:val="en"/>
        </w:rPr>
        <w:t xml:space="preserve">, </w:t>
      </w:r>
      <w:r w:rsidRPr="004907A0">
        <w:rPr>
          <w:rFonts w:ascii="Times" w:hAnsi="Times" w:cs="Times New Roman"/>
          <w:lang w:val="en"/>
        </w:rPr>
        <w:t>we fou</w:t>
      </w:r>
      <w:r w:rsidR="00B4315F" w:rsidRPr="004907A0">
        <w:rPr>
          <w:rFonts w:ascii="Times" w:hAnsi="Times" w:cs="Times New Roman"/>
          <w:lang w:val="en"/>
        </w:rPr>
        <w:t xml:space="preserve">nd that </w:t>
      </w:r>
      <w:r w:rsidR="00097219">
        <w:rPr>
          <w:rFonts w:ascii="Times" w:hAnsi="Times" w:cs="Times New Roman"/>
          <w:lang w:val="en"/>
        </w:rPr>
        <w:t>the treatment gap</w:t>
      </w:r>
      <w:r w:rsidR="00060423">
        <w:rPr>
          <w:rFonts w:ascii="Times" w:hAnsi="Times" w:cs="Times New Roman"/>
          <w:lang w:val="en"/>
        </w:rPr>
        <w:t>s</w:t>
      </w:r>
      <w:r w:rsidR="00097219">
        <w:rPr>
          <w:rFonts w:ascii="Times" w:hAnsi="Times" w:cs="Times New Roman"/>
          <w:lang w:val="en"/>
        </w:rPr>
        <w:t xml:space="preserve"> for hip (panel 2A) and </w:t>
      </w:r>
      <w:r w:rsidR="0012365C">
        <w:rPr>
          <w:rFonts w:ascii="Times" w:hAnsi="Times" w:cs="Times New Roman"/>
          <w:lang w:val="en"/>
        </w:rPr>
        <w:t xml:space="preserve">forearm </w:t>
      </w:r>
      <w:r w:rsidR="00097219">
        <w:rPr>
          <w:rFonts w:ascii="Times" w:hAnsi="Times" w:cs="Times New Roman"/>
          <w:lang w:val="en"/>
        </w:rPr>
        <w:t>(panel 2D) fracture patients decreased over the time span of our analysis, from a starting point in 2005 at 82% and 88%, respectively, to 74% and 82% in 2014. This was driven by an increase in the proportion of patients already on AOM-therapy at the time of the fracture</w:t>
      </w:r>
      <w:r w:rsidR="00EE2187">
        <w:rPr>
          <w:rFonts w:ascii="Times" w:hAnsi="Times" w:cs="Times New Roman"/>
          <w:lang w:val="en"/>
        </w:rPr>
        <w:t xml:space="preserve"> and remaining on therapy post-fracture</w:t>
      </w:r>
      <w:r w:rsidR="00097219">
        <w:rPr>
          <w:rFonts w:ascii="Times" w:hAnsi="Times" w:cs="Times New Roman"/>
          <w:lang w:val="en"/>
        </w:rPr>
        <w:t xml:space="preserve">, and </w:t>
      </w:r>
      <w:r w:rsidR="0083209E">
        <w:rPr>
          <w:rFonts w:ascii="Times" w:hAnsi="Times" w:cs="Times New Roman"/>
          <w:lang w:val="en"/>
        </w:rPr>
        <w:t xml:space="preserve">– primarily – </w:t>
      </w:r>
      <w:r w:rsidR="00097219">
        <w:rPr>
          <w:rFonts w:ascii="Times" w:hAnsi="Times" w:cs="Times New Roman"/>
          <w:lang w:val="en"/>
        </w:rPr>
        <w:t xml:space="preserve">for hip fracture patients also by an increase in the proportion of patients being initiated on AOM-therapy after the fracture. </w:t>
      </w:r>
    </w:p>
    <w:p w14:paraId="7C545190" w14:textId="5DEB3A90" w:rsidR="00262C8F" w:rsidRPr="004907A0" w:rsidRDefault="0003360E" w:rsidP="00262C8F">
      <w:pPr>
        <w:spacing w:line="480" w:lineRule="auto"/>
        <w:rPr>
          <w:rFonts w:ascii="Times" w:hAnsi="Times" w:cs="Times New Roman"/>
          <w:lang w:val="en"/>
        </w:rPr>
      </w:pPr>
      <w:r>
        <w:rPr>
          <w:rFonts w:ascii="Times" w:hAnsi="Times" w:cs="Times New Roman"/>
          <w:lang w:val="en"/>
        </w:rPr>
        <w:t>In comparison, the treatment gap</w:t>
      </w:r>
      <w:r w:rsidR="005D10D9">
        <w:rPr>
          <w:rFonts w:ascii="Times" w:hAnsi="Times" w:cs="Times New Roman"/>
          <w:lang w:val="en"/>
        </w:rPr>
        <w:t>s</w:t>
      </w:r>
      <w:r>
        <w:rPr>
          <w:rFonts w:ascii="Times" w:hAnsi="Times" w:cs="Times New Roman"/>
          <w:lang w:val="en"/>
        </w:rPr>
        <w:t xml:space="preserve"> for p</w:t>
      </w:r>
      <w:r w:rsidR="00262C8F" w:rsidRPr="004907A0">
        <w:rPr>
          <w:rFonts w:ascii="Times" w:hAnsi="Times" w:cs="Times New Roman"/>
          <w:lang w:val="en"/>
        </w:rPr>
        <w:t xml:space="preserve">atients with </w:t>
      </w:r>
      <w:r w:rsidR="00262C8F">
        <w:rPr>
          <w:rFonts w:ascii="Times" w:hAnsi="Times" w:cs="Times New Roman"/>
          <w:lang w:val="en"/>
        </w:rPr>
        <w:t>vertebral</w:t>
      </w:r>
      <w:r w:rsidR="00262C8F" w:rsidRPr="004907A0">
        <w:rPr>
          <w:rFonts w:ascii="Times" w:hAnsi="Times" w:cs="Times New Roman"/>
          <w:lang w:val="en"/>
        </w:rPr>
        <w:t xml:space="preserve"> </w:t>
      </w:r>
      <w:r w:rsidR="00262C8F">
        <w:rPr>
          <w:rFonts w:ascii="Times" w:hAnsi="Times" w:cs="Times New Roman"/>
          <w:lang w:val="en"/>
        </w:rPr>
        <w:t xml:space="preserve">(panel 2B) </w:t>
      </w:r>
      <w:r>
        <w:rPr>
          <w:rFonts w:ascii="Times" w:hAnsi="Times" w:cs="Times New Roman"/>
          <w:lang w:val="en"/>
        </w:rPr>
        <w:t xml:space="preserve">and humerus (panel 2C) fractures were relatively stable from 2005 to 2014. </w:t>
      </w:r>
      <w:r w:rsidR="00272589">
        <w:rPr>
          <w:rFonts w:ascii="Times" w:hAnsi="Times" w:cs="Times New Roman"/>
          <w:lang w:val="en"/>
        </w:rPr>
        <w:t xml:space="preserve">Patients with vertebral fractures were significantly more likely to receive AOM-treatment within 1 year of the index fracture (treatment gap </w:t>
      </w:r>
      <w:r w:rsidR="00DC6E98">
        <w:rPr>
          <w:rFonts w:ascii="Times" w:hAnsi="Times" w:cs="Times New Roman"/>
          <w:lang w:val="en"/>
        </w:rPr>
        <w:t xml:space="preserve">of </w:t>
      </w:r>
      <w:r w:rsidR="00272589">
        <w:rPr>
          <w:rFonts w:ascii="Times" w:hAnsi="Times" w:cs="Times New Roman"/>
          <w:lang w:val="en"/>
        </w:rPr>
        <w:t>6</w:t>
      </w:r>
      <w:r w:rsidR="002B5DF7">
        <w:rPr>
          <w:rFonts w:ascii="Times" w:hAnsi="Times" w:cs="Times New Roman"/>
          <w:lang w:val="en"/>
        </w:rPr>
        <w:t>3</w:t>
      </w:r>
      <w:r w:rsidR="00C64F03">
        <w:rPr>
          <w:rFonts w:ascii="Times" w:hAnsi="Times" w:cs="Times New Roman"/>
          <w:lang w:val="en"/>
        </w:rPr>
        <w:t xml:space="preserve"> to </w:t>
      </w:r>
      <w:r w:rsidR="00272589">
        <w:rPr>
          <w:rFonts w:ascii="Times" w:hAnsi="Times" w:cs="Times New Roman"/>
          <w:lang w:val="en"/>
        </w:rPr>
        <w:t>66%</w:t>
      </w:r>
      <w:r w:rsidR="00DC6E98">
        <w:rPr>
          <w:rFonts w:ascii="Times" w:hAnsi="Times" w:cs="Times New Roman"/>
          <w:lang w:val="en"/>
        </w:rPr>
        <w:t>)</w:t>
      </w:r>
      <w:r w:rsidR="00272589">
        <w:rPr>
          <w:rFonts w:ascii="Times" w:hAnsi="Times" w:cs="Times New Roman"/>
          <w:lang w:val="en"/>
        </w:rPr>
        <w:t xml:space="preserve">, driven both by more patients </w:t>
      </w:r>
      <w:r w:rsidR="00A3601D" w:rsidRPr="00DC1892">
        <w:rPr>
          <w:rFonts w:ascii="Times" w:hAnsi="Times" w:cs="Times New Roman"/>
          <w:lang w:val="en-US"/>
        </w:rPr>
        <w:t xml:space="preserve">already </w:t>
      </w:r>
      <w:r w:rsidR="00272589">
        <w:rPr>
          <w:rFonts w:ascii="Times" w:hAnsi="Times" w:cs="Times New Roman"/>
          <w:lang w:val="en"/>
        </w:rPr>
        <w:t xml:space="preserve">on treatment at the time of the fracture and </w:t>
      </w:r>
      <w:r w:rsidR="00DC1892">
        <w:rPr>
          <w:rFonts w:ascii="Times" w:hAnsi="Times" w:cs="Times New Roman"/>
          <w:lang w:val="en"/>
        </w:rPr>
        <w:t xml:space="preserve">by </w:t>
      </w:r>
      <w:r w:rsidR="00272589">
        <w:rPr>
          <w:rFonts w:ascii="Times" w:hAnsi="Times" w:cs="Times New Roman"/>
          <w:lang w:val="en"/>
        </w:rPr>
        <w:t xml:space="preserve">more patients </w:t>
      </w:r>
      <w:r w:rsidR="00DC1892">
        <w:rPr>
          <w:rFonts w:ascii="Times" w:hAnsi="Times" w:cs="Times New Roman"/>
          <w:lang w:val="en"/>
        </w:rPr>
        <w:t>initiating</w:t>
      </w:r>
      <w:r w:rsidR="00272589">
        <w:rPr>
          <w:rFonts w:ascii="Times" w:hAnsi="Times" w:cs="Times New Roman"/>
          <w:lang w:val="en"/>
        </w:rPr>
        <w:t xml:space="preserve"> treatment after the fracture. </w:t>
      </w:r>
      <w:r w:rsidR="0019047B">
        <w:rPr>
          <w:rFonts w:ascii="Times" w:hAnsi="Times" w:cs="Times New Roman"/>
          <w:lang w:val="en"/>
        </w:rPr>
        <w:t xml:space="preserve">The treatment gap in humerus fracture patients varied </w:t>
      </w:r>
      <w:r w:rsidR="00AD39C2">
        <w:rPr>
          <w:rFonts w:ascii="Times" w:hAnsi="Times" w:cs="Times New Roman"/>
          <w:lang w:val="en"/>
        </w:rPr>
        <w:t>between</w:t>
      </w:r>
      <w:r w:rsidR="0019047B">
        <w:rPr>
          <w:rFonts w:ascii="Times" w:hAnsi="Times" w:cs="Times New Roman"/>
          <w:lang w:val="en"/>
        </w:rPr>
        <w:t xml:space="preserve"> 83</w:t>
      </w:r>
      <w:r w:rsidR="00AD39C2">
        <w:rPr>
          <w:rFonts w:ascii="Times" w:hAnsi="Times" w:cs="Times New Roman"/>
          <w:lang w:val="en"/>
        </w:rPr>
        <w:t xml:space="preserve"> and </w:t>
      </w:r>
      <w:r w:rsidR="0019047B">
        <w:rPr>
          <w:rFonts w:ascii="Times" w:hAnsi="Times" w:cs="Times New Roman"/>
          <w:lang w:val="en"/>
        </w:rPr>
        <w:t>88%.</w:t>
      </w:r>
    </w:p>
    <w:p w14:paraId="1F4D3430" w14:textId="39195EC1" w:rsidR="002C6BAA" w:rsidRPr="004907A0" w:rsidRDefault="00446469" w:rsidP="00872C50">
      <w:pPr>
        <w:spacing w:line="480" w:lineRule="auto"/>
        <w:rPr>
          <w:rFonts w:ascii="Times" w:hAnsi="Times" w:cs="Times New Roman"/>
          <w:lang w:val="en"/>
        </w:rPr>
      </w:pPr>
      <w:r>
        <w:rPr>
          <w:rFonts w:ascii="Times" w:hAnsi="Times" w:cs="Times New Roman"/>
          <w:lang w:val="en"/>
        </w:rPr>
        <w:t>Initiation of hospital-administered AOM increased for all fracture types</w:t>
      </w:r>
      <w:r w:rsidR="00CB5ADA">
        <w:rPr>
          <w:rFonts w:ascii="Times" w:hAnsi="Times" w:cs="Times New Roman"/>
          <w:lang w:val="en"/>
        </w:rPr>
        <w:t xml:space="preserve"> from 2005-2014</w:t>
      </w:r>
      <w:r w:rsidR="00B6005D">
        <w:rPr>
          <w:rFonts w:ascii="Times" w:hAnsi="Times" w:cs="Times New Roman"/>
          <w:lang w:val="en"/>
        </w:rPr>
        <w:t xml:space="preserve">, yet were </w:t>
      </w:r>
      <w:r w:rsidR="00386FDA" w:rsidRPr="004907A0">
        <w:rPr>
          <w:rFonts w:ascii="Times" w:hAnsi="Times" w:cs="Times New Roman"/>
          <w:lang w:val="en"/>
        </w:rPr>
        <w:t xml:space="preserve">more frequently </w:t>
      </w:r>
      <w:r w:rsidR="00EB493D">
        <w:rPr>
          <w:rFonts w:ascii="Times" w:hAnsi="Times" w:cs="Times New Roman"/>
          <w:lang w:val="en"/>
        </w:rPr>
        <w:t>initiated</w:t>
      </w:r>
      <w:r w:rsidR="00386FDA" w:rsidRPr="004907A0">
        <w:rPr>
          <w:rFonts w:ascii="Times" w:hAnsi="Times" w:cs="Times New Roman"/>
          <w:lang w:val="en"/>
        </w:rPr>
        <w:t xml:space="preserve"> in patients with </w:t>
      </w:r>
      <w:r w:rsidR="00087A1D">
        <w:rPr>
          <w:rFonts w:ascii="Times" w:hAnsi="Times" w:cs="Times New Roman"/>
          <w:lang w:val="en"/>
        </w:rPr>
        <w:t>vertebral</w:t>
      </w:r>
      <w:r w:rsidR="00386FDA" w:rsidRPr="004907A0">
        <w:rPr>
          <w:rFonts w:ascii="Times" w:hAnsi="Times" w:cs="Times New Roman"/>
          <w:lang w:val="en"/>
        </w:rPr>
        <w:t xml:space="preserve"> (0.</w:t>
      </w:r>
      <w:r w:rsidR="00820979">
        <w:rPr>
          <w:rFonts w:ascii="Times" w:hAnsi="Times" w:cs="Times New Roman"/>
          <w:lang w:val="en"/>
        </w:rPr>
        <w:t>8</w:t>
      </w:r>
      <w:r w:rsidR="00A1727D">
        <w:rPr>
          <w:rFonts w:ascii="Times" w:hAnsi="Times" w:cs="Times New Roman"/>
          <w:lang w:val="en"/>
        </w:rPr>
        <w:t xml:space="preserve"> to </w:t>
      </w:r>
      <w:r w:rsidR="00386FDA" w:rsidRPr="004907A0">
        <w:rPr>
          <w:rFonts w:ascii="Times" w:hAnsi="Times" w:cs="Times New Roman"/>
          <w:lang w:val="en"/>
        </w:rPr>
        <w:t xml:space="preserve">2.2%) </w:t>
      </w:r>
      <w:r w:rsidR="00B6005D">
        <w:rPr>
          <w:rFonts w:ascii="Times" w:hAnsi="Times" w:cs="Times New Roman"/>
          <w:lang w:val="en"/>
        </w:rPr>
        <w:t>and</w:t>
      </w:r>
      <w:r w:rsidR="00386FDA" w:rsidRPr="004907A0">
        <w:rPr>
          <w:rFonts w:ascii="Times" w:hAnsi="Times" w:cs="Times New Roman"/>
          <w:lang w:val="en"/>
        </w:rPr>
        <w:t xml:space="preserve"> hip (0</w:t>
      </w:r>
      <w:r w:rsidR="00820979">
        <w:rPr>
          <w:rFonts w:ascii="Times" w:hAnsi="Times" w:cs="Times New Roman"/>
          <w:lang w:val="en"/>
        </w:rPr>
        <w:t>.1</w:t>
      </w:r>
      <w:r w:rsidR="00A1727D">
        <w:rPr>
          <w:rFonts w:ascii="Times" w:hAnsi="Times" w:cs="Times New Roman"/>
          <w:lang w:val="en"/>
        </w:rPr>
        <w:t xml:space="preserve"> to </w:t>
      </w:r>
      <w:r w:rsidR="00386FDA" w:rsidRPr="004907A0">
        <w:rPr>
          <w:rFonts w:ascii="Times" w:hAnsi="Times" w:cs="Times New Roman"/>
          <w:lang w:val="en"/>
        </w:rPr>
        <w:t>1.</w:t>
      </w:r>
      <w:r w:rsidR="00820979">
        <w:rPr>
          <w:rFonts w:ascii="Times" w:hAnsi="Times" w:cs="Times New Roman"/>
          <w:lang w:val="en"/>
        </w:rPr>
        <w:t>3</w:t>
      </w:r>
      <w:r w:rsidR="00386FDA" w:rsidRPr="004907A0">
        <w:rPr>
          <w:rFonts w:ascii="Times" w:hAnsi="Times" w:cs="Times New Roman"/>
          <w:lang w:val="en"/>
        </w:rPr>
        <w:t xml:space="preserve">%) fractures, as </w:t>
      </w:r>
      <w:r w:rsidR="00386FDA" w:rsidRPr="004907A0">
        <w:rPr>
          <w:rFonts w:ascii="Times" w:hAnsi="Times" w:cs="Times New Roman"/>
          <w:lang w:val="en"/>
        </w:rPr>
        <w:lastRenderedPageBreak/>
        <w:t xml:space="preserve">compared to patients with </w:t>
      </w:r>
      <w:r w:rsidR="00B6005D">
        <w:rPr>
          <w:rFonts w:ascii="Times" w:hAnsi="Times" w:cs="Times New Roman"/>
          <w:lang w:val="en"/>
        </w:rPr>
        <w:t>humerus</w:t>
      </w:r>
      <w:r w:rsidR="00386FDA" w:rsidRPr="004907A0">
        <w:rPr>
          <w:rFonts w:ascii="Times" w:hAnsi="Times" w:cs="Times New Roman"/>
          <w:lang w:val="en"/>
        </w:rPr>
        <w:t xml:space="preserve"> (0</w:t>
      </w:r>
      <w:r w:rsidR="00A1727D">
        <w:rPr>
          <w:rFonts w:ascii="Times" w:hAnsi="Times" w:cs="Times New Roman"/>
          <w:lang w:val="en"/>
        </w:rPr>
        <w:t xml:space="preserve"> to </w:t>
      </w:r>
      <w:r w:rsidR="00386FDA" w:rsidRPr="004907A0">
        <w:rPr>
          <w:rFonts w:ascii="Times" w:hAnsi="Times" w:cs="Times New Roman"/>
          <w:lang w:val="en"/>
        </w:rPr>
        <w:t>0.</w:t>
      </w:r>
      <w:r w:rsidR="00336506">
        <w:rPr>
          <w:rFonts w:ascii="Times" w:hAnsi="Times" w:cs="Times New Roman"/>
          <w:lang w:val="en"/>
        </w:rPr>
        <w:t>6</w:t>
      </w:r>
      <w:r w:rsidR="00386FDA" w:rsidRPr="004907A0">
        <w:rPr>
          <w:rFonts w:ascii="Times" w:hAnsi="Times" w:cs="Times New Roman"/>
          <w:lang w:val="en"/>
        </w:rPr>
        <w:t xml:space="preserve">%) </w:t>
      </w:r>
      <w:r w:rsidR="00B6005D">
        <w:rPr>
          <w:rFonts w:ascii="Times" w:hAnsi="Times" w:cs="Times New Roman"/>
          <w:lang w:val="en"/>
        </w:rPr>
        <w:t>and</w:t>
      </w:r>
      <w:r w:rsidR="00386FDA" w:rsidRPr="004907A0">
        <w:rPr>
          <w:rFonts w:ascii="Times" w:hAnsi="Times" w:cs="Times New Roman"/>
          <w:lang w:val="en"/>
        </w:rPr>
        <w:t xml:space="preserve"> </w:t>
      </w:r>
      <w:r w:rsidR="0012365C">
        <w:rPr>
          <w:rFonts w:ascii="Times" w:hAnsi="Times" w:cs="Times New Roman"/>
          <w:lang w:val="en"/>
        </w:rPr>
        <w:t>forearm</w:t>
      </w:r>
      <w:r w:rsidR="0012365C" w:rsidRPr="004907A0">
        <w:rPr>
          <w:rFonts w:ascii="Times" w:hAnsi="Times" w:cs="Times New Roman"/>
          <w:lang w:val="en"/>
        </w:rPr>
        <w:t xml:space="preserve"> </w:t>
      </w:r>
      <w:r w:rsidR="00386FDA" w:rsidRPr="004907A0">
        <w:rPr>
          <w:rFonts w:ascii="Times" w:hAnsi="Times" w:cs="Times New Roman"/>
          <w:lang w:val="en"/>
        </w:rPr>
        <w:t>(0</w:t>
      </w:r>
      <w:r w:rsidR="00A1727D">
        <w:rPr>
          <w:rFonts w:ascii="Times" w:hAnsi="Times" w:cs="Times New Roman"/>
          <w:lang w:val="en"/>
        </w:rPr>
        <w:t xml:space="preserve"> to </w:t>
      </w:r>
      <w:r w:rsidR="00336506">
        <w:rPr>
          <w:rFonts w:ascii="Times" w:hAnsi="Times" w:cs="Times New Roman"/>
          <w:lang w:val="en"/>
        </w:rPr>
        <w:t>0.4</w:t>
      </w:r>
      <w:r w:rsidR="00386FDA" w:rsidRPr="004907A0">
        <w:rPr>
          <w:rFonts w:ascii="Times" w:hAnsi="Times" w:cs="Times New Roman"/>
          <w:lang w:val="en"/>
        </w:rPr>
        <w:t>%) fractures.</w:t>
      </w:r>
      <w:r w:rsidR="00531D7C" w:rsidRPr="00531D7C">
        <w:rPr>
          <w:rFonts w:ascii="Times" w:hAnsi="Times" w:cs="Times New Roman"/>
          <w:lang w:val="en"/>
        </w:rPr>
        <w:t xml:space="preserve"> </w:t>
      </w:r>
      <w:r w:rsidR="00531D7C">
        <w:rPr>
          <w:rFonts w:ascii="Times" w:hAnsi="Times" w:cs="Times New Roman"/>
          <w:lang w:val="en"/>
        </w:rPr>
        <w:t xml:space="preserve">For all fracture types, </w:t>
      </w:r>
      <w:r w:rsidR="002B5DF7">
        <w:rPr>
          <w:rFonts w:ascii="Times" w:hAnsi="Times" w:cs="Times New Roman"/>
          <w:lang w:val="en"/>
        </w:rPr>
        <w:t xml:space="preserve">initiation of </w:t>
      </w:r>
      <w:r w:rsidR="00531D7C">
        <w:rPr>
          <w:rFonts w:ascii="Times" w:hAnsi="Times" w:cs="Times New Roman"/>
          <w:lang w:val="en"/>
        </w:rPr>
        <w:t>hospital-administered AOM seemed to stagnate or even decrease from 2012 and onwards.</w:t>
      </w:r>
    </w:p>
    <w:p w14:paraId="3E0BA198" w14:textId="5F4322B4" w:rsidR="00EB0E81" w:rsidRPr="004907A0" w:rsidRDefault="00EB0E81" w:rsidP="00872C50">
      <w:pPr>
        <w:spacing w:line="480" w:lineRule="auto"/>
        <w:rPr>
          <w:rFonts w:ascii="Times" w:hAnsi="Times" w:cs="Times New Roman"/>
          <w:u w:val="single"/>
          <w:lang w:val="en"/>
        </w:rPr>
      </w:pPr>
      <w:r w:rsidRPr="004907A0">
        <w:rPr>
          <w:rFonts w:ascii="Times" w:hAnsi="Times" w:cs="Times New Roman"/>
          <w:u w:val="single"/>
          <w:lang w:val="en"/>
        </w:rPr>
        <w:t>Treatment gap according to gender</w:t>
      </w:r>
    </w:p>
    <w:p w14:paraId="27663924" w14:textId="08B5220F" w:rsidR="00CE0AAA" w:rsidRDefault="001B5330" w:rsidP="00872C50">
      <w:pPr>
        <w:spacing w:line="480" w:lineRule="auto"/>
        <w:rPr>
          <w:rFonts w:ascii="Times" w:hAnsi="Times" w:cs="Times New Roman"/>
          <w:lang w:val="en"/>
        </w:rPr>
      </w:pPr>
      <w:r>
        <w:rPr>
          <w:rFonts w:ascii="Times" w:hAnsi="Times" w:cs="Times New Roman"/>
          <w:lang w:val="en"/>
        </w:rPr>
        <w:t>T</w:t>
      </w:r>
      <w:r w:rsidR="00720C85" w:rsidRPr="004907A0">
        <w:rPr>
          <w:rFonts w:ascii="Times" w:hAnsi="Times" w:cs="Times New Roman"/>
          <w:lang w:val="en"/>
        </w:rPr>
        <w:t xml:space="preserve">he treatment gap was </w:t>
      </w:r>
      <w:r>
        <w:rPr>
          <w:rFonts w:ascii="Times" w:hAnsi="Times" w:cs="Times New Roman"/>
          <w:lang w:val="en"/>
        </w:rPr>
        <w:t xml:space="preserve">significantly </w:t>
      </w:r>
      <w:r w:rsidR="00720C85" w:rsidRPr="004907A0">
        <w:rPr>
          <w:rFonts w:ascii="Times" w:hAnsi="Times" w:cs="Times New Roman"/>
          <w:lang w:val="en"/>
        </w:rPr>
        <w:t>smaller in women than in men</w:t>
      </w:r>
      <w:r>
        <w:rPr>
          <w:rFonts w:ascii="Times" w:hAnsi="Times" w:cs="Times New Roman"/>
          <w:lang w:val="en"/>
        </w:rPr>
        <w:t xml:space="preserve">, irrespective of index fracture cohort </w:t>
      </w:r>
      <w:r w:rsidR="003E288D">
        <w:rPr>
          <w:rFonts w:ascii="Times" w:hAnsi="Times" w:cs="Times New Roman"/>
          <w:lang w:val="en"/>
        </w:rPr>
        <w:t xml:space="preserve">and index year </w:t>
      </w:r>
      <w:r>
        <w:rPr>
          <w:rFonts w:ascii="Times" w:hAnsi="Times" w:cs="Times New Roman"/>
          <w:lang w:val="en"/>
        </w:rPr>
        <w:t xml:space="preserve">(figure 3 and supplementary figures </w:t>
      </w:r>
      <w:r w:rsidR="005B4B6B">
        <w:rPr>
          <w:rFonts w:ascii="Times" w:hAnsi="Times" w:cs="Times New Roman"/>
          <w:lang w:val="en"/>
        </w:rPr>
        <w:t>1</w:t>
      </w:r>
      <w:r>
        <w:rPr>
          <w:rFonts w:ascii="Times" w:hAnsi="Times" w:cs="Times New Roman"/>
          <w:lang w:val="en"/>
        </w:rPr>
        <w:t>-</w:t>
      </w:r>
      <w:r w:rsidR="005B4B6B">
        <w:rPr>
          <w:rFonts w:ascii="Times" w:hAnsi="Times" w:cs="Times New Roman"/>
          <w:lang w:val="en"/>
        </w:rPr>
        <w:t>4</w:t>
      </w:r>
      <w:r>
        <w:rPr>
          <w:rFonts w:ascii="Times" w:hAnsi="Times" w:cs="Times New Roman"/>
          <w:lang w:val="en"/>
        </w:rPr>
        <w:t xml:space="preserve">). </w:t>
      </w:r>
      <w:r w:rsidR="00627493">
        <w:rPr>
          <w:rFonts w:ascii="Times" w:hAnsi="Times" w:cs="Times New Roman"/>
          <w:lang w:val="en"/>
        </w:rPr>
        <w:t xml:space="preserve">In men, </w:t>
      </w:r>
      <w:r w:rsidR="00DD58B9">
        <w:rPr>
          <w:rFonts w:ascii="Times" w:hAnsi="Times" w:cs="Times New Roman"/>
          <w:lang w:val="en"/>
        </w:rPr>
        <w:t xml:space="preserve">the </w:t>
      </w:r>
      <w:r w:rsidR="00627493">
        <w:rPr>
          <w:rFonts w:ascii="Times" w:hAnsi="Times" w:cs="Times New Roman"/>
          <w:lang w:val="en"/>
        </w:rPr>
        <w:t xml:space="preserve">treatment gap in the </w:t>
      </w:r>
      <w:r w:rsidR="00DD58B9">
        <w:rPr>
          <w:rFonts w:ascii="Times" w:hAnsi="Times" w:cs="Times New Roman"/>
          <w:lang w:val="en"/>
        </w:rPr>
        <w:t xml:space="preserve">MOF and hip fracture cohorts decreased from 2005 to 2014, while it was stable in the </w:t>
      </w:r>
      <w:r w:rsidR="00627493">
        <w:rPr>
          <w:rFonts w:ascii="Times" w:hAnsi="Times" w:cs="Times New Roman"/>
          <w:lang w:val="en"/>
        </w:rPr>
        <w:t xml:space="preserve">vertebral, </w:t>
      </w:r>
      <w:r w:rsidR="00DD58B9">
        <w:rPr>
          <w:rFonts w:ascii="Times" w:hAnsi="Times" w:cs="Times New Roman"/>
          <w:lang w:val="en"/>
        </w:rPr>
        <w:t>humerus</w:t>
      </w:r>
      <w:r w:rsidR="00DC506E">
        <w:rPr>
          <w:rFonts w:ascii="Times" w:hAnsi="Times" w:cs="Times New Roman"/>
          <w:lang w:val="en"/>
        </w:rPr>
        <w:t>,</w:t>
      </w:r>
      <w:r w:rsidR="00DD58B9">
        <w:rPr>
          <w:rFonts w:ascii="Times" w:hAnsi="Times" w:cs="Times New Roman"/>
          <w:lang w:val="en"/>
        </w:rPr>
        <w:t xml:space="preserve"> </w:t>
      </w:r>
      <w:r w:rsidR="005D6971">
        <w:rPr>
          <w:rFonts w:ascii="Times" w:hAnsi="Times" w:cs="Times New Roman"/>
          <w:lang w:val="en"/>
        </w:rPr>
        <w:t xml:space="preserve">and forearm </w:t>
      </w:r>
      <w:r w:rsidR="00DD58B9">
        <w:rPr>
          <w:rFonts w:ascii="Times" w:hAnsi="Times" w:cs="Times New Roman"/>
          <w:lang w:val="en"/>
        </w:rPr>
        <w:t xml:space="preserve">fracture cohorts. </w:t>
      </w:r>
      <w:r w:rsidR="00CE0AAA">
        <w:rPr>
          <w:rFonts w:ascii="Times" w:hAnsi="Times" w:cs="Times New Roman"/>
          <w:lang w:val="en"/>
        </w:rPr>
        <w:t>In women, the treatment gap decreased from 2005</w:t>
      </w:r>
      <w:r w:rsidR="00585AA0">
        <w:rPr>
          <w:rFonts w:ascii="Times" w:hAnsi="Times" w:cs="Times New Roman"/>
          <w:lang w:val="en"/>
        </w:rPr>
        <w:t xml:space="preserve"> to </w:t>
      </w:r>
      <w:r w:rsidR="00CE0AAA">
        <w:rPr>
          <w:rFonts w:ascii="Times" w:hAnsi="Times" w:cs="Times New Roman"/>
          <w:lang w:val="en"/>
        </w:rPr>
        <w:t>2014, irrespective of fracture cohort.</w:t>
      </w:r>
    </w:p>
    <w:p w14:paraId="295988DE" w14:textId="74D8AF29" w:rsidR="008940EE" w:rsidRDefault="008940EE" w:rsidP="00872C50">
      <w:pPr>
        <w:spacing w:line="480" w:lineRule="auto"/>
        <w:rPr>
          <w:rFonts w:ascii="Times" w:hAnsi="Times" w:cs="Times New Roman"/>
          <w:u w:val="single"/>
          <w:lang w:val="en"/>
        </w:rPr>
      </w:pPr>
      <w:r>
        <w:rPr>
          <w:rFonts w:ascii="Times" w:hAnsi="Times" w:cs="Times New Roman"/>
          <w:u w:val="single"/>
          <w:lang w:val="en"/>
        </w:rPr>
        <w:t>Treatment gap according to age at index fracture</w:t>
      </w:r>
    </w:p>
    <w:p w14:paraId="37C49E19" w14:textId="0AC40D37" w:rsidR="008940EE" w:rsidRPr="008940EE" w:rsidRDefault="007B3113" w:rsidP="00872C50">
      <w:pPr>
        <w:spacing w:line="480" w:lineRule="auto"/>
        <w:rPr>
          <w:rFonts w:ascii="Times" w:hAnsi="Times" w:cs="Times New Roman"/>
          <w:lang w:val="en"/>
        </w:rPr>
      </w:pPr>
      <w:r>
        <w:rPr>
          <w:rFonts w:ascii="Times" w:hAnsi="Times" w:cs="Times New Roman"/>
          <w:lang w:val="en"/>
        </w:rPr>
        <w:t xml:space="preserve">The treatment gap was </w:t>
      </w:r>
      <w:r w:rsidR="00C072F8">
        <w:rPr>
          <w:rFonts w:ascii="Times" w:hAnsi="Times" w:cs="Times New Roman"/>
          <w:lang w:val="en"/>
        </w:rPr>
        <w:t>consistently</w:t>
      </w:r>
      <w:r>
        <w:rPr>
          <w:rFonts w:ascii="Times" w:hAnsi="Times" w:cs="Times New Roman"/>
          <w:lang w:val="en"/>
        </w:rPr>
        <w:t xml:space="preserve"> smaller in older (age ≥75 years at index fracture) than in younger (&lt;75 years) patients, except for hip fracture patients in whom the treatment gap was similar regardless of the age stratification</w:t>
      </w:r>
      <w:r w:rsidR="002E358F">
        <w:rPr>
          <w:rFonts w:ascii="Times" w:hAnsi="Times" w:cs="Times New Roman"/>
          <w:lang w:val="en"/>
        </w:rPr>
        <w:t xml:space="preserve"> (supplementary figures 5-9)</w:t>
      </w:r>
      <w:r>
        <w:rPr>
          <w:rFonts w:ascii="Times" w:hAnsi="Times" w:cs="Times New Roman"/>
          <w:lang w:val="en"/>
        </w:rPr>
        <w:t xml:space="preserve">. In </w:t>
      </w:r>
      <w:r w:rsidR="00C072F8">
        <w:rPr>
          <w:rFonts w:ascii="Times" w:hAnsi="Times" w:cs="Times New Roman"/>
          <w:lang w:val="en"/>
        </w:rPr>
        <w:t xml:space="preserve">the </w:t>
      </w:r>
      <w:r>
        <w:rPr>
          <w:rFonts w:ascii="Times" w:hAnsi="Times" w:cs="Times New Roman"/>
          <w:lang w:val="en"/>
        </w:rPr>
        <w:t>MOF, humerus, and forearm f</w:t>
      </w:r>
      <w:r w:rsidR="00C072F8">
        <w:rPr>
          <w:rFonts w:ascii="Times" w:hAnsi="Times" w:cs="Times New Roman"/>
          <w:lang w:val="en"/>
        </w:rPr>
        <w:t>racture cohorts the difference</w:t>
      </w:r>
      <w:r w:rsidR="00D06220">
        <w:rPr>
          <w:rFonts w:ascii="Times" w:hAnsi="Times" w:cs="Times New Roman"/>
          <w:lang w:val="en"/>
        </w:rPr>
        <w:t>s</w:t>
      </w:r>
      <w:r w:rsidR="00C072F8">
        <w:rPr>
          <w:rFonts w:ascii="Times" w:hAnsi="Times" w:cs="Times New Roman"/>
          <w:lang w:val="en"/>
        </w:rPr>
        <w:t xml:space="preserve"> between the younger vs the older age group was generally below 10%, whereas in the </w:t>
      </w:r>
      <w:r w:rsidR="00D94D57">
        <w:rPr>
          <w:rFonts w:ascii="Times" w:hAnsi="Times" w:cs="Times New Roman"/>
          <w:lang w:val="en"/>
        </w:rPr>
        <w:t>vertebral</w:t>
      </w:r>
      <w:r w:rsidR="00C072F8">
        <w:rPr>
          <w:rFonts w:ascii="Times" w:hAnsi="Times" w:cs="Times New Roman"/>
          <w:lang w:val="en"/>
        </w:rPr>
        <w:t xml:space="preserve"> fracture cohort the difference</w:t>
      </w:r>
      <w:r w:rsidR="00D06220">
        <w:rPr>
          <w:rFonts w:ascii="Times" w:hAnsi="Times" w:cs="Times New Roman"/>
          <w:lang w:val="en"/>
        </w:rPr>
        <w:t>s</w:t>
      </w:r>
      <w:r w:rsidR="00C072F8">
        <w:rPr>
          <w:rFonts w:ascii="Times" w:hAnsi="Times" w:cs="Times New Roman"/>
          <w:lang w:val="en"/>
        </w:rPr>
        <w:t xml:space="preserve"> between the groups </w:t>
      </w:r>
      <w:r w:rsidR="00DF3E9C">
        <w:rPr>
          <w:rFonts w:ascii="Times" w:hAnsi="Times" w:cs="Times New Roman"/>
          <w:lang w:val="en"/>
        </w:rPr>
        <w:t>fluctuated</w:t>
      </w:r>
      <w:r w:rsidR="00C072F8">
        <w:rPr>
          <w:rFonts w:ascii="Times" w:hAnsi="Times" w:cs="Times New Roman"/>
          <w:lang w:val="en"/>
        </w:rPr>
        <w:t xml:space="preserve"> around 15%. </w:t>
      </w:r>
      <w:r w:rsidR="00F34A27">
        <w:rPr>
          <w:rFonts w:ascii="Times" w:hAnsi="Times" w:cs="Times New Roman"/>
          <w:lang w:val="en"/>
        </w:rPr>
        <w:t>During the time span of our analysis, t</w:t>
      </w:r>
      <w:r w:rsidR="002854C1">
        <w:rPr>
          <w:rFonts w:ascii="Times" w:hAnsi="Times" w:cs="Times New Roman"/>
          <w:lang w:val="en"/>
        </w:rPr>
        <w:t>he treatment gap demonstrated a decreasing trend in both age groups across the fracture cohorts, except for vertebral fracture patients in whom it was relatively stable.</w:t>
      </w:r>
      <w:r w:rsidR="002B73AA">
        <w:rPr>
          <w:rFonts w:ascii="Times" w:hAnsi="Times" w:cs="Times New Roman"/>
          <w:lang w:val="en"/>
        </w:rPr>
        <w:t xml:space="preserve"> </w:t>
      </w:r>
    </w:p>
    <w:p w14:paraId="6C8FB96A" w14:textId="0611D8A1" w:rsidR="00CE0AAA" w:rsidRPr="00DC1892" w:rsidRDefault="004A0D8F" w:rsidP="00872C50">
      <w:pPr>
        <w:spacing w:line="480" w:lineRule="auto"/>
        <w:rPr>
          <w:rFonts w:ascii="Times" w:hAnsi="Times" w:cs="Times New Roman"/>
          <w:u w:val="single"/>
          <w:lang w:val="en-US"/>
        </w:rPr>
      </w:pPr>
      <w:r w:rsidRPr="00DC1892">
        <w:rPr>
          <w:rFonts w:ascii="Times" w:hAnsi="Times" w:cs="Times New Roman"/>
          <w:u w:val="single"/>
          <w:lang w:val="en-US"/>
        </w:rPr>
        <w:t>Proportion of AOM not captured in prescription registers</w:t>
      </w:r>
    </w:p>
    <w:p w14:paraId="3CC672D6" w14:textId="77777777" w:rsidR="00671452" w:rsidRDefault="004A0D8F" w:rsidP="00872C50">
      <w:pPr>
        <w:spacing w:line="480" w:lineRule="auto"/>
        <w:rPr>
          <w:rFonts w:ascii="Times" w:hAnsi="Times" w:cs="Times New Roman"/>
          <w:lang w:val="en"/>
        </w:rPr>
      </w:pPr>
      <w:r w:rsidRPr="00DC1892">
        <w:rPr>
          <w:rFonts w:ascii="Times" w:hAnsi="Times" w:cs="Times New Roman"/>
          <w:lang w:val="en-US"/>
        </w:rPr>
        <w:t>The amount of hospital</w:t>
      </w:r>
      <w:r w:rsidR="00062A79">
        <w:rPr>
          <w:rFonts w:ascii="Times" w:hAnsi="Times" w:cs="Times New Roman"/>
          <w:lang w:val="en-US"/>
        </w:rPr>
        <w:t>-</w:t>
      </w:r>
      <w:r w:rsidRPr="00DC1892">
        <w:rPr>
          <w:rFonts w:ascii="Times" w:hAnsi="Times" w:cs="Times New Roman"/>
          <w:lang w:val="en-US"/>
        </w:rPr>
        <w:t xml:space="preserve">administered AOM out of the total uptake of osteoporosis medications was relatively small over the period studied. Specifically, </w:t>
      </w:r>
      <w:r w:rsidRPr="00F11DFF">
        <w:rPr>
          <w:rFonts w:ascii="Times" w:hAnsi="Times" w:cs="Times New Roman"/>
          <w:lang w:val="en-US"/>
        </w:rPr>
        <w:t>the use of</w:t>
      </w:r>
      <w:r w:rsidR="00CE0AAA" w:rsidRPr="00CE0AAA">
        <w:rPr>
          <w:rFonts w:ascii="Times" w:hAnsi="Times" w:cs="Times New Roman"/>
          <w:lang w:val="en"/>
        </w:rPr>
        <w:t xml:space="preserve"> h</w:t>
      </w:r>
      <w:r w:rsidR="00CE0AAA">
        <w:rPr>
          <w:rFonts w:ascii="Times" w:hAnsi="Times" w:cs="Times New Roman"/>
          <w:lang w:val="en"/>
        </w:rPr>
        <w:t xml:space="preserve">ospital-administered AOM </w:t>
      </w:r>
      <w:r w:rsidR="00062A79">
        <w:rPr>
          <w:rFonts w:ascii="Times" w:hAnsi="Times" w:cs="Times New Roman"/>
          <w:lang w:val="en"/>
        </w:rPr>
        <w:t>as a proportion of t</w:t>
      </w:r>
      <w:proofErr w:type="spellStart"/>
      <w:r w:rsidRPr="00F11DFF">
        <w:rPr>
          <w:rFonts w:ascii="Times" w:hAnsi="Times" w:cs="Times New Roman"/>
          <w:lang w:val="en-US"/>
        </w:rPr>
        <w:t>otal</w:t>
      </w:r>
      <w:proofErr w:type="spellEnd"/>
      <w:r w:rsidRPr="00F11DFF">
        <w:rPr>
          <w:rFonts w:ascii="Times" w:hAnsi="Times" w:cs="Times New Roman"/>
          <w:lang w:val="en-US"/>
        </w:rPr>
        <w:t xml:space="preserve"> AOM</w:t>
      </w:r>
      <w:r w:rsidR="00062A79">
        <w:rPr>
          <w:rFonts w:ascii="Times" w:hAnsi="Times" w:cs="Times New Roman"/>
          <w:lang w:val="en-US"/>
        </w:rPr>
        <w:t>-use</w:t>
      </w:r>
      <w:r w:rsidRPr="00F11DFF">
        <w:rPr>
          <w:rFonts w:ascii="Times" w:hAnsi="Times" w:cs="Times New Roman"/>
          <w:lang w:val="en-US"/>
        </w:rPr>
        <w:t xml:space="preserve"> </w:t>
      </w:r>
      <w:r w:rsidR="00264C19">
        <w:rPr>
          <w:rFonts w:ascii="Times" w:hAnsi="Times" w:cs="Times New Roman"/>
          <w:lang w:val="en-US"/>
        </w:rPr>
        <w:t>within</w:t>
      </w:r>
      <w:r w:rsidR="00264C19" w:rsidRPr="00F11DFF">
        <w:rPr>
          <w:rFonts w:ascii="Times" w:hAnsi="Times" w:cs="Times New Roman"/>
          <w:lang w:val="en-US"/>
        </w:rPr>
        <w:t xml:space="preserve"> </w:t>
      </w:r>
      <w:r w:rsidRPr="00F11DFF">
        <w:rPr>
          <w:rFonts w:ascii="Times" w:hAnsi="Times" w:cs="Times New Roman"/>
          <w:lang w:val="en-US"/>
        </w:rPr>
        <w:t>1 year after</w:t>
      </w:r>
      <w:r w:rsidR="00062A79">
        <w:rPr>
          <w:rFonts w:ascii="Times" w:hAnsi="Times" w:cs="Times New Roman"/>
          <w:lang w:val="en-US"/>
        </w:rPr>
        <w:t xml:space="preserve"> a major osteoporotic</w:t>
      </w:r>
      <w:r w:rsidRPr="00F11DFF">
        <w:rPr>
          <w:rFonts w:ascii="Times" w:hAnsi="Times" w:cs="Times New Roman"/>
          <w:lang w:val="en-US"/>
        </w:rPr>
        <w:t xml:space="preserve"> fracture </w:t>
      </w:r>
      <w:r w:rsidR="00FD0408">
        <w:rPr>
          <w:rFonts w:ascii="Times" w:hAnsi="Times" w:cs="Times New Roman"/>
          <w:lang w:val="en"/>
        </w:rPr>
        <w:t xml:space="preserve">increased initially, yet </w:t>
      </w:r>
      <w:r w:rsidR="00A73851">
        <w:rPr>
          <w:rFonts w:ascii="Times" w:hAnsi="Times" w:cs="Times New Roman"/>
          <w:lang w:val="en-US"/>
        </w:rPr>
        <w:t>appear</w:t>
      </w:r>
      <w:r w:rsidR="00A73851">
        <w:rPr>
          <w:rFonts w:ascii="Times" w:hAnsi="Times" w:cs="Times New Roman"/>
          <w:lang w:val="en"/>
        </w:rPr>
        <w:t xml:space="preserve"> </w:t>
      </w:r>
      <w:r w:rsidR="00FD0408">
        <w:rPr>
          <w:rFonts w:ascii="Times" w:hAnsi="Times" w:cs="Times New Roman"/>
          <w:lang w:val="en"/>
        </w:rPr>
        <w:t>to decrease towards the end of our analysis (figure 4).</w:t>
      </w:r>
      <w:r w:rsidR="00500D7D">
        <w:rPr>
          <w:rFonts w:ascii="Times" w:hAnsi="Times" w:cs="Times New Roman"/>
          <w:lang w:val="en"/>
        </w:rPr>
        <w:t xml:space="preserve"> During our analysis, an average of 3.</w:t>
      </w:r>
      <w:r w:rsidR="00A11365">
        <w:rPr>
          <w:rFonts w:ascii="Times" w:hAnsi="Times" w:cs="Times New Roman"/>
          <w:lang w:val="en"/>
        </w:rPr>
        <w:t>9</w:t>
      </w:r>
      <w:r w:rsidR="00500D7D">
        <w:rPr>
          <w:rFonts w:ascii="Times" w:hAnsi="Times" w:cs="Times New Roman"/>
          <w:lang w:val="en"/>
        </w:rPr>
        <w:t xml:space="preserve">% of the </w:t>
      </w:r>
      <w:r w:rsidR="0059469D">
        <w:rPr>
          <w:rFonts w:ascii="Times" w:hAnsi="Times" w:cs="Times New Roman"/>
          <w:lang w:val="en"/>
        </w:rPr>
        <w:t xml:space="preserve">AOM-treated </w:t>
      </w:r>
      <w:r w:rsidR="00500D7D">
        <w:rPr>
          <w:rFonts w:ascii="Times" w:hAnsi="Times" w:cs="Times New Roman"/>
          <w:lang w:val="en"/>
        </w:rPr>
        <w:t>MOF patients where using hospital-administered AOM.</w:t>
      </w:r>
      <w:r w:rsidR="00FD0408">
        <w:rPr>
          <w:rFonts w:ascii="Times" w:hAnsi="Times" w:cs="Times New Roman"/>
          <w:lang w:val="en"/>
        </w:rPr>
        <w:t xml:space="preserve"> The general </w:t>
      </w:r>
      <w:r w:rsidR="00FD0408">
        <w:rPr>
          <w:rFonts w:ascii="Times" w:hAnsi="Times" w:cs="Times New Roman"/>
          <w:lang w:val="en"/>
        </w:rPr>
        <w:lastRenderedPageBreak/>
        <w:t xml:space="preserve">trend was that hospital-administered AOM were relatively more often used in </w:t>
      </w:r>
      <w:proofErr w:type="gramStart"/>
      <w:r w:rsidR="00FD0408">
        <w:rPr>
          <w:rFonts w:ascii="Times" w:hAnsi="Times" w:cs="Times New Roman"/>
          <w:lang w:val="en"/>
        </w:rPr>
        <w:t>men</w:t>
      </w:r>
      <w:r w:rsidR="00500D7D">
        <w:rPr>
          <w:rFonts w:ascii="Times" w:hAnsi="Times" w:cs="Times New Roman"/>
          <w:lang w:val="en"/>
        </w:rPr>
        <w:t>, and</w:t>
      </w:r>
      <w:proofErr w:type="gramEnd"/>
      <w:r w:rsidR="00500D7D">
        <w:rPr>
          <w:rFonts w:ascii="Times" w:hAnsi="Times" w:cs="Times New Roman"/>
          <w:lang w:val="en"/>
        </w:rPr>
        <w:t xml:space="preserve"> u</w:t>
      </w:r>
      <w:r w:rsidR="00FD0408">
        <w:rPr>
          <w:rFonts w:ascii="Times" w:hAnsi="Times" w:cs="Times New Roman"/>
          <w:lang w:val="en"/>
        </w:rPr>
        <w:t xml:space="preserve">se of hospital-administered AOM </w:t>
      </w:r>
      <w:r w:rsidR="00CE0AAA">
        <w:rPr>
          <w:rFonts w:ascii="Times" w:hAnsi="Times" w:cs="Times New Roman"/>
          <w:lang w:val="en"/>
        </w:rPr>
        <w:t>varied significantly between fracture cohorts and index fracture year</w:t>
      </w:r>
      <w:r w:rsidR="0058271B">
        <w:rPr>
          <w:rFonts w:ascii="Times" w:hAnsi="Times" w:cs="Times New Roman"/>
          <w:lang w:val="en"/>
        </w:rPr>
        <w:t>, ranging from 0 to 18%</w:t>
      </w:r>
      <w:r w:rsidR="007F7617">
        <w:rPr>
          <w:rFonts w:ascii="Times" w:hAnsi="Times" w:cs="Times New Roman"/>
          <w:lang w:val="en"/>
        </w:rPr>
        <w:t xml:space="preserve"> (</w:t>
      </w:r>
      <w:r w:rsidR="00FA1005">
        <w:rPr>
          <w:rFonts w:ascii="Times" w:hAnsi="Times" w:cs="Times New Roman"/>
          <w:lang w:val="en"/>
        </w:rPr>
        <w:t>s</w:t>
      </w:r>
      <w:r w:rsidR="00FD0408">
        <w:rPr>
          <w:rFonts w:ascii="Times" w:hAnsi="Times" w:cs="Times New Roman"/>
          <w:lang w:val="en"/>
        </w:rPr>
        <w:t xml:space="preserve">upplementary table </w:t>
      </w:r>
      <w:r w:rsidR="00CB20C4">
        <w:rPr>
          <w:rFonts w:ascii="Times" w:hAnsi="Times" w:cs="Times New Roman"/>
          <w:lang w:val="en"/>
        </w:rPr>
        <w:t>10</w:t>
      </w:r>
      <w:r w:rsidR="007F7617">
        <w:rPr>
          <w:rFonts w:ascii="Times" w:hAnsi="Times" w:cs="Times New Roman"/>
          <w:lang w:val="en"/>
        </w:rPr>
        <w:t>)</w:t>
      </w:r>
      <w:r w:rsidR="00CE0AAA">
        <w:rPr>
          <w:rFonts w:ascii="Times" w:hAnsi="Times" w:cs="Times New Roman"/>
          <w:lang w:val="en"/>
        </w:rPr>
        <w:t>.</w:t>
      </w:r>
      <w:r w:rsidR="00500D7D">
        <w:rPr>
          <w:rFonts w:ascii="Times" w:hAnsi="Times" w:cs="Times New Roman"/>
          <w:lang w:val="en"/>
        </w:rPr>
        <w:t xml:space="preserve"> </w:t>
      </w:r>
    </w:p>
    <w:p w14:paraId="466497D0" w14:textId="48707838" w:rsidR="00671452" w:rsidRDefault="00671452" w:rsidP="00872C50">
      <w:pPr>
        <w:spacing w:line="480" w:lineRule="auto"/>
        <w:rPr>
          <w:rFonts w:ascii="Times" w:hAnsi="Times" w:cs="Times New Roman"/>
          <w:u w:val="single"/>
          <w:lang w:val="en"/>
        </w:rPr>
      </w:pPr>
      <w:r>
        <w:rPr>
          <w:rFonts w:ascii="Times" w:hAnsi="Times" w:cs="Times New Roman"/>
          <w:u w:val="single"/>
          <w:lang w:val="en"/>
        </w:rPr>
        <w:t xml:space="preserve">Factors associated with </w:t>
      </w:r>
      <w:r w:rsidR="00881C8F">
        <w:rPr>
          <w:rFonts w:ascii="Times" w:hAnsi="Times" w:cs="Times New Roman"/>
          <w:u w:val="single"/>
          <w:lang w:val="en"/>
        </w:rPr>
        <w:t>AOM treatment</w:t>
      </w:r>
    </w:p>
    <w:p w14:paraId="4D884A3E" w14:textId="05188EA6" w:rsidR="008A053D" w:rsidRDefault="00671452" w:rsidP="00872C50">
      <w:pPr>
        <w:spacing w:line="480" w:lineRule="auto"/>
        <w:rPr>
          <w:rFonts w:ascii="Times" w:hAnsi="Times" w:cs="Times New Roman"/>
          <w:lang w:val="en"/>
        </w:rPr>
      </w:pPr>
      <w:r>
        <w:rPr>
          <w:rFonts w:ascii="Times" w:hAnsi="Times" w:cs="Times New Roman"/>
          <w:lang w:val="en"/>
        </w:rPr>
        <w:t xml:space="preserve">In the 2014 MOF cohort, </w:t>
      </w:r>
      <w:r w:rsidR="00EE69A5">
        <w:rPr>
          <w:rFonts w:ascii="Times" w:hAnsi="Times" w:cs="Times New Roman"/>
          <w:lang w:val="en"/>
        </w:rPr>
        <w:t>age</w:t>
      </w:r>
      <w:r w:rsidR="00725074">
        <w:rPr>
          <w:rFonts w:ascii="Times" w:hAnsi="Times" w:cs="Times New Roman"/>
          <w:lang w:val="en"/>
        </w:rPr>
        <w:t xml:space="preserve"> (odds ratio [OR] 1.01;</w:t>
      </w:r>
      <w:r w:rsidR="0056129C">
        <w:rPr>
          <w:rFonts w:ascii="Times" w:hAnsi="Times" w:cs="Times New Roman"/>
          <w:lang w:val="en"/>
        </w:rPr>
        <w:t xml:space="preserve"> 95% confidence interval [</w:t>
      </w:r>
      <w:r w:rsidR="00725074">
        <w:rPr>
          <w:rFonts w:ascii="Times" w:hAnsi="Times" w:cs="Times New Roman"/>
          <w:lang w:val="en"/>
        </w:rPr>
        <w:t>CI</w:t>
      </w:r>
      <w:r w:rsidR="0056129C">
        <w:rPr>
          <w:rFonts w:ascii="Times" w:hAnsi="Times" w:cs="Times New Roman"/>
          <w:lang w:val="en"/>
        </w:rPr>
        <w:t>]</w:t>
      </w:r>
      <w:r w:rsidR="00725074">
        <w:rPr>
          <w:rFonts w:ascii="Times" w:hAnsi="Times" w:cs="Times New Roman"/>
          <w:lang w:val="en"/>
        </w:rPr>
        <w:t xml:space="preserve"> 1.00-1.01), treatment with corticosteroids (OR 2.32; 95% CI 2.10-2.59), and hormone replacement therapy (OR 1.22; 95% CI 1.11-1.35)</w:t>
      </w:r>
      <w:r w:rsidR="00CD3CC9">
        <w:rPr>
          <w:rFonts w:ascii="Times" w:hAnsi="Times" w:cs="Times New Roman"/>
          <w:lang w:val="en"/>
        </w:rPr>
        <w:t xml:space="preserve"> were associated with an increased likelihood of </w:t>
      </w:r>
      <w:r w:rsidR="00E9527A">
        <w:rPr>
          <w:rFonts w:ascii="Times" w:hAnsi="Times" w:cs="Times New Roman"/>
          <w:lang w:val="en"/>
        </w:rPr>
        <w:t>receiving</w:t>
      </w:r>
      <w:r w:rsidR="00CD3CC9">
        <w:rPr>
          <w:rFonts w:ascii="Times" w:hAnsi="Times" w:cs="Times New Roman"/>
          <w:lang w:val="en"/>
        </w:rPr>
        <w:t xml:space="preserve"> AOM treatment</w:t>
      </w:r>
      <w:r w:rsidR="00725074">
        <w:rPr>
          <w:rFonts w:ascii="Times" w:hAnsi="Times" w:cs="Times New Roman"/>
          <w:lang w:val="en"/>
        </w:rPr>
        <w:t xml:space="preserve">. Male gender was associated with a reduced likelihood of treatment (OR 0.37; 95% CI 0.34-0.40). </w:t>
      </w:r>
      <w:r w:rsidR="008A053D">
        <w:rPr>
          <w:rFonts w:ascii="Times" w:hAnsi="Times" w:cs="Times New Roman"/>
          <w:lang w:val="en"/>
        </w:rPr>
        <w:t xml:space="preserve">Patients with a prior MOF (OR 1.38; 95% CI 1.22-1.54) or any prior fracture (OR 1.32; 95% CI 1.19-1.48) where more likely to </w:t>
      </w:r>
      <w:r w:rsidR="00881C8F">
        <w:rPr>
          <w:rFonts w:ascii="Times" w:hAnsi="Times" w:cs="Times New Roman"/>
          <w:lang w:val="en"/>
        </w:rPr>
        <w:t>receive</w:t>
      </w:r>
      <w:r w:rsidR="008A053D">
        <w:rPr>
          <w:rFonts w:ascii="Times" w:hAnsi="Times" w:cs="Times New Roman"/>
          <w:lang w:val="en"/>
        </w:rPr>
        <w:t xml:space="preserve"> treatment.</w:t>
      </w:r>
    </w:p>
    <w:p w14:paraId="11EE7F88" w14:textId="6495F0E5" w:rsidR="009F0543" w:rsidRDefault="008A053D" w:rsidP="00872C50">
      <w:pPr>
        <w:spacing w:line="480" w:lineRule="auto"/>
        <w:rPr>
          <w:rFonts w:ascii="Times" w:hAnsi="Times" w:cs="Times New Roman"/>
          <w:lang w:val="en"/>
        </w:rPr>
      </w:pPr>
      <w:r>
        <w:rPr>
          <w:rFonts w:ascii="Times" w:hAnsi="Times" w:cs="Times New Roman"/>
          <w:lang w:val="en"/>
        </w:rPr>
        <w:t>As compared to patients with an index forearm fracture,</w:t>
      </w:r>
      <w:r w:rsidR="00727E5B">
        <w:rPr>
          <w:rFonts w:ascii="Times" w:hAnsi="Times" w:cs="Times New Roman"/>
          <w:lang w:val="en"/>
        </w:rPr>
        <w:t xml:space="preserve"> patients with an</w:t>
      </w:r>
      <w:r>
        <w:rPr>
          <w:rFonts w:ascii="Times" w:hAnsi="Times" w:cs="Times New Roman"/>
          <w:lang w:val="en"/>
        </w:rPr>
        <w:t xml:space="preserve"> index </w:t>
      </w:r>
      <w:r w:rsidR="00727E5B">
        <w:rPr>
          <w:rFonts w:ascii="Times" w:hAnsi="Times" w:cs="Times New Roman"/>
          <w:lang w:val="en"/>
        </w:rPr>
        <w:t>vertebral fracture</w:t>
      </w:r>
      <w:r>
        <w:rPr>
          <w:rFonts w:ascii="Times" w:hAnsi="Times" w:cs="Times New Roman"/>
          <w:lang w:val="en"/>
        </w:rPr>
        <w:t xml:space="preserve"> (OR 3.00; 95% CI 2.6</w:t>
      </w:r>
      <w:r w:rsidR="000C416A">
        <w:rPr>
          <w:rFonts w:ascii="Times" w:hAnsi="Times" w:cs="Times New Roman"/>
          <w:lang w:val="en"/>
        </w:rPr>
        <w:t>9</w:t>
      </w:r>
      <w:r>
        <w:rPr>
          <w:rFonts w:ascii="Times" w:hAnsi="Times" w:cs="Times New Roman"/>
          <w:lang w:val="en"/>
        </w:rPr>
        <w:t xml:space="preserve">-3.35) </w:t>
      </w:r>
      <w:r w:rsidR="00727E5B">
        <w:rPr>
          <w:rFonts w:ascii="Times" w:hAnsi="Times" w:cs="Times New Roman"/>
          <w:lang w:val="en"/>
        </w:rPr>
        <w:t>or an</w:t>
      </w:r>
      <w:r>
        <w:rPr>
          <w:rFonts w:ascii="Times" w:hAnsi="Times" w:cs="Times New Roman"/>
          <w:lang w:val="en"/>
        </w:rPr>
        <w:t xml:space="preserve"> index hip fracture (OR</w:t>
      </w:r>
      <w:r w:rsidR="00B75B9B">
        <w:rPr>
          <w:rFonts w:ascii="Times" w:hAnsi="Times" w:cs="Times New Roman"/>
          <w:lang w:val="en"/>
        </w:rPr>
        <w:t xml:space="preserve"> </w:t>
      </w:r>
      <w:r>
        <w:rPr>
          <w:rFonts w:ascii="Times" w:hAnsi="Times" w:cs="Times New Roman"/>
          <w:lang w:val="en"/>
        </w:rPr>
        <w:t>1.60; 95% CI</w:t>
      </w:r>
      <w:r w:rsidR="000C416A">
        <w:rPr>
          <w:rFonts w:ascii="Times" w:hAnsi="Times" w:cs="Times New Roman"/>
          <w:lang w:val="en"/>
        </w:rPr>
        <w:t xml:space="preserve"> 1.48</w:t>
      </w:r>
      <w:r>
        <w:rPr>
          <w:rFonts w:ascii="Times" w:hAnsi="Times" w:cs="Times New Roman"/>
          <w:lang w:val="en"/>
        </w:rPr>
        <w:t xml:space="preserve">-1.73) </w:t>
      </w:r>
      <w:r w:rsidR="00727E5B">
        <w:rPr>
          <w:rFonts w:ascii="Times" w:hAnsi="Times" w:cs="Times New Roman"/>
          <w:lang w:val="en"/>
        </w:rPr>
        <w:t xml:space="preserve">were more likely to </w:t>
      </w:r>
      <w:r w:rsidR="00E9527A">
        <w:rPr>
          <w:rFonts w:ascii="Times" w:hAnsi="Times" w:cs="Times New Roman"/>
          <w:lang w:val="en"/>
        </w:rPr>
        <w:t>receive</w:t>
      </w:r>
      <w:r w:rsidR="00727E5B">
        <w:rPr>
          <w:rFonts w:ascii="Times" w:hAnsi="Times" w:cs="Times New Roman"/>
          <w:lang w:val="en"/>
        </w:rPr>
        <w:t xml:space="preserve"> AO</w:t>
      </w:r>
      <w:r w:rsidR="00CD3CC9">
        <w:rPr>
          <w:rFonts w:ascii="Times" w:hAnsi="Times" w:cs="Times New Roman"/>
          <w:lang w:val="en"/>
        </w:rPr>
        <w:t xml:space="preserve">M </w:t>
      </w:r>
      <w:r>
        <w:rPr>
          <w:rFonts w:ascii="Times" w:hAnsi="Times" w:cs="Times New Roman"/>
          <w:lang w:val="en"/>
        </w:rPr>
        <w:t>treatment</w:t>
      </w:r>
      <w:r w:rsidR="00CD3CC9">
        <w:rPr>
          <w:rFonts w:ascii="Times" w:hAnsi="Times" w:cs="Times New Roman"/>
          <w:lang w:val="en"/>
        </w:rPr>
        <w:t xml:space="preserve">, whereas index humerus fractures where associated with a reduced likelihood </w:t>
      </w:r>
      <w:r w:rsidR="009F0543">
        <w:rPr>
          <w:rFonts w:ascii="Times" w:hAnsi="Times" w:cs="Times New Roman"/>
          <w:lang w:val="en"/>
        </w:rPr>
        <w:t xml:space="preserve">of treatment </w:t>
      </w:r>
      <w:r w:rsidR="00CD3CC9">
        <w:rPr>
          <w:rFonts w:ascii="Times" w:hAnsi="Times" w:cs="Times New Roman"/>
          <w:lang w:val="en"/>
        </w:rPr>
        <w:t>(OR 0.84; 95% CI 0.76-0.94)</w:t>
      </w:r>
      <w:r w:rsidR="009F0543">
        <w:rPr>
          <w:rFonts w:ascii="Times" w:hAnsi="Times" w:cs="Times New Roman"/>
          <w:lang w:val="en"/>
        </w:rPr>
        <w:t>.</w:t>
      </w:r>
    </w:p>
    <w:p w14:paraId="67BFA14C" w14:textId="30D5692F" w:rsidR="00C01F8E" w:rsidRPr="00CE0AAA" w:rsidRDefault="009F0543" w:rsidP="00872C50">
      <w:pPr>
        <w:spacing w:line="480" w:lineRule="auto"/>
        <w:rPr>
          <w:rFonts w:ascii="Times" w:hAnsi="Times" w:cs="Times New Roman"/>
          <w:lang w:val="en"/>
        </w:rPr>
      </w:pPr>
      <w:r>
        <w:rPr>
          <w:rFonts w:ascii="Times" w:hAnsi="Times" w:cs="Times New Roman"/>
          <w:lang w:val="en"/>
        </w:rPr>
        <w:t xml:space="preserve">Using a CCI score of 0 as the reference, a CCI of 1 was associated with an increased likelihood of </w:t>
      </w:r>
      <w:r w:rsidR="00E9527A">
        <w:rPr>
          <w:rFonts w:ascii="Times" w:hAnsi="Times" w:cs="Times New Roman"/>
          <w:lang w:val="en"/>
        </w:rPr>
        <w:t xml:space="preserve">receiving AOM </w:t>
      </w:r>
      <w:r>
        <w:rPr>
          <w:rFonts w:ascii="Times" w:hAnsi="Times" w:cs="Times New Roman"/>
          <w:lang w:val="en"/>
        </w:rPr>
        <w:t xml:space="preserve">treatment (OR 1.22; 95% CI 1.09-1.36), a CCI of 2 was not </w:t>
      </w:r>
      <w:r w:rsidR="00E9527A">
        <w:rPr>
          <w:rFonts w:ascii="Times" w:hAnsi="Times" w:cs="Times New Roman"/>
          <w:lang w:val="en"/>
        </w:rPr>
        <w:t xml:space="preserve">different </w:t>
      </w:r>
      <w:r>
        <w:rPr>
          <w:rFonts w:ascii="Times" w:hAnsi="Times" w:cs="Times New Roman"/>
          <w:lang w:val="en"/>
        </w:rPr>
        <w:t>from the reference</w:t>
      </w:r>
      <w:r w:rsidR="00E9527A">
        <w:rPr>
          <w:rFonts w:ascii="Times" w:hAnsi="Times" w:cs="Times New Roman"/>
          <w:lang w:val="en"/>
        </w:rPr>
        <w:t xml:space="preserve"> at a statistically significant level</w:t>
      </w:r>
      <w:r>
        <w:rPr>
          <w:rFonts w:ascii="Times" w:hAnsi="Times" w:cs="Times New Roman"/>
          <w:lang w:val="en"/>
        </w:rPr>
        <w:t xml:space="preserve"> (OR 1.11; 95% CI 0.94-1.30), and a CCI of 3 or above was associated with a reduced likelihood of </w:t>
      </w:r>
      <w:r w:rsidR="00E9527A">
        <w:rPr>
          <w:rFonts w:ascii="Times" w:hAnsi="Times" w:cs="Times New Roman"/>
          <w:lang w:val="en"/>
        </w:rPr>
        <w:t xml:space="preserve">receiving </w:t>
      </w:r>
      <w:r>
        <w:rPr>
          <w:rFonts w:ascii="Times" w:hAnsi="Times" w:cs="Times New Roman"/>
          <w:lang w:val="en"/>
        </w:rPr>
        <w:t>AOM treatment (OR</w:t>
      </w:r>
      <w:r w:rsidR="000C416A">
        <w:rPr>
          <w:rFonts w:ascii="Times" w:hAnsi="Times" w:cs="Times New Roman"/>
          <w:lang w:val="en"/>
        </w:rPr>
        <w:t xml:space="preserve"> </w:t>
      </w:r>
      <w:r>
        <w:rPr>
          <w:rFonts w:ascii="Times" w:hAnsi="Times" w:cs="Times New Roman"/>
          <w:lang w:val="en"/>
        </w:rPr>
        <w:t>0.79; 95% CI 0.64-0.96).</w:t>
      </w:r>
      <w:r w:rsidR="00C01F8E" w:rsidRPr="00CE0AAA">
        <w:rPr>
          <w:rFonts w:ascii="Times" w:hAnsi="Times" w:cs="Times New Roman"/>
          <w:lang w:val="en"/>
        </w:rPr>
        <w:br w:type="page"/>
      </w:r>
    </w:p>
    <w:p w14:paraId="1D82BA77" w14:textId="73EC51D6" w:rsidR="00C01F8E" w:rsidRPr="004907A0" w:rsidRDefault="00C01F8E" w:rsidP="00872C50">
      <w:pPr>
        <w:spacing w:line="480" w:lineRule="auto"/>
        <w:rPr>
          <w:rFonts w:ascii="Times" w:hAnsi="Times" w:cs="Times New Roman"/>
          <w:b/>
          <w:lang w:val="en"/>
        </w:rPr>
      </w:pPr>
      <w:r w:rsidRPr="004907A0">
        <w:rPr>
          <w:rFonts w:ascii="Times" w:hAnsi="Times" w:cs="Times New Roman"/>
          <w:b/>
          <w:lang w:val="en"/>
        </w:rPr>
        <w:lastRenderedPageBreak/>
        <w:t>Discussion</w:t>
      </w:r>
    </w:p>
    <w:p w14:paraId="763C0B23" w14:textId="5B6D83C0" w:rsidR="00FB09DB" w:rsidRDefault="00A40067" w:rsidP="00FB09DB">
      <w:pPr>
        <w:spacing w:line="480" w:lineRule="auto"/>
        <w:rPr>
          <w:rFonts w:ascii="Times" w:hAnsi="Times" w:cs="Times New Roman"/>
          <w:lang w:val="en"/>
        </w:rPr>
      </w:pPr>
      <w:r>
        <w:rPr>
          <w:rFonts w:ascii="Times" w:hAnsi="Times" w:cs="Times New Roman"/>
          <w:lang w:val="en"/>
        </w:rPr>
        <w:t xml:space="preserve">Our findings demonstrate </w:t>
      </w:r>
      <w:r w:rsidR="008617F2">
        <w:rPr>
          <w:rFonts w:ascii="Times" w:hAnsi="Times" w:cs="Times New Roman"/>
          <w:lang w:val="en"/>
        </w:rPr>
        <w:t>a</w:t>
      </w:r>
      <w:r>
        <w:rPr>
          <w:rFonts w:ascii="Times" w:hAnsi="Times" w:cs="Times New Roman"/>
          <w:lang w:val="en"/>
        </w:rPr>
        <w:t xml:space="preserve"> critical gap in post-fracture care with large and persistent anti-osteoporosis treatment gaps </w:t>
      </w:r>
      <w:r w:rsidR="006E789F">
        <w:rPr>
          <w:rFonts w:ascii="Times" w:hAnsi="Times" w:cs="Times New Roman"/>
          <w:lang w:val="en"/>
        </w:rPr>
        <w:t>in</w:t>
      </w:r>
      <w:r>
        <w:rPr>
          <w:rFonts w:ascii="Times" w:hAnsi="Times" w:cs="Times New Roman"/>
          <w:lang w:val="en"/>
        </w:rPr>
        <w:t xml:space="preserve"> men and women sustaining a </w:t>
      </w:r>
      <w:r w:rsidR="006E789F">
        <w:rPr>
          <w:rFonts w:ascii="Times" w:hAnsi="Times" w:cs="Times New Roman"/>
          <w:lang w:val="en"/>
        </w:rPr>
        <w:t>MOF</w:t>
      </w:r>
      <w:r>
        <w:rPr>
          <w:rFonts w:ascii="Times" w:hAnsi="Times" w:cs="Times New Roman"/>
          <w:lang w:val="en"/>
        </w:rPr>
        <w:t>.</w:t>
      </w:r>
      <w:r w:rsidR="00FB09DB">
        <w:rPr>
          <w:rFonts w:ascii="Times" w:hAnsi="Times" w:cs="Times New Roman"/>
          <w:lang w:val="en"/>
        </w:rPr>
        <w:t xml:space="preserve"> For the hip and </w:t>
      </w:r>
      <w:r w:rsidR="0012365C">
        <w:rPr>
          <w:rFonts w:ascii="Times" w:hAnsi="Times" w:cs="Times New Roman"/>
          <w:lang w:val="en"/>
        </w:rPr>
        <w:t xml:space="preserve">forearm </w:t>
      </w:r>
      <w:r w:rsidR="00FB09DB">
        <w:rPr>
          <w:rFonts w:ascii="Times" w:hAnsi="Times" w:cs="Times New Roman"/>
          <w:lang w:val="en"/>
        </w:rPr>
        <w:t xml:space="preserve">fracture cohorts, the treatment gap </w:t>
      </w:r>
      <w:r w:rsidR="00932142">
        <w:rPr>
          <w:rFonts w:ascii="Times" w:hAnsi="Times" w:cs="Times New Roman"/>
          <w:lang w:val="en"/>
        </w:rPr>
        <w:t xml:space="preserve">- based on the filling of at least one prescription or receiving at least one parenteral osteoporosis drug dose - </w:t>
      </w:r>
      <w:r w:rsidR="00FB09DB">
        <w:rPr>
          <w:rFonts w:ascii="Times" w:hAnsi="Times" w:cs="Times New Roman"/>
          <w:lang w:val="en"/>
        </w:rPr>
        <w:t>decreased marginally from 2005 to 2014, yet</w:t>
      </w:r>
      <w:r w:rsidR="003260C4">
        <w:rPr>
          <w:rFonts w:ascii="Times" w:hAnsi="Times" w:cs="Times New Roman"/>
          <w:lang w:val="en"/>
        </w:rPr>
        <w:t xml:space="preserve"> in the 2014 cohorts,</w:t>
      </w:r>
      <w:r w:rsidR="00FB09DB">
        <w:rPr>
          <w:rFonts w:ascii="Times" w:hAnsi="Times" w:cs="Times New Roman"/>
          <w:lang w:val="en"/>
        </w:rPr>
        <w:t xml:space="preserve"> 3 out 4 hip fracture patients and 4 out of 5 </w:t>
      </w:r>
      <w:r w:rsidR="0012365C">
        <w:rPr>
          <w:rFonts w:ascii="Times" w:hAnsi="Times" w:cs="Times New Roman"/>
          <w:lang w:val="en"/>
        </w:rPr>
        <w:t xml:space="preserve">forearm </w:t>
      </w:r>
      <w:r w:rsidR="00FB09DB">
        <w:rPr>
          <w:rFonts w:ascii="Times" w:hAnsi="Times" w:cs="Times New Roman"/>
          <w:lang w:val="en"/>
        </w:rPr>
        <w:t xml:space="preserve">fracture patients were still not </w:t>
      </w:r>
      <w:r w:rsidR="003260C4">
        <w:rPr>
          <w:rFonts w:ascii="Times" w:hAnsi="Times" w:cs="Times New Roman"/>
          <w:lang w:val="en"/>
        </w:rPr>
        <w:t>treated with</w:t>
      </w:r>
      <w:r w:rsidR="00FB09DB">
        <w:rPr>
          <w:rFonts w:ascii="Times" w:hAnsi="Times" w:cs="Times New Roman"/>
          <w:lang w:val="en"/>
        </w:rPr>
        <w:t xml:space="preserve"> AOM </w:t>
      </w:r>
      <w:r w:rsidR="003260C4">
        <w:rPr>
          <w:rFonts w:ascii="Times" w:hAnsi="Times" w:cs="Times New Roman"/>
          <w:lang w:val="en"/>
        </w:rPr>
        <w:t>within 1 year of the index fracture</w:t>
      </w:r>
      <w:r w:rsidR="00FB09DB">
        <w:rPr>
          <w:rFonts w:ascii="Times" w:hAnsi="Times" w:cs="Times New Roman"/>
          <w:lang w:val="en"/>
        </w:rPr>
        <w:t xml:space="preserve">. The treatment gaps for vertebral and humerus fracture </w:t>
      </w:r>
      <w:r w:rsidR="00C122CE" w:rsidRPr="003F5FBF">
        <w:rPr>
          <w:rFonts w:ascii="Times" w:hAnsi="Times" w:cs="Times New Roman"/>
          <w:lang w:val="en-US"/>
        </w:rPr>
        <w:t>patients</w:t>
      </w:r>
      <w:r w:rsidR="00C122CE">
        <w:rPr>
          <w:rFonts w:ascii="Times" w:hAnsi="Times" w:cs="Times New Roman"/>
          <w:lang w:val="en"/>
        </w:rPr>
        <w:t xml:space="preserve"> </w:t>
      </w:r>
      <w:r w:rsidR="00FB09DB">
        <w:rPr>
          <w:rFonts w:ascii="Times" w:hAnsi="Times" w:cs="Times New Roman"/>
          <w:lang w:val="en"/>
        </w:rPr>
        <w:t xml:space="preserve">were </w:t>
      </w:r>
      <w:r w:rsidR="008617F2">
        <w:rPr>
          <w:rFonts w:ascii="Times" w:hAnsi="Times" w:cs="Times New Roman"/>
          <w:lang w:val="en"/>
        </w:rPr>
        <w:t>generally</w:t>
      </w:r>
      <w:r w:rsidR="00FB09DB">
        <w:rPr>
          <w:rFonts w:ascii="Times" w:hAnsi="Times" w:cs="Times New Roman"/>
          <w:lang w:val="en"/>
        </w:rPr>
        <w:t xml:space="preserve"> stable </w:t>
      </w:r>
      <w:r w:rsidR="008617F2">
        <w:rPr>
          <w:rFonts w:ascii="Times" w:hAnsi="Times" w:cs="Times New Roman"/>
          <w:lang w:val="en"/>
        </w:rPr>
        <w:t xml:space="preserve">at around 65% and 85%, respectively, </w:t>
      </w:r>
      <w:r w:rsidR="00FB09DB">
        <w:rPr>
          <w:rFonts w:ascii="Times" w:hAnsi="Times" w:cs="Times New Roman"/>
          <w:lang w:val="en"/>
        </w:rPr>
        <w:t xml:space="preserve">across the </w:t>
      </w:r>
      <w:r w:rsidR="008617F2">
        <w:rPr>
          <w:rFonts w:ascii="Times" w:hAnsi="Times" w:cs="Times New Roman"/>
          <w:lang w:val="en"/>
        </w:rPr>
        <w:t xml:space="preserve">2005 to 2014 </w:t>
      </w:r>
      <w:proofErr w:type="gramStart"/>
      <w:r w:rsidR="008617F2">
        <w:rPr>
          <w:rFonts w:ascii="Times" w:hAnsi="Times" w:cs="Times New Roman"/>
          <w:lang w:val="en"/>
        </w:rPr>
        <w:t>time period</w:t>
      </w:r>
      <w:proofErr w:type="gramEnd"/>
      <w:r w:rsidR="008617F2">
        <w:rPr>
          <w:rFonts w:ascii="Times" w:hAnsi="Times" w:cs="Times New Roman"/>
          <w:lang w:val="en"/>
        </w:rPr>
        <w:t xml:space="preserve">. </w:t>
      </w:r>
      <w:r w:rsidR="00FB09DB">
        <w:rPr>
          <w:rFonts w:ascii="Times" w:hAnsi="Times" w:cs="Times New Roman"/>
          <w:lang w:val="en"/>
        </w:rPr>
        <w:t>The treatment gap was more pronounced in men than in women</w:t>
      </w:r>
      <w:r w:rsidR="009F7FDD">
        <w:rPr>
          <w:rFonts w:ascii="Times" w:hAnsi="Times" w:cs="Times New Roman"/>
          <w:lang w:val="en"/>
        </w:rPr>
        <w:t>,</w:t>
      </w:r>
      <w:r w:rsidR="0057675E">
        <w:rPr>
          <w:rFonts w:ascii="Times" w:hAnsi="Times" w:cs="Times New Roman"/>
          <w:lang w:val="en"/>
        </w:rPr>
        <w:t xml:space="preserve"> and in younger than in older patients (&lt;75 vs ≥75 years)</w:t>
      </w:r>
      <w:r w:rsidR="008617F2">
        <w:rPr>
          <w:rFonts w:ascii="Times" w:hAnsi="Times" w:cs="Times New Roman"/>
          <w:lang w:val="en"/>
        </w:rPr>
        <w:t xml:space="preserve">. </w:t>
      </w:r>
      <w:r w:rsidR="00297653">
        <w:rPr>
          <w:rFonts w:ascii="Times" w:hAnsi="Times" w:cs="Times New Roman"/>
          <w:lang w:val="en"/>
        </w:rPr>
        <w:t>It should be noted that not all</w:t>
      </w:r>
      <w:r w:rsidR="003343D1">
        <w:rPr>
          <w:rFonts w:ascii="Times" w:hAnsi="Times" w:cs="Times New Roman"/>
          <w:lang w:val="en"/>
        </w:rPr>
        <w:t xml:space="preserve"> fragility</w:t>
      </w:r>
      <w:r w:rsidR="00297653">
        <w:rPr>
          <w:rFonts w:ascii="Times" w:hAnsi="Times" w:cs="Times New Roman"/>
          <w:lang w:val="en"/>
        </w:rPr>
        <w:t xml:space="preserve"> </w:t>
      </w:r>
      <w:r w:rsidR="003343D1">
        <w:rPr>
          <w:rFonts w:ascii="Times" w:hAnsi="Times" w:cs="Times New Roman"/>
          <w:lang w:val="en"/>
        </w:rPr>
        <w:t xml:space="preserve">fracture </w:t>
      </w:r>
      <w:r w:rsidR="00297653">
        <w:rPr>
          <w:rFonts w:ascii="Times" w:hAnsi="Times" w:cs="Times New Roman"/>
          <w:lang w:val="en"/>
        </w:rPr>
        <w:t>patients are candidates for AOM treatment</w:t>
      </w:r>
      <w:r w:rsidR="000C1EF6">
        <w:rPr>
          <w:rFonts w:ascii="Times" w:hAnsi="Times" w:cs="Times New Roman"/>
          <w:lang w:val="en"/>
        </w:rPr>
        <w:fldChar w:fldCharType="begin" w:fldLock="1"/>
      </w:r>
      <w:r w:rsidR="00175613">
        <w:rPr>
          <w:rFonts w:ascii="Times" w:hAnsi="Times" w:cs="Times New Roman"/>
          <w:lang w:val="en"/>
        </w:rPr>
        <w:instrText>ADDIN CSL_CITATION {"citationItems":[{"id":"ITEM-1","itemData":{"DOI":"10.1007/s00198-020-05377-1","ISSN":"14332965","PMID":"32266437","abstract":"Summary: The International Osteoporosis Foundation (IOF) Capture the Fracture® Campaign with the Fragility Fracture Network (FFN) and National Osteoporosis Foundation (NOF) has developed eleven patient-level key performance indicators (KPIs) for fracture liaison services (FLSs) to guide quality improvement. Introduction: Fracture Liaison Services (FLSs) are recommended worldwide to reduce fracture risk after a sentinel fracture. Given not every FLS is automatically effective, the IOF Capture the Fracture working group has developed and implemented the Best Practice Framework to assess the organisational components of an FLS. We have now developed a complimentary KPI set that extends this assessment of performance to the patient level. Methods: The Capture the Fracture working group in collaboration with the Fragility Fracture Network Secondary Fragility Fracture Special Interest Group and National Osteoporosis Foundation adapted existing metrics from the UK-based Fracture Liaison Service Database Audit to develop a patient-level KPI set for FLSs. Results: Eleven KPIs were selected. The proportion of patients: with non-spinal fractures; with spine fractures (detected clinically and radiologically); assessed for fracture risk within 12 weeks of sentinel fracture; having DXA assessment within 12 weeks of sentinel fracture; having falls risk assessment; recommended anti-osteoporosis medication; commenced of strength and balance exercise intervention within 16 weeks of sentinel fracture; monitored within 16 weeks of sentinel fracture; started anti-osteoporosis medication within 16 weeks of sentinel fracture; prescribed anti-osteoporosis medication 52 weeks after sentinel fracture. The final KPI measures data completeness for each of the other KPIs. For these indicators, levels of achievement were set at the &lt; 50%, 50–80% and &gt; 80% levels except for treatment recommendation where a level of 50% was used. Conclusion: This KPI set compliments the existing Best Practice Framework to support FLSs to examine their own performance using patient-level data. By using this KPI set for local quality improvement cycles, FLSs will be able to efficiently realise the full potential of secondary fracture prevention and improved clinical outcomes for their local populations.","author":[{"dropping-particle":"","family":"Javaid","given":"M. K.","non-dropping-particle":"","parse-names":false,"suffix":""},{"dropping-particle":"","family":"Sami","given":"A.","non-dropping-particle":"","parse-names":false,"suffix":""},{"dropping-particle":"","family":"Lems","given":"W.","non-dropping-particle":"","parse-names":false,"suffix":""},{"dropping-particle":"","family":"Mitchell","given":"P.","non-dropping-particle":"","parse-names":false,"suffix":""},{"dropping-particle":"","family":"Thomas","given":"T.","non-dropping-particle":"","parse-names":false,"suffix":""},{"dropping-particle":"","family":"Singer","given":"A.","non-dropping-particle":"","parse-names":false,"suffix":""},{"dropping-particle":"","family":"Speerin","given":"R.","non-dropping-particle":"","parse-names":false,"suffix":""},{"dropping-particle":"","family":"Fujita","given":"M.","non-dropping-particle":"","parse-names":false,"suffix":""},{"dropping-particle":"","family":"Pierroz","given":"D. D.","non-dropping-particle":"","parse-names":false,"suffix":""},{"dropping-particle":"","family":"Akesson","given":"K.","non-dropping-particle":"","parse-names":false,"suffix":""},{"dropping-particle":"","family":"Halbout","given":"P.","non-dropping-particle":"","parse-names":false,"suffix":""},{"dropping-particle":"","family":"Ferrari","given":"S.","non-dropping-particle":"","parse-names":false,"suffix":""},{"dropping-particle":"","family":"Cooper","given":"C.","non-dropping-particle":"","parse-names":false,"suffix":""}],"container-title":"Osteoporosis International","id":"ITEM-1","issue":"7","issued":{"date-parts":[["2020"]]},"page":"1193-1204","title":"A patient-level key performance indicator set to measure the effectiveness of fracture liaison services and guide quality improvement: a position paper of the IOF Capture the Fracture Working Group, National Osteoporosis Foundation and Fragility Fracture","type":"article-journal","volume":"31"},"uris":["http://www.mendeley.com/documents/?uuid=2e38e7e9-3017-4af1-9d3f-82ceba95e70b"]}],"mendeley":{"formattedCitation":"[31]","plainTextFormattedCitation":"[31]","previouslyFormattedCitation":"[31]"},"properties":{"noteIndex":0},"schema":"https://github.com/citation-style-language/schema/raw/master/csl-citation.json"}</w:instrText>
      </w:r>
      <w:r w:rsidR="000C1EF6">
        <w:rPr>
          <w:rFonts w:ascii="Times" w:hAnsi="Times" w:cs="Times New Roman"/>
          <w:lang w:val="en"/>
        </w:rPr>
        <w:fldChar w:fldCharType="separate"/>
      </w:r>
      <w:r w:rsidR="0052159C" w:rsidRPr="0052159C">
        <w:rPr>
          <w:rFonts w:ascii="Times" w:hAnsi="Times" w:cs="Times New Roman"/>
          <w:noProof/>
          <w:lang w:val="en"/>
        </w:rPr>
        <w:t>[31]</w:t>
      </w:r>
      <w:r w:rsidR="000C1EF6">
        <w:rPr>
          <w:rFonts w:ascii="Times" w:hAnsi="Times" w:cs="Times New Roman"/>
          <w:lang w:val="en"/>
        </w:rPr>
        <w:fldChar w:fldCharType="end"/>
      </w:r>
      <w:r w:rsidR="007B713F">
        <w:rPr>
          <w:rFonts w:ascii="Times" w:hAnsi="Times" w:cs="Times New Roman"/>
          <w:lang w:val="en"/>
        </w:rPr>
        <w:t>, as contraindications, patient preferences, and other individual</w:t>
      </w:r>
      <w:r w:rsidR="004A12F0">
        <w:rPr>
          <w:rFonts w:ascii="Times" w:hAnsi="Times" w:cs="Times New Roman"/>
          <w:lang w:val="en"/>
        </w:rPr>
        <w:t xml:space="preserve"> or </w:t>
      </w:r>
      <w:r w:rsidR="00D350CB">
        <w:rPr>
          <w:rFonts w:ascii="Times" w:hAnsi="Times" w:cs="Times New Roman"/>
          <w:lang w:val="en"/>
        </w:rPr>
        <w:t>local</w:t>
      </w:r>
      <w:r w:rsidR="007B713F">
        <w:rPr>
          <w:rFonts w:ascii="Times" w:hAnsi="Times" w:cs="Times New Roman"/>
          <w:lang w:val="en"/>
        </w:rPr>
        <w:t xml:space="preserve"> factors may </w:t>
      </w:r>
      <w:r w:rsidR="00FB4C20">
        <w:rPr>
          <w:rFonts w:ascii="Times" w:hAnsi="Times" w:cs="Times New Roman"/>
          <w:lang w:val="en"/>
        </w:rPr>
        <w:t xml:space="preserve">speak against </w:t>
      </w:r>
      <w:r w:rsidR="007B713F">
        <w:rPr>
          <w:rFonts w:ascii="Times" w:hAnsi="Times" w:cs="Times New Roman"/>
          <w:lang w:val="en"/>
        </w:rPr>
        <w:t>treatment initiation.</w:t>
      </w:r>
      <w:r w:rsidR="00EF0104">
        <w:rPr>
          <w:rFonts w:ascii="Times" w:hAnsi="Times" w:cs="Times New Roman"/>
          <w:lang w:val="en"/>
        </w:rPr>
        <w:t xml:space="preserve"> Furthermore, </w:t>
      </w:r>
      <w:r w:rsidR="00695966">
        <w:rPr>
          <w:rFonts w:ascii="Times" w:hAnsi="Times" w:cs="Times New Roman"/>
          <w:lang w:val="en"/>
        </w:rPr>
        <w:t>Danish</w:t>
      </w:r>
      <w:r w:rsidR="00A737D6">
        <w:rPr>
          <w:rFonts w:ascii="Times" w:hAnsi="Times" w:cs="Times New Roman"/>
          <w:lang w:val="en"/>
        </w:rPr>
        <w:t xml:space="preserve"> treatment</w:t>
      </w:r>
      <w:r w:rsidR="00695966">
        <w:rPr>
          <w:rFonts w:ascii="Times" w:hAnsi="Times" w:cs="Times New Roman"/>
          <w:lang w:val="en"/>
        </w:rPr>
        <w:t xml:space="preserve"> guidelines recommend that</w:t>
      </w:r>
      <w:r w:rsidR="00B406B1">
        <w:rPr>
          <w:rFonts w:ascii="Times" w:hAnsi="Times" w:cs="Times New Roman"/>
          <w:lang w:val="en"/>
        </w:rPr>
        <w:t xml:space="preserve"> AOM treatment</w:t>
      </w:r>
      <w:r w:rsidR="00591C7B">
        <w:rPr>
          <w:rFonts w:ascii="Times" w:hAnsi="Times" w:cs="Times New Roman"/>
          <w:lang w:val="en"/>
        </w:rPr>
        <w:t xml:space="preserve"> decisions</w:t>
      </w:r>
      <w:r w:rsidR="00B406B1">
        <w:rPr>
          <w:rFonts w:ascii="Times" w:hAnsi="Times" w:cs="Times New Roman"/>
          <w:lang w:val="en"/>
        </w:rPr>
        <w:t xml:space="preserve"> in</w:t>
      </w:r>
      <w:r w:rsidR="00695966">
        <w:rPr>
          <w:rFonts w:ascii="Times" w:hAnsi="Times" w:cs="Times New Roman"/>
          <w:lang w:val="en"/>
        </w:rPr>
        <w:t xml:space="preserve"> </w:t>
      </w:r>
      <w:r w:rsidR="00EF0104">
        <w:rPr>
          <w:rFonts w:ascii="Times" w:hAnsi="Times" w:cs="Times New Roman"/>
          <w:lang w:val="en"/>
        </w:rPr>
        <w:t xml:space="preserve">patients with non-hip non-vertebral </w:t>
      </w:r>
      <w:r w:rsidR="00330C8A">
        <w:rPr>
          <w:rFonts w:ascii="Times" w:hAnsi="Times" w:cs="Times New Roman"/>
          <w:lang w:val="en"/>
        </w:rPr>
        <w:t xml:space="preserve">fragility </w:t>
      </w:r>
      <w:r w:rsidR="00EF0104">
        <w:rPr>
          <w:rFonts w:ascii="Times" w:hAnsi="Times" w:cs="Times New Roman"/>
          <w:lang w:val="en"/>
        </w:rPr>
        <w:t>fractures sho</w:t>
      </w:r>
      <w:r w:rsidR="00695966">
        <w:rPr>
          <w:rFonts w:ascii="Times" w:hAnsi="Times" w:cs="Times New Roman"/>
          <w:lang w:val="en"/>
        </w:rPr>
        <w:t xml:space="preserve">uld </w:t>
      </w:r>
      <w:r w:rsidR="00FB4C20">
        <w:rPr>
          <w:rFonts w:ascii="Times" w:hAnsi="Times" w:cs="Times New Roman"/>
          <w:lang w:val="en"/>
        </w:rPr>
        <w:t>be based also o</w:t>
      </w:r>
      <w:r w:rsidR="00B406B1">
        <w:rPr>
          <w:rFonts w:ascii="Times" w:hAnsi="Times" w:cs="Times New Roman"/>
          <w:lang w:val="en"/>
        </w:rPr>
        <w:t xml:space="preserve">n </w:t>
      </w:r>
      <w:r w:rsidR="00695966">
        <w:rPr>
          <w:rFonts w:ascii="Times" w:hAnsi="Times" w:cs="Times New Roman"/>
          <w:lang w:val="en"/>
        </w:rPr>
        <w:t>further evaluations to estimate the risk of subsequent fractures</w:t>
      </w:r>
      <w:r w:rsidR="000E56F0">
        <w:rPr>
          <w:rFonts w:ascii="Times" w:hAnsi="Times" w:cs="Times New Roman"/>
          <w:lang w:val="en"/>
        </w:rPr>
        <w:fldChar w:fldCharType="begin" w:fldLock="1"/>
      </w:r>
      <w:r w:rsidR="00A62894">
        <w:rPr>
          <w:rFonts w:ascii="Times" w:hAnsi="Times" w:cs="Times New Roman"/>
          <w:lang w:val="en"/>
        </w:rPr>
        <w:instrText>ADDIN CSL_CITATION {"citationItems":[{"id":"ITEM-1","itemData":{"author":[{"dropping-particle":"","family":"Hitz","given":"Mette","non-dropping-particle":"","parse-names":false,"suffix":""},{"dropping-particle":"","family":"Harsløf","given":"Torben","non-dropping-particle":"","parse-names":false,"suffix":""},{"dropping-particle":"","family":"Ejersted","given":"Charlotte","non-dropping-particle":"","parse-names":false,"suffix":""},{"dropping-particle":"","family":"Bech-Jensen","given":"Jens-Erik","non-dropping-particle":"","parse-names":false,"suffix":""},{"dropping-particle":"","family":"Brockstedt","given":"Helle","non-dropping-particle":"","parse-names":false,"suffix":""},{"dropping-particle":"","family":"Vestergaard","given":"Peter","non-dropping-particle":"","parse-names":false,"suffix":""},{"dropping-particle":"","family":"Frost","given":"Morten","non-dropping-particle":"","parse-names":false,"suffix":""},{"dropping-particle":"","family":"Langdahl","given":"Bente","non-dropping-particle":"","parse-names":false,"suffix":""}],"id":"ITEM-1","issued":{"date-parts":[["2019"]]},"title":"NBV: Postmenopausal osteoporose","type":"report"},"uris":["http://www.mendeley.com/documents/?uuid=4d291df8-d6a9-4d56-825a-a25a201599a8"]},{"id":"ITEM-2","itemData":{"author":[{"dropping-particle":"","family":"Hermann","given":"Pernille","non-dropping-particle":"","parse-names":false,"suffix":""},{"dropping-particle":"","family":"Frost","given":"Morten","non-dropping-particle":"","parse-names":false,"suffix":""},{"dropping-particle":"","family":"Abrahamsen","given":"Bo","non-dropping-particle":"","parse-names":false,"suffix":""},{"dropping-particle":"","family":"Vestergaard","given":"Peter","non-dropping-particle":"","parse-names":false,"suffix":""},{"dropping-particle":"","family":"Sørensen","given":"Henrik A","non-dropping-particle":"","parse-names":false,"suffix":""},{"dropping-particle":"","family":"Schwarz","given":"Peter","non-dropping-particle":"","parse-names":false,"suffix":""},{"dropping-particle":"","family":"Eiken","given":"Pia","non-dropping-particle":"","parse-names":false,"suffix":""}],"id":"ITEM-2","issued":{"date-parts":[["2020"]]},"title":"NBV: Behandling af mandlig osteoporose","type":"report"},"uris":["http://www.mendeley.com/documents/?uuid=d7899b14-3d39-4fdb-9ed5-a23f242a86e3"]}],"mendeley":{"formattedCitation":"[11, 12]","plainTextFormattedCitation":"[11, 12]","previouslyFormattedCitation":"[11, 12]"},"properties":{"noteIndex":0},"schema":"https://github.com/citation-style-language/schema/raw/master/csl-citation.json"}</w:instrText>
      </w:r>
      <w:r w:rsidR="000E56F0">
        <w:rPr>
          <w:rFonts w:ascii="Times" w:hAnsi="Times" w:cs="Times New Roman"/>
          <w:lang w:val="en"/>
        </w:rPr>
        <w:fldChar w:fldCharType="separate"/>
      </w:r>
      <w:r w:rsidR="009F7D62" w:rsidRPr="009F7D62">
        <w:rPr>
          <w:rFonts w:ascii="Times" w:hAnsi="Times" w:cs="Times New Roman"/>
          <w:noProof/>
          <w:lang w:val="en"/>
        </w:rPr>
        <w:t>[11, 12]</w:t>
      </w:r>
      <w:r w:rsidR="000E56F0">
        <w:rPr>
          <w:rFonts w:ascii="Times" w:hAnsi="Times" w:cs="Times New Roman"/>
          <w:lang w:val="en"/>
        </w:rPr>
        <w:fldChar w:fldCharType="end"/>
      </w:r>
      <w:r w:rsidR="00291542">
        <w:rPr>
          <w:rFonts w:ascii="Times" w:hAnsi="Times" w:cs="Times New Roman"/>
          <w:lang w:val="en"/>
        </w:rPr>
        <w:t>, which may be reflected in the treatment gap among humerus and forearm fracture patients identified in this study</w:t>
      </w:r>
      <w:r w:rsidR="00393672">
        <w:rPr>
          <w:rFonts w:ascii="Times" w:hAnsi="Times" w:cs="Times New Roman"/>
          <w:lang w:val="en"/>
        </w:rPr>
        <w:t xml:space="preserve">. </w:t>
      </w:r>
      <w:r w:rsidR="00945E3F">
        <w:rPr>
          <w:rFonts w:ascii="Times" w:hAnsi="Times" w:cs="Times New Roman"/>
          <w:lang w:val="en"/>
        </w:rPr>
        <w:t>However, in order to benchmark the performance of the Danish hospital services against international metrics we use the term treatment gap in the internationally accepted sense. Also, i</w:t>
      </w:r>
      <w:r w:rsidR="00393672">
        <w:rPr>
          <w:rFonts w:ascii="Times" w:hAnsi="Times" w:cs="Times New Roman"/>
          <w:lang w:val="en"/>
        </w:rPr>
        <w:t>t is worth noting that FRAX based guidelines largely set the intervention threshold at the equivalence point of a postmenopausal woman with a prior fragility fracture</w:t>
      </w:r>
      <w:r w:rsidR="00734C35">
        <w:rPr>
          <w:rFonts w:ascii="Times" w:hAnsi="Times" w:cs="Times New Roman"/>
          <w:lang w:val="en"/>
        </w:rPr>
        <w:fldChar w:fldCharType="begin" w:fldLock="1"/>
      </w:r>
      <w:r w:rsidR="00175613">
        <w:rPr>
          <w:rFonts w:ascii="Times" w:hAnsi="Times" w:cs="Times New Roman"/>
          <w:lang w:val="en"/>
        </w:rPr>
        <w:instrText>ADDIN CSL_CITATION {"citationItems":[{"id":"ITEM-1","itemData":{"DOI":"10.1016/j.jocd.2017.06.022","ISSN":"15590747","PMID":"28732576","abstract":"The fracture risk assessment tool, FRAX, was released in 2008 and provides country-specific algorithms for estimating individualized 10-year probability of hip and major osteoporotic fracture (hip, clinical spine, distal forearm, and proximal humerus). Since its release, models are now available for 63 countries, covering 79% of the world population. The website receives approximately 3 million visits annually. Following independent validation, FRAX has been incorporated into more than 80 guidelines worldwide. However, the application of FRAX in guidelines has been heterogeneous with the adoption of several different approaches to setting intervention thresholds. The relationship between FRAX and efficacy of intervention has been explored and is expected to influence treatment guidelines in the future. A more unified approach to setting intervention thresholds with FRAX is a research priority.","author":[{"dropping-particle":"","family":"Kanis","given":"John A.","non-dropping-particle":"","parse-names":false,"suffix":""},{"dropping-particle":"","family":"Harvey","given":"Nicholas C.","non-dropping-particle":"","parse-names":false,"suffix":""},{"dropping-particle":"","family":"Johansson","given":"Helena","non-dropping-particle":"","parse-names":false,"suffix":""},{"dropping-particle":"","family":"Odén","given":"Anders","non-dropping-particle":"","parse-names":false,"suffix":""},{"dropping-particle":"","family":"Leslie","given":"William D.","non-dropping-particle":"","parse-names":false,"suffix":""},{"dropping-particle":"V.","family":"McCloskey","given":"Eugene","non-dropping-particle":"","parse-names":false,"suffix":""}],"container-title":"Journal of Clinical Densitometry","id":"ITEM-1","issue":"3","issued":{"date-parts":[["2017"]]},"page":"360-67","title":"FRAX Update","type":"article-journal","volume":"20"},"uris":["http://www.mendeley.com/documents/?uuid=ef2bdf18-31e9-444a-bffa-21788b8db00d"]}],"mendeley":{"formattedCitation":"[32]","plainTextFormattedCitation":"[32]","previouslyFormattedCitation":"[32]"},"properties":{"noteIndex":0},"schema":"https://github.com/citation-style-language/schema/raw/master/csl-citation.json"}</w:instrText>
      </w:r>
      <w:r w:rsidR="00734C35">
        <w:rPr>
          <w:rFonts w:ascii="Times" w:hAnsi="Times" w:cs="Times New Roman"/>
          <w:lang w:val="en"/>
        </w:rPr>
        <w:fldChar w:fldCharType="separate"/>
      </w:r>
      <w:r w:rsidR="0052159C" w:rsidRPr="0052159C">
        <w:rPr>
          <w:rFonts w:ascii="Times" w:hAnsi="Times" w:cs="Times New Roman"/>
          <w:noProof/>
          <w:lang w:val="en"/>
        </w:rPr>
        <w:t>[32]</w:t>
      </w:r>
      <w:r w:rsidR="00734C35">
        <w:rPr>
          <w:rFonts w:ascii="Times" w:hAnsi="Times" w:cs="Times New Roman"/>
          <w:lang w:val="en"/>
        </w:rPr>
        <w:fldChar w:fldCharType="end"/>
      </w:r>
      <w:r w:rsidR="00393672">
        <w:rPr>
          <w:rFonts w:ascii="Times" w:hAnsi="Times" w:cs="Times New Roman"/>
          <w:lang w:val="en"/>
        </w:rPr>
        <w:t>.</w:t>
      </w:r>
      <w:r w:rsidR="007B713F">
        <w:rPr>
          <w:rFonts w:ascii="Times" w:hAnsi="Times" w:cs="Times New Roman"/>
          <w:lang w:val="en"/>
        </w:rPr>
        <w:t xml:space="preserve"> </w:t>
      </w:r>
      <w:r w:rsidR="00FB4C20">
        <w:rPr>
          <w:rFonts w:ascii="Times" w:hAnsi="Times" w:cs="Times New Roman"/>
          <w:lang w:val="en"/>
        </w:rPr>
        <w:t>O</w:t>
      </w:r>
      <w:r w:rsidR="007B713F">
        <w:rPr>
          <w:rFonts w:ascii="Times" w:hAnsi="Times" w:cs="Times New Roman"/>
          <w:lang w:val="en"/>
        </w:rPr>
        <w:t xml:space="preserve">ur findings demonstrate that </w:t>
      </w:r>
      <w:r w:rsidR="00B3787F">
        <w:rPr>
          <w:rFonts w:ascii="Times" w:hAnsi="Times" w:cs="Times New Roman"/>
          <w:lang w:val="en"/>
        </w:rPr>
        <w:t xml:space="preserve">the use of AOM in </w:t>
      </w:r>
      <w:r w:rsidR="007B713F">
        <w:rPr>
          <w:rFonts w:ascii="Times" w:hAnsi="Times" w:cs="Times New Roman"/>
          <w:lang w:val="en"/>
        </w:rPr>
        <w:t>secondary fracture prevention is currently insufficient, which</w:t>
      </w:r>
      <w:r w:rsidR="00FB09DB">
        <w:rPr>
          <w:rFonts w:ascii="Times" w:hAnsi="Times" w:cs="Times New Roman"/>
          <w:lang w:val="en"/>
        </w:rPr>
        <w:t xml:space="preserve"> is in line with what has been demonstrated in previous studies. </w:t>
      </w:r>
      <w:r w:rsidR="00382002">
        <w:rPr>
          <w:rFonts w:ascii="Times" w:hAnsi="Times" w:cs="Times New Roman"/>
          <w:lang w:val="en"/>
        </w:rPr>
        <w:t xml:space="preserve">In </w:t>
      </w:r>
      <w:r w:rsidR="00392612">
        <w:rPr>
          <w:rFonts w:ascii="Times" w:hAnsi="Times" w:cs="Times New Roman"/>
          <w:lang w:val="en"/>
        </w:rPr>
        <w:t xml:space="preserve">MOF </w:t>
      </w:r>
      <w:r w:rsidR="00382002">
        <w:rPr>
          <w:rFonts w:ascii="Times" w:hAnsi="Times" w:cs="Times New Roman"/>
          <w:lang w:val="en"/>
        </w:rPr>
        <w:t xml:space="preserve">patients not treated with AOM at the time of the fracture, </w:t>
      </w:r>
      <w:r w:rsidR="00FB09DB">
        <w:rPr>
          <w:rFonts w:ascii="Times" w:hAnsi="Times" w:cs="Times New Roman"/>
          <w:lang w:val="en"/>
        </w:rPr>
        <w:t>Leslie et al (2012) found a persistent treatment gap above 85% in Canada between 199</w:t>
      </w:r>
      <w:r w:rsidR="00AE49B5">
        <w:rPr>
          <w:rFonts w:ascii="Times" w:hAnsi="Times" w:cs="Times New Roman"/>
          <w:lang w:val="en"/>
        </w:rPr>
        <w:t>6</w:t>
      </w:r>
      <w:r w:rsidR="00FB09DB">
        <w:rPr>
          <w:rFonts w:ascii="Times" w:hAnsi="Times" w:cs="Times New Roman"/>
          <w:lang w:val="en"/>
        </w:rPr>
        <w:t xml:space="preserve"> and 2008, with the gap being larger in men</w:t>
      </w:r>
      <w:r w:rsidR="00FB09DB">
        <w:rPr>
          <w:rFonts w:ascii="Times" w:hAnsi="Times" w:cs="Times New Roman"/>
          <w:lang w:val="en"/>
        </w:rPr>
        <w:fldChar w:fldCharType="begin" w:fldLock="1"/>
      </w:r>
      <w:r w:rsidR="009F7D62">
        <w:rPr>
          <w:rFonts w:ascii="Times" w:hAnsi="Times" w:cs="Times New Roman"/>
          <w:lang w:val="en"/>
        </w:rPr>
        <w:instrText>ADDIN CSL_CITATION {"citationItems":[{"id":"ITEM-1","itemData":{"DOI":"10.1007/s00198-011-1630-1","ISBN":"1433-2965; 0937-941X","ISSN":"0937941X","PMID":"21476038","abstract":"UNLABELLED: The post-fracture care gap has not narrowed in recent years. Following an initial improvement, rates of medication initiation have actually declined.\\n\\nINTRODUCTION: The current study characterizes temporal changes in post-fracture bone mineral density (BMD) testing or osteoporosis treatment initiation from 1996/1997 to 2007/2008.\\n\\nMETHODS: A population-based administrative data repository for Manitoba, Canada was accessed to identify non-traumatic fractures in individuals aged 50 years and older. Outcomes included BMD testing or dispensation of an osteoporosis medication in the 12 months following the fracture.\\n\\nRESULTS: Thirty thousand nine hundred and twenty (30,920) fracture events met the inclusion criteria; 15,670 affected major osteoporotic fracture sites. Based on either BMD testing or treatment initiation, intervention rates reached a maximum of only 15.5% in 2003/2004, compared with 6.3% in 1996/1997, and 13.2% in 2007/2008 (p-for-trend &lt; 0.001). Post-fracture BMD testing increased from 0.7% in 1996/1997 to 8.9% 2007/2008 (p-for-trend &lt; 0.001). Osteoporosis medication use increased from 6.1% in 1996/1997 to 12.3% in 2001/2002 and then progressively declined to 5.9% by 2007/2008 (p-for-trend = 0.025). Similar trends were observed when only major osteoporotic fractures were included. The initiation of BMD testing or medication varied according to age, gender, geographic region, and income.\\n\\nCONCLUSION: Despite increased attention to gaps in osteoporosis management post-fracture in the last 10 years, the situation has not improved: in 2007/20008, fewer than 20% of untreated individuals with a low-trauma fracture received intervention. Novel strategies are required to disseminate and implement best practices at the point of care to reduce the risk of recurrent fractures.","author":[{"dropping-particle":"","family":"Leslie","given":"W. D.","non-dropping-particle":"","parse-names":false,"suffix":""},{"dropping-particle":"","family":"Giangregorio","given":"L. M.","non-dropping-particle":"","parse-names":false,"suffix":""},{"dropping-particle":"","family":"Yogendran","given":"M.","non-dropping-particle":"","parse-names":false,"suffix":""},{"dropping-particle":"","family":"Azimaee","given":"M.","non-dropping-particle":"","parse-names":false,"suffix":""},{"dropping-particle":"","family":"Morin","given":"S.","non-dropping-particle":"","parse-names":false,"suffix":""},{"dropping-particle":"","family":"Metge","given":"C.","non-dropping-particle":"","parse-names":false,"suffix":""},{"dropping-particle":"","family":"Caetano","given":"P.","non-dropping-particle":"","parse-names":false,"suffix":""},{"dropping-particle":"","family":"Lix","given":"L. M.","non-dropping-particle":"","parse-names":false,"suffix":""}],"container-title":"Osteoporosis International","id":"ITEM-1","issue":"5","issued":{"date-parts":[["2012"]]},"page":"1623-1629","title":"A population-based analysis of the post-fracture care gap 1996-2008: The situation is not improving","type":"article-journal","volume":"23"},"uris":["http://www.mendeley.com/documents/?uuid=b2ab9577-d686-45a5-87d9-0cbf82aa2b31"]}],"mendeley":{"formattedCitation":"[25]","plainTextFormattedCitation":"[25]","previouslyFormattedCitation":"[25]"},"properties":{"noteIndex":0},"schema":"https://github.com/citation-style-language/schema/raw/master/csl-citation.json"}</w:instrText>
      </w:r>
      <w:r w:rsidR="00FB09DB">
        <w:rPr>
          <w:rFonts w:ascii="Times" w:hAnsi="Times" w:cs="Times New Roman"/>
          <w:lang w:val="en"/>
        </w:rPr>
        <w:fldChar w:fldCharType="separate"/>
      </w:r>
      <w:r w:rsidR="009F7D62" w:rsidRPr="009F7D62">
        <w:rPr>
          <w:rFonts w:ascii="Times" w:hAnsi="Times" w:cs="Times New Roman"/>
          <w:noProof/>
          <w:lang w:val="en"/>
        </w:rPr>
        <w:t>[25]</w:t>
      </w:r>
      <w:r w:rsidR="00FB09DB">
        <w:rPr>
          <w:rFonts w:ascii="Times" w:hAnsi="Times" w:cs="Times New Roman"/>
          <w:lang w:val="en"/>
        </w:rPr>
        <w:fldChar w:fldCharType="end"/>
      </w:r>
      <w:r w:rsidR="00FB09DB">
        <w:rPr>
          <w:rFonts w:ascii="Times" w:hAnsi="Times" w:cs="Times New Roman"/>
          <w:lang w:val="en"/>
        </w:rPr>
        <w:t xml:space="preserve">. </w:t>
      </w:r>
      <w:r w:rsidR="003D7AE1">
        <w:rPr>
          <w:rFonts w:ascii="Times" w:hAnsi="Times" w:cs="Times New Roman"/>
          <w:lang w:val="en"/>
        </w:rPr>
        <w:t>Also i</w:t>
      </w:r>
      <w:r w:rsidR="00C814CC">
        <w:rPr>
          <w:rFonts w:ascii="Times" w:hAnsi="Times" w:cs="Times New Roman"/>
          <w:lang w:val="en"/>
        </w:rPr>
        <w:t xml:space="preserve">ncluding patients treated with AOM at the time of the fracture, </w:t>
      </w:r>
      <w:r w:rsidR="00FB09DB">
        <w:rPr>
          <w:rFonts w:ascii="Times" w:hAnsi="Times" w:cs="Times New Roman"/>
          <w:lang w:val="en"/>
        </w:rPr>
        <w:t xml:space="preserve">Wilk et al (2014) demonstrated a </w:t>
      </w:r>
      <w:r w:rsidR="00C814CC">
        <w:rPr>
          <w:rFonts w:ascii="Times" w:hAnsi="Times" w:cs="Times New Roman"/>
          <w:lang w:val="en"/>
        </w:rPr>
        <w:t xml:space="preserve">1 year </w:t>
      </w:r>
      <w:r w:rsidR="00FB09DB">
        <w:rPr>
          <w:rFonts w:ascii="Times" w:hAnsi="Times" w:cs="Times New Roman"/>
          <w:lang w:val="en"/>
        </w:rPr>
        <w:t xml:space="preserve">post-fracture treatment </w:t>
      </w:r>
      <w:r w:rsidR="00FB09DB">
        <w:rPr>
          <w:rFonts w:ascii="Times" w:hAnsi="Times" w:cs="Times New Roman"/>
          <w:lang w:val="en"/>
        </w:rPr>
        <w:lastRenderedPageBreak/>
        <w:t xml:space="preserve">gap around </w:t>
      </w:r>
      <w:r w:rsidR="00A72E28">
        <w:rPr>
          <w:rFonts w:ascii="Times" w:hAnsi="Times" w:cs="Times New Roman"/>
          <w:lang w:val="en"/>
        </w:rPr>
        <w:t>75</w:t>
      </w:r>
      <w:r w:rsidR="00FB09DB">
        <w:rPr>
          <w:rFonts w:ascii="Times" w:hAnsi="Times" w:cs="Times New Roman"/>
          <w:lang w:val="en"/>
        </w:rPr>
        <w:t xml:space="preserve">% in women with hip fractures </w:t>
      </w:r>
      <w:r w:rsidR="003F1788">
        <w:rPr>
          <w:rFonts w:ascii="Times" w:hAnsi="Times" w:cs="Times New Roman"/>
          <w:lang w:val="en"/>
        </w:rPr>
        <w:t xml:space="preserve">in the </w:t>
      </w:r>
      <w:r w:rsidR="00FB09DB">
        <w:rPr>
          <w:rFonts w:ascii="Times" w:hAnsi="Times" w:cs="Times New Roman"/>
          <w:lang w:val="en"/>
        </w:rPr>
        <w:t>United States</w:t>
      </w:r>
      <w:r w:rsidR="00FB09DB">
        <w:rPr>
          <w:rFonts w:ascii="Times" w:hAnsi="Times" w:cs="Times New Roman"/>
          <w:lang w:val="en"/>
        </w:rPr>
        <w:fldChar w:fldCharType="begin" w:fldLock="1"/>
      </w:r>
      <w:r w:rsidR="009F7D62">
        <w:rPr>
          <w:rFonts w:ascii="Times" w:hAnsi="Times" w:cs="Times New Roman"/>
          <w:lang w:val="en"/>
        </w:rPr>
        <w:instrText>ADDIN CSL_CITATION {"citationItems":[{"id":"ITEM-1","itemData":{"DOI":"10.1007/s00198-014-2827-x","ISBN":"0937-941x","ISSN":"14332965","PMID":"25112720","abstract":"Pharmacologic therapy is recommended to reduce future fracture risk. We examined osteoporosis medications dispensed to older women after first fracture. Only 23 % received therapy during the first year post-fracture. Prior osteoporosis therapy, a prior osteoporosis diagnosis, and older age were good predictors of post-fracture osteoporosis therapy. INTRODUCTION: Pharmacologic therapy is recommended after osteoporotic fracture to reduce future fracture risk. The objective of this retrospective study was to examine osteoporosis therapy dispensed to women post-fracture. METHODS: We identified women &gt;/=50 years old in a large administrative claims database from 2003 to mid-2012 who were continuously enrolled 2 years before (baseline) and 1 year after first osteoporotic fracture. Exclusions were Paget's disease or malignant neoplasm. Pre- and post-fracture osteoporosis therapies (oral and parenteral) were assessed overall and by fracture site. RESULTS: A total of 47,171 women of mean (SD) age of 63 (10) years were eligible; fractures included 8 % hip, 17 % vertebral, 73 % non-hip/non-vertebral, and 3 % multiple fracture sites. Only 18 % received osteoporosis therapy within 90 days and 23 % within 1 year post-fracture. Overall, 19 % of women had a prior osteoporosis diagnosis; 20 % had received osteoporosis therapy during baseline. Of 37,649 (80 %) women without baseline therapy, only 9 % initiated pharmacologic therapy within 1 year. The adjusted odds ratio (OR) of therapy within 1 year post-fracture was significantly greater for women who had received baseline osteoporosis therapy (versus none) and who had vertebral (OR 12.7, 95 % confidence interval (CI) 11.2-14.5), hip (15.2, 12.5-18.7), or non-hip/non-vertebral fracture (34.4, 31.7-37.3). Other significant predictors included pre-fracture osteoporosis diagnosis (1.6, 1.4-1.7) and older age (OR range, 1.3-1.7). Treatment adherence was significantly better among women with baseline osteoporosis diagnosis. CONCLUSIONS: The substantial post-fracture treatment gap represents an important unmet need for women with osteoporotic fractures. Fracture liaison or adherence programs could lead to improved post-fracture treatment rates.","author":[{"dropping-particle":"","family":"Wilk","given":"A.","non-dropping-particle":"","parse-names":false,"suffix":""},{"dropping-particle":"","family":"Sajjan","given":"S.","non-dropping-particle":"","parse-names":false,"suffix":""},{"dropping-particle":"","family":"Modi","given":"A.","non-dropping-particle":"","parse-names":false,"suffix":""},{"dropping-particle":"","family":"Fan","given":"C. P.S.","non-dropping-particle":"","parse-names":false,"suffix":""},{"dropping-particle":"","family":"Mavros","given":"P.","non-dropping-particle":"","parse-names":false,"suffix":""}],"container-title":"Osteoporosis International","id":"ITEM-1","issue":"12","issued":{"date-parts":[["2014"]]},"page":"2777-2786","title":"Post-fracture pharmacotherapy for women with osteoporotic fracture: analysis of a managed care population in the USA","type":"article-journal","volume":"25"},"uris":["http://www.mendeley.com/documents/?uuid=03c81add-edbc-4de4-b07a-493d23e93cbe"]}],"mendeley":{"formattedCitation":"[21]","plainTextFormattedCitation":"[21]","previouslyFormattedCitation":"[21]"},"properties":{"noteIndex":0},"schema":"https://github.com/citation-style-language/schema/raw/master/csl-citation.json"}</w:instrText>
      </w:r>
      <w:r w:rsidR="00FB09DB">
        <w:rPr>
          <w:rFonts w:ascii="Times" w:hAnsi="Times" w:cs="Times New Roman"/>
          <w:lang w:val="en"/>
        </w:rPr>
        <w:fldChar w:fldCharType="separate"/>
      </w:r>
      <w:r w:rsidR="009F7D62" w:rsidRPr="009F7D62">
        <w:rPr>
          <w:rFonts w:ascii="Times" w:hAnsi="Times" w:cs="Times New Roman"/>
          <w:noProof/>
          <w:lang w:val="en"/>
        </w:rPr>
        <w:t>[21]</w:t>
      </w:r>
      <w:r w:rsidR="00FB09DB">
        <w:rPr>
          <w:rFonts w:ascii="Times" w:hAnsi="Times" w:cs="Times New Roman"/>
          <w:lang w:val="en"/>
        </w:rPr>
        <w:fldChar w:fldCharType="end"/>
      </w:r>
      <w:r w:rsidR="00FB09DB">
        <w:rPr>
          <w:rFonts w:ascii="Times" w:hAnsi="Times" w:cs="Times New Roman"/>
          <w:lang w:val="en"/>
        </w:rPr>
        <w:t xml:space="preserve">, </w:t>
      </w:r>
      <w:r w:rsidR="00D60A8D">
        <w:rPr>
          <w:rFonts w:ascii="Times" w:hAnsi="Times" w:cs="Times New Roman"/>
          <w:lang w:val="en"/>
        </w:rPr>
        <w:t>consistent with a treatment gap around 73% in men and women</w:t>
      </w:r>
      <w:r w:rsidR="00AD5128">
        <w:rPr>
          <w:rFonts w:ascii="Times" w:hAnsi="Times" w:cs="Times New Roman"/>
          <w:lang w:val="en"/>
        </w:rPr>
        <w:t xml:space="preserve"> with hip fractures</w:t>
      </w:r>
      <w:r w:rsidR="00D60A8D">
        <w:rPr>
          <w:rFonts w:ascii="Times" w:hAnsi="Times" w:cs="Times New Roman"/>
          <w:lang w:val="en"/>
        </w:rPr>
        <w:t xml:space="preserve"> in Hawaii as demonstrated by </w:t>
      </w:r>
      <w:r w:rsidR="00FB09DB">
        <w:rPr>
          <w:rFonts w:ascii="Times" w:hAnsi="Times" w:cs="Times New Roman"/>
          <w:lang w:val="en"/>
        </w:rPr>
        <w:t>Nguyen et al (2018</w:t>
      </w:r>
      <w:r w:rsidR="00520592">
        <w:rPr>
          <w:rFonts w:ascii="Times" w:hAnsi="Times" w:cs="Times New Roman"/>
          <w:lang w:val="en"/>
        </w:rPr>
        <w:t>)</w:t>
      </w:r>
      <w:r w:rsidR="00FB09DB">
        <w:rPr>
          <w:rFonts w:ascii="Times" w:hAnsi="Times" w:cs="Times New Roman"/>
          <w:lang w:val="en"/>
        </w:rPr>
        <w:fldChar w:fldCharType="begin" w:fldLock="1"/>
      </w:r>
      <w:r w:rsidR="009F7D62">
        <w:rPr>
          <w:rFonts w:ascii="Times" w:hAnsi="Times" w:cs="Times New Roman"/>
          <w:lang w:val="en"/>
        </w:rPr>
        <w:instrText>ADDIN CSL_CITATION {"citationItems":[{"id":"ITEM-1","itemData":{"DOI":"10.1007/s00198-018-4553-2","ISSN":"14332965","abstract":"© 2018, International Osteoporosis Foundation and National Osteoporosis Foundation. Summary: We evaluated osteoporosis treatment and DEXA utilization rates of patients who were admitted for hip fracture in a single healthcare system in Hawaii from 2015 to 2016. We found that osteoporosis treatment and DEXA utilization rates were low, highlighting a critical gap in osteoporosis care after admission for hip fracture. Introduction: The objective of this study was to evaluate osteoporosis care after an admission for hip fracture at three community hospitals within a single healthcare system in Hawaii. Methods: A retrospective chart review was conducted (n = 428) of patients ≥ 50 years and hospitalized for hip fractures between January 1, 2015, and May 31, 2016, at three major hospitals within Hawaii Pacific Health, a large healthcare system in Hawaii. Basic demographics were collected, and medications prescribed were quantified and described within 1 year of hip fracture. Logistic regression was used to evaluate the association between collected variables and the odds of osteoporosis treatment. Results: Only 115 (26.9%) patients were prescribed a medication for osteoporosis as a secondary prevention within a year of hospitalization for hip fracture. DEXA scans were performed in 137 (32.0%) patients. Most of the treated patients were prescribed oral bisphosphonates. Treatment facility, female gender, and higher BMI were found to be predictive factors for osteoporosis treatment. Conclusion: The use of osteoporosis medication for secondary prevention after admission for hip fracture in Hawaii is low. Efforts need to be made to improve treatment rates, especially among males.","author":[{"dropping-particle":"","family":"Nguyen","given":"E. T.","non-dropping-particle":"","parse-names":false,"suffix":""},{"dropping-particle":"","family":"Posas-Mendoza","given":"T.","non-dropping-particle":"","parse-names":false,"suffix":""},{"dropping-particle":"","family":"Siu","given":"A. M.","non-dropping-particle":"","parse-names":false,"suffix":""},{"dropping-particle":"","family":"Ahn","given":"H. J.","non-dropping-particle":"","parse-names":false,"suffix":""},{"dropping-particle":"","family":"Choi","given":"S. Y.","non-dropping-particle":"","parse-names":false,"suffix":""},{"dropping-particle":"","family":"Lim","given":"S. Y.","non-dropping-particle":"","parse-names":false,"suffix":""}],"container-title":"Osteoporosis International","id":"ITEM-1","issue":"8","issued":{"date-parts":[["2018"]]},"page":"1827-1832","publisher":"Osteoporosis International","title":"Low rates of osteoporosis treatment after hospitalization for hip fracture in Hawaii","type":"article-journal","volume":"29"},"uris":["http://www.mendeley.com/documents/?uuid=f896044e-a99d-441e-9774-344b7431e85d"]}],"mendeley":{"formattedCitation":"[26]","plainTextFormattedCitation":"[26]","previouslyFormattedCitation":"[26]"},"properties":{"noteIndex":0},"schema":"https://github.com/citation-style-language/schema/raw/master/csl-citation.json"}</w:instrText>
      </w:r>
      <w:r w:rsidR="00FB09DB">
        <w:rPr>
          <w:rFonts w:ascii="Times" w:hAnsi="Times" w:cs="Times New Roman"/>
          <w:lang w:val="en"/>
        </w:rPr>
        <w:fldChar w:fldCharType="separate"/>
      </w:r>
      <w:r w:rsidR="009F7D62" w:rsidRPr="009F7D62">
        <w:rPr>
          <w:rFonts w:ascii="Times" w:hAnsi="Times" w:cs="Times New Roman"/>
          <w:noProof/>
          <w:lang w:val="en"/>
        </w:rPr>
        <w:t>[26]</w:t>
      </w:r>
      <w:r w:rsidR="00FB09DB">
        <w:rPr>
          <w:rFonts w:ascii="Times" w:hAnsi="Times" w:cs="Times New Roman"/>
          <w:lang w:val="en"/>
        </w:rPr>
        <w:fldChar w:fldCharType="end"/>
      </w:r>
      <w:r w:rsidR="00FB09DB">
        <w:rPr>
          <w:rFonts w:ascii="Times" w:hAnsi="Times" w:cs="Times New Roman"/>
          <w:lang w:val="en"/>
        </w:rPr>
        <w:t>. Other studies have demonstrated similar findings</w:t>
      </w:r>
      <w:r w:rsidR="00FB09DB">
        <w:rPr>
          <w:rFonts w:ascii="Times" w:hAnsi="Times" w:cs="Times New Roman"/>
          <w:lang w:val="en"/>
        </w:rPr>
        <w:fldChar w:fldCharType="begin" w:fldLock="1"/>
      </w:r>
      <w:r w:rsidR="009F7D62">
        <w:rPr>
          <w:rFonts w:ascii="Times" w:hAnsi="Times" w:cs="Times New Roman"/>
          <w:lang w:val="en"/>
        </w:rPr>
        <w:instrText>ADDIN CSL_CITATION {"citationItems":[{"id":"ITEM-1","itemData":{"DOI":"10.1007/s00198-004-1675-5","ISBN":"0937-941X","ISSN":"0937941X","PMID":"15258724","abstract":"Fragility fractures are a strong indicator of underlying osteoporosis (OP). With the risk of future fracture being increased 1.5- to 9.5-fold following a fragility fracture, the diagnosis and treatment of OP in men and women with fragility fractures provides the opportunity to prevent future fragility fractures. This review describes the current status of practice in investigation and diagnosis of OP in men and women with fragility fractures, the rates and types of postfracture treatment in patients with fragility fractures and OP, interventions undertaken in this population, and the barriers to OP identification and treatment. A literature search performed in Medline, Healthstar, CINAHL, EMBASE, PreMedline, the Cochrane Central Register of Controlled Trials, and the Cochrane Database of Systematic Reviews identified 37 studies on OP diagnosis, treatment, and interventions. The studies varied in design methodology, study facilities, types of fractures, and pharmacological treatments. Some studies revealed that no patients with fragility fractures received investigation or treatment for underlying OP. Investigation of OP by bone mineral density was low: 14 of 16 studies reported investigation of less than 32% of patients. Investigation by bone mineral density resulted in high rates of OP diagnosis (35-100%), but only moderate use of calcium and vitamin D (8-62%, median 18%) and bisphosphates (0.5-38%) in patients investigated postfracture. Studies on barriers to OP identification and treatment focused on various groups of health practitioners. Barriers included the cost of therapies, time and cost of resources for diagnosis, concerns about medications, and the lack of clarity regarding the responsibility to undertake this care.","author":[{"dropping-particle":"","family":"Elliot-Gibson","given":"V.","non-dropping-particle":"","parse-names":false,"suffix":""},{"dropping-particle":"","family":"Bogoch","given":"E. R.","non-dropping-particle":"","parse-names":false,"suffix":""},{"dropping-particle":"","family":"Jamal","given":"S. A.","non-dropping-particle":"","parse-names":false,"suffix":""},{"dropping-particle":"","family":"Beaton","given":"D. E.","non-dropping-particle":"","parse-names":false,"suffix":""}],"container-title":"Osteoporosis International","id":"ITEM-1","issue":"10","issued":{"date-parts":[["2004"]]},"page":"767-778","title":"Practice patterns in the diagnosis and treatment of osteoporosis after a fragility fracture: A systematic review","type":"article-journal","volume":"15"},"uris":["http://www.mendeley.com/documents/?uuid=922c4cf2-c0af-4cc1-aac2-3ed68c7b83ac"]},{"id":"ITEM-2","itemData":{"DOI":"10.12809/hkmj187227","abstract":"Introduction: Patients who sustain an osteoporotic fracture are at increased risk of sustaining further osteoporotic fracture. The risk can be reduced by prescription of anti-osteoporosis medication. The aim of the present study was to determine the current practice in Hong Kong regarding secondary drug prevention of fragility fractures after osteoporotic hip fracture. Methods: Dispensation of anti-osteoporosis medication records from patients with new fragility hip fractures aged ≥65 years were retrieved using the Hospital Authority Clinical Data Analysis and Reporting System from 2009 to 2012. The intervention rate each year was determined from the percentage of patients receiving anti-osteoporosis medication within 1 year after hip fracture. Results: A total of 15 866 patients with osteoporotic hip fracture who met the criteria were included. The intervention rate differed each year from 2009 to 2012, ranging between 9% and 15%. Orthopaedic surgeons initiated 63% of anti-osteoporosis medication, whereas physicians initiated 37%. The anti-osteoporosis drugs being prescribed included alendronic acid (76%), ibandronic acid (12%), strontium ranelate (5%), and zoledronic acid (4%). Conclusion: Most patients with hip fracture remained untreated for 1 year after the osteoporotic hip fracture. The Hospital Authority should allocate more resources to implement a best practice framework for treatment of patients with hip fracture at high risk of secondary fracture.","author":[{"dropping-particle":"","family":"Cheung","given":"MY","non-dropping-particle":"","parse-names":false,"suffix":""},{"dropping-particle":"","family":"Ho","given":"Angela WH","non-dropping-particle":"","parse-names":false,"suffix":""},{"dropping-particle":"","family":"Wong","given":"SH","non-dropping-particle":"","parse-names":false,"suffix":""}],"container-title":"Hong Kong medical journal","id":"ITEM-2","issue":"6","issued":{"date-parts":[["2018"]]},"page":"579-83","title":"Post-fracture care gap: a retrospective population-based analysis of Hong Kong from 2009 to 2012","type":"article-journal","volume":"24"},"uris":["http://www.mendeley.com/documents/?uuid=2bd4e3e4-8ca5-47e0-97be-de37d3cbca34"]}],"mendeley":{"formattedCitation":"[17, 19]","plainTextFormattedCitation":"[17, 19]","previouslyFormattedCitation":"[17, 19]"},"properties":{"noteIndex":0},"schema":"https://github.com/citation-style-language/schema/raw/master/csl-citation.json"}</w:instrText>
      </w:r>
      <w:r w:rsidR="00FB09DB">
        <w:rPr>
          <w:rFonts w:ascii="Times" w:hAnsi="Times" w:cs="Times New Roman"/>
          <w:lang w:val="en"/>
        </w:rPr>
        <w:fldChar w:fldCharType="separate"/>
      </w:r>
      <w:r w:rsidR="009F7D62" w:rsidRPr="009F7D62">
        <w:rPr>
          <w:rFonts w:ascii="Times" w:hAnsi="Times" w:cs="Times New Roman"/>
          <w:noProof/>
          <w:lang w:val="en"/>
        </w:rPr>
        <w:t>[17, 19]</w:t>
      </w:r>
      <w:r w:rsidR="00FB09DB">
        <w:rPr>
          <w:rFonts w:ascii="Times" w:hAnsi="Times" w:cs="Times New Roman"/>
          <w:lang w:val="en"/>
        </w:rPr>
        <w:fldChar w:fldCharType="end"/>
      </w:r>
      <w:r w:rsidR="00FB09DB">
        <w:rPr>
          <w:rFonts w:ascii="Times" w:hAnsi="Times" w:cs="Times New Roman"/>
          <w:lang w:val="en"/>
        </w:rPr>
        <w:t xml:space="preserve">, indicating that the lack of post-fracture </w:t>
      </w:r>
      <w:r w:rsidR="00BE19A5">
        <w:rPr>
          <w:rFonts w:ascii="Times" w:hAnsi="Times" w:cs="Times New Roman"/>
          <w:lang w:val="en"/>
        </w:rPr>
        <w:t xml:space="preserve">anti-osteoporosis </w:t>
      </w:r>
      <w:r w:rsidR="00FB09DB">
        <w:rPr>
          <w:rFonts w:ascii="Times" w:hAnsi="Times" w:cs="Times New Roman"/>
          <w:lang w:val="en"/>
        </w:rPr>
        <w:t xml:space="preserve">medical therapy seems to be a universal problem. </w:t>
      </w:r>
      <w:r w:rsidR="003121F6">
        <w:rPr>
          <w:rFonts w:ascii="Times" w:hAnsi="Times" w:cs="Times New Roman"/>
          <w:lang w:val="en"/>
        </w:rPr>
        <w:t>Barton and colleagues (2019) demonstrated decreasing treatment rates in AOM naïve patients sustaining an incident vertebral fracture, suggesting that this may be due to fear of rare bisphosphonate side effects such as osteonecrosis of the jaw and atypical femur fractures</w:t>
      </w:r>
      <w:r w:rsidR="003121F6">
        <w:rPr>
          <w:rFonts w:ascii="Times" w:hAnsi="Times" w:cs="Times New Roman"/>
          <w:lang w:val="en"/>
        </w:rPr>
        <w:fldChar w:fldCharType="begin" w:fldLock="1"/>
      </w:r>
      <w:r w:rsidR="00175613">
        <w:rPr>
          <w:rFonts w:ascii="Times" w:hAnsi="Times" w:cs="Times New Roman"/>
          <w:lang w:val="en"/>
        </w:rPr>
        <w:instrText>ADDIN CSL_CITATION {"citationItems":[{"id":"ITEM-1","itemData":{"DOI":"10.1016/j.spinee.2018.08.004","ISBN":"4438456002","ISSN":"15299430","PMID":"30142455","abstract":"BACKGROUND CONTEXT: Osteoporosis remains an underrecognized and undertreated disease entity in the orthopaedic setting, accounting for substantial long-term morbidity and mortality. Osteoporosis is often not diagnosed or treated until multiple fractures have occurred. Vertebral compression fractures are the most common sentinel fracture, providing an opportunity to intervene with antiresorptive therapy before more debilitating fractures occur. Little data has been published on osteoporosis screening and treatment following vertebral fractures. Further elu-cidation of the osteoporosis care gap in these patients is warranted. PURPOSE: To demonstrate the current state of post vertebral fracture osteoporosis management at a large tertiary care center with no established secondary fracture prevention program. STUDY DESIGN: Retrospective cohort study. SETTING: A large tertiary care hospital or one of its affiliated community hospitals. PATIENT SAMPLE: All 2,933 patients, 50 years of age or older, who presented to an emergency department with a new vertebral fracture between 2008 and 2014. OUTCOME MEASURES: The physiological measures are rates of new fractures within 2 years following first vertebral fracture. PATIENT CARE METRICS: Post vertebral fracture rates of dual energy X-ray absorptiometry (DXA) testing, calcium and vitamin D supplementation, and pharmacotherapy for osteoporosis within 1 year postfracture, and more than 1 year postfracture. Linear trend of the rate of new antios-teoporosis pharmacotherapy among previously antiosteoporosis medication naive patients within 1 year of fracture over time from 2008 to 2014. METHODS: All patients aged 50 years or older presenting to an emergency department with a vertebral fracture between 2008 and 2014 were included. Only an individual's first documented vertebral fracture was considered. Individuals were assessed for DXA screening, calcium and vitamin D supplementation, treatment with an antiosteoporosis medication, and additional fractures following incident vertebral fracture. Statistical analyses included descriptive statistics and a simple logistic regression. No specific funding was provided for this study. The authors of this study report no relevant financial conflicts of interests or associated biases. RESULTS: Between 2008 and 2014, 2,933 unique patients were seen at an included emergency department for one or more vertebral fracture encounters. Ninety-eight percent did not receive a DXA scan within…","author":[{"dropping-particle":"","family":"Barton","given":"David W.","non-dropping-particle":"","parse-names":false,"suffix":""},{"dropping-particle":"","family":"Behrend","given":"Caleb J.","non-dropping-particle":"","parse-names":false,"suffix":""},{"dropping-particle":"","family":"Carmouche","given":"Jonathan J.","non-dropping-particle":"","parse-names":false,"suffix":""}],"container-title":"The Spine Journal","id":"ITEM-1","issue":"3","issued":{"date-parts":[["2019"]]},"page":"411-17","publisher":"Elsevier Inc.","title":"Rates of osteoporosis screening and treatment following vertebral fracture","type":"article-journal","volume":"19"},"uris":["http://www.mendeley.com/documents/?uuid=c98b4d0f-1a3f-4777-824f-1c652ea121d2"]}],"mendeley":{"formattedCitation":"[33]","plainTextFormattedCitation":"[33]","previouslyFormattedCitation":"[33]"},"properties":{"noteIndex":0},"schema":"https://github.com/citation-style-language/schema/raw/master/csl-citation.json"}</w:instrText>
      </w:r>
      <w:r w:rsidR="003121F6">
        <w:rPr>
          <w:rFonts w:ascii="Times" w:hAnsi="Times" w:cs="Times New Roman"/>
          <w:lang w:val="en"/>
        </w:rPr>
        <w:fldChar w:fldCharType="separate"/>
      </w:r>
      <w:r w:rsidR="0052159C" w:rsidRPr="0052159C">
        <w:rPr>
          <w:rFonts w:ascii="Times" w:hAnsi="Times" w:cs="Times New Roman"/>
          <w:noProof/>
          <w:lang w:val="en"/>
        </w:rPr>
        <w:t>[33]</w:t>
      </w:r>
      <w:r w:rsidR="003121F6">
        <w:rPr>
          <w:rFonts w:ascii="Times" w:hAnsi="Times" w:cs="Times New Roman"/>
          <w:lang w:val="en"/>
        </w:rPr>
        <w:fldChar w:fldCharType="end"/>
      </w:r>
      <w:r w:rsidR="003121F6">
        <w:rPr>
          <w:rFonts w:ascii="Times" w:hAnsi="Times" w:cs="Times New Roman"/>
          <w:lang w:val="en"/>
        </w:rPr>
        <w:t xml:space="preserve">. </w:t>
      </w:r>
      <w:r w:rsidR="00FB09DB">
        <w:rPr>
          <w:rFonts w:ascii="Times" w:hAnsi="Times" w:cs="Times New Roman"/>
          <w:lang w:val="en"/>
        </w:rPr>
        <w:t>However, while some time trend analyses indicate that the problem may be getting worse in recent years</w:t>
      </w:r>
      <w:r w:rsidR="00FB09DB">
        <w:rPr>
          <w:rFonts w:ascii="Times" w:hAnsi="Times" w:cs="Times New Roman"/>
          <w:lang w:val="en"/>
        </w:rPr>
        <w:fldChar w:fldCharType="begin" w:fldLock="1"/>
      </w:r>
      <w:r w:rsidR="00175613">
        <w:rPr>
          <w:rFonts w:ascii="Times" w:hAnsi="Times" w:cs="Times New Roman"/>
          <w:lang w:val="en"/>
        </w:rPr>
        <w:instrText>ADDIN CSL_CITATION {"citationItems":[{"id":"ITEM-1","itemData":{"DOI":"10.1007/s00198-011-1630-1","ISBN":"1433-2965; 0937-941X","ISSN":"0937941X","PMID":"21476038","abstract":"UNLABELLED: The post-fracture care gap has not narrowed in recent years. Following an initial improvement, rates of medication initiation have actually declined.\\n\\nINTRODUCTION: The current study characterizes temporal changes in post-fracture bone mineral density (BMD) testing or osteoporosis treatment initiation from 1996/1997 to 2007/2008.\\n\\nMETHODS: A population-based administrative data repository for Manitoba, Canada was accessed to identify non-traumatic fractures in individuals aged 50 years and older. Outcomes included BMD testing or dispensation of an osteoporosis medication in the 12 months following the fracture.\\n\\nRESULTS: Thirty thousand nine hundred and twenty (30,920) fracture events met the inclusion criteria; 15,670 affected major osteoporotic fracture sites. Based on either BMD testing or treatment initiation, intervention rates reached a maximum of only 15.5% in 2003/2004, compared with 6.3% in 1996/1997, and 13.2% in 2007/2008 (p-for-trend &lt; 0.001). Post-fracture BMD testing increased from 0.7% in 1996/1997 to 8.9% 2007/2008 (p-for-trend &lt; 0.001). Osteoporosis medication use increased from 6.1% in 1996/1997 to 12.3% in 2001/2002 and then progressively declined to 5.9% by 2007/2008 (p-for-trend = 0.025). Similar trends were observed when only major osteoporotic fractures were included. The initiation of BMD testing or medication varied according to age, gender, geographic region, and income.\\n\\nCONCLUSION: Despite increased attention to gaps in osteoporosis management post-fracture in the last 10 years, the situation has not improved: in 2007/20008, fewer than 20% of untreated individuals with a low-trauma fracture received intervention. Novel strategies are required to disseminate and implement best practices at the point of care to reduce the risk of recurrent fractures.","author":[{"dropping-particle":"","family":"Leslie","given":"W. D.","non-dropping-particle":"","parse-names":false,"suffix":""},{"dropping-particle":"","family":"Giangregorio","given":"L. M.","non-dropping-particle":"","parse-names":false,"suffix":""},{"dropping-particle":"","family":"Yogendran","given":"M.","non-dropping-particle":"","parse-names":false,"suffix":""},{"dropping-particle":"","family":"Azimaee","given":"M.","non-dropping-particle":"","parse-names":false,"suffix":""},{"dropping-particle":"","family":"Morin","given":"S.","non-dropping-particle":"","parse-names":false,"suffix":""},{"dropping-particle":"","family":"Metge","given":"C.","non-dropping-particle":"","parse-names":false,"suffix":""},{"dropping-particle":"","family":"Caetano","given":"P.","non-dropping-particle":"","parse-names":false,"suffix":""},{"dropping-particle":"","family":"Lix","given":"L. M.","non-dropping-particle":"","parse-names":false,"suffix":""}],"container-title":"Osteoporosis International","id":"ITEM-1","issue":"5","issued":{"date-parts":[["2012"]]},"page":"1623-1629","title":"A population-based analysis of the post-fracture care gap 1996-2008: The situation is not improving","type":"article-journal","volume":"23"},"uris":["http://www.mendeley.com/documents/?uuid=b2ab9577-d686-45a5-87d9-0cbf82aa2b31"]},{"id":"ITEM-2","itemData":{"DOI":"10.12809/hkmj187227","abstract":"Introduction: Patients who sustain an osteoporotic fracture are at increased risk of sustaining further osteoporotic fracture. The risk can be reduced by prescription of anti-osteoporosis medication. The aim of the present study was to determine the current practice in Hong Kong regarding secondary drug prevention of fragility fractures after osteoporotic hip fracture. Methods: Dispensation of anti-osteoporosis medication records from patients with new fragility hip fractures aged ≥65 years were retrieved using the Hospital Authority Clinical Data Analysis and Reporting System from 2009 to 2012. The intervention rate each year was determined from the percentage of patients receiving anti-osteoporosis medication within 1 year after hip fracture. Results: A total of 15 866 patients with osteoporotic hip fracture who met the criteria were included. The intervention rate differed each year from 2009 to 2012, ranging between 9% and 15%. Orthopaedic surgeons initiated 63% of anti-osteoporosis medication, whereas physicians initiated 37%. The anti-osteoporosis drugs being prescribed included alendronic acid (76%), ibandronic acid (12%), strontium ranelate (5%), and zoledronic acid (4%). Conclusion: Most patients with hip fracture remained untreated for 1 year after the osteoporotic hip fracture. The Hospital Authority should allocate more resources to implement a best practice framework for treatment of patients with hip fracture at high risk of secondary fracture.","author":[{"dropping-particle":"","family":"Cheung","given":"MY","non-dropping-particle":"","parse-names":false,"suffix":""},{"dropping-particle":"","family":"Ho","given":"Angela WH","non-dropping-particle":"","parse-names":false,"suffix":""},{"dropping-particle":"","family":"Wong","given":"SH","non-dropping-particle":"","parse-names":false,"suffix":""}],"container-title":"Hong Kong medical journal","id":"ITEM-2","issue":"6","issued":{"date-parts":[["2018"]]},"page":"579-83","title":"Post-fracture care gap: a retrospective population-based analysis of Hong Kong from 2009 to 2012","type":"article-journal","volume":"24"},"uris":["http://www.mendeley.com/documents/?uuid=2bd4e3e4-8ca5-47e0-97be-de37d3cbca34"]},{"id":"ITEM-3","itemData":{"DOI":"10.1002/jbmr.2202","ISSN":"15234681","abstract":"Hip fractures are common, morbid, costly, and associated with subsequent fractures. Historically, postfracture osteoporosis medication use rates have been poor, but have not been recently examined in a large-scale study. We conducted a retrospective, observational cohort study based on U.S. administrative insurance claims data for beneficiaries with commercial or Medicare supplemental health insurance. Eligible participants were hospitalized for hip fracture between January 1, 2002, and December 31, 2011, and aged 50 years or older at admission. The outcome of interest was osteoporosis medication use within 12 months after discharge. Patients were censored after 12 months, loss to follow-up, or a medical claim for cancer or Paget's disease, whichever event occurred first. During the study period, 96,887 beneficiaries met the inclusion criteria; they had a mean age of 80 years and 70% were female. A total of 34,389 (35.5%) patients were censored before reaching 12 months of follow-up. The Kaplan-Meier estimated probability of osteoporosis medication use within 12 months after discharge was 28.5%. The rates declined significantly from 40.2% in 2002, to 20.5% in 2011 (p for trend &lt;0.001). In multivariable Cox proportional hazards models, a number of patient characteristics were associated with reduced likelihood of osteoporosis medication use, including older age and male gender. However, the predictor most strongly and most positively associated with osteoporosis medication use after fracture was osteoporosis medication use before the fracture (hazard ratio=7.45; 95% confidence interval [CI], 7.23-7.69). Most patients suffering a hip fracture do not use osteoporosis medication in the subsequent year and treatment rates have worsened. © 2014 Eli Lilly and Company. Journal of Bone and Mineral Research published by Wiley Periodicals, Inc. on behalf of the American Society for Bone and Mineral Research. © 2014 The Authors. Journal of Bone and Mineral Research Published by Wiley Periodicals, Inc. on behalf of the American Society for Bone and Mineral Research.","author":[{"dropping-particle":"","family":"Solomon","given":"Daniel H.","non-dropping-particle":"","parse-names":false,"suffix":""},{"dropping-particle":"","family":"Johnston","given":"Stephen S.","non-dropping-particle":"","parse-names":false,"suffix":""},{"dropping-particle":"","family":"Boytsov","given":"Natalie N.","non-dropping-particle":"","parse-names":false,"suffix":""},{"dropping-particle":"","family":"McMorrow","given":"Donna","non-dropping-particle":"","parse-names":false,"suffix":""},{"dropping-particle":"","family":"Lane","given":"Joseph M.","non-dropping-particle":"","parse-names":false,"suffix":""},{"dropping-particle":"","family":"Krohn","given":"Kelly D.","non-dropping-particle":"","parse-names":false,"suffix":""}],"container-title":"Journal of Bone and Mineral Research","id":"ITEM-3","issue":"9","issued":{"date-parts":[["2014"]]},"page":"1929-37","title":"Osteoporosis medication use after hip fracture in U.S. patients between 2002 and 2011","type":"article-journal","volume":"29"},"uris":["http://www.mendeley.com/documents/?uuid=d4697183-faf7-424b-8db7-bba2605a34cf"]}],"mendeley":{"formattedCitation":"[19, 25, 29]","plainTextFormattedCitation":"[19, 25, 29]","previouslyFormattedCitation":"[19, 25, 29]"},"properties":{"noteIndex":0},"schema":"https://github.com/citation-style-language/schema/raw/master/csl-citation.json"}</w:instrText>
      </w:r>
      <w:r w:rsidR="00FB09DB">
        <w:rPr>
          <w:rFonts w:ascii="Times" w:hAnsi="Times" w:cs="Times New Roman"/>
          <w:lang w:val="en"/>
        </w:rPr>
        <w:fldChar w:fldCharType="separate"/>
      </w:r>
      <w:r w:rsidR="0052159C" w:rsidRPr="0052159C">
        <w:rPr>
          <w:rFonts w:ascii="Times" w:hAnsi="Times" w:cs="Times New Roman"/>
          <w:noProof/>
          <w:lang w:val="en"/>
        </w:rPr>
        <w:t>[19, 25, 29]</w:t>
      </w:r>
      <w:r w:rsidR="00FB09DB">
        <w:rPr>
          <w:rFonts w:ascii="Times" w:hAnsi="Times" w:cs="Times New Roman"/>
          <w:lang w:val="en"/>
        </w:rPr>
        <w:fldChar w:fldCharType="end"/>
      </w:r>
      <w:r w:rsidR="00FB09DB">
        <w:rPr>
          <w:rFonts w:ascii="Times" w:hAnsi="Times" w:cs="Times New Roman"/>
          <w:lang w:val="en"/>
        </w:rPr>
        <w:t xml:space="preserve">, our analysis </w:t>
      </w:r>
      <w:r w:rsidR="00D21502">
        <w:rPr>
          <w:rFonts w:ascii="Times" w:hAnsi="Times" w:cs="Times New Roman"/>
          <w:lang w:val="en"/>
        </w:rPr>
        <w:t xml:space="preserve">suggests </w:t>
      </w:r>
      <w:r w:rsidR="00FB09DB">
        <w:rPr>
          <w:rFonts w:ascii="Times" w:hAnsi="Times" w:cs="Times New Roman"/>
          <w:lang w:val="en"/>
        </w:rPr>
        <w:t xml:space="preserve">a stable or slightly </w:t>
      </w:r>
      <w:r w:rsidR="00D21502">
        <w:rPr>
          <w:rFonts w:ascii="Times" w:hAnsi="Times" w:cs="Times New Roman"/>
          <w:lang w:val="en"/>
        </w:rPr>
        <w:t xml:space="preserve">improving </w:t>
      </w:r>
      <w:r w:rsidR="00FB09DB">
        <w:rPr>
          <w:rFonts w:ascii="Times" w:hAnsi="Times" w:cs="Times New Roman"/>
          <w:lang w:val="en"/>
        </w:rPr>
        <w:t>treatment gap from 2005 to 2014</w:t>
      </w:r>
      <w:r w:rsidR="009626A4">
        <w:rPr>
          <w:rFonts w:ascii="Times" w:hAnsi="Times" w:cs="Times New Roman"/>
          <w:lang w:val="en"/>
        </w:rPr>
        <w:t xml:space="preserve"> in Denmark</w:t>
      </w:r>
      <w:r w:rsidR="0057675E">
        <w:rPr>
          <w:rFonts w:ascii="Times" w:hAnsi="Times" w:cs="Times New Roman"/>
          <w:lang w:val="en"/>
        </w:rPr>
        <w:t>.</w:t>
      </w:r>
      <w:r w:rsidR="00FB09DB">
        <w:rPr>
          <w:rFonts w:ascii="Times" w:hAnsi="Times" w:cs="Times New Roman"/>
          <w:lang w:val="en"/>
        </w:rPr>
        <w:t xml:space="preserve"> </w:t>
      </w:r>
    </w:p>
    <w:p w14:paraId="3715AFF1" w14:textId="77777777" w:rsidR="009620FA" w:rsidRDefault="009620FA" w:rsidP="00FB09DB">
      <w:pPr>
        <w:spacing w:line="480" w:lineRule="auto"/>
        <w:rPr>
          <w:rFonts w:ascii="Times" w:hAnsi="Times" w:cs="Times New Roman"/>
          <w:lang w:val="en"/>
        </w:rPr>
      </w:pPr>
    </w:p>
    <w:p w14:paraId="35861D5A" w14:textId="0E4766AC" w:rsidR="00F649BA" w:rsidRDefault="00B3787F" w:rsidP="000936F4">
      <w:pPr>
        <w:spacing w:line="480" w:lineRule="auto"/>
        <w:rPr>
          <w:rFonts w:ascii="Times" w:hAnsi="Times" w:cs="Times New Roman"/>
          <w:lang w:val="en"/>
        </w:rPr>
      </w:pPr>
      <w:r>
        <w:rPr>
          <w:rFonts w:ascii="Times" w:hAnsi="Times" w:cs="Times New Roman"/>
          <w:lang w:val="en"/>
        </w:rPr>
        <w:t xml:space="preserve">The </w:t>
      </w:r>
      <w:r w:rsidR="005962F8">
        <w:rPr>
          <w:rFonts w:ascii="Times" w:hAnsi="Times" w:cs="Times New Roman"/>
          <w:lang w:val="en"/>
        </w:rPr>
        <w:t xml:space="preserve">post-fracture </w:t>
      </w:r>
      <w:r>
        <w:rPr>
          <w:rFonts w:ascii="Times" w:hAnsi="Times" w:cs="Times New Roman"/>
          <w:lang w:val="en"/>
        </w:rPr>
        <w:t xml:space="preserve">treatment gap in Denmark was evaluated recently – conjointly with the United Kingdom and Catalonia - </w:t>
      </w:r>
      <w:r w:rsidR="00F649BA">
        <w:rPr>
          <w:rFonts w:ascii="Times" w:hAnsi="Times" w:cs="Times New Roman"/>
          <w:lang w:val="en"/>
        </w:rPr>
        <w:t xml:space="preserve">using </w:t>
      </w:r>
      <w:r>
        <w:rPr>
          <w:rFonts w:ascii="Times" w:hAnsi="Times" w:cs="Times New Roman"/>
          <w:lang w:val="en"/>
        </w:rPr>
        <w:t xml:space="preserve">comparable </w:t>
      </w:r>
      <w:r w:rsidR="00F649BA">
        <w:rPr>
          <w:rFonts w:ascii="Times" w:hAnsi="Times" w:cs="Times New Roman"/>
          <w:lang w:val="en"/>
        </w:rPr>
        <w:t xml:space="preserve">data </w:t>
      </w:r>
      <w:r>
        <w:rPr>
          <w:rFonts w:ascii="Times" w:hAnsi="Times" w:cs="Times New Roman"/>
          <w:lang w:val="en"/>
        </w:rPr>
        <w:t xml:space="preserve">sources linked to </w:t>
      </w:r>
      <w:r w:rsidR="00F649BA">
        <w:rPr>
          <w:rFonts w:ascii="Times" w:hAnsi="Times" w:cs="Times New Roman"/>
          <w:lang w:val="en"/>
        </w:rPr>
        <w:t>the IFRISK study</w:t>
      </w:r>
      <w:r>
        <w:rPr>
          <w:rFonts w:ascii="Times" w:hAnsi="Times" w:cs="Times New Roman"/>
          <w:lang w:val="en"/>
        </w:rPr>
        <w:t>,</w:t>
      </w:r>
      <w:r w:rsidR="00F649BA">
        <w:rPr>
          <w:rFonts w:ascii="Times" w:hAnsi="Times" w:cs="Times New Roman"/>
          <w:lang w:val="en"/>
        </w:rPr>
        <w:t xml:space="preserve"> </w:t>
      </w:r>
      <w:r w:rsidR="000936F4">
        <w:rPr>
          <w:rFonts w:ascii="Times" w:hAnsi="Times" w:cs="Times New Roman"/>
          <w:lang w:val="en"/>
        </w:rPr>
        <w:t>demonstrating large and persistent treatment gaps in Denmark</w:t>
      </w:r>
      <w:r w:rsidR="000936F4">
        <w:rPr>
          <w:rFonts w:ascii="Times" w:hAnsi="Times" w:cs="Times New Roman"/>
          <w:lang w:val="en"/>
        </w:rPr>
        <w:fldChar w:fldCharType="begin" w:fldLock="1"/>
      </w:r>
      <w:r w:rsidR="00EF75BA">
        <w:rPr>
          <w:rFonts w:ascii="Times" w:hAnsi="Times" w:cs="Times New Roman"/>
          <w:lang w:val="en"/>
        </w:rPr>
        <w:instrText>ADDIN CSL_CITATION {"citationItems":[{"id":"ITEM-1","itemData":{"DOI":"10.1007/s00198-020-05358-4","abstract":"This paper demonstrates a large post-fracture anti-osteoporosis treatment gap in the period 2005 to 2015. The gap was stable in Denmark at around 88-90%, increased in Catalonia from 80 to 88%, and started to increase in the UK towards the end of our study. Improved post-fracture care is needed. INTRODUCTION: Patients experiencing a fragility fracture are at high risk of subsequent fractures, particularly within the first 2 years after the fracture. Previous studies have demonstrated that only a small proportion of fracture patients initiate therapy with an anti-osteoporotic medication (AOM), despite the proven fracture risk reduction of such therapies. The aim of this paper is to evaluate the changes in this post-fracture treatment gap across three different countries from 2005 to 2015. METHODS: This analysis, which is part of a multinational cohort study, included men and women, aged 50 years or older, sustaining a first incident fragility fracture. Using routinely collected patient data from three administrative health databases covering Catalonia, Denmark, and the United Kingdom, we estimated the treatment gap as the proportion of patients not treated with AOM within 1 year of their first incident fracture. RESULTS: A total of 648,369 fracture patients were included. Mean age 70.2-78.9 years; 22.2-31.7% were men. In Denmark, the treatment gap was stable at approximately 88-90% throughout the 2005 to 2015 time period. In Catalonia, the treatment gap increased from 80 to 88%. In the UK, an initially decreasing treatment gap-though never smaller than 63%-was replaced by an increasing gap towards the end of our study. The gap was more pronounced in men than in women. CONCLUSION: Despite repeated calls for improved secondary fracture prevention, an unacceptably large treatment gap remains, with time trends indicating that the problem may be getting worse in recent years.","author":[{"dropping-particle":"","family":"Skjødt","given":"Michael Kriegbaum","non-dropping-particle":"","parse-names":false,"suffix":""},{"dropping-particle":"","family":"Khalid","given":"Sara","non-dropping-particle":"","parse-names":false,"suffix":""},{"dropping-particle":"","family":"Ernst","given":"Martin","non-dropping-particle":"","parse-names":false,"suffix":""},{"dropping-particle":"","family":"Rubin","given":"Katrine Hass","non-dropping-particle":"","parse-names":false,"suffix":""},{"dropping-particle":"","family":"Martinez-Laguna","given":"Daniel","non-dropping-particle":"","parse-names":false,"suffix":""},{"dropping-particle":"","family":"Delmestri","given":"Antonella","non-dropping-particle":"","parse-names":false,"suffix":""},{"dropping-particle":"","family":"Javaid","given":"Mohamed Kassim","non-dropping-particle":"","parse-names":false,"suffix":""},{"dropping-particle":"","family":"Cooper","given":"Cyrus","non-dropping-particle":"","parse-names":false,"suffix":""},{"dropping-particle":"","family":"Libanati","given":"Cesar","non-dropping-particle":"","parse-names":false,"suffix":""},{"dropping-particle":"","family":"Toth","given":"Emese","non-dropping-particle":"","parse-names":false,"suffix":""},{"dropping-particle":"","family":"Abrahamsen","given":"Bo","non-dropping-particle":"","parse-names":false,"suffix":""},{"dropping-particle":"","family":"Prieto-Alhambra","given":"Daniel","non-dropping-particle":"","parse-names":false,"suffix":""}],"container-title":"Osteoporosis International","id":"ITEM-1","issued":{"date-parts":[["2020"]]},"page":"1535-44","title":"Secular trends in the initiation of therapy in secondary fracture prevention in Europe: a multi-national cohort study including data from Denmark, Catalonia, and the United Kingdom.","type":"article-journal","volume":"31"},"uris":["http://www.mendeley.com/documents/?uuid=7a2e687f-9b3f-4a8e-9138-b1ad0c31aa43"]}],"mendeley":{"formattedCitation":"[27]","plainTextFormattedCitation":"[27]","previouslyFormattedCitation":"[27]"},"properties":{"noteIndex":0},"schema":"https://github.com/citation-style-language/schema/raw/master/csl-citation.json"}</w:instrText>
      </w:r>
      <w:r w:rsidR="000936F4">
        <w:rPr>
          <w:rFonts w:ascii="Times" w:hAnsi="Times" w:cs="Times New Roman"/>
          <w:lang w:val="en"/>
        </w:rPr>
        <w:fldChar w:fldCharType="separate"/>
      </w:r>
      <w:r w:rsidR="009F7D62" w:rsidRPr="009F7D62">
        <w:rPr>
          <w:rFonts w:ascii="Times" w:hAnsi="Times" w:cs="Times New Roman"/>
          <w:noProof/>
          <w:lang w:val="en"/>
        </w:rPr>
        <w:t>[27]</w:t>
      </w:r>
      <w:r w:rsidR="000936F4">
        <w:rPr>
          <w:rFonts w:ascii="Times" w:hAnsi="Times" w:cs="Times New Roman"/>
          <w:lang w:val="en"/>
        </w:rPr>
        <w:fldChar w:fldCharType="end"/>
      </w:r>
      <w:r w:rsidR="000936F4">
        <w:rPr>
          <w:rFonts w:ascii="Times" w:hAnsi="Times" w:cs="Times New Roman"/>
          <w:lang w:val="en"/>
        </w:rPr>
        <w:t xml:space="preserve">. This current paper was conceptualized to evaluate if inclusion of </w:t>
      </w:r>
      <w:proofErr w:type="gramStart"/>
      <w:r w:rsidR="000936F4">
        <w:rPr>
          <w:rFonts w:ascii="Times" w:hAnsi="Times" w:cs="Times New Roman"/>
          <w:lang w:val="en"/>
        </w:rPr>
        <w:t>hospital-administered</w:t>
      </w:r>
      <w:proofErr w:type="gramEnd"/>
      <w:r w:rsidR="000936F4">
        <w:rPr>
          <w:rFonts w:ascii="Times" w:hAnsi="Times" w:cs="Times New Roman"/>
          <w:lang w:val="en"/>
        </w:rPr>
        <w:t xml:space="preserve"> AOM would reduce this treatment gap</w:t>
      </w:r>
      <w:r w:rsidR="004B0992">
        <w:rPr>
          <w:rFonts w:ascii="Times" w:hAnsi="Times" w:cs="Times New Roman"/>
          <w:lang w:val="en"/>
        </w:rPr>
        <w:t xml:space="preserve">. </w:t>
      </w:r>
      <w:r w:rsidR="00C3784C">
        <w:rPr>
          <w:rFonts w:ascii="Times" w:hAnsi="Times" w:cs="Times New Roman"/>
          <w:lang w:val="en"/>
        </w:rPr>
        <w:t>Further</w:t>
      </w:r>
      <w:r w:rsidR="000936F4">
        <w:rPr>
          <w:rFonts w:ascii="Times" w:hAnsi="Times" w:cs="Times New Roman"/>
          <w:lang w:val="en"/>
        </w:rPr>
        <w:t>, we here evaluate the treatment gap after any MOF allowing each individual to contribute to several fracture cohorts representing additional missed opportunities for AOM treatment initiation, whereas the first paper evaluated the treatment gap after</w:t>
      </w:r>
      <w:r w:rsidR="00AC77E5">
        <w:rPr>
          <w:rFonts w:ascii="Times" w:hAnsi="Times" w:cs="Times New Roman"/>
          <w:lang w:val="en"/>
        </w:rPr>
        <w:t xml:space="preserve"> </w:t>
      </w:r>
      <w:r w:rsidR="005962F8">
        <w:rPr>
          <w:rFonts w:ascii="Times" w:hAnsi="Times" w:cs="Times New Roman"/>
          <w:lang w:val="en"/>
        </w:rPr>
        <w:t>any</w:t>
      </w:r>
      <w:r w:rsidR="00AC77E5">
        <w:rPr>
          <w:rFonts w:ascii="Times" w:hAnsi="Times" w:cs="Times New Roman"/>
          <w:lang w:val="en"/>
        </w:rPr>
        <w:t xml:space="preserve"> first incident </w:t>
      </w:r>
      <w:r w:rsidR="00797FD7">
        <w:rPr>
          <w:rFonts w:ascii="Times" w:hAnsi="Times" w:cs="Times New Roman"/>
          <w:lang w:val="en"/>
        </w:rPr>
        <w:t>fragility</w:t>
      </w:r>
      <w:r w:rsidR="00AC77E5">
        <w:rPr>
          <w:rFonts w:ascii="Times" w:hAnsi="Times" w:cs="Times New Roman"/>
          <w:lang w:val="en"/>
        </w:rPr>
        <w:t xml:space="preserve"> fracture</w:t>
      </w:r>
      <w:r w:rsidR="000936F4">
        <w:rPr>
          <w:rFonts w:ascii="Times" w:hAnsi="Times" w:cs="Times New Roman"/>
          <w:lang w:val="en"/>
        </w:rPr>
        <w:t xml:space="preserve">. </w:t>
      </w:r>
      <w:r w:rsidR="00F649BA">
        <w:rPr>
          <w:rFonts w:ascii="Times" w:hAnsi="Times" w:cs="Times New Roman"/>
          <w:lang w:val="en"/>
        </w:rPr>
        <w:t xml:space="preserve">Reassuringly, this current paper demonstrates smaller </w:t>
      </w:r>
      <w:r w:rsidR="008A2E6B">
        <w:rPr>
          <w:rFonts w:ascii="Times" w:hAnsi="Times" w:cs="Times New Roman"/>
          <w:lang w:val="en"/>
        </w:rPr>
        <w:t xml:space="preserve">– yet still very large - </w:t>
      </w:r>
      <w:r w:rsidR="00F649BA">
        <w:rPr>
          <w:rFonts w:ascii="Times" w:hAnsi="Times" w:cs="Times New Roman"/>
          <w:lang w:val="en"/>
        </w:rPr>
        <w:t>treatment gap</w:t>
      </w:r>
      <w:r w:rsidR="008A2E6B">
        <w:rPr>
          <w:rFonts w:ascii="Times" w:hAnsi="Times" w:cs="Times New Roman"/>
          <w:lang w:val="en"/>
        </w:rPr>
        <w:t>s</w:t>
      </w:r>
      <w:r>
        <w:rPr>
          <w:rFonts w:ascii="Times" w:hAnsi="Times" w:cs="Times New Roman"/>
          <w:lang w:val="en"/>
        </w:rPr>
        <w:t xml:space="preserve"> in Denmark</w:t>
      </w:r>
      <w:r w:rsidR="00F649BA">
        <w:rPr>
          <w:rFonts w:ascii="Times" w:hAnsi="Times" w:cs="Times New Roman"/>
          <w:lang w:val="en"/>
        </w:rPr>
        <w:t xml:space="preserve"> in patients with a major osteoporotic fracture as compared to any osteoporotic fracture</w:t>
      </w:r>
      <w:r>
        <w:rPr>
          <w:rFonts w:ascii="Times" w:hAnsi="Times" w:cs="Times New Roman"/>
          <w:lang w:val="en"/>
        </w:rPr>
        <w:t xml:space="preserve"> as was reported previously. </w:t>
      </w:r>
      <w:r w:rsidR="00473174">
        <w:rPr>
          <w:rFonts w:ascii="Times" w:hAnsi="Times" w:cs="Times New Roman"/>
          <w:lang w:val="en"/>
        </w:rPr>
        <w:t>F</w:t>
      </w:r>
      <w:r w:rsidR="00C17218">
        <w:rPr>
          <w:rFonts w:ascii="Times" w:hAnsi="Times" w:cs="Times New Roman"/>
          <w:lang w:val="en"/>
        </w:rPr>
        <w:t xml:space="preserve">or hip, vertebral, and forearm fractures </w:t>
      </w:r>
      <w:r w:rsidR="00B55179">
        <w:rPr>
          <w:rFonts w:ascii="Times" w:hAnsi="Times" w:cs="Times New Roman"/>
          <w:lang w:val="en"/>
        </w:rPr>
        <w:t xml:space="preserve">(MOF and humerus fractures were not independently evaluated in the former paper) </w:t>
      </w:r>
      <w:r w:rsidR="00473174">
        <w:rPr>
          <w:rFonts w:ascii="Times" w:hAnsi="Times" w:cs="Times New Roman"/>
          <w:lang w:val="en"/>
        </w:rPr>
        <w:t>the treatment gaps are generally smaller</w:t>
      </w:r>
      <w:r w:rsidR="000936F4">
        <w:rPr>
          <w:rFonts w:ascii="Times" w:hAnsi="Times" w:cs="Times New Roman"/>
          <w:lang w:val="en"/>
        </w:rPr>
        <w:t xml:space="preserve"> in this current analysis, probably owing to the differences in study design and </w:t>
      </w:r>
      <w:r w:rsidR="004B0992">
        <w:rPr>
          <w:rFonts w:ascii="Times" w:hAnsi="Times" w:cs="Times New Roman"/>
          <w:lang w:val="en"/>
        </w:rPr>
        <w:t xml:space="preserve">the </w:t>
      </w:r>
      <w:r w:rsidR="000936F4">
        <w:rPr>
          <w:rFonts w:ascii="Times" w:hAnsi="Times" w:cs="Times New Roman"/>
          <w:lang w:val="en"/>
        </w:rPr>
        <w:t>inclusion of hospital-administered AOM</w:t>
      </w:r>
      <w:r w:rsidR="00104D45">
        <w:rPr>
          <w:rFonts w:ascii="Times" w:hAnsi="Times" w:cs="Times New Roman"/>
          <w:lang w:val="en"/>
        </w:rPr>
        <w:fldChar w:fldCharType="begin" w:fldLock="1"/>
      </w:r>
      <w:r w:rsidR="00EF75BA">
        <w:rPr>
          <w:rFonts w:ascii="Times" w:hAnsi="Times" w:cs="Times New Roman"/>
          <w:lang w:val="en"/>
        </w:rPr>
        <w:instrText>ADDIN CSL_CITATION {"citationItems":[{"id":"ITEM-1","itemData":{"DOI":"10.1007/s00198-020-05358-4","abstract":"This paper demonstrates a large post-fracture anti-osteoporosis treatment gap in the period 2005 to 2015. The gap was stable in Denmark at around 88-90%, increased in Catalonia from 80 to 88%, and started to increase in the UK towards the end of our study. Improved post-fracture care is needed. INTRODUCTION: Patients experiencing a fragility fracture are at high risk of subsequent fractures, particularly within the first 2 years after the fracture. Previous studies have demonstrated that only a small proportion of fracture patients initiate therapy with an anti-osteoporotic medication (AOM), despite the proven fracture risk reduction of such therapies. The aim of this paper is to evaluate the changes in this post-fracture treatment gap across three different countries from 2005 to 2015. METHODS: This analysis, which is part of a multinational cohort study, included men and women, aged 50 years or older, sustaining a first incident fragility fracture. Using routinely collected patient data from three administrative health databases covering Catalonia, Denmark, and the United Kingdom, we estimated the treatment gap as the proportion of patients not treated with AOM within 1 year of their first incident fracture. RESULTS: A total of 648,369 fracture patients were included. Mean age 70.2-78.9 years; 22.2-31.7% were men. In Denmark, the treatment gap was stable at approximately 88-90% throughout the 2005 to 2015 time period. In Catalonia, the treatment gap increased from 80 to 88%. In the UK, an initially decreasing treatment gap-though never smaller than 63%-was replaced by an increasing gap towards the end of our study. The gap was more pronounced in men than in women. CONCLUSION: Despite repeated calls for improved secondary fracture prevention, an unacceptably large treatment gap remains, with time trends indicating that the problem may be getting worse in recent years.","author":[{"dropping-particle":"","family":"Skjødt","given":"Michael Kriegbaum","non-dropping-particle":"","parse-names":false,"suffix":""},{"dropping-particle":"","family":"Khalid","given":"Sara","non-dropping-particle":"","parse-names":false,"suffix":""},{"dropping-particle":"","family":"Ernst","given":"Martin","non-dropping-particle":"","parse-names":false,"suffix":""},{"dropping-particle":"","family":"Rubin","given":"Katrine Hass","non-dropping-particle":"","parse-names":false,"suffix":""},{"dropping-particle":"","family":"Martinez-Laguna","given":"Daniel","non-dropping-particle":"","parse-names":false,"suffix":""},{"dropping-particle":"","family":"Delmestri","given":"Antonella","non-dropping-particle":"","parse-names":false,"suffix":""},{"dropping-particle":"","family":"Javaid","given":"Mohamed Kassim","non-dropping-particle":"","parse-names":false,"suffix":""},{"dropping-particle":"","family":"Cooper","given":"Cyrus","non-dropping-particle":"","parse-names":false,"suffix":""},{"dropping-particle":"","family":"Libanati","given":"Cesar","non-dropping-particle":"","parse-names":false,"suffix":""},{"dropping-particle":"","family":"Toth","given":"Emese","non-dropping-particle":"","parse-names":false,"suffix":""},{"dropping-particle":"","family":"Abrahamsen","given":"Bo","non-dropping-particle":"","parse-names":false,"suffix":""},{"dropping-particle":"","family":"Prieto-Alhambra","given":"Daniel","non-dropping-particle":"","parse-names":false,"suffix":""}],"container-title":"Osteoporosis International","id":"ITEM-1","issued":{"date-parts":[["2020"]]},"page":"1535-44","title":"Secular trends in the initiation of therapy in secondary fracture prevention in Europe: a multi-national cohort study including data from Denmark, Catalonia, and the United Kingdom.","type":"article-journal","volume":"31"},"uris":["http://www.mendeley.com/documents/?uuid=7a2e687f-9b3f-4a8e-9138-b1ad0c31aa43"]}],"mendeley":{"formattedCitation":"[27]","plainTextFormattedCitation":"[27]","previouslyFormattedCitation":"[27]"},"properties":{"noteIndex":0},"schema":"https://github.com/citation-style-language/schema/raw/master/csl-citation.json"}</w:instrText>
      </w:r>
      <w:r w:rsidR="00104D45">
        <w:rPr>
          <w:rFonts w:ascii="Times" w:hAnsi="Times" w:cs="Times New Roman"/>
          <w:lang w:val="en"/>
        </w:rPr>
        <w:fldChar w:fldCharType="separate"/>
      </w:r>
      <w:r w:rsidR="009F7D62" w:rsidRPr="009F7D62">
        <w:rPr>
          <w:rFonts w:ascii="Times" w:hAnsi="Times" w:cs="Times New Roman"/>
          <w:noProof/>
          <w:lang w:val="en"/>
        </w:rPr>
        <w:t>[27]</w:t>
      </w:r>
      <w:r w:rsidR="00104D45">
        <w:rPr>
          <w:rFonts w:ascii="Times" w:hAnsi="Times" w:cs="Times New Roman"/>
          <w:lang w:val="en"/>
        </w:rPr>
        <w:fldChar w:fldCharType="end"/>
      </w:r>
      <w:r w:rsidR="000936F4">
        <w:rPr>
          <w:rFonts w:ascii="Times" w:hAnsi="Times" w:cs="Times New Roman"/>
          <w:lang w:val="en"/>
        </w:rPr>
        <w:t>.</w:t>
      </w:r>
      <w:r w:rsidR="00F649BA">
        <w:rPr>
          <w:rFonts w:ascii="Times" w:hAnsi="Times" w:cs="Times New Roman"/>
          <w:lang w:val="en"/>
        </w:rPr>
        <w:t xml:space="preserve"> </w:t>
      </w:r>
    </w:p>
    <w:p w14:paraId="2FBF26EE" w14:textId="3A3168F3" w:rsidR="008B29F2" w:rsidRDefault="008B29F2" w:rsidP="00FB09DB">
      <w:pPr>
        <w:spacing w:line="480" w:lineRule="auto"/>
        <w:rPr>
          <w:rFonts w:ascii="Times" w:hAnsi="Times" w:cs="Times New Roman"/>
          <w:lang w:val="en"/>
        </w:rPr>
      </w:pPr>
    </w:p>
    <w:p w14:paraId="2C0FB848" w14:textId="084DBE20" w:rsidR="00AF02EB" w:rsidRDefault="008B29F2" w:rsidP="00872C50">
      <w:pPr>
        <w:spacing w:line="480" w:lineRule="auto"/>
        <w:rPr>
          <w:rFonts w:ascii="Times" w:hAnsi="Times" w:cs="Times New Roman"/>
          <w:lang w:val="en"/>
        </w:rPr>
      </w:pPr>
      <w:r>
        <w:rPr>
          <w:rFonts w:ascii="Times" w:hAnsi="Times" w:cs="Times New Roman"/>
          <w:lang w:val="en"/>
        </w:rPr>
        <w:lastRenderedPageBreak/>
        <w:t xml:space="preserve">The cause of the treatment gap </w:t>
      </w:r>
      <w:r w:rsidR="00176B0F">
        <w:rPr>
          <w:rFonts w:ascii="Times" w:hAnsi="Times" w:cs="Times New Roman"/>
          <w:lang w:val="en"/>
        </w:rPr>
        <w:t xml:space="preserve">could plausibly, at least in part, be attributed to </w:t>
      </w:r>
      <w:r w:rsidR="005D645B">
        <w:rPr>
          <w:rFonts w:ascii="Times" w:hAnsi="Times" w:cs="Times New Roman"/>
          <w:lang w:val="en"/>
        </w:rPr>
        <w:t xml:space="preserve">insufficient coordination of care. </w:t>
      </w:r>
      <w:r w:rsidR="00823339">
        <w:rPr>
          <w:rFonts w:ascii="Times" w:hAnsi="Times" w:cs="Times New Roman"/>
          <w:lang w:val="en"/>
        </w:rPr>
        <w:t xml:space="preserve">Several </w:t>
      </w:r>
      <w:r w:rsidR="00450A26">
        <w:rPr>
          <w:rFonts w:ascii="Times" w:hAnsi="Times" w:cs="Times New Roman"/>
          <w:lang w:val="en"/>
        </w:rPr>
        <w:t>structural</w:t>
      </w:r>
      <w:r w:rsidR="00823339">
        <w:rPr>
          <w:rFonts w:ascii="Times" w:hAnsi="Times" w:cs="Times New Roman"/>
          <w:lang w:val="en"/>
        </w:rPr>
        <w:t xml:space="preserve"> models to improve post-fracture care ha</w:t>
      </w:r>
      <w:r w:rsidR="00050F5A">
        <w:rPr>
          <w:rFonts w:ascii="Times" w:hAnsi="Times" w:cs="Times New Roman"/>
          <w:lang w:val="en"/>
        </w:rPr>
        <w:t>ve</w:t>
      </w:r>
      <w:r w:rsidR="00823339">
        <w:rPr>
          <w:rFonts w:ascii="Times" w:hAnsi="Times" w:cs="Times New Roman"/>
          <w:lang w:val="en"/>
        </w:rPr>
        <w:t xml:space="preserve"> been developed</w:t>
      </w:r>
      <w:r w:rsidR="00F711A0">
        <w:rPr>
          <w:rFonts w:ascii="Times" w:hAnsi="Times" w:cs="Times New Roman"/>
          <w:lang w:val="en"/>
        </w:rPr>
        <w:t xml:space="preserve">, </w:t>
      </w:r>
      <w:r w:rsidR="00945D13">
        <w:rPr>
          <w:rFonts w:ascii="Times" w:hAnsi="Times" w:cs="Times New Roman"/>
          <w:lang w:val="en"/>
        </w:rPr>
        <w:t>and a review</w:t>
      </w:r>
      <w:r w:rsidR="007E4673">
        <w:rPr>
          <w:rFonts w:ascii="Times" w:hAnsi="Times" w:cs="Times New Roman"/>
          <w:lang w:val="en"/>
        </w:rPr>
        <w:t xml:space="preserve"> evaluating </w:t>
      </w:r>
      <w:r w:rsidR="00653564">
        <w:rPr>
          <w:rFonts w:ascii="Times" w:hAnsi="Times" w:cs="Times New Roman"/>
          <w:lang w:val="en"/>
        </w:rPr>
        <w:t>10</w:t>
      </w:r>
      <w:r w:rsidR="007E4673">
        <w:rPr>
          <w:rFonts w:ascii="Times" w:hAnsi="Times" w:cs="Times New Roman"/>
          <w:lang w:val="en"/>
        </w:rPr>
        <w:t xml:space="preserve"> such interventions reported all</w:t>
      </w:r>
      <w:r w:rsidR="00F711A0">
        <w:rPr>
          <w:rFonts w:ascii="Times" w:hAnsi="Times" w:cs="Times New Roman"/>
          <w:lang w:val="en"/>
        </w:rPr>
        <w:t xml:space="preserve"> of them demonstrating improvements in </w:t>
      </w:r>
      <w:r w:rsidR="007E4673">
        <w:rPr>
          <w:rFonts w:ascii="Times" w:hAnsi="Times" w:cs="Times New Roman"/>
          <w:lang w:val="en"/>
        </w:rPr>
        <w:t xml:space="preserve">post-fracture </w:t>
      </w:r>
      <w:r w:rsidR="00622F35">
        <w:rPr>
          <w:rFonts w:ascii="Times" w:hAnsi="Times" w:cs="Times New Roman"/>
          <w:lang w:val="en"/>
        </w:rPr>
        <w:t>initiation</w:t>
      </w:r>
      <w:r w:rsidR="001B0148">
        <w:rPr>
          <w:rFonts w:ascii="Times" w:hAnsi="Times" w:cs="Times New Roman"/>
          <w:lang w:val="en"/>
        </w:rPr>
        <w:t xml:space="preserve"> of</w:t>
      </w:r>
      <w:r w:rsidR="00F711A0">
        <w:rPr>
          <w:rFonts w:ascii="Times" w:hAnsi="Times" w:cs="Times New Roman"/>
          <w:lang w:val="en"/>
        </w:rPr>
        <w:t xml:space="preserve"> AOM therapy</w:t>
      </w:r>
      <w:r w:rsidR="001B0148">
        <w:rPr>
          <w:rFonts w:ascii="Times" w:hAnsi="Times" w:cs="Times New Roman"/>
          <w:lang w:val="en"/>
        </w:rPr>
        <w:fldChar w:fldCharType="begin" w:fldLock="1"/>
      </w:r>
      <w:r w:rsidR="00175613">
        <w:rPr>
          <w:rFonts w:ascii="Times" w:hAnsi="Times" w:cs="Times New Roman"/>
          <w:lang w:val="en"/>
        </w:rPr>
        <w:instrText>ADDIN CSL_CITATION {"citationItems":[{"id":"ITEM-1","itemData":{"DOI":"10.1186/1748-5908-5-80","ISSN":"17485908","abstract":"Background: There is a large quality of care gap for patients with osteoporosis. As a fragility fracture is a strong indicator of underlying osteoporosis, it offers an ideal opportunity to initiate investigation and treatment. However, studies of post-fracture populations document screening and treatment rates below 20% in most settings. This is despite the fact that bone mineral density (BMD) scans are effective at identifying patients at high risk of fracture, and effective drug treatments are widely available. Effective interventions are required to remedy this incongruity in current practice.Methods: This study reviewed randomised controlled trials (RCT) involving fully qualified healthcare professionals caring for patients with a fragility fracture in all healthcare settings. Any intervention designed to modify the behaviour of healthcare professionals or implement a service delivery change was considered. The main outcomes were BMD scanning and osteoporosis treatment with anti-resorptive therapy. The electronic databases Medline and Embase were searched from 1994 to June 2010 to identify relevant articles in English. Post-intervention risk differences (RDs) were calculated for the main outcomes and any additional study primary outcomes; the trials were meta-analysed.Results: A total of 2814 potentially relevant articles were sifted; 18 were assessed in full text. Nine RCTs evaluating ten interventions met the inclusion criteria for the review. All were from North America. Four studies focused on patients with a hip fracture, three on fractures of the wrist/distal forearm, and two included several fracture sites consistent with a fragility fracture. All studies reported positive effects of the intervention for the main study outcomes of BMD scanning and osteoporosis treatment. For BMD scanning the overall risk ratio (95% CI) was 2.8 (2.16 to 3.64); the RD was 36% (21% to 50%). For treatment with anti-resorptive therapy the overall risk ratio (95% CI) was 2.48 (1.92 to 3.2); the RD was 20% (10% to 30%).Conclusions: All interventions produced positive effects on BMD scanning and osteoporosis treatment rates post-fracture. Despite sizeable increases, investigation and treatment rates remain sub-optimal. Long-term compliance with osteoporosis medications needs to be addressed, as the majority of studies reported treatment rates at six-month follow up only. Studies would be more informative if treatment criteria were defined a priori to facilitate under…","author":[{"dropping-particle":"","family":"Little","given":"Elizabeth A.","non-dropping-particle":"","parse-names":false,"suffix":""},{"dropping-particle":"","family":"Eccles","given":"Martin P.","non-dropping-particle":"","parse-names":false,"suffix":""}],"container-title":"Implementation Science","id":"ITEM-1","issue":"80","issued":{"date-parts":[["2010"]]},"title":"A systematic review of the effectiveness of interventions to improve post-fracture investigation and management of patients at risk of osteoporosis","type":"article-journal","volume":"5"},"uris":["http://www.mendeley.com/documents/?uuid=4a73bd62-e8bd-48d2-9418-72feb05d1cf6"]}],"mendeley":{"formattedCitation":"[34]","plainTextFormattedCitation":"[34]","previouslyFormattedCitation":"[34]"},"properties":{"noteIndex":0},"schema":"https://github.com/citation-style-language/schema/raw/master/csl-citation.json"}</w:instrText>
      </w:r>
      <w:r w:rsidR="001B0148">
        <w:rPr>
          <w:rFonts w:ascii="Times" w:hAnsi="Times" w:cs="Times New Roman"/>
          <w:lang w:val="en"/>
        </w:rPr>
        <w:fldChar w:fldCharType="separate"/>
      </w:r>
      <w:r w:rsidR="0052159C" w:rsidRPr="0052159C">
        <w:rPr>
          <w:rFonts w:ascii="Times" w:hAnsi="Times" w:cs="Times New Roman"/>
          <w:noProof/>
          <w:lang w:val="en"/>
        </w:rPr>
        <w:t>[34]</w:t>
      </w:r>
      <w:r w:rsidR="001B0148">
        <w:rPr>
          <w:rFonts w:ascii="Times" w:hAnsi="Times" w:cs="Times New Roman"/>
          <w:lang w:val="en"/>
        </w:rPr>
        <w:fldChar w:fldCharType="end"/>
      </w:r>
      <w:r w:rsidR="00823339">
        <w:rPr>
          <w:rFonts w:ascii="Times" w:hAnsi="Times" w:cs="Times New Roman"/>
          <w:lang w:val="en"/>
        </w:rPr>
        <w:t>.</w:t>
      </w:r>
      <w:r w:rsidR="00DD651A">
        <w:rPr>
          <w:rFonts w:ascii="Times" w:hAnsi="Times" w:cs="Times New Roman"/>
          <w:lang w:val="en"/>
        </w:rPr>
        <w:t xml:space="preserve"> Among these care models,</w:t>
      </w:r>
      <w:r w:rsidR="006B030A">
        <w:rPr>
          <w:rFonts w:ascii="Times" w:hAnsi="Times" w:cs="Times New Roman"/>
          <w:lang w:val="en"/>
        </w:rPr>
        <w:t xml:space="preserve"> the fracture liaison service</w:t>
      </w:r>
      <w:r w:rsidR="0074725E">
        <w:rPr>
          <w:rFonts w:ascii="Times" w:hAnsi="Times" w:cs="Times New Roman"/>
          <w:lang w:val="en"/>
        </w:rPr>
        <w:t xml:space="preserve"> (FLS)</w:t>
      </w:r>
      <w:r w:rsidR="006B030A">
        <w:rPr>
          <w:rFonts w:ascii="Times" w:hAnsi="Times" w:cs="Times New Roman"/>
          <w:lang w:val="en"/>
        </w:rPr>
        <w:t xml:space="preserve"> </w:t>
      </w:r>
      <w:r w:rsidR="00FC3F5E">
        <w:rPr>
          <w:rFonts w:ascii="Times" w:hAnsi="Times" w:cs="Times New Roman"/>
          <w:lang w:val="en"/>
        </w:rPr>
        <w:t>has</w:t>
      </w:r>
      <w:r w:rsidR="007454C2">
        <w:rPr>
          <w:rFonts w:ascii="Times" w:hAnsi="Times" w:cs="Times New Roman"/>
          <w:lang w:val="en"/>
        </w:rPr>
        <w:t>, in particular,</w:t>
      </w:r>
      <w:r w:rsidR="00FC3F5E">
        <w:rPr>
          <w:rFonts w:ascii="Times" w:hAnsi="Times" w:cs="Times New Roman"/>
          <w:lang w:val="en"/>
        </w:rPr>
        <w:t xml:space="preserve"> </w:t>
      </w:r>
      <w:r w:rsidR="003C491B">
        <w:rPr>
          <w:rFonts w:ascii="Times" w:hAnsi="Times" w:cs="Times New Roman"/>
          <w:lang w:val="en"/>
        </w:rPr>
        <w:t xml:space="preserve">been </w:t>
      </w:r>
      <w:r w:rsidR="00FC3F5E">
        <w:rPr>
          <w:rFonts w:ascii="Times" w:hAnsi="Times" w:cs="Times New Roman"/>
          <w:lang w:val="en"/>
        </w:rPr>
        <w:t xml:space="preserve">demonstrated </w:t>
      </w:r>
      <w:r w:rsidR="003C491B">
        <w:rPr>
          <w:rFonts w:ascii="Times" w:hAnsi="Times" w:cs="Times New Roman"/>
          <w:lang w:val="en"/>
        </w:rPr>
        <w:t xml:space="preserve">to effectively </w:t>
      </w:r>
      <w:r w:rsidR="00783F1F">
        <w:rPr>
          <w:rFonts w:ascii="Times" w:hAnsi="Times" w:cs="Times New Roman"/>
          <w:lang w:val="en"/>
        </w:rPr>
        <w:t>improve treatment initiation rates and treatment compliance in a cost-effective manner</w:t>
      </w:r>
      <w:r w:rsidR="000A32D8">
        <w:rPr>
          <w:rFonts w:ascii="Times" w:hAnsi="Times" w:cs="Times New Roman"/>
          <w:lang w:val="en"/>
        </w:rPr>
        <w:fldChar w:fldCharType="begin" w:fldLock="1"/>
      </w:r>
      <w:r w:rsidR="00175613">
        <w:rPr>
          <w:rFonts w:ascii="Times" w:hAnsi="Times" w:cs="Times New Roman"/>
          <w:lang w:val="en"/>
        </w:rPr>
        <w:instrText>ADDIN CSL_CITATION {"citationItems":[{"id":"ITEM-1","itemData":{"DOI":"10.1007/s00198-012-2090-y","ISBN":"0937-941X, 1433-2965","ISSN":"0937941X","PMID":"22829395","abstract":"Most people presenting with incident osteoporotic fractures are neither assessed nor treated for osteoporosis to reduce their risk of further fractures, despite the availability of effective treatments. We evaluated the effectiveness of published models of care for the secondary prevention of osteoporotic fractures. We searched eight medical literature databases to identify reports published between 1996 and 2011, describing models of care for secondary fracture prevention. Information extracted from each publication included study design, patient characteristics, identification strategies, assessment and treatment initiation strategies, as well as outcome measures (rates of bone mineral density (BMD) testing, osteoporosis treatment initiation, adherence, re-fractures and cost-effectiveness). Meta-analyses of studies with valid control groups were conducted for two outcome measures: BMD testing and osteoporosis treatment initiation. Out of 574 references, 42 articles were identified as analysable. These studies were grouped into four general models of care-type A: identification, assessment and treatment of patients as part of the service; type B: similar to A, without treatment initiation; type C: alerting patients plus primary care physicians; and type D: patient education only. Meta-regressions revealed a trend towards increased BMD testing (p=0.06) and treatment initiation (p=0.03) with increasing intensity of intervention. One type A service with a valid control group showed a significant decrease in re-fractures. Types A and B services were cost-effective, although definition of cost-effectiveness varied between studies. Fully coordinated, intensive models of care for secondary fracture prevention are more effective in improving patient outcomes than approaches involving alerts and/or education only.","author":[{"dropping-particle":"","family":"Ganda","given":"K","non-dropping-particle":"","parse-names":false,"suffix":""},{"dropping-particle":"","family":"Puech","given":"M","non-dropping-particle":"","parse-names":false,"suffix":""},{"dropping-particle":"","family":"Chen","given":"JS","non-dropping-particle":"","parse-names":false,"suffix":""},{"dropping-particle":"","family":"Speerin","given":"R","non-dropping-particle":"","parse-names":false,"suffix":""},{"dropping-particle":"","family":"Bleasel","given":"J","non-dropping-particle":"","parse-names":false,"suffix":""},{"dropping-particle":"","family":"Center","given":"JR","non-dropping-particle":"","parse-names":false,"suffix":""},{"dropping-particle":"","family":"Eisman","given":"JA","non-dropping-particle":"","parse-names":false,"suffix":""},{"dropping-particle":"","family":"March","given":"L","non-dropping-particle":"","parse-names":false,"suffix":""},{"dropping-particle":"","family":"Seibel","given":"MJ","non-dropping-particle":"","parse-names":false,"suffix":""}],"container-title":"Osteoporosis International","id":"ITEM-1","issue":"2","issued":{"date-parts":[["2013"]]},"page":"393-406","title":"Models of care for the secondary prevention of osteoporotic fractures: A systematic review and meta-analysis","type":"article-journal","volume":"24"},"uris":["http://www.mendeley.com/documents/?uuid=d805110e-962e-4a33-b99b-7a23f9eeb977"]},{"id":"ITEM-2","itemData":{"DOI":"10.1016/j.berh.2016.09.008","ISSN":"15321770","abstract":"As the world's population ages, the prevalence of osteoporosis and its resultant fragility fractures is set to increase dramatically. This chapter focuses on current frameworks and major initiatives related to the implementation of fracture liaison services (FLS) and orthogeriatrics services (OGS), Models of Care designed to reliably implement secondary fracture prevention measures for individuals presenting to health services with fragility fractures. The current evidence base regarding the impact and effectiveness of FLS and OGS is also considered.","author":[{"dropping-particle":"","family":"Mitchell","given":"Paul","non-dropping-particle":"","parse-names":false,"suffix":""},{"dropping-particle":"","family":"Åkesson","given":"Kristina","non-dropping-particle":"","parse-names":false,"suffix":""},{"dropping-particle":"","family":"Chandran","given":"Manju","non-dropping-particle":"","parse-names":false,"suffix":""},{"dropping-particle":"","family":"Cooper","given":"Cyrus","non-dropping-particle":"","parse-names":false,"suffix":""},{"dropping-particle":"","family":"Ganda","given":"Kirtan","non-dropping-particle":"","parse-names":false,"suffix":""},{"dropping-particle":"","family":"Schneider","given":"Muriel","non-dropping-particle":"","parse-names":false,"suffix":""}],"container-title":"Best Practice and Research: Clinical Rheumatology","id":"ITEM-2","issue":"3","issued":{"date-parts":[["2016"]]},"page":"536-558","title":"Implementation of Models of Care for secondary osteoporotic fracture prevention and orthogeriatric Models of Care for osteoporotic hip fracture","type":"article-journal","volume":"30"},"uris":["http://www.mendeley.com/documents/?uuid=feaa71df-2602-4001-b492-243731819926"]}],"mendeley":{"formattedCitation":"[35, 36]","plainTextFormattedCitation":"[35, 36]","previouslyFormattedCitation":"[35, 36]"},"properties":{"noteIndex":0},"schema":"https://github.com/citation-style-language/schema/raw/master/csl-citation.json"}</w:instrText>
      </w:r>
      <w:r w:rsidR="000A32D8">
        <w:rPr>
          <w:rFonts w:ascii="Times" w:hAnsi="Times" w:cs="Times New Roman"/>
          <w:lang w:val="en"/>
        </w:rPr>
        <w:fldChar w:fldCharType="separate"/>
      </w:r>
      <w:r w:rsidR="0052159C" w:rsidRPr="0052159C">
        <w:rPr>
          <w:rFonts w:ascii="Times" w:hAnsi="Times" w:cs="Times New Roman"/>
          <w:noProof/>
          <w:lang w:val="en"/>
        </w:rPr>
        <w:t>[35, 36]</w:t>
      </w:r>
      <w:r w:rsidR="000A32D8">
        <w:rPr>
          <w:rFonts w:ascii="Times" w:hAnsi="Times" w:cs="Times New Roman"/>
          <w:lang w:val="en"/>
        </w:rPr>
        <w:fldChar w:fldCharType="end"/>
      </w:r>
      <w:r w:rsidR="00B81EF6">
        <w:rPr>
          <w:rFonts w:ascii="Times" w:hAnsi="Times" w:cs="Times New Roman"/>
          <w:lang w:val="en"/>
        </w:rPr>
        <w:t xml:space="preserve">. However, while </w:t>
      </w:r>
      <w:r w:rsidR="00C122CE" w:rsidRPr="00397404">
        <w:rPr>
          <w:rFonts w:ascii="Times" w:hAnsi="Times" w:cs="Times New Roman"/>
          <w:lang w:val="en-US"/>
        </w:rPr>
        <w:t xml:space="preserve">the use of </w:t>
      </w:r>
      <w:r w:rsidR="00B81EF6">
        <w:rPr>
          <w:rFonts w:ascii="Times" w:hAnsi="Times" w:cs="Times New Roman"/>
          <w:lang w:val="en"/>
        </w:rPr>
        <w:t xml:space="preserve">FLS </w:t>
      </w:r>
      <w:r w:rsidR="00A46F55">
        <w:rPr>
          <w:rFonts w:ascii="Times" w:hAnsi="Times" w:cs="Times New Roman"/>
          <w:lang w:val="en"/>
        </w:rPr>
        <w:t xml:space="preserve">units </w:t>
      </w:r>
      <w:r w:rsidR="00C122CE" w:rsidRPr="00397404">
        <w:rPr>
          <w:rFonts w:ascii="Times" w:hAnsi="Times" w:cs="Times New Roman"/>
          <w:lang w:val="en-US"/>
        </w:rPr>
        <w:t>is being employed across the globe</w:t>
      </w:r>
      <w:r w:rsidR="0069097A">
        <w:rPr>
          <w:rFonts w:ascii="Times" w:hAnsi="Times" w:cs="Times New Roman"/>
          <w:lang w:val="en"/>
        </w:rPr>
        <w:t xml:space="preserve"> and a best practice framework has been </w:t>
      </w:r>
      <w:r w:rsidR="00C122CE" w:rsidRPr="00397404">
        <w:rPr>
          <w:rFonts w:ascii="Times" w:hAnsi="Times" w:cs="Times New Roman"/>
          <w:lang w:val="en-US"/>
        </w:rPr>
        <w:t>defined</w:t>
      </w:r>
      <w:r w:rsidR="006B030A">
        <w:rPr>
          <w:rFonts w:ascii="Times" w:hAnsi="Times" w:cs="Times New Roman"/>
          <w:lang w:val="en"/>
        </w:rPr>
        <w:t>, no</w:t>
      </w:r>
      <w:r w:rsidR="007454C2">
        <w:rPr>
          <w:rFonts w:ascii="Times" w:hAnsi="Times" w:cs="Times New Roman"/>
          <w:lang w:val="en"/>
        </w:rPr>
        <w:t xml:space="preserve"> accredited</w:t>
      </w:r>
      <w:r w:rsidR="006B030A">
        <w:rPr>
          <w:rFonts w:ascii="Times" w:hAnsi="Times" w:cs="Times New Roman"/>
          <w:lang w:val="en"/>
        </w:rPr>
        <w:t xml:space="preserve"> FLS units </w:t>
      </w:r>
      <w:r w:rsidR="00C122CE" w:rsidRPr="00397404">
        <w:rPr>
          <w:rFonts w:ascii="Times" w:hAnsi="Times" w:cs="Times New Roman"/>
          <w:lang w:val="en-US"/>
        </w:rPr>
        <w:t>were in place</w:t>
      </w:r>
      <w:r w:rsidR="00B81EF6">
        <w:rPr>
          <w:rFonts w:ascii="Times" w:hAnsi="Times" w:cs="Times New Roman"/>
          <w:lang w:val="en"/>
        </w:rPr>
        <w:t xml:space="preserve"> in Denmark</w:t>
      </w:r>
      <w:r w:rsidR="006B030A">
        <w:rPr>
          <w:rFonts w:ascii="Times" w:hAnsi="Times" w:cs="Times New Roman"/>
          <w:lang w:val="en"/>
        </w:rPr>
        <w:t xml:space="preserve"> during the time span of our analysis, and today only </w:t>
      </w:r>
      <w:r w:rsidR="00B75B9B">
        <w:rPr>
          <w:rFonts w:ascii="Times" w:hAnsi="Times" w:cs="Times New Roman"/>
          <w:lang w:val="en"/>
        </w:rPr>
        <w:t xml:space="preserve">four </w:t>
      </w:r>
      <w:r w:rsidR="00622F35">
        <w:rPr>
          <w:rFonts w:ascii="Times" w:hAnsi="Times" w:cs="Times New Roman"/>
          <w:lang w:val="en"/>
        </w:rPr>
        <w:t xml:space="preserve">Danish </w:t>
      </w:r>
      <w:r w:rsidR="006B030A">
        <w:rPr>
          <w:rFonts w:ascii="Times" w:hAnsi="Times" w:cs="Times New Roman"/>
          <w:lang w:val="en"/>
        </w:rPr>
        <w:t>hospitals run an</w:t>
      </w:r>
      <w:r w:rsidR="00C122CE" w:rsidRPr="00397404">
        <w:rPr>
          <w:rFonts w:ascii="Times" w:hAnsi="Times" w:cs="Times New Roman"/>
          <w:lang w:val="en-US"/>
        </w:rPr>
        <w:t xml:space="preserve"> internationally accredited</w:t>
      </w:r>
      <w:r w:rsidR="006B030A">
        <w:rPr>
          <w:rFonts w:ascii="Times" w:hAnsi="Times" w:cs="Times New Roman"/>
          <w:lang w:val="en"/>
        </w:rPr>
        <w:t xml:space="preserve"> FLS (</w:t>
      </w:r>
      <w:hyperlink r:id="rId8" w:history="1">
        <w:r w:rsidR="006B030A" w:rsidRPr="009F2106">
          <w:rPr>
            <w:rStyle w:val="Hyperlink"/>
            <w:rFonts w:ascii="Times" w:hAnsi="Times" w:cs="Times New Roman"/>
            <w:lang w:val="en"/>
          </w:rPr>
          <w:t>www.capturethefracture.org</w:t>
        </w:r>
      </w:hyperlink>
      <w:r w:rsidR="006B030A">
        <w:rPr>
          <w:rFonts w:ascii="Times" w:hAnsi="Times" w:cs="Times New Roman"/>
          <w:lang w:val="en"/>
        </w:rPr>
        <w:t>)</w:t>
      </w:r>
      <w:r w:rsidR="00F13638">
        <w:rPr>
          <w:rFonts w:ascii="Times" w:hAnsi="Times" w:cs="Times New Roman"/>
          <w:lang w:val="en"/>
        </w:rPr>
        <w:fldChar w:fldCharType="begin" w:fldLock="1"/>
      </w:r>
      <w:r w:rsidR="00175613">
        <w:rPr>
          <w:rFonts w:ascii="Times" w:hAnsi="Times" w:cs="Times New Roman"/>
          <w:lang w:val="en"/>
        </w:rPr>
        <w:instrText>ADDIN CSL_CITATION {"citationItems":[{"id":"ITEM-1","itemData":{"DOI":"10.1016/j.berh.2016.09.008","ISSN":"15321770","abstract":"As the world's population ages, the prevalence of osteoporosis and its resultant fragility fractures is set to increase dramatically. This chapter focuses on current frameworks and major initiatives related to the implementation of fracture liaison services (FLS) and orthogeriatrics services (OGS), Models of Care designed to reliably implement secondary fracture prevention measures for individuals presenting to health services with fragility fractures. The current evidence base regarding the impact and effectiveness of FLS and OGS is also considered.","author":[{"dropping-particle":"","family":"Mitchell","given":"Paul","non-dropping-particle":"","parse-names":false,"suffix":""},{"dropping-particle":"","family":"Åkesson","given":"Kristina","non-dropping-particle":"","parse-names":false,"suffix":""},{"dropping-particle":"","family":"Chandran","given":"Manju","non-dropping-particle":"","parse-names":false,"suffix":""},{"dropping-particle":"","family":"Cooper","given":"Cyrus","non-dropping-particle":"","parse-names":false,"suffix":""},{"dropping-particle":"","family":"Ganda","given":"Kirtan","non-dropping-particle":"","parse-names":false,"suffix":""},{"dropping-particle":"","family":"Schneider","given":"Muriel","non-dropping-particle":"","parse-names":false,"suffix":""}],"container-title":"Best Practice and Research: Clinical Rheumatology","id":"ITEM-1","issue":"3","issued":{"date-parts":[["2016"]]},"page":"536-558","title":"Implementation of Models of Care for secondary osteoporotic fracture prevention and orthogeriatric Models of Care for osteoporotic hip fracture","type":"article-journal","volume":"30"},"uris":["http://www.mendeley.com/documents/?uuid=feaa71df-2602-4001-b492-243731819926"]}],"mendeley":{"formattedCitation":"[36]","plainTextFormattedCitation":"[36]","previouslyFormattedCitation":"[36]"},"properties":{"noteIndex":0},"schema":"https://github.com/citation-style-language/schema/raw/master/csl-citation.json"}</w:instrText>
      </w:r>
      <w:r w:rsidR="00F13638">
        <w:rPr>
          <w:rFonts w:ascii="Times" w:hAnsi="Times" w:cs="Times New Roman"/>
          <w:lang w:val="en"/>
        </w:rPr>
        <w:fldChar w:fldCharType="separate"/>
      </w:r>
      <w:r w:rsidR="0052159C" w:rsidRPr="0052159C">
        <w:rPr>
          <w:rFonts w:ascii="Times" w:hAnsi="Times" w:cs="Times New Roman"/>
          <w:noProof/>
          <w:lang w:val="en"/>
        </w:rPr>
        <w:t>[36]</w:t>
      </w:r>
      <w:r w:rsidR="00F13638">
        <w:rPr>
          <w:rFonts w:ascii="Times" w:hAnsi="Times" w:cs="Times New Roman"/>
          <w:lang w:val="en"/>
        </w:rPr>
        <w:fldChar w:fldCharType="end"/>
      </w:r>
      <w:r w:rsidR="006B030A">
        <w:rPr>
          <w:rFonts w:ascii="Times" w:hAnsi="Times" w:cs="Times New Roman"/>
          <w:lang w:val="en"/>
        </w:rPr>
        <w:t xml:space="preserve">. </w:t>
      </w:r>
      <w:r w:rsidR="00C122CE" w:rsidRPr="00397404">
        <w:rPr>
          <w:rFonts w:ascii="Times" w:hAnsi="Times" w:cs="Times New Roman"/>
          <w:lang w:val="en-US"/>
        </w:rPr>
        <w:t>The lack of a coordinated effort to initiate evaluation and treatment in fracture patients almost certainly</w:t>
      </w:r>
      <w:r w:rsidR="00622F35">
        <w:rPr>
          <w:rFonts w:ascii="Times" w:hAnsi="Times" w:cs="Times New Roman"/>
          <w:lang w:val="en"/>
        </w:rPr>
        <w:t xml:space="preserve"> contributed to the high rates of untreated </w:t>
      </w:r>
      <w:r w:rsidR="00730D4C">
        <w:rPr>
          <w:rFonts w:ascii="Times" w:hAnsi="Times" w:cs="Times New Roman"/>
          <w:lang w:val="en"/>
        </w:rPr>
        <w:t>MOF</w:t>
      </w:r>
      <w:r w:rsidR="00622F35">
        <w:rPr>
          <w:rFonts w:ascii="Times" w:hAnsi="Times" w:cs="Times New Roman"/>
          <w:lang w:val="en"/>
        </w:rPr>
        <w:t xml:space="preserve"> patients seen in our analysis. </w:t>
      </w:r>
      <w:r w:rsidR="007F6E19">
        <w:rPr>
          <w:rFonts w:ascii="Times" w:hAnsi="Times" w:cs="Times New Roman"/>
          <w:lang w:val="en"/>
        </w:rPr>
        <w:t>Ano</w:t>
      </w:r>
      <w:r w:rsidR="00D060B7">
        <w:rPr>
          <w:rFonts w:ascii="Times" w:hAnsi="Times" w:cs="Times New Roman"/>
          <w:lang w:val="en"/>
        </w:rPr>
        <w:t>ther</w:t>
      </w:r>
      <w:r w:rsidR="00F711A0">
        <w:rPr>
          <w:rFonts w:ascii="Times" w:hAnsi="Times" w:cs="Times New Roman"/>
          <w:lang w:val="en"/>
        </w:rPr>
        <w:t xml:space="preserve"> reason</w:t>
      </w:r>
      <w:r w:rsidR="00A33A40">
        <w:rPr>
          <w:rFonts w:ascii="Times" w:hAnsi="Times" w:cs="Times New Roman"/>
          <w:lang w:val="en"/>
        </w:rPr>
        <w:t xml:space="preserve"> for the treatment gap</w:t>
      </w:r>
      <w:r w:rsidR="00F711A0">
        <w:rPr>
          <w:rFonts w:ascii="Times" w:hAnsi="Times" w:cs="Times New Roman"/>
          <w:lang w:val="en"/>
        </w:rPr>
        <w:t xml:space="preserve"> </w:t>
      </w:r>
      <w:r w:rsidR="00C122CE" w:rsidRPr="00397404">
        <w:rPr>
          <w:rFonts w:ascii="Times" w:hAnsi="Times" w:cs="Times New Roman"/>
          <w:lang w:val="en-US"/>
        </w:rPr>
        <w:t>may include a</w:t>
      </w:r>
      <w:r w:rsidR="00D060B7">
        <w:rPr>
          <w:rFonts w:ascii="Times" w:hAnsi="Times" w:cs="Times New Roman"/>
          <w:lang w:val="en"/>
        </w:rPr>
        <w:t xml:space="preserve"> </w:t>
      </w:r>
      <w:r w:rsidR="00F44B45">
        <w:rPr>
          <w:rFonts w:ascii="Times" w:hAnsi="Times" w:cs="Times New Roman"/>
          <w:lang w:val="en"/>
        </w:rPr>
        <w:t xml:space="preserve">lack of knowledge in </w:t>
      </w:r>
      <w:r w:rsidR="00D060B7">
        <w:rPr>
          <w:rFonts w:ascii="Times" w:hAnsi="Times" w:cs="Times New Roman"/>
          <w:lang w:val="en"/>
        </w:rPr>
        <w:t xml:space="preserve">patients and </w:t>
      </w:r>
      <w:r w:rsidR="00C122CE" w:rsidRPr="00397404">
        <w:rPr>
          <w:rFonts w:ascii="Times" w:hAnsi="Times" w:cs="Times New Roman"/>
          <w:lang w:val="en-US"/>
        </w:rPr>
        <w:t xml:space="preserve">healthcare </w:t>
      </w:r>
      <w:r w:rsidR="00D060B7">
        <w:rPr>
          <w:rFonts w:ascii="Times" w:hAnsi="Times" w:cs="Times New Roman"/>
          <w:lang w:val="en"/>
        </w:rPr>
        <w:t>providers about the risks and benefits of AOM</w:t>
      </w:r>
      <w:r w:rsidR="00E525DA">
        <w:rPr>
          <w:rFonts w:ascii="Times" w:hAnsi="Times" w:cs="Times New Roman"/>
          <w:lang w:val="en"/>
        </w:rPr>
        <w:t xml:space="preserve">, as </w:t>
      </w:r>
      <w:r w:rsidR="00A227B3">
        <w:rPr>
          <w:rFonts w:ascii="Times" w:hAnsi="Times" w:cs="Times New Roman"/>
          <w:lang w:val="en"/>
        </w:rPr>
        <w:t>suggested</w:t>
      </w:r>
      <w:r w:rsidR="00E525DA">
        <w:rPr>
          <w:rFonts w:ascii="Times" w:hAnsi="Times" w:cs="Times New Roman"/>
          <w:lang w:val="en"/>
        </w:rPr>
        <w:t xml:space="preserve"> elsewhere</w:t>
      </w:r>
      <w:r w:rsidR="00A81C5E">
        <w:rPr>
          <w:rFonts w:ascii="Times" w:hAnsi="Times" w:cs="Times New Roman"/>
          <w:lang w:val="en"/>
        </w:rPr>
        <w:fldChar w:fldCharType="begin" w:fldLock="1"/>
      </w:r>
      <w:r w:rsidR="00175613">
        <w:rPr>
          <w:rFonts w:ascii="Times" w:hAnsi="Times" w:cs="Times New Roman"/>
          <w:lang w:val="en"/>
        </w:rPr>
        <w:instrText>ADDIN CSL_CITATION {"citationItems":[{"id":"ITEM-1","itemData":{"DOI":"10.1002/jbmr.2202","ISSN":"15234681","abstract":"Hip fractures are common, morbid, costly, and associated with subsequent fractures. Historically, postfracture osteoporosis medication use rates have been poor, but have not been recently examined in a large-scale study. We conducted a retrospective, observational cohort study based on U.S. administrative insurance claims data for beneficiaries with commercial or Medicare supplemental health insurance. Eligible participants were hospitalized for hip fracture between January 1, 2002, and December 31, 2011, and aged 50 years or older at admission. The outcome of interest was osteoporosis medication use within 12 months after discharge. Patients were censored after 12 months, loss to follow-up, or a medical claim for cancer or Paget's disease, whichever event occurred first. During the study period, 96,887 beneficiaries met the inclusion criteria; they had a mean age of 80 years and 70% were female. A total of 34,389 (35.5%) patients were censored before reaching 12 months of follow-up. The Kaplan-Meier estimated probability of osteoporosis medication use within 12 months after discharge was 28.5%. The rates declined significantly from 40.2% in 2002, to 20.5% in 2011 (p for trend &lt;0.001). In multivariable Cox proportional hazards models, a number of patient characteristics were associated with reduced likelihood of osteoporosis medication use, including older age and male gender. However, the predictor most strongly and most positively associated with osteoporosis medication use after fracture was osteoporosis medication use before the fracture (hazard ratio=7.45; 95% confidence interval [CI], 7.23-7.69). Most patients suffering a hip fracture do not use osteoporosis medication in the subsequent year and treatment rates have worsened. © 2014 Eli Lilly and Company. Journal of Bone and Mineral Research published by Wiley Periodicals, Inc. on behalf of the American Society for Bone and Mineral Research. © 2014 The Authors. Journal of Bone and Mineral Research Published by Wiley Periodicals, Inc. on behalf of the American Society for Bone and Mineral Research.","author":[{"dropping-particle":"","family":"Solomon","given":"Daniel H.","non-dropping-particle":"","parse-names":false,"suffix":""},{"dropping-particle":"","family":"Johnston","given":"Stephen S.","non-dropping-particle":"","parse-names":false,"suffix":""},{"dropping-particle":"","family":"Boytsov","given":"Natalie N.","non-dropping-particle":"","parse-names":false,"suffix":""},{"dropping-particle":"","family":"McMorrow","given":"Donna","non-dropping-particle":"","parse-names":false,"suffix":""},{"dropping-particle":"","family":"Lane","given":"Joseph M.","non-dropping-particle":"","parse-names":false,"suffix":""},{"dropping-particle":"","family":"Krohn","given":"Kelly D.","non-dropping-particle":"","parse-names":false,"suffix":""}],"container-title":"Journal of Bone and Mineral Research","id":"ITEM-1","issue":"9","issued":{"date-parts":[["2014"]]},"page":"1929-37","title":"Osteoporosis medication use after hip fracture in U.S. patients between 2002 and 2011","type":"article-journal","volume":"29"},"uris":["http://www.mendeley.com/documents/?uuid=d4697183-faf7-424b-8db7-bba2605a34cf"]},{"id":"ITEM-2","itemData":{"DOI":"10.1007/s00198-003-1421-4","ISSN":"0937941X","abstract":"The objectives of this study were to determine information needs of family physicians around issues in the management of osteoporosis and preferences for dissemination of this information. A mailed survey was sent to a stratified random sample of 1000 family physicians in Ontario in May 2001. Female physicians and those practicing in rural communities were over-sampled from the College of Family Physicians' database. Among the 505 respondents, 364 were still practicing (182 males and 182 females) and completed the full questionnaire. There were no statistically significant differences in responses by sex or region of practice. Over 80% of family physicians wanted to be more informed about bone density testing and the pharmacological and non-pharmacological management of osteoporosis. The presence of risk factors was one of the most influential factors (72%) for ordering bone density testing. Information in peer-reviewed journals was thought to be the most credible, with 80% rating the CMAJ as very credible compared to 47% for the Osteoporosis Society of Canada (OSC). Sixty-two percent found the OSC guidelines (1996) to be useful even though much of that information is now out of date. Almost 70% had not read the more recently published treatment guidelines from the Ontario Program for Optimal Therapeutics (2000). Over 80% were interested in a decision aid, which incorporates information on risk factors, fracture risk and a treatment algorithm. The perceived need and the lack of availability of clinically useful information on osteoporosis for the family practice setting highlights the failure of the current guideline implementation process and provides insight into where the process has to be improved.","author":[{"dropping-particle":"","family":"Jaglal","given":"Susan B.","non-dropping-particle":"","parse-names":false,"suffix":""},{"dropping-particle":"","family":"McIsaac","given":"Warren J.","non-dropping-particle":"","parse-names":false,"suffix":""},{"dropping-particle":"","family":"Hawker","given":"Gillian","non-dropping-particle":"","parse-names":false,"suffix":""},{"dropping-particle":"","family":"Carroll","given":"June","non-dropping-particle":"","parse-names":false,"suffix":""},{"dropping-particle":"","family":"Jaakkimainen","given":"Liisa","non-dropping-particle":"","parse-names":false,"suffix":""},{"dropping-particle":"","family":"Cadarette","given":"Suzanne M.","non-dropping-particle":"","parse-names":false,"suffix":""},{"dropping-particle":"","family":"Cameron","given":"Cathy","non-dropping-particle":"","parse-names":false,"suffix":""},{"dropping-particle":"","family":"Davis","given":"Dave","non-dropping-particle":"","parse-names":false,"suffix":""}],"container-title":"Osteoporosis International","id":"ITEM-2","issue":"8","issued":{"date-parts":[["2003"]]},"page":"672-676","title":"Information needs in the management of osteoporosis in family practice: An illustration of the failure of the current guideline implementation process","type":"article-journal","volume":"14"},"uris":["http://www.mendeley.com/documents/?uuid=50ae50d1-1faa-420b-bd40-3be07f9b094b"]}],"mendeley":{"formattedCitation":"[29, 37]","plainTextFormattedCitation":"[29, 37]","previouslyFormattedCitation":"[29, 37]"},"properties":{"noteIndex":0},"schema":"https://github.com/citation-style-language/schema/raw/master/csl-citation.json"}</w:instrText>
      </w:r>
      <w:r w:rsidR="00A81C5E">
        <w:rPr>
          <w:rFonts w:ascii="Times" w:hAnsi="Times" w:cs="Times New Roman"/>
          <w:lang w:val="en"/>
        </w:rPr>
        <w:fldChar w:fldCharType="separate"/>
      </w:r>
      <w:r w:rsidR="0052159C" w:rsidRPr="0052159C">
        <w:rPr>
          <w:rFonts w:ascii="Times" w:hAnsi="Times" w:cs="Times New Roman"/>
          <w:noProof/>
          <w:lang w:val="en"/>
        </w:rPr>
        <w:t>[29, 37]</w:t>
      </w:r>
      <w:r w:rsidR="00A81C5E">
        <w:rPr>
          <w:rFonts w:ascii="Times" w:hAnsi="Times" w:cs="Times New Roman"/>
          <w:lang w:val="en"/>
        </w:rPr>
        <w:fldChar w:fldCharType="end"/>
      </w:r>
      <w:r w:rsidR="00324978">
        <w:rPr>
          <w:rFonts w:ascii="Times" w:hAnsi="Times" w:cs="Times New Roman"/>
          <w:lang w:val="en"/>
        </w:rPr>
        <w:t>.</w:t>
      </w:r>
    </w:p>
    <w:p w14:paraId="19DC0FF7" w14:textId="3E06FBD5" w:rsidR="00651E92" w:rsidRDefault="00651E92" w:rsidP="00872C50">
      <w:pPr>
        <w:spacing w:line="480" w:lineRule="auto"/>
        <w:rPr>
          <w:rFonts w:ascii="Times" w:hAnsi="Times" w:cs="Times New Roman"/>
          <w:lang w:val="en"/>
        </w:rPr>
      </w:pPr>
    </w:p>
    <w:p w14:paraId="6918E786" w14:textId="3C7E8D16" w:rsidR="00886A4B" w:rsidRDefault="004E47C3" w:rsidP="00872C50">
      <w:pPr>
        <w:spacing w:line="480" w:lineRule="auto"/>
        <w:rPr>
          <w:rFonts w:ascii="Times" w:hAnsi="Times" w:cs="Times New Roman"/>
          <w:lang w:val="en"/>
        </w:rPr>
      </w:pPr>
      <w:r>
        <w:rPr>
          <w:rFonts w:ascii="Times" w:hAnsi="Times" w:cs="Times New Roman"/>
          <w:lang w:val="en"/>
        </w:rPr>
        <w:t xml:space="preserve">In this analysis, we </w:t>
      </w:r>
      <w:r w:rsidR="001B022E">
        <w:rPr>
          <w:rFonts w:ascii="Times" w:hAnsi="Times" w:cs="Times New Roman"/>
          <w:lang w:val="en"/>
        </w:rPr>
        <w:t xml:space="preserve">also </w:t>
      </w:r>
      <w:r>
        <w:rPr>
          <w:rFonts w:ascii="Times" w:hAnsi="Times" w:cs="Times New Roman"/>
          <w:lang w:val="en"/>
        </w:rPr>
        <w:t xml:space="preserve">found that </w:t>
      </w:r>
      <w:r w:rsidR="006A47F6">
        <w:rPr>
          <w:rFonts w:ascii="Times" w:hAnsi="Times" w:cs="Times New Roman"/>
          <w:lang w:val="en"/>
        </w:rPr>
        <w:t xml:space="preserve">inclusion of hospital-administered AOM in the treatment gap assessment did not materially reduce the treatment gap after a </w:t>
      </w:r>
      <w:r w:rsidR="00B413B0">
        <w:rPr>
          <w:rFonts w:ascii="Times" w:hAnsi="Times" w:cs="Times New Roman"/>
          <w:lang w:val="en"/>
        </w:rPr>
        <w:t>MOF</w:t>
      </w:r>
      <w:r w:rsidR="00331E07">
        <w:rPr>
          <w:rFonts w:ascii="Times" w:hAnsi="Times" w:cs="Times New Roman"/>
          <w:lang w:val="en"/>
        </w:rPr>
        <w:t xml:space="preserve"> in Denmark</w:t>
      </w:r>
      <w:r w:rsidR="006A47F6">
        <w:rPr>
          <w:rFonts w:ascii="Times" w:hAnsi="Times" w:cs="Times New Roman"/>
          <w:lang w:val="en"/>
        </w:rPr>
        <w:t xml:space="preserve">. Hence, </w:t>
      </w:r>
      <w:r w:rsidR="00B413B0">
        <w:rPr>
          <w:rFonts w:ascii="Times" w:hAnsi="Times" w:cs="Times New Roman"/>
          <w:lang w:val="en"/>
        </w:rPr>
        <w:t xml:space="preserve">an average of </w:t>
      </w:r>
      <w:r w:rsidR="00B67837">
        <w:rPr>
          <w:rFonts w:ascii="Times" w:hAnsi="Times" w:cs="Times New Roman"/>
          <w:lang w:val="en"/>
        </w:rPr>
        <w:t xml:space="preserve">only </w:t>
      </w:r>
      <w:r w:rsidR="00B413B0">
        <w:rPr>
          <w:rFonts w:ascii="Times" w:hAnsi="Times" w:cs="Times New Roman"/>
          <w:lang w:val="en"/>
        </w:rPr>
        <w:t>3.</w:t>
      </w:r>
      <w:r w:rsidR="00E559DF">
        <w:rPr>
          <w:rFonts w:ascii="Times" w:hAnsi="Times" w:cs="Times New Roman"/>
          <w:lang w:val="en"/>
        </w:rPr>
        <w:t>9</w:t>
      </w:r>
      <w:r w:rsidR="00B413B0">
        <w:rPr>
          <w:rFonts w:ascii="Times" w:hAnsi="Times" w:cs="Times New Roman"/>
          <w:lang w:val="en"/>
        </w:rPr>
        <w:t>% of</w:t>
      </w:r>
      <w:r>
        <w:rPr>
          <w:rFonts w:ascii="Times" w:hAnsi="Times" w:cs="Times New Roman"/>
          <w:lang w:val="en"/>
        </w:rPr>
        <w:t xml:space="preserve"> AOM-treated patients </w:t>
      </w:r>
      <w:r w:rsidR="00B413B0">
        <w:rPr>
          <w:rFonts w:ascii="Times" w:hAnsi="Times" w:cs="Times New Roman"/>
          <w:lang w:val="en"/>
        </w:rPr>
        <w:t xml:space="preserve">in the MOF cohorts </w:t>
      </w:r>
      <w:r w:rsidR="00F11EA8">
        <w:rPr>
          <w:rFonts w:ascii="Times" w:hAnsi="Times" w:cs="Times New Roman"/>
          <w:lang w:val="en"/>
        </w:rPr>
        <w:t xml:space="preserve">were </w:t>
      </w:r>
      <w:r>
        <w:rPr>
          <w:rFonts w:ascii="Times" w:hAnsi="Times" w:cs="Times New Roman"/>
          <w:lang w:val="en"/>
        </w:rPr>
        <w:t>using hospital-administered AOM (</w:t>
      </w:r>
      <w:r w:rsidR="00050F5A">
        <w:rPr>
          <w:rFonts w:ascii="Times" w:hAnsi="Times" w:cs="Times New Roman"/>
          <w:lang w:val="en"/>
        </w:rPr>
        <w:t>z</w:t>
      </w:r>
      <w:r>
        <w:rPr>
          <w:rFonts w:ascii="Times" w:hAnsi="Times" w:cs="Times New Roman"/>
          <w:lang w:val="en"/>
        </w:rPr>
        <w:t>oledronic acid or denosumab)</w:t>
      </w:r>
      <w:r w:rsidR="00B413B0">
        <w:rPr>
          <w:rFonts w:ascii="Times" w:hAnsi="Times" w:cs="Times New Roman"/>
          <w:lang w:val="en"/>
        </w:rPr>
        <w:t xml:space="preserve"> within 1 year of their index fracture. This demonstrated</w:t>
      </w:r>
      <w:r w:rsidR="00886A4B">
        <w:rPr>
          <w:rFonts w:ascii="Times" w:hAnsi="Times" w:cs="Times New Roman"/>
          <w:lang w:val="en"/>
        </w:rPr>
        <w:t xml:space="preserve"> </w:t>
      </w:r>
      <w:r w:rsidR="0017328B">
        <w:rPr>
          <w:rFonts w:ascii="Times" w:hAnsi="Times" w:cs="Times New Roman"/>
          <w:lang w:val="en"/>
        </w:rPr>
        <w:t xml:space="preserve">substantial </w:t>
      </w:r>
      <w:r w:rsidR="00886A4B">
        <w:rPr>
          <w:rFonts w:ascii="Times" w:hAnsi="Times" w:cs="Times New Roman"/>
          <w:lang w:val="en"/>
        </w:rPr>
        <w:t xml:space="preserve">variation between genders and </w:t>
      </w:r>
      <w:r w:rsidR="00B413B0">
        <w:rPr>
          <w:rFonts w:ascii="Times" w:hAnsi="Times" w:cs="Times New Roman"/>
          <w:lang w:val="en"/>
        </w:rPr>
        <w:t xml:space="preserve">index </w:t>
      </w:r>
      <w:r w:rsidR="00886A4B">
        <w:rPr>
          <w:rFonts w:ascii="Times" w:hAnsi="Times" w:cs="Times New Roman"/>
          <w:lang w:val="en"/>
        </w:rPr>
        <w:t>fracture types</w:t>
      </w:r>
      <w:r w:rsidR="00B413B0">
        <w:rPr>
          <w:rFonts w:ascii="Times" w:hAnsi="Times" w:cs="Times New Roman"/>
          <w:lang w:val="en"/>
        </w:rPr>
        <w:t>, with</w:t>
      </w:r>
      <w:r w:rsidR="00886A4B">
        <w:rPr>
          <w:rFonts w:ascii="Times" w:hAnsi="Times" w:cs="Times New Roman"/>
          <w:lang w:val="en"/>
        </w:rPr>
        <w:t xml:space="preserve"> </w:t>
      </w:r>
      <w:r w:rsidR="00397404">
        <w:rPr>
          <w:rFonts w:ascii="Times" w:hAnsi="Times" w:cs="Times New Roman"/>
          <w:lang w:val="en"/>
        </w:rPr>
        <w:t xml:space="preserve">proportionately </w:t>
      </w:r>
      <w:r w:rsidR="00886A4B">
        <w:rPr>
          <w:rFonts w:ascii="Times" w:hAnsi="Times" w:cs="Times New Roman"/>
          <w:lang w:val="en"/>
        </w:rPr>
        <w:t xml:space="preserve">more men than women using hospital-administered AOM, </w:t>
      </w:r>
      <w:r w:rsidR="00B413B0">
        <w:rPr>
          <w:rFonts w:ascii="Times" w:hAnsi="Times" w:cs="Times New Roman"/>
          <w:lang w:val="en"/>
        </w:rPr>
        <w:t>and</w:t>
      </w:r>
      <w:r w:rsidR="00856882">
        <w:rPr>
          <w:rFonts w:ascii="Times" w:hAnsi="Times" w:cs="Times New Roman"/>
          <w:lang w:val="en"/>
        </w:rPr>
        <w:t xml:space="preserve"> with</w:t>
      </w:r>
      <w:r w:rsidR="00B413B0">
        <w:rPr>
          <w:rFonts w:ascii="Times" w:hAnsi="Times" w:cs="Times New Roman"/>
          <w:lang w:val="en"/>
        </w:rPr>
        <w:t xml:space="preserve"> hospital-administered AOM being used more often in</w:t>
      </w:r>
      <w:r w:rsidR="00886A4B">
        <w:rPr>
          <w:rFonts w:ascii="Times" w:hAnsi="Times" w:cs="Times New Roman"/>
          <w:lang w:val="en"/>
        </w:rPr>
        <w:t xml:space="preserve"> vertebral fracture patients</w:t>
      </w:r>
      <w:r w:rsidR="00F233E6">
        <w:rPr>
          <w:rFonts w:ascii="Times" w:hAnsi="Times" w:cs="Times New Roman"/>
          <w:lang w:val="en"/>
        </w:rPr>
        <w:t xml:space="preserve"> (</w:t>
      </w:r>
      <w:r w:rsidR="00BB64F5">
        <w:rPr>
          <w:rFonts w:ascii="Times" w:hAnsi="Times" w:cs="Times New Roman"/>
          <w:lang w:val="en"/>
        </w:rPr>
        <w:t>s</w:t>
      </w:r>
      <w:r w:rsidR="00F233E6">
        <w:rPr>
          <w:rFonts w:ascii="Times" w:hAnsi="Times" w:cs="Times New Roman"/>
          <w:lang w:val="en"/>
        </w:rPr>
        <w:t>upplementary table 10)</w:t>
      </w:r>
      <w:r w:rsidR="00BD2867">
        <w:rPr>
          <w:rFonts w:ascii="Times" w:hAnsi="Times" w:cs="Times New Roman"/>
          <w:lang w:val="en"/>
        </w:rPr>
        <w:t>.</w:t>
      </w:r>
      <w:r w:rsidR="00C97F50">
        <w:rPr>
          <w:rFonts w:ascii="Times" w:hAnsi="Times" w:cs="Times New Roman"/>
          <w:lang w:val="en"/>
        </w:rPr>
        <w:t xml:space="preserve"> </w:t>
      </w:r>
      <w:r w:rsidR="00F233E6">
        <w:rPr>
          <w:rFonts w:ascii="Times" w:hAnsi="Times" w:cs="Times New Roman"/>
          <w:lang w:val="en"/>
        </w:rPr>
        <w:t xml:space="preserve">Hospital-administered AOM was initiated more often in vertebral </w:t>
      </w:r>
      <w:r w:rsidR="0049380F">
        <w:rPr>
          <w:rFonts w:ascii="Times" w:hAnsi="Times" w:cs="Times New Roman"/>
          <w:lang w:val="en"/>
        </w:rPr>
        <w:t xml:space="preserve">and hip </w:t>
      </w:r>
      <w:r w:rsidR="00F233E6">
        <w:rPr>
          <w:rFonts w:ascii="Times" w:hAnsi="Times" w:cs="Times New Roman"/>
          <w:lang w:val="en"/>
        </w:rPr>
        <w:t>fracture patients than in humerus and forearm fracture patients (</w:t>
      </w:r>
      <w:r w:rsidR="00BB64F5">
        <w:rPr>
          <w:rFonts w:ascii="Times" w:hAnsi="Times" w:cs="Times New Roman"/>
          <w:lang w:val="en"/>
        </w:rPr>
        <w:t>f</w:t>
      </w:r>
      <w:r w:rsidR="00F233E6">
        <w:rPr>
          <w:rFonts w:ascii="Times" w:hAnsi="Times" w:cs="Times New Roman"/>
          <w:lang w:val="en"/>
        </w:rPr>
        <w:t>igure 2).</w:t>
      </w:r>
      <w:r w:rsidR="00B92387">
        <w:rPr>
          <w:rFonts w:ascii="Times" w:hAnsi="Times" w:cs="Times New Roman"/>
          <w:lang w:val="en"/>
        </w:rPr>
        <w:t xml:space="preserve"> </w:t>
      </w:r>
    </w:p>
    <w:p w14:paraId="305CEA40" w14:textId="77777777" w:rsidR="00CD5A85" w:rsidRDefault="00CD5A85" w:rsidP="00872C50">
      <w:pPr>
        <w:spacing w:line="480" w:lineRule="auto"/>
        <w:rPr>
          <w:rFonts w:ascii="Times" w:hAnsi="Times" w:cs="Times New Roman"/>
          <w:lang w:val="en"/>
        </w:rPr>
      </w:pPr>
    </w:p>
    <w:p w14:paraId="32F2DC5C" w14:textId="33B0A12B" w:rsidR="00A238A6" w:rsidRDefault="00B476AD" w:rsidP="00872C50">
      <w:pPr>
        <w:spacing w:line="480" w:lineRule="auto"/>
        <w:rPr>
          <w:rFonts w:ascii="Times" w:hAnsi="Times" w:cs="Times New Roman"/>
          <w:lang w:val="en"/>
        </w:rPr>
      </w:pPr>
      <w:r>
        <w:rPr>
          <w:rFonts w:ascii="Times" w:hAnsi="Times" w:cs="Times New Roman"/>
          <w:lang w:val="en"/>
        </w:rPr>
        <w:lastRenderedPageBreak/>
        <w:t xml:space="preserve">In a recent study, </w:t>
      </w:r>
      <w:proofErr w:type="spellStart"/>
      <w:r w:rsidR="00175613">
        <w:rPr>
          <w:rFonts w:ascii="Times" w:hAnsi="Times" w:cs="Times New Roman"/>
          <w:lang w:val="en"/>
        </w:rPr>
        <w:t>Axelsson</w:t>
      </w:r>
      <w:proofErr w:type="spellEnd"/>
      <w:r w:rsidR="00175613">
        <w:rPr>
          <w:rFonts w:ascii="Times" w:hAnsi="Times" w:cs="Times New Roman"/>
          <w:lang w:val="en"/>
        </w:rPr>
        <w:t xml:space="preserve"> et al (2020) attempted to identify the use of hospital-administered AOM by combining a diagnosis code for osteoporosis with codes for intravenous or subcutaneous drug administration, using Swedish health registers. While the validity of this approach is uncertain, they found an increasing proportion of </w:t>
      </w:r>
      <w:r w:rsidR="00C84F0C">
        <w:rPr>
          <w:rFonts w:ascii="Times" w:hAnsi="Times" w:cs="Times New Roman"/>
          <w:lang w:val="en"/>
        </w:rPr>
        <w:t xml:space="preserve">fracture </w:t>
      </w:r>
      <w:r w:rsidR="00175613">
        <w:rPr>
          <w:rFonts w:ascii="Times" w:hAnsi="Times" w:cs="Times New Roman"/>
          <w:lang w:val="en"/>
        </w:rPr>
        <w:t xml:space="preserve">patients </w:t>
      </w:r>
      <w:r>
        <w:rPr>
          <w:rFonts w:ascii="Times" w:hAnsi="Times" w:cs="Times New Roman"/>
          <w:lang w:val="en"/>
        </w:rPr>
        <w:t xml:space="preserve">meeting these criteria for </w:t>
      </w:r>
      <w:r w:rsidR="00175613">
        <w:rPr>
          <w:rFonts w:ascii="Times" w:hAnsi="Times" w:cs="Times New Roman"/>
          <w:lang w:val="en"/>
        </w:rPr>
        <w:t>parenteral AOM</w:t>
      </w:r>
      <w:r>
        <w:rPr>
          <w:rFonts w:ascii="Times" w:hAnsi="Times" w:cs="Times New Roman"/>
          <w:lang w:val="en"/>
        </w:rPr>
        <w:t>-administration</w:t>
      </w:r>
      <w:r w:rsidR="00175613">
        <w:rPr>
          <w:rFonts w:ascii="Times" w:hAnsi="Times" w:cs="Times New Roman"/>
          <w:lang w:val="en"/>
        </w:rPr>
        <w:t xml:space="preserve"> </w:t>
      </w:r>
      <w:r>
        <w:rPr>
          <w:rFonts w:ascii="Times" w:hAnsi="Times" w:cs="Times New Roman"/>
          <w:lang w:val="en"/>
        </w:rPr>
        <w:t>following</w:t>
      </w:r>
      <w:r w:rsidR="00175613">
        <w:rPr>
          <w:rFonts w:ascii="Times" w:hAnsi="Times" w:cs="Times New Roman"/>
          <w:lang w:val="en"/>
        </w:rPr>
        <w:t xml:space="preserve"> implementation of an FLS unit</w:t>
      </w:r>
      <w:r w:rsidR="008D5A37">
        <w:rPr>
          <w:rFonts w:ascii="Times" w:hAnsi="Times" w:cs="Times New Roman"/>
          <w:lang w:val="en"/>
        </w:rPr>
        <w:t xml:space="preserve"> (going from 11.8% to 18.9%)</w:t>
      </w:r>
      <w:r w:rsidR="00175613">
        <w:rPr>
          <w:rFonts w:ascii="Times" w:hAnsi="Times" w:cs="Times New Roman"/>
          <w:lang w:val="en"/>
        </w:rPr>
        <w:fldChar w:fldCharType="begin" w:fldLock="1"/>
      </w:r>
      <w:r w:rsidR="00B06BE6">
        <w:rPr>
          <w:rFonts w:ascii="Times" w:hAnsi="Times" w:cs="Times New Roman"/>
          <w:lang w:val="en"/>
        </w:rPr>
        <w:instrText>ADDIN CSL_CITATION {"citationItems":[{"id":"ITEM-1","itemData":{"DOI":"10.1002/jbmr.3990","ISSN":"15234681","PMID":"32097504","abstract":"Structured secondary preventions programs, called fracture liaison services (FLSs), increase the rate of evaluation with bone densitometry and use of osteoporosis medication after fracture. However, the evidence regarding the effect on the risk of recurrent fracture is insufficient. The aim of this study was to investigate if implementation of FLS was associated with reduced risk of recurrent fractures. In this retrospective cohort study, electronic health records during 2012 to 2017 were used to identify a total of 21,083 patients from four hospitals in Western Sweden, two with FLS (n = 15,449) and two without (n = 5634). All patients aged 50 years or older (mean age 73.9 [SD 12.4] years, 76% women) with a major osteoporotic index fracture (hip, clinical spine, humerus, radius, and pelvis) were included. The primary outcome was recurrent major osteoporotic fracture. All patients with an index fracture during the FLS period (n = 13,946) were compared with all patients in the period before FLS implementation (n = 7137) in an intention-to-treat analysis. Time periods corresponding to the FLS hospitals were used for the non-FLS hospitals. In the hospitals with FLSs, there were 1247 recurrent fractures during a median follow-up time of 2.2 years (range 0–6 years). In an unadjusted Cox model, the risk of recurrent fracture was 18% lower in the FLS period compared with the control period (hazard ratio = 0.82, 95% confidence interval [CI] 0.73–0.92, p =.001), corresponding to a 3-year number needed to screen of 61, and did not change after adjustment for clinical risk factors. In the hospitals without FLSs, no change in recurrent fracture rate was observed. Treatment decisions were made according to the Swedish treatment guidelines. In conclusion, implementation of FLS was associated with a reduced risk of recurrent fracture, indicating that FLSs should be included routinely at hospitals treating fracture patients. © 2020 The Authors. Journal of Bone and Mineral Research published by American Society for Bone and Mineral Research.","author":[{"dropping-particle":"","family":"Axelsson","given":"Kristian F.","non-dropping-particle":"","parse-names":false,"suffix":""},{"dropping-particle":"","family":"Johansson","given":"Helena","non-dropping-particle":"","parse-names":false,"suffix":""},{"dropping-particle":"","family":"Lundh","given":"Dan","non-dropping-particle":"","parse-names":false,"suffix":""},{"dropping-particle":"","family":"Möller","given":"Michael","non-dropping-particle":"","parse-names":false,"suffix":""},{"dropping-particle":"","family":"Lorentzon","given":"Mattias","non-dropping-particle":"","parse-names":false,"suffix":""}],"container-title":"Journal of Bone and Mineral Research","id":"ITEM-1","issue":"7","issued":{"date-parts":[["2020"]]},"page":"1216-23","title":"Association Between Recurrent Fracture Risk and Implementation of Fracture Liaison Services in Four Swedish Hospitals: A Cohort Study","type":"article-journal","volume":"35"},"uris":["http://www.mendeley.com/documents/?uuid=c01f3e5b-b02f-48f5-8e45-afe35014343c"]}],"mendeley":{"formattedCitation":"[28]","plainTextFormattedCitation":"[28]","previouslyFormattedCitation":"[28]"},"properties":{"noteIndex":0},"schema":"https://github.com/citation-style-language/schema/raw/master/csl-citation.json"}</w:instrText>
      </w:r>
      <w:r w:rsidR="00175613">
        <w:rPr>
          <w:rFonts w:ascii="Times" w:hAnsi="Times" w:cs="Times New Roman"/>
          <w:lang w:val="en"/>
        </w:rPr>
        <w:fldChar w:fldCharType="separate"/>
      </w:r>
      <w:r w:rsidR="00175613" w:rsidRPr="00175613">
        <w:rPr>
          <w:rFonts w:ascii="Times" w:hAnsi="Times" w:cs="Times New Roman"/>
          <w:noProof/>
          <w:lang w:val="en"/>
        </w:rPr>
        <w:t>[28]</w:t>
      </w:r>
      <w:r w:rsidR="00175613">
        <w:rPr>
          <w:rFonts w:ascii="Times" w:hAnsi="Times" w:cs="Times New Roman"/>
          <w:lang w:val="en"/>
        </w:rPr>
        <w:fldChar w:fldCharType="end"/>
      </w:r>
      <w:r w:rsidR="00175613">
        <w:rPr>
          <w:rFonts w:ascii="Times" w:hAnsi="Times" w:cs="Times New Roman"/>
          <w:lang w:val="en"/>
        </w:rPr>
        <w:t xml:space="preserve">. </w:t>
      </w:r>
      <w:r w:rsidR="00677DCD" w:rsidRPr="00677DCD">
        <w:rPr>
          <w:rFonts w:ascii="Times" w:hAnsi="Times" w:cs="Times New Roman"/>
          <w:lang w:val="en-US"/>
        </w:rPr>
        <w:t>Cheung et al (2018)</w:t>
      </w:r>
      <w:r w:rsidR="004E47C3" w:rsidRPr="00677DCD">
        <w:rPr>
          <w:rFonts w:ascii="Times" w:hAnsi="Times" w:cs="Times New Roman"/>
          <w:lang w:val="en-US"/>
        </w:rPr>
        <w:t xml:space="preserve"> </w:t>
      </w:r>
      <w:r w:rsidR="00677DCD" w:rsidRPr="00677DCD">
        <w:rPr>
          <w:rFonts w:ascii="Times" w:hAnsi="Times" w:cs="Times New Roman"/>
          <w:lang w:val="en-US"/>
        </w:rPr>
        <w:t>reported</w:t>
      </w:r>
      <w:r w:rsidR="00DA0657">
        <w:rPr>
          <w:rFonts w:ascii="Times" w:hAnsi="Times" w:cs="Times New Roman"/>
          <w:lang w:val="en-US"/>
        </w:rPr>
        <w:t xml:space="preserve"> in an analysis of the Hong Kong AOM treatment gap,</w:t>
      </w:r>
      <w:r w:rsidR="00677DCD" w:rsidRPr="00677DCD">
        <w:rPr>
          <w:rFonts w:ascii="Times" w:hAnsi="Times" w:cs="Times New Roman"/>
          <w:lang w:val="en-US"/>
        </w:rPr>
        <w:t xml:space="preserve"> that of all patients on AOM, </w:t>
      </w:r>
      <w:r w:rsidR="00677DCD">
        <w:rPr>
          <w:rFonts w:ascii="Times" w:hAnsi="Times" w:cs="Times New Roman"/>
          <w:lang w:val="en-US"/>
        </w:rPr>
        <w:t>4% where on zoledronic acid and 1% on Denosumab</w:t>
      </w:r>
      <w:r w:rsidR="00C07BD1">
        <w:rPr>
          <w:rFonts w:ascii="Times" w:hAnsi="Times" w:cs="Times New Roman"/>
          <w:lang w:val="en-US"/>
        </w:rPr>
        <w:fldChar w:fldCharType="begin" w:fldLock="1"/>
      </w:r>
      <w:r w:rsidR="009F7D62">
        <w:rPr>
          <w:rFonts w:ascii="Times" w:hAnsi="Times" w:cs="Times New Roman"/>
          <w:lang w:val="en-US"/>
        </w:rPr>
        <w:instrText>ADDIN CSL_CITATION {"citationItems":[{"id":"ITEM-1","itemData":{"DOI":"10.12809/hkmj187227","abstract":"Introduction: Patients who sustain an osteoporotic fracture are at increased risk of sustaining further osteoporotic fracture. The risk can be reduced by prescription of anti-osteoporosis medication. The aim of the present study was to determine the current practice in Hong Kong regarding secondary drug prevention of fragility fractures after osteoporotic hip fracture. Methods: Dispensation of anti-osteoporosis medication records from patients with new fragility hip fractures aged ≥65 years were retrieved using the Hospital Authority Clinical Data Analysis and Reporting System from 2009 to 2012. The intervention rate each year was determined from the percentage of patients receiving anti-osteoporosis medication within 1 year after hip fracture. Results: A total of 15 866 patients with osteoporotic hip fracture who met the criteria were included. The intervention rate differed each year from 2009 to 2012, ranging between 9% and 15%. Orthopaedic surgeons initiated 63% of anti-osteoporosis medication, whereas physicians initiated 37%. The anti-osteoporosis drugs being prescribed included alendronic acid (76%), ibandronic acid (12%), strontium ranelate (5%), and zoledronic acid (4%). Conclusion: Most patients with hip fracture remained untreated for 1 year after the osteoporotic hip fracture. The Hospital Authority should allocate more resources to implement a best practice framework for treatment of patients with hip fracture at high risk of secondary fracture.","author":[{"dropping-particle":"","family":"Cheung","given":"MY","non-dropping-particle":"","parse-names":false,"suffix":""},{"dropping-particle":"","family":"Ho","given":"Angela WH","non-dropping-particle":"","parse-names":false,"suffix":""},{"dropping-particle":"","family":"Wong","given":"SH","non-dropping-particle":"","parse-names":false,"suffix":""}],"container-title":"Hong Kong medical journal","id":"ITEM-1","issue":"6","issued":{"date-parts":[["2018"]]},"page":"579-83","title":"Post-fracture care gap: a retrospective population-based analysis of Hong Kong from 2009 to 2012","type":"article-journal","volume":"24"},"uris":["http://www.mendeley.com/documents/?uuid=2bd4e3e4-8ca5-47e0-97be-de37d3cbca34"]}],"mendeley":{"formattedCitation":"[19]","plainTextFormattedCitation":"[19]","previouslyFormattedCitation":"[19]"},"properties":{"noteIndex":0},"schema":"https://github.com/citation-style-language/schema/raw/master/csl-citation.json"}</w:instrText>
      </w:r>
      <w:r w:rsidR="00C07BD1">
        <w:rPr>
          <w:rFonts w:ascii="Times" w:hAnsi="Times" w:cs="Times New Roman"/>
          <w:lang w:val="en-US"/>
        </w:rPr>
        <w:fldChar w:fldCharType="separate"/>
      </w:r>
      <w:r w:rsidR="009F7D62" w:rsidRPr="009F7D62">
        <w:rPr>
          <w:rFonts w:ascii="Times" w:hAnsi="Times" w:cs="Times New Roman"/>
          <w:noProof/>
          <w:lang w:val="en-US"/>
        </w:rPr>
        <w:t>[19]</w:t>
      </w:r>
      <w:r w:rsidR="00C07BD1">
        <w:rPr>
          <w:rFonts w:ascii="Times" w:hAnsi="Times" w:cs="Times New Roman"/>
          <w:lang w:val="en-US"/>
        </w:rPr>
        <w:fldChar w:fldCharType="end"/>
      </w:r>
      <w:r w:rsidR="00677DCD">
        <w:rPr>
          <w:rFonts w:ascii="Times" w:hAnsi="Times" w:cs="Times New Roman"/>
          <w:lang w:val="en-US"/>
        </w:rPr>
        <w:t xml:space="preserve">. </w:t>
      </w:r>
      <w:r w:rsidR="00677DCD" w:rsidRPr="00204E4C">
        <w:rPr>
          <w:rFonts w:ascii="Times" w:hAnsi="Times" w:cs="Times New Roman"/>
          <w:lang w:val="en"/>
        </w:rPr>
        <w:t>Solom</w:t>
      </w:r>
      <w:r w:rsidR="00677DCD">
        <w:rPr>
          <w:rFonts w:ascii="Times" w:hAnsi="Times" w:cs="Times New Roman"/>
          <w:lang w:val="en"/>
        </w:rPr>
        <w:t xml:space="preserve">on et al (2014) reported that 0.3% of </w:t>
      </w:r>
      <w:r w:rsidR="0042605C">
        <w:rPr>
          <w:rFonts w:ascii="Times" w:hAnsi="Times" w:cs="Times New Roman"/>
          <w:lang w:val="en"/>
        </w:rPr>
        <w:t xml:space="preserve">AOM-treated </w:t>
      </w:r>
      <w:r w:rsidR="00677DCD">
        <w:rPr>
          <w:rFonts w:ascii="Times" w:hAnsi="Times" w:cs="Times New Roman"/>
          <w:lang w:val="en"/>
        </w:rPr>
        <w:t xml:space="preserve">patients were using denosumab within 1 year of the index fracture, yet did not provide distinct figures on the use of </w:t>
      </w:r>
      <w:r w:rsidR="00050F5A">
        <w:rPr>
          <w:rFonts w:ascii="Times" w:hAnsi="Times" w:cs="Times New Roman"/>
          <w:lang w:val="en"/>
        </w:rPr>
        <w:t>z</w:t>
      </w:r>
      <w:r w:rsidR="00677DCD">
        <w:rPr>
          <w:rFonts w:ascii="Times" w:hAnsi="Times" w:cs="Times New Roman"/>
          <w:lang w:val="en"/>
        </w:rPr>
        <w:t>oledronic acid</w:t>
      </w:r>
      <w:r w:rsidR="00677DCD">
        <w:rPr>
          <w:rFonts w:ascii="Times" w:hAnsi="Times" w:cs="Times New Roman"/>
          <w:lang w:val="en"/>
        </w:rPr>
        <w:fldChar w:fldCharType="begin" w:fldLock="1"/>
      </w:r>
      <w:r w:rsidR="00175613">
        <w:rPr>
          <w:rFonts w:ascii="Times" w:hAnsi="Times" w:cs="Times New Roman"/>
          <w:lang w:val="en"/>
        </w:rPr>
        <w:instrText>ADDIN CSL_CITATION {"citationItems":[{"id":"ITEM-1","itemData":{"DOI":"10.1002/jbmr.2202","ISSN":"15234681","abstract":"Hip fractures are common, morbid, costly, and associated with subsequent fractures. Historically, postfracture osteoporosis medication use rates have been poor, but have not been recently examined in a large-scale study. We conducted a retrospective, observational cohort study based on U.S. administrative insurance claims data for beneficiaries with commercial or Medicare supplemental health insurance. Eligible participants were hospitalized for hip fracture between January 1, 2002, and December 31, 2011, and aged 50 years or older at admission. The outcome of interest was osteoporosis medication use within 12 months after discharge. Patients were censored after 12 months, loss to follow-up, or a medical claim for cancer or Paget's disease, whichever event occurred first. During the study period, 96,887 beneficiaries met the inclusion criteria; they had a mean age of 80 years and 70% were female. A total of 34,389 (35.5%) patients were censored before reaching 12 months of follow-up. The Kaplan-Meier estimated probability of osteoporosis medication use within 12 months after discharge was 28.5%. The rates declined significantly from 40.2% in 2002, to 20.5% in 2011 (p for trend &lt;0.001). In multivariable Cox proportional hazards models, a number of patient characteristics were associated with reduced likelihood of osteoporosis medication use, including older age and male gender. However, the predictor most strongly and most positively associated with osteoporosis medication use after fracture was osteoporosis medication use before the fracture (hazard ratio=7.45; 95% confidence interval [CI], 7.23-7.69). Most patients suffering a hip fracture do not use osteoporosis medication in the subsequent year and treatment rates have worsened. © 2014 Eli Lilly and Company. Journal of Bone and Mineral Research published by Wiley Periodicals, Inc. on behalf of the American Society for Bone and Mineral Research. © 2014 The Authors. Journal of Bone and Mineral Research Published by Wiley Periodicals, Inc. on behalf of the American Society for Bone and Mineral Research.","author":[{"dropping-particle":"","family":"Solomon","given":"Daniel H.","non-dropping-particle":"","parse-names":false,"suffix":""},{"dropping-particle":"","family":"Johnston","given":"Stephen S.","non-dropping-particle":"","parse-names":false,"suffix":""},{"dropping-particle":"","family":"Boytsov","given":"Natalie N.","non-dropping-particle":"","parse-names":false,"suffix":""},{"dropping-particle":"","family":"McMorrow","given":"Donna","non-dropping-particle":"","parse-names":false,"suffix":""},{"dropping-particle":"","family":"Lane","given":"Joseph M.","non-dropping-particle":"","parse-names":false,"suffix":""},{"dropping-particle":"","family":"Krohn","given":"Kelly D.","non-dropping-particle":"","parse-names":false,"suffix":""}],"container-title":"Journal of Bone and Mineral Research","id":"ITEM-1","issue":"9","issued":{"date-parts":[["2014"]]},"page":"1929-37","title":"Osteoporosis medication use after hip fracture in U.S. patients between 2002 and 2011","type":"article-journal","volume":"29"},"uris":["http://www.mendeley.com/documents/?uuid=d4697183-faf7-424b-8db7-bba2605a34cf"]}],"mendeley":{"formattedCitation":"[29]","plainTextFormattedCitation":"[29]","previouslyFormattedCitation":"[29]"},"properties":{"noteIndex":0},"schema":"https://github.com/citation-style-language/schema/raw/master/csl-citation.json"}</w:instrText>
      </w:r>
      <w:r w:rsidR="00677DCD">
        <w:rPr>
          <w:rFonts w:ascii="Times" w:hAnsi="Times" w:cs="Times New Roman"/>
          <w:lang w:val="en"/>
        </w:rPr>
        <w:fldChar w:fldCharType="separate"/>
      </w:r>
      <w:r w:rsidR="0052159C" w:rsidRPr="0052159C">
        <w:rPr>
          <w:rFonts w:ascii="Times" w:hAnsi="Times" w:cs="Times New Roman"/>
          <w:noProof/>
          <w:lang w:val="en"/>
        </w:rPr>
        <w:t>[29]</w:t>
      </w:r>
      <w:r w:rsidR="00677DCD">
        <w:rPr>
          <w:rFonts w:ascii="Times" w:hAnsi="Times" w:cs="Times New Roman"/>
          <w:lang w:val="en"/>
        </w:rPr>
        <w:fldChar w:fldCharType="end"/>
      </w:r>
      <w:r w:rsidR="00677DCD">
        <w:rPr>
          <w:rFonts w:ascii="Times" w:hAnsi="Times" w:cs="Times New Roman"/>
          <w:lang w:val="en"/>
        </w:rPr>
        <w:t>.</w:t>
      </w:r>
      <w:r w:rsidR="00500D7D">
        <w:rPr>
          <w:rFonts w:ascii="Times" w:hAnsi="Times" w:cs="Times New Roman"/>
          <w:lang w:val="en"/>
        </w:rPr>
        <w:t xml:space="preserve"> </w:t>
      </w:r>
      <w:r w:rsidR="0017328B">
        <w:rPr>
          <w:rFonts w:ascii="Times" w:hAnsi="Times" w:cs="Times New Roman"/>
          <w:lang w:val="en"/>
        </w:rPr>
        <w:t>I</w:t>
      </w:r>
      <w:r w:rsidR="00F10319">
        <w:rPr>
          <w:rFonts w:ascii="Times" w:hAnsi="Times" w:cs="Times New Roman"/>
          <w:lang w:val="en"/>
        </w:rPr>
        <w:t xml:space="preserve">ncluding </w:t>
      </w:r>
      <w:proofErr w:type="gramStart"/>
      <w:r w:rsidR="00F10319">
        <w:rPr>
          <w:rFonts w:ascii="Times" w:hAnsi="Times" w:cs="Times New Roman"/>
          <w:lang w:val="en"/>
        </w:rPr>
        <w:t>hospital-administered</w:t>
      </w:r>
      <w:proofErr w:type="gramEnd"/>
      <w:r w:rsidR="00F10319">
        <w:rPr>
          <w:rFonts w:ascii="Times" w:hAnsi="Times" w:cs="Times New Roman"/>
          <w:lang w:val="en"/>
        </w:rPr>
        <w:t xml:space="preserve"> AOM in</w:t>
      </w:r>
      <w:r w:rsidR="0017328B">
        <w:rPr>
          <w:rFonts w:ascii="Times" w:hAnsi="Times" w:cs="Times New Roman"/>
          <w:lang w:val="en"/>
        </w:rPr>
        <w:t xml:space="preserve"> the</w:t>
      </w:r>
      <w:r w:rsidR="00F10319">
        <w:rPr>
          <w:rFonts w:ascii="Times" w:hAnsi="Times" w:cs="Times New Roman"/>
          <w:lang w:val="en"/>
        </w:rPr>
        <w:t xml:space="preserve"> treatment gap assessment does not seem to materially alter</w:t>
      </w:r>
      <w:r w:rsidR="00DA0657">
        <w:rPr>
          <w:rFonts w:ascii="Times" w:hAnsi="Times" w:cs="Times New Roman"/>
          <w:lang w:val="en"/>
        </w:rPr>
        <w:t xml:space="preserve"> the treatment rate in Denmark, yet this may differ significantly between countries. </w:t>
      </w:r>
      <w:r w:rsidR="00362C17">
        <w:rPr>
          <w:rFonts w:ascii="Times" w:hAnsi="Times" w:cs="Times New Roman"/>
          <w:lang w:val="en"/>
        </w:rPr>
        <w:t>In this regard, it is important to note that zoledronic acid was first</w:t>
      </w:r>
      <w:r w:rsidR="00717B56">
        <w:rPr>
          <w:rFonts w:ascii="Times" w:hAnsi="Times" w:cs="Times New Roman"/>
          <w:lang w:val="en"/>
        </w:rPr>
        <w:t xml:space="preserve"> granted</w:t>
      </w:r>
      <w:r w:rsidR="00362C17">
        <w:rPr>
          <w:rFonts w:ascii="Times" w:hAnsi="Times" w:cs="Times New Roman"/>
          <w:lang w:val="en"/>
        </w:rPr>
        <w:t xml:space="preserve"> marketing </w:t>
      </w:r>
      <w:proofErr w:type="spellStart"/>
      <w:r w:rsidR="00362C17">
        <w:rPr>
          <w:rFonts w:ascii="Times" w:hAnsi="Times" w:cs="Times New Roman"/>
          <w:lang w:val="en"/>
        </w:rPr>
        <w:t>authorisation</w:t>
      </w:r>
      <w:proofErr w:type="spellEnd"/>
      <w:r w:rsidR="00362C17">
        <w:rPr>
          <w:rFonts w:ascii="Times" w:hAnsi="Times" w:cs="Times New Roman"/>
          <w:lang w:val="en"/>
        </w:rPr>
        <w:t xml:space="preserve"> </w:t>
      </w:r>
      <w:r w:rsidR="001973EF">
        <w:rPr>
          <w:rFonts w:ascii="Times" w:hAnsi="Times" w:cs="Times New Roman"/>
          <w:lang w:val="en"/>
        </w:rPr>
        <w:t xml:space="preserve">for use in osteoporosis </w:t>
      </w:r>
      <w:r w:rsidR="00362C17">
        <w:rPr>
          <w:rFonts w:ascii="Times" w:hAnsi="Times" w:cs="Times New Roman"/>
          <w:lang w:val="en"/>
        </w:rPr>
        <w:t>by the European Medicines Agency in 200</w:t>
      </w:r>
      <w:r w:rsidR="001973EF">
        <w:rPr>
          <w:rFonts w:ascii="Times" w:hAnsi="Times" w:cs="Times New Roman"/>
          <w:lang w:val="en"/>
        </w:rPr>
        <w:t>5</w:t>
      </w:r>
      <w:r w:rsidR="00362C17">
        <w:rPr>
          <w:rFonts w:ascii="Times" w:hAnsi="Times" w:cs="Times New Roman"/>
          <w:lang w:val="en"/>
        </w:rPr>
        <w:t xml:space="preserve">, and denosumab in 2010. </w:t>
      </w:r>
      <w:r w:rsidR="00C4306D">
        <w:rPr>
          <w:rFonts w:ascii="Times" w:hAnsi="Times" w:cs="Times New Roman"/>
          <w:lang w:val="en"/>
        </w:rPr>
        <w:t>Thus</w:t>
      </w:r>
      <w:r w:rsidR="00362C17">
        <w:rPr>
          <w:rFonts w:ascii="Times" w:hAnsi="Times" w:cs="Times New Roman"/>
          <w:lang w:val="en"/>
        </w:rPr>
        <w:t xml:space="preserve">, the years covered in this study reflects the early use of both drugs, which may partially explain </w:t>
      </w:r>
      <w:r w:rsidR="00717B56">
        <w:rPr>
          <w:rFonts w:ascii="Times" w:hAnsi="Times" w:cs="Times New Roman"/>
          <w:lang w:val="en"/>
        </w:rPr>
        <w:t>our</w:t>
      </w:r>
      <w:r w:rsidR="00362C17">
        <w:rPr>
          <w:rFonts w:ascii="Times" w:hAnsi="Times" w:cs="Times New Roman"/>
          <w:lang w:val="en"/>
        </w:rPr>
        <w:t xml:space="preserve"> </w:t>
      </w:r>
      <w:r w:rsidR="00717B56">
        <w:rPr>
          <w:rFonts w:ascii="Times" w:hAnsi="Times" w:cs="Times New Roman"/>
          <w:lang w:val="en"/>
        </w:rPr>
        <w:t>findings</w:t>
      </w:r>
      <w:r w:rsidR="00362C17">
        <w:rPr>
          <w:rFonts w:ascii="Times" w:hAnsi="Times" w:cs="Times New Roman"/>
          <w:lang w:val="en"/>
        </w:rPr>
        <w:t xml:space="preserve">. </w:t>
      </w:r>
      <w:r w:rsidR="00DA0657">
        <w:rPr>
          <w:rFonts w:ascii="Times" w:hAnsi="Times" w:cs="Times New Roman"/>
          <w:lang w:val="en"/>
        </w:rPr>
        <w:t xml:space="preserve">Hence, future treatment gap evaluations should preferably include </w:t>
      </w:r>
      <w:proofErr w:type="gramStart"/>
      <w:r w:rsidR="00DA0657">
        <w:rPr>
          <w:rFonts w:ascii="Times" w:hAnsi="Times" w:cs="Times New Roman"/>
          <w:lang w:val="en"/>
        </w:rPr>
        <w:t>hospital-administered</w:t>
      </w:r>
      <w:proofErr w:type="gramEnd"/>
      <w:r w:rsidR="00DA0657">
        <w:rPr>
          <w:rFonts w:ascii="Times" w:hAnsi="Times" w:cs="Times New Roman"/>
          <w:lang w:val="en"/>
        </w:rPr>
        <w:t xml:space="preserve"> AOM. </w:t>
      </w:r>
    </w:p>
    <w:p w14:paraId="74F6E157" w14:textId="52CC3EA9" w:rsidR="002F3526" w:rsidRDefault="002F3526" w:rsidP="00872C50">
      <w:pPr>
        <w:spacing w:line="480" w:lineRule="auto"/>
        <w:rPr>
          <w:rFonts w:ascii="Times" w:hAnsi="Times" w:cs="Times New Roman"/>
          <w:lang w:val="en-US"/>
        </w:rPr>
      </w:pPr>
    </w:p>
    <w:p w14:paraId="44EA6907" w14:textId="6E109B4B" w:rsidR="003F2F6C" w:rsidRDefault="00014817" w:rsidP="003F2F6C">
      <w:pPr>
        <w:spacing w:line="480" w:lineRule="auto"/>
        <w:rPr>
          <w:rFonts w:ascii="Times" w:hAnsi="Times" w:cs="Times New Roman"/>
          <w:lang w:val="en-US"/>
        </w:rPr>
      </w:pPr>
      <w:r>
        <w:rPr>
          <w:rFonts w:ascii="Times" w:hAnsi="Times" w:cs="Times New Roman"/>
          <w:lang w:val="en-US"/>
        </w:rPr>
        <w:t>The reason for vertebral</w:t>
      </w:r>
      <w:r w:rsidR="00E40FD7">
        <w:rPr>
          <w:rFonts w:ascii="Times" w:hAnsi="Times" w:cs="Times New Roman"/>
          <w:lang w:val="en-US"/>
        </w:rPr>
        <w:t xml:space="preserve"> and hip</w:t>
      </w:r>
      <w:r>
        <w:rPr>
          <w:rFonts w:ascii="Times" w:hAnsi="Times" w:cs="Times New Roman"/>
          <w:lang w:val="en-US"/>
        </w:rPr>
        <w:t xml:space="preserve"> fractures more commonly being a cause for </w:t>
      </w:r>
      <w:r w:rsidR="00E40FD7">
        <w:rPr>
          <w:rFonts w:ascii="Times" w:hAnsi="Times" w:cs="Times New Roman"/>
          <w:lang w:val="en-US"/>
        </w:rPr>
        <w:t xml:space="preserve">initiating </w:t>
      </w:r>
      <w:r>
        <w:rPr>
          <w:rFonts w:ascii="Times" w:hAnsi="Times" w:cs="Times New Roman"/>
          <w:lang w:val="en-US"/>
        </w:rPr>
        <w:t>hospital-administered AOM</w:t>
      </w:r>
      <w:r w:rsidR="00E40FD7">
        <w:rPr>
          <w:rFonts w:ascii="Times" w:hAnsi="Times" w:cs="Times New Roman"/>
          <w:lang w:val="en-US"/>
        </w:rPr>
        <w:t xml:space="preserve"> than humerus and forearm fractures</w:t>
      </w:r>
      <w:r>
        <w:rPr>
          <w:rFonts w:ascii="Times" w:hAnsi="Times" w:cs="Times New Roman"/>
          <w:lang w:val="en-US"/>
        </w:rPr>
        <w:t>, could be that Danish osteoporosis guidelines recognize the</w:t>
      </w:r>
      <w:r w:rsidR="00CA49A8">
        <w:rPr>
          <w:rFonts w:ascii="Times" w:hAnsi="Times" w:cs="Times New Roman"/>
          <w:lang w:val="en-US"/>
        </w:rPr>
        <w:t xml:space="preserve"> former </w:t>
      </w:r>
      <w:r>
        <w:rPr>
          <w:rFonts w:ascii="Times" w:hAnsi="Times" w:cs="Times New Roman"/>
          <w:lang w:val="en-US"/>
        </w:rPr>
        <w:t>as diagnostic for osteoporosis</w:t>
      </w:r>
      <w:r w:rsidR="00A5086D">
        <w:rPr>
          <w:rFonts w:ascii="Times" w:hAnsi="Times" w:cs="Times New Roman"/>
          <w:lang w:val="en-US"/>
        </w:rPr>
        <w:fldChar w:fldCharType="begin" w:fldLock="1"/>
      </w:r>
      <w:r w:rsidR="00EF75BA">
        <w:rPr>
          <w:rFonts w:ascii="Times" w:hAnsi="Times" w:cs="Times New Roman"/>
          <w:lang w:val="en-US"/>
        </w:rPr>
        <w:instrText>ADDIN CSL_CITATION {"citationItems":[{"id":"ITEM-1","itemData":{"author":[{"dropping-particle":"","family":"Hitz","given":"Mette","non-dropping-particle":"","parse-names":false,"suffix":""},{"dropping-particle":"","family":"Harsløf","given":"Torben","non-dropping-particle":"","parse-names":false,"suffix":""},{"dropping-particle":"","family":"Ejersted","given":"Charlotte","non-dropping-particle":"","parse-names":false,"suffix":""},{"dropping-particle":"","family":"Bech-Jensen","given":"Jens-Erik","non-dropping-particle":"","parse-names":false,"suffix":""},{"dropping-particle":"","family":"Brockstedt","given":"Helle","non-dropping-particle":"","parse-names":false,"suffix":""},{"dropping-particle":"","family":"Vestergaard","given":"Peter","non-dropping-particle":"","parse-names":false,"suffix":""},{"dropping-particle":"","family":"Frost","given":"Morten","non-dropping-particle":"","parse-names":false,"suffix":""},{"dropping-particle":"","family":"Langdahl","given":"Bente","non-dropping-particle":"","parse-names":false,"suffix":""}],"id":"ITEM-1","issued":{"date-parts":[["2019"]]},"title":"NBV: Postmenopausal osteoporose","type":"report"},"uris":["http://www.mendeley.com/documents/?uuid=4d291df8-d6a9-4d56-825a-a25a201599a8"]},{"id":"ITEM-2","itemData":{"author":[{"dropping-particle":"","family":"Hermann","given":"Pernille","non-dropping-particle":"","parse-names":false,"suffix":""},{"dropping-particle":"","family":"Frost","given":"Morten","non-dropping-particle":"","parse-names":false,"suffix":""},{"dropping-particle":"","family":"Abrahamsen","given":"Bo","non-dropping-particle":"","parse-names":false,"suffix":""},{"dropping-particle":"","family":"Vestergaard","given":"Peter","non-dropping-particle":"","parse-names":false,"suffix":""},{"dropping-particle":"","family":"Sørensen","given":"Henrik A","non-dropping-particle":"","parse-names":false,"suffix":""},{"dropping-particle":"","family":"Schwarz","given":"Peter","non-dropping-particle":"","parse-names":false,"suffix":""},{"dropping-particle":"","family":"Eiken","given":"Pia","non-dropping-particle":"","parse-names":false,"suffix":""}],"id":"ITEM-2","issued":{"date-parts":[["2020"]]},"title":"NBV: Behandling af mandlig osteoporose","type":"report"},"uris":["http://www.mendeley.com/documents/?uuid=d7899b14-3d39-4fdb-9ed5-a23f242a86e3"]}],"mendeley":{"formattedCitation":"[11, 12]","plainTextFormattedCitation":"[11, 12]","previouslyFormattedCitation":"[11, 12]"},"properties":{"noteIndex":0},"schema":"https://github.com/citation-style-language/schema/raw/master/csl-citation.json"}</w:instrText>
      </w:r>
      <w:r w:rsidR="00A5086D">
        <w:rPr>
          <w:rFonts w:ascii="Times" w:hAnsi="Times" w:cs="Times New Roman"/>
          <w:lang w:val="en-US"/>
        </w:rPr>
        <w:fldChar w:fldCharType="separate"/>
      </w:r>
      <w:r w:rsidR="00B06BE6" w:rsidRPr="00B06BE6">
        <w:rPr>
          <w:rFonts w:ascii="Times" w:hAnsi="Times" w:cs="Times New Roman"/>
          <w:noProof/>
          <w:lang w:val="en-US"/>
        </w:rPr>
        <w:t>[11, 12]</w:t>
      </w:r>
      <w:r w:rsidR="00A5086D">
        <w:rPr>
          <w:rFonts w:ascii="Times" w:hAnsi="Times" w:cs="Times New Roman"/>
          <w:lang w:val="en-US"/>
        </w:rPr>
        <w:fldChar w:fldCharType="end"/>
      </w:r>
      <w:r w:rsidR="00395CB4">
        <w:rPr>
          <w:rFonts w:ascii="Times" w:hAnsi="Times" w:cs="Times New Roman"/>
          <w:lang w:val="en-US"/>
        </w:rPr>
        <w:t xml:space="preserve"> in line with these</w:t>
      </w:r>
      <w:r w:rsidR="00C11309">
        <w:rPr>
          <w:rFonts w:ascii="Times" w:hAnsi="Times" w:cs="Times New Roman"/>
          <w:lang w:val="en-US"/>
        </w:rPr>
        <w:t xml:space="preserve"> </w:t>
      </w:r>
      <w:r w:rsidR="00395CB4">
        <w:rPr>
          <w:rFonts w:ascii="Times" w:hAnsi="Times" w:cs="Times New Roman"/>
          <w:lang w:val="en-US"/>
        </w:rPr>
        <w:t xml:space="preserve">fractures </w:t>
      </w:r>
      <w:r w:rsidR="001B022E">
        <w:rPr>
          <w:rFonts w:ascii="Times" w:hAnsi="Times" w:cs="Times New Roman"/>
          <w:lang w:val="en-US"/>
        </w:rPr>
        <w:t>carrying</w:t>
      </w:r>
      <w:r w:rsidR="004344B0">
        <w:rPr>
          <w:rFonts w:ascii="Times" w:hAnsi="Times" w:cs="Times New Roman"/>
          <w:lang w:val="en-US"/>
        </w:rPr>
        <w:t xml:space="preserve"> a </w:t>
      </w:r>
      <w:r w:rsidR="00D21502">
        <w:rPr>
          <w:rFonts w:ascii="Times" w:hAnsi="Times" w:cs="Times New Roman"/>
          <w:lang w:val="en-US"/>
        </w:rPr>
        <w:t xml:space="preserve">very </w:t>
      </w:r>
      <w:r w:rsidR="004344B0">
        <w:rPr>
          <w:rFonts w:ascii="Times" w:hAnsi="Times" w:cs="Times New Roman"/>
          <w:lang w:val="en-US"/>
        </w:rPr>
        <w:t>high risk of subsequent fractures</w:t>
      </w:r>
      <w:r w:rsidR="0054469E">
        <w:rPr>
          <w:rFonts w:ascii="Times" w:hAnsi="Times" w:cs="Times New Roman"/>
          <w:lang w:val="en-US"/>
        </w:rPr>
        <w:fldChar w:fldCharType="begin" w:fldLock="1"/>
      </w:r>
      <w:r w:rsidR="00175613">
        <w:rPr>
          <w:rFonts w:ascii="Times" w:hAnsi="Times" w:cs="Times New Roman"/>
          <w:lang w:val="en-US"/>
        </w:rPr>
        <w:instrText>ADDIN CSL_CITATION {"citationItems":[{"id":"ITEM-1","itemData":{"DOI":"10.1001/jama.297.4.387","ISSN":"1538-3598 (Electronic)","PMID":"17244835","abstract":"CONTEXT: There are few published long-term data on absolute risk of subsequent fracture (refracture) following initial low-trauma fracture in women and fewer in men. OBJECTIVE: To examine long-term risk of subsequent fracture following initial osteoporotic fracture in men and women. DESIGN, SETTING, AND PARTICIPANTS: Prospective cohort study (Dubbo Osteoporosis Epidemiology Study) in Australia of 2245 community-dwelling women and 1760 men aged 60 years or older followed up for 16 years from July 1989 through April 2005. MAIN OUTCOME MEASURE: Incidence of first (initial) fracture and incidence of subsequent fracture according to sex, age group, and time since first fracture. Relative risk was determined by comparing risk of subsequent fracture with risk of initial fracture. RESULTS: There were 905 women and 337 men with an initial fracture, of whom 253 women and 71 men experienced a subsequent fracture. Relative risk (RR) of subsequent fracture in women was 1.95 (95% confidence interval [CI], 1.70-2.25) and in men was 3.47 (95% CI, 2.68-4.48). As a result, absolute risk of subsequent fracture was similar in women and men and at least as great as the initial fracture risk for a woman 10 years older. Thus, women and men aged 60 to 69 years had absolute refracture rates of 36/1000 person-years (95% CI, 26-48/1000) and 37/1000 person-years (95% CI, 23-59/1000), respectively. The increase in absolute fracture risk remained for up to 10 years, by which time 40% to 60% of surviving women and men experienced a subsequent fracture. All fracture locations apart from rib (men) and ankle (women) resulted in increased subsequent fracture risk, with highest RRs following hip (RR, 9.97; 95% CI, 1.38-71.98) and clinical vertebral (RR, 15.12; 95% CI, 6.06-37.69) fractures in younger men. In multivariate analyses, femoral neck bone mineral density, age, and smoking were predictors of subsequent fracture in women and femoral neck bone mineral density, physical activity, and calcium intake were predictors in men. CONCLUSION: After an initial low-trauma fracture, absolute risk of subsequent fracture was similar for men and women. This increased risk occurred for virtually all clinical fractures and persisted for up to 10 years.","author":[{"dropping-particle":"","family":"Center","given":"Jacqueline R","non-dropping-particle":"","parse-names":false,"suffix":""},{"dropping-particle":"","family":"Bliuc","given":"Dana","non-dropping-particle":"","parse-names":false,"suffix":""},{"dropping-particle":"V","family":"Nguyen","given":"Tuan","non-dropping-particle":"","parse-names":false,"suffix":""},{"dropping-particle":"","family":"Eisman","given":"John A","non-dropping-particle":"","parse-names":false,"suffix":""}],"container-title":"JAMA","id":"ITEM-1","issue":"4","issued":{"date-parts":[["2007","1"]]},"language":"eng","page":"387-394","publisher-place":"United States","title":"Risk of subsequent fracture after low-trauma fracture in men and women.","type":"article-journal","volume":"297"},"uris":["http://www.mendeley.com/documents/?uuid=1e7f25c5-088b-4c1f-88a2-73fa2b21dfe9"]}],"mendeley":{"formattedCitation":"[38]","plainTextFormattedCitation":"[38]","previouslyFormattedCitation":"[38]"},"properties":{"noteIndex":0},"schema":"https://github.com/citation-style-language/schema/raw/master/csl-citation.json"}</w:instrText>
      </w:r>
      <w:r w:rsidR="0054469E">
        <w:rPr>
          <w:rFonts w:ascii="Times" w:hAnsi="Times" w:cs="Times New Roman"/>
          <w:lang w:val="en-US"/>
        </w:rPr>
        <w:fldChar w:fldCharType="separate"/>
      </w:r>
      <w:r w:rsidR="0052159C" w:rsidRPr="0052159C">
        <w:rPr>
          <w:rFonts w:ascii="Times" w:hAnsi="Times" w:cs="Times New Roman"/>
          <w:noProof/>
          <w:lang w:val="en-US"/>
        </w:rPr>
        <w:t>[38]</w:t>
      </w:r>
      <w:r w:rsidR="0054469E">
        <w:rPr>
          <w:rFonts w:ascii="Times" w:hAnsi="Times" w:cs="Times New Roman"/>
          <w:lang w:val="en-US"/>
        </w:rPr>
        <w:fldChar w:fldCharType="end"/>
      </w:r>
      <w:r w:rsidR="005C07DF">
        <w:rPr>
          <w:rFonts w:ascii="Times" w:hAnsi="Times" w:cs="Times New Roman"/>
          <w:lang w:val="en-US"/>
        </w:rPr>
        <w:t>. This could</w:t>
      </w:r>
      <w:r w:rsidR="00B0013A">
        <w:rPr>
          <w:rFonts w:ascii="Times" w:hAnsi="Times" w:cs="Times New Roman"/>
          <w:lang w:val="en-US"/>
        </w:rPr>
        <w:t xml:space="preserve"> potentially</w:t>
      </w:r>
      <w:r w:rsidR="00F07AD8">
        <w:rPr>
          <w:rFonts w:ascii="Times" w:hAnsi="Times" w:cs="Times New Roman"/>
          <w:lang w:val="en-US"/>
        </w:rPr>
        <w:t xml:space="preserve"> </w:t>
      </w:r>
      <w:r w:rsidR="00B0013A">
        <w:rPr>
          <w:rFonts w:ascii="Times" w:hAnsi="Times" w:cs="Times New Roman"/>
          <w:lang w:val="en-US"/>
        </w:rPr>
        <w:t>instil</w:t>
      </w:r>
      <w:r w:rsidR="005C07DF">
        <w:rPr>
          <w:rFonts w:ascii="Times" w:hAnsi="Times" w:cs="Times New Roman"/>
          <w:lang w:val="en-US"/>
        </w:rPr>
        <w:t>l</w:t>
      </w:r>
      <w:r w:rsidR="00B0013A">
        <w:rPr>
          <w:rFonts w:ascii="Times" w:hAnsi="Times" w:cs="Times New Roman"/>
          <w:lang w:val="en-US"/>
        </w:rPr>
        <w:t xml:space="preserve"> a </w:t>
      </w:r>
      <w:r w:rsidR="00BD17E2">
        <w:rPr>
          <w:rFonts w:ascii="Times" w:hAnsi="Times" w:cs="Times New Roman"/>
          <w:lang w:val="en-US"/>
        </w:rPr>
        <w:t xml:space="preserve">greater </w:t>
      </w:r>
      <w:r w:rsidR="00A40F00">
        <w:rPr>
          <w:rFonts w:ascii="Times" w:hAnsi="Times" w:cs="Times New Roman"/>
          <w:lang w:val="en-US"/>
        </w:rPr>
        <w:t>willingness</w:t>
      </w:r>
      <w:r w:rsidR="00D010DC">
        <w:rPr>
          <w:rFonts w:ascii="Times" w:hAnsi="Times" w:cs="Times New Roman"/>
          <w:lang w:val="en-US"/>
        </w:rPr>
        <w:t xml:space="preserve"> among the treating physicians</w:t>
      </w:r>
      <w:r w:rsidR="00A40F00">
        <w:rPr>
          <w:rFonts w:ascii="Times" w:hAnsi="Times" w:cs="Times New Roman"/>
          <w:lang w:val="en-US"/>
        </w:rPr>
        <w:t xml:space="preserve"> to use hospital resources to ensure AOM treatment</w:t>
      </w:r>
      <w:r w:rsidR="005C07DF">
        <w:rPr>
          <w:rFonts w:ascii="Times" w:hAnsi="Times" w:cs="Times New Roman"/>
          <w:lang w:val="en-US"/>
        </w:rPr>
        <w:t xml:space="preserve"> insofar contraindications</w:t>
      </w:r>
      <w:r w:rsidR="002A4ACA">
        <w:rPr>
          <w:rFonts w:ascii="Times" w:hAnsi="Times" w:cs="Times New Roman"/>
          <w:lang w:val="en-US"/>
        </w:rPr>
        <w:t xml:space="preserve"> or side effects</w:t>
      </w:r>
      <w:r w:rsidR="005C07DF">
        <w:rPr>
          <w:rFonts w:ascii="Times" w:hAnsi="Times" w:cs="Times New Roman"/>
          <w:lang w:val="en-US"/>
        </w:rPr>
        <w:t xml:space="preserve"> to oral therapies exist. </w:t>
      </w:r>
      <w:r w:rsidR="00591044">
        <w:rPr>
          <w:rFonts w:ascii="Times" w:hAnsi="Times" w:cs="Times New Roman"/>
          <w:lang w:val="en-US"/>
        </w:rPr>
        <w:t xml:space="preserve">The </w:t>
      </w:r>
      <w:r w:rsidR="00DB279C">
        <w:rPr>
          <w:rFonts w:ascii="Times" w:hAnsi="Times" w:cs="Times New Roman"/>
          <w:lang w:val="en-US"/>
        </w:rPr>
        <w:t xml:space="preserve">significant reduction in mortality in hip fracture patients treated with zoledronic acid, as demonstrated in the HORIZON Recurrent </w:t>
      </w:r>
      <w:r w:rsidR="00DB279C">
        <w:rPr>
          <w:rFonts w:ascii="Times" w:hAnsi="Times" w:cs="Times New Roman"/>
          <w:lang w:val="en-US"/>
        </w:rPr>
        <w:lastRenderedPageBreak/>
        <w:t>Fracture Trial, may also have contributed to this group more frequently being prescribed a hospital-administered AOM</w:t>
      </w:r>
      <w:r w:rsidR="00CE3F93">
        <w:rPr>
          <w:rFonts w:ascii="Times" w:hAnsi="Times" w:cs="Times New Roman"/>
          <w:lang w:val="en-US"/>
        </w:rPr>
        <w:fldChar w:fldCharType="begin" w:fldLock="1"/>
      </w:r>
      <w:r w:rsidR="00175613">
        <w:rPr>
          <w:rFonts w:ascii="Times" w:hAnsi="Times" w:cs="Times New Roman"/>
          <w:lang w:val="en-US"/>
        </w:rPr>
        <w:instrText>ADDIN CSL_CITATION {"citationItems":[{"id":"ITEM-1","itemData":{"DOI":"10.1056/NEJMoa074941","ISBN":"1533-4406 (Electronic)","ISSN":"0028-4793","PMID":"17878149","abstract":"Background Mortality is increased after a hip fracture, and strategies that improve outcomes are needed. Methods In this randomized, double-blind, placebo-controlled trial, 1065 patients were assigned to receive yearly intravenous zoledronic acid (at a dose of 5 mg), and 1062 patients were assigned to receive placebo. The infusions were first administered within 90 days after surgical repair of a hip fracture. All patients (mean age, 74.5 years) received supplemental vitamin D and calcium. The median follow-up was 1.9 years. The primary end point was a new clinical fracture. Results The rates of any new clinical fracture were 8.6% in the zoledronic acid group and 13.9% in the placebo group, a 35% risk reduction with zoledronic acid (P=0.001); the respective rates of a new clinical vertebral fracture were 1.7% and 3.8% (P=0.02), and the respective rates of new nonvertebral fractures were 7.6% and 10.7% (P=0.03). In the safety analysis, 101 of 1054 patients in the zoledronic acid group (9.6%) and 141 of 105...","author":[{"dropping-particle":"","family":"Lyles","given":"Kenneth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Medicine","id":"ITEM-1","issue":"18","issued":{"date-parts":[["2007"]]},"page":"1799-1809","title":"Zoledronic Acid and Clinical Fractures and Mortality after Hip Fracture","type":"article-journal","volume":"357"},"uris":["http://www.mendeley.com/documents/?uuid=6a570a44-a6cb-4ea5-890d-a22a1029bad2"]}],"mendeley":{"formattedCitation":"[39]","plainTextFormattedCitation":"[39]","previouslyFormattedCitation":"[39]"},"properties":{"noteIndex":0},"schema":"https://github.com/citation-style-language/schema/raw/master/csl-citation.json"}</w:instrText>
      </w:r>
      <w:r w:rsidR="00CE3F93">
        <w:rPr>
          <w:rFonts w:ascii="Times" w:hAnsi="Times" w:cs="Times New Roman"/>
          <w:lang w:val="en-US"/>
        </w:rPr>
        <w:fldChar w:fldCharType="separate"/>
      </w:r>
      <w:r w:rsidR="0052159C" w:rsidRPr="0052159C">
        <w:rPr>
          <w:rFonts w:ascii="Times" w:hAnsi="Times" w:cs="Times New Roman"/>
          <w:noProof/>
          <w:lang w:val="en-US"/>
        </w:rPr>
        <w:t>[39]</w:t>
      </w:r>
      <w:r w:rsidR="00CE3F93">
        <w:rPr>
          <w:rFonts w:ascii="Times" w:hAnsi="Times" w:cs="Times New Roman"/>
          <w:lang w:val="en-US"/>
        </w:rPr>
        <w:fldChar w:fldCharType="end"/>
      </w:r>
      <w:r w:rsidR="00DB279C">
        <w:rPr>
          <w:rFonts w:ascii="Times" w:hAnsi="Times" w:cs="Times New Roman"/>
          <w:lang w:val="en-US"/>
        </w:rPr>
        <w:t>.</w:t>
      </w:r>
    </w:p>
    <w:p w14:paraId="3DCA91B2" w14:textId="530D5393" w:rsidR="00BF34A2" w:rsidRDefault="003F2F6C" w:rsidP="003F2F6C">
      <w:pPr>
        <w:spacing w:line="480" w:lineRule="auto"/>
        <w:rPr>
          <w:rFonts w:ascii="Times" w:hAnsi="Times" w:cs="Times New Roman"/>
          <w:lang w:val="en-US"/>
        </w:rPr>
      </w:pPr>
      <w:r>
        <w:rPr>
          <w:rFonts w:ascii="Times" w:hAnsi="Times" w:cs="Times New Roman"/>
          <w:lang w:val="en-US"/>
        </w:rPr>
        <w:t>T</w:t>
      </w:r>
      <w:r w:rsidR="001F0285">
        <w:rPr>
          <w:rFonts w:ascii="Times" w:hAnsi="Times" w:cs="Times New Roman"/>
          <w:lang w:val="en-US"/>
        </w:rPr>
        <w:t xml:space="preserve">he notion of a higher proportion of men than women being treated with </w:t>
      </w:r>
      <w:proofErr w:type="gramStart"/>
      <w:r w:rsidR="00CF47C6">
        <w:rPr>
          <w:rFonts w:ascii="Times" w:hAnsi="Times" w:cs="Times New Roman"/>
          <w:lang w:val="en-US"/>
        </w:rPr>
        <w:t>hospital-administered</w:t>
      </w:r>
      <w:proofErr w:type="gramEnd"/>
      <w:r w:rsidR="00CF47C6">
        <w:rPr>
          <w:rFonts w:ascii="Times" w:hAnsi="Times" w:cs="Times New Roman"/>
          <w:lang w:val="en-US"/>
        </w:rPr>
        <w:t xml:space="preserve"> AOM</w:t>
      </w:r>
      <w:r w:rsidR="00395CB4">
        <w:rPr>
          <w:rFonts w:ascii="Times" w:hAnsi="Times" w:cs="Times New Roman"/>
          <w:lang w:val="en-US"/>
        </w:rPr>
        <w:t xml:space="preserve"> </w:t>
      </w:r>
      <w:r w:rsidR="00F864DC">
        <w:rPr>
          <w:rFonts w:ascii="Times" w:hAnsi="Times" w:cs="Times New Roman"/>
          <w:lang w:val="en-US"/>
        </w:rPr>
        <w:t>may reflect</w:t>
      </w:r>
      <w:r w:rsidR="0076260D">
        <w:rPr>
          <w:rFonts w:ascii="Times" w:hAnsi="Times" w:cs="Times New Roman"/>
          <w:lang w:val="en-US"/>
        </w:rPr>
        <w:t xml:space="preserve"> the possibility that side effects and/or contraindications to oral AOM </w:t>
      </w:r>
      <w:r>
        <w:rPr>
          <w:rFonts w:ascii="Times" w:hAnsi="Times" w:cs="Times New Roman"/>
          <w:lang w:val="en-US"/>
        </w:rPr>
        <w:t xml:space="preserve">could </w:t>
      </w:r>
      <w:r w:rsidR="0076260D">
        <w:rPr>
          <w:rFonts w:ascii="Times" w:hAnsi="Times" w:cs="Times New Roman"/>
          <w:lang w:val="en-US"/>
        </w:rPr>
        <w:t>occur more frequently in men</w:t>
      </w:r>
      <w:r w:rsidR="00F864DC">
        <w:rPr>
          <w:rFonts w:ascii="Times" w:hAnsi="Times" w:cs="Times New Roman"/>
          <w:lang w:val="en-US"/>
        </w:rPr>
        <w:t xml:space="preserve">. </w:t>
      </w:r>
      <w:r w:rsidR="006E07B6">
        <w:rPr>
          <w:rFonts w:ascii="Times" w:hAnsi="Times" w:cs="Times New Roman"/>
          <w:lang w:val="en-US"/>
        </w:rPr>
        <w:t xml:space="preserve">Further, </w:t>
      </w:r>
      <w:r w:rsidR="00BF34A2">
        <w:rPr>
          <w:rFonts w:ascii="Times" w:hAnsi="Times" w:cs="Times New Roman"/>
          <w:lang w:val="en-US"/>
        </w:rPr>
        <w:t xml:space="preserve">hospital administration of AOM </w:t>
      </w:r>
      <w:r w:rsidR="00774F82">
        <w:rPr>
          <w:rFonts w:ascii="Times" w:hAnsi="Times" w:cs="Times New Roman"/>
          <w:lang w:val="en-US"/>
        </w:rPr>
        <w:t>may be</w:t>
      </w:r>
      <w:r w:rsidR="00BF34A2">
        <w:rPr>
          <w:rFonts w:ascii="Times" w:hAnsi="Times" w:cs="Times New Roman"/>
          <w:lang w:val="en-US"/>
        </w:rPr>
        <w:t xml:space="preserve"> less prone to </w:t>
      </w:r>
      <w:r w:rsidR="004C63E1">
        <w:rPr>
          <w:rFonts w:ascii="Times" w:hAnsi="Times" w:cs="Times New Roman"/>
          <w:lang w:val="en-US"/>
        </w:rPr>
        <w:t xml:space="preserve">primary </w:t>
      </w:r>
      <w:r w:rsidR="00BF34A2">
        <w:rPr>
          <w:rFonts w:ascii="Times" w:hAnsi="Times" w:cs="Times New Roman"/>
          <w:lang w:val="en-US"/>
        </w:rPr>
        <w:t>non-compliance, hence</w:t>
      </w:r>
      <w:r w:rsidR="006E07B6">
        <w:rPr>
          <w:rFonts w:ascii="Times" w:hAnsi="Times" w:cs="Times New Roman"/>
          <w:lang w:val="en-US"/>
        </w:rPr>
        <w:t xml:space="preserve"> the finding </w:t>
      </w:r>
      <w:r w:rsidR="0060115C">
        <w:rPr>
          <w:rFonts w:ascii="Times" w:hAnsi="Times" w:cs="Times New Roman"/>
          <w:lang w:val="en-US"/>
        </w:rPr>
        <w:t>may</w:t>
      </w:r>
      <w:r w:rsidR="006E07B6">
        <w:rPr>
          <w:rFonts w:ascii="Times" w:hAnsi="Times" w:cs="Times New Roman"/>
          <w:lang w:val="en-US"/>
        </w:rPr>
        <w:t xml:space="preserve"> reflect a higher proportion of men than women being prescribed a hospital-administered therapy due to a perceived risk of primary non</w:t>
      </w:r>
      <w:r w:rsidR="00884F42">
        <w:rPr>
          <w:rFonts w:ascii="Times" w:hAnsi="Times" w:cs="Times New Roman"/>
          <w:lang w:val="en-US"/>
        </w:rPr>
        <w:t>-</w:t>
      </w:r>
      <w:r w:rsidR="006E07B6">
        <w:rPr>
          <w:rFonts w:ascii="Times" w:hAnsi="Times" w:cs="Times New Roman"/>
          <w:lang w:val="en-US"/>
        </w:rPr>
        <w:t>compliance at the time of AOM-prescription.</w:t>
      </w:r>
      <w:r w:rsidR="00BF34A2">
        <w:rPr>
          <w:rFonts w:ascii="Times" w:hAnsi="Times" w:cs="Times New Roman"/>
          <w:lang w:val="en-US"/>
        </w:rPr>
        <w:t xml:space="preserve"> </w:t>
      </w:r>
    </w:p>
    <w:p w14:paraId="485D5023" w14:textId="77777777" w:rsidR="00D853F7" w:rsidRDefault="00D853F7" w:rsidP="003F2F6C">
      <w:pPr>
        <w:spacing w:line="480" w:lineRule="auto"/>
        <w:rPr>
          <w:rFonts w:ascii="Times" w:hAnsi="Times" w:cs="Times New Roman"/>
          <w:lang w:val="en-US"/>
        </w:rPr>
      </w:pPr>
    </w:p>
    <w:p w14:paraId="5BD115A1" w14:textId="6EA22E8A" w:rsidR="00D853F7" w:rsidRPr="00D853F7" w:rsidRDefault="00474254" w:rsidP="003F2F6C">
      <w:pPr>
        <w:spacing w:line="480" w:lineRule="auto"/>
        <w:rPr>
          <w:rFonts w:ascii="Times" w:hAnsi="Times" w:cs="Times New Roman"/>
          <w:lang w:val="en"/>
        </w:rPr>
      </w:pPr>
      <w:r>
        <w:rPr>
          <w:rFonts w:ascii="Times" w:hAnsi="Times" w:cs="Times New Roman"/>
          <w:lang w:val="en"/>
        </w:rPr>
        <w:t>Based on the logistic regression analysis for</w:t>
      </w:r>
      <w:r w:rsidR="00D853F7">
        <w:rPr>
          <w:rFonts w:ascii="Times" w:hAnsi="Times" w:cs="Times New Roman"/>
          <w:lang w:val="en"/>
        </w:rPr>
        <w:t xml:space="preserve"> patients sustaining a MOF</w:t>
      </w:r>
      <w:r w:rsidR="00DE6E6B">
        <w:rPr>
          <w:rFonts w:ascii="Times" w:hAnsi="Times" w:cs="Times New Roman"/>
          <w:lang w:val="en"/>
        </w:rPr>
        <w:t xml:space="preserve"> (in 2014)</w:t>
      </w:r>
      <w:r w:rsidR="00D853F7">
        <w:rPr>
          <w:rFonts w:ascii="Times" w:hAnsi="Times" w:cs="Times New Roman"/>
          <w:lang w:val="en"/>
        </w:rPr>
        <w:t xml:space="preserve">, we reassuringly found that patients with an index vertebral or hip fracture were more likely to </w:t>
      </w:r>
      <w:r w:rsidR="00DE6E6B">
        <w:rPr>
          <w:rFonts w:ascii="Times" w:hAnsi="Times" w:cs="Times New Roman"/>
          <w:lang w:val="en"/>
        </w:rPr>
        <w:t>receive</w:t>
      </w:r>
      <w:r w:rsidR="00D853F7">
        <w:rPr>
          <w:rFonts w:ascii="Times" w:hAnsi="Times" w:cs="Times New Roman"/>
          <w:lang w:val="en"/>
        </w:rPr>
        <w:t xml:space="preserve"> AOM treatment, which is in line with the Danish treatment guidelines</w:t>
      </w:r>
      <w:r w:rsidR="00296EB5">
        <w:rPr>
          <w:rFonts w:ascii="Times" w:hAnsi="Times" w:cs="Times New Roman"/>
          <w:lang w:val="en"/>
        </w:rPr>
        <w:t xml:space="preserve"> recognizing these fractures as diagnostic for osteoporosis</w:t>
      </w:r>
      <w:r w:rsidR="00D853F7">
        <w:rPr>
          <w:rFonts w:ascii="Times" w:hAnsi="Times" w:cs="Times New Roman"/>
          <w:lang w:val="en"/>
        </w:rPr>
        <w:fldChar w:fldCharType="begin" w:fldLock="1"/>
      </w:r>
      <w:r w:rsidR="00734C35">
        <w:rPr>
          <w:rFonts w:ascii="Times" w:hAnsi="Times" w:cs="Times New Roman"/>
          <w:lang w:val="en"/>
        </w:rPr>
        <w:instrText>ADDIN CSL_CITATION {"citationItems":[{"id":"ITEM-1","itemData":{"author":[{"dropping-particle":"","family":"Hitz","given":"Mette","non-dropping-particle":"","parse-names":false,"suffix":""},{"dropping-particle":"","family":"Harsløf","given":"Torben","non-dropping-particle":"","parse-names":false,"suffix":""},{"dropping-particle":"","family":"Ejersted","given":"Charlotte","non-dropping-particle":"","parse-names":false,"suffix":""},{"dropping-particle":"","family":"Bech-Jensen","given":"Jens-Erik","non-dropping-particle":"","parse-names":false,"suffix":""},{"dropping-particle":"","family":"Brockstedt","given":"Helle","non-dropping-particle":"","parse-names":false,"suffix":""},{"dropping-particle":"","family":"Vestergaard","given":"Peter","non-dropping-particle":"","parse-names":false,"suffix":""},{"dropping-particle":"","family":"Frost","given":"Morten","non-dropping-particle":"","parse-names":false,"suffix":""},{"dropping-particle":"","family":"Langdahl","given":"Bente","non-dropping-particle":"","parse-names":false,"suffix":""}],"id":"ITEM-1","issued":{"date-parts":[["2019"]]},"title":"NBV: Postmenopausal osteoporose","type":"report"},"uris":["http://www.mendeley.com/documents/?uuid=4d291df8-d6a9-4d56-825a-a25a201599a8"]},{"id":"ITEM-2","itemData":{"author":[{"dropping-particle":"","family":"Hermann","given":"Pernille","non-dropping-particle":"","parse-names":false,"suffix":""},{"dropping-particle":"","family":"Frost","given":"Morten","non-dropping-particle":"","parse-names":false,"suffix":""},{"dropping-particle":"","family":"Abrahamsen","given":"Bo","non-dropping-particle":"","parse-names":false,"suffix":""},{"dropping-particle":"","family":"Vestergaard","given":"Peter","non-dropping-particle":"","parse-names":false,"suffix":""},{"dropping-particle":"","family":"Sørensen","given":"Henrik A","non-dropping-particle":"","parse-names":false,"suffix":""},{"dropping-particle":"","family":"Schwarz","given":"Peter","non-dropping-particle":"","parse-names":false,"suffix":""},{"dropping-particle":"","family":"Eiken","given":"Pia","non-dropping-particle":"","parse-names":false,"suffix":""}],"id":"ITEM-2","issued":{"date-parts":[["2020"]]},"title":"NBV: Behandling af mandlig osteoporose","type":"report"},"uris":["http://www.mendeley.com/documents/?uuid=d7899b14-3d39-4fdb-9ed5-a23f242a86e3"]}],"mendeley":{"formattedCitation":"[11, 12]","plainTextFormattedCitation":"[11, 12]","previouslyFormattedCitation":"[11, 12]"},"properties":{"noteIndex":0},"schema":"https://github.com/citation-style-language/schema/raw/master/csl-citation.json"}</w:instrText>
      </w:r>
      <w:r w:rsidR="00D853F7">
        <w:rPr>
          <w:rFonts w:ascii="Times" w:hAnsi="Times" w:cs="Times New Roman"/>
          <w:lang w:val="en"/>
        </w:rPr>
        <w:fldChar w:fldCharType="separate"/>
      </w:r>
      <w:r w:rsidR="00A62894" w:rsidRPr="00A62894">
        <w:rPr>
          <w:rFonts w:ascii="Times" w:hAnsi="Times" w:cs="Times New Roman"/>
          <w:noProof/>
          <w:lang w:val="en"/>
        </w:rPr>
        <w:t>[11, 12]</w:t>
      </w:r>
      <w:r w:rsidR="00D853F7">
        <w:rPr>
          <w:rFonts w:ascii="Times" w:hAnsi="Times" w:cs="Times New Roman"/>
          <w:lang w:val="en"/>
        </w:rPr>
        <w:fldChar w:fldCharType="end"/>
      </w:r>
      <w:r w:rsidR="00D853F7">
        <w:rPr>
          <w:rFonts w:ascii="Times" w:hAnsi="Times" w:cs="Times New Roman"/>
          <w:lang w:val="en"/>
        </w:rPr>
        <w:t xml:space="preserve">. We also found an apparent association between common fracture risk factors (including age, prior fractures and corticosteroid treatment) and AOM treatment, indicating that patients who would seem to be at higher risk of subsequent fractures are indeed more likely to receive AOM treatment. </w:t>
      </w:r>
      <w:r w:rsidR="00932142">
        <w:rPr>
          <w:rFonts w:ascii="Times" w:hAnsi="Times" w:cs="Times New Roman"/>
          <w:lang w:val="en"/>
        </w:rPr>
        <w:t>Treatment was less likely in subjects with a low comorbidity score (</w:t>
      </w:r>
      <w:proofErr w:type="spellStart"/>
      <w:r w:rsidR="00932142">
        <w:rPr>
          <w:rFonts w:ascii="Times" w:hAnsi="Times" w:cs="Times New Roman"/>
          <w:lang w:val="en"/>
        </w:rPr>
        <w:t>Charlson</w:t>
      </w:r>
      <w:proofErr w:type="spellEnd"/>
      <w:r w:rsidR="00932142">
        <w:rPr>
          <w:rFonts w:ascii="Times" w:hAnsi="Times" w:cs="Times New Roman"/>
          <w:lang w:val="en"/>
        </w:rPr>
        <w:t xml:space="preserve"> index of zero) but also in patients with substantial comorbidity (</w:t>
      </w:r>
      <w:proofErr w:type="spellStart"/>
      <w:r w:rsidR="00932142">
        <w:rPr>
          <w:rFonts w:ascii="Times" w:hAnsi="Times" w:cs="Times New Roman"/>
          <w:lang w:val="en"/>
        </w:rPr>
        <w:t>Charlson</w:t>
      </w:r>
      <w:proofErr w:type="spellEnd"/>
      <w:r w:rsidR="00932142">
        <w:rPr>
          <w:rFonts w:ascii="Times" w:hAnsi="Times" w:cs="Times New Roman"/>
          <w:lang w:val="en"/>
        </w:rPr>
        <w:t xml:space="preserve"> index of 3 or higher), the latter likely results from a combination of contraindications against bisphosphonates or a clinical decision based on expected short remaining lifespan. W</w:t>
      </w:r>
      <w:r w:rsidR="00D853F7">
        <w:rPr>
          <w:rFonts w:ascii="Times" w:hAnsi="Times" w:cs="Times New Roman"/>
          <w:lang w:val="en"/>
        </w:rPr>
        <w:t xml:space="preserve">e also </w:t>
      </w:r>
      <w:r w:rsidR="00932142">
        <w:rPr>
          <w:rFonts w:ascii="Times" w:hAnsi="Times" w:cs="Times New Roman"/>
          <w:lang w:val="en"/>
        </w:rPr>
        <w:t>confirmed</w:t>
      </w:r>
      <w:r w:rsidR="00D853F7">
        <w:rPr>
          <w:rFonts w:ascii="Times" w:hAnsi="Times" w:cs="Times New Roman"/>
          <w:lang w:val="en"/>
        </w:rPr>
        <w:t xml:space="preserve"> that male gender was associated with a markedly reduced propensity to </w:t>
      </w:r>
      <w:r w:rsidR="00296EB5">
        <w:rPr>
          <w:rFonts w:ascii="Times" w:hAnsi="Times" w:cs="Times New Roman"/>
          <w:lang w:val="en"/>
        </w:rPr>
        <w:t>receive</w:t>
      </w:r>
      <w:r w:rsidR="00D853F7">
        <w:rPr>
          <w:rFonts w:ascii="Times" w:hAnsi="Times" w:cs="Times New Roman"/>
          <w:lang w:val="en"/>
        </w:rPr>
        <w:t xml:space="preserve"> AOM treatment, indicating that male osteoporosis is still neglected in clinical practice. These findings could be used to tailor future secondary fracture prevention strategies.</w:t>
      </w:r>
    </w:p>
    <w:p w14:paraId="597EDD35" w14:textId="77777777" w:rsidR="00BF34A2" w:rsidRPr="00677DCD" w:rsidRDefault="00BF34A2" w:rsidP="00872C50">
      <w:pPr>
        <w:spacing w:line="480" w:lineRule="auto"/>
        <w:rPr>
          <w:rFonts w:ascii="Times" w:hAnsi="Times" w:cs="Times New Roman"/>
          <w:lang w:val="en-US"/>
        </w:rPr>
      </w:pPr>
    </w:p>
    <w:p w14:paraId="727B3EB5" w14:textId="3B7E49D5" w:rsidR="00231AF7" w:rsidRDefault="00BB3D35" w:rsidP="00F13638">
      <w:pPr>
        <w:spacing w:line="480" w:lineRule="auto"/>
        <w:rPr>
          <w:rFonts w:ascii="Times" w:hAnsi="Times" w:cs="Times New Roman"/>
          <w:lang w:val="en"/>
        </w:rPr>
      </w:pPr>
      <w:r>
        <w:rPr>
          <w:rFonts w:ascii="Times" w:hAnsi="Times" w:cs="Times New Roman"/>
          <w:lang w:val="en"/>
        </w:rPr>
        <w:lastRenderedPageBreak/>
        <w:t>The strengt</w:t>
      </w:r>
      <w:r w:rsidR="004959E0">
        <w:rPr>
          <w:rFonts w:ascii="Times" w:hAnsi="Times" w:cs="Times New Roman"/>
          <w:lang w:val="en"/>
        </w:rPr>
        <w:t>h</w:t>
      </w:r>
      <w:r>
        <w:rPr>
          <w:rFonts w:ascii="Times" w:hAnsi="Times" w:cs="Times New Roman"/>
          <w:lang w:val="en"/>
        </w:rPr>
        <w:t xml:space="preserve">s of this study </w:t>
      </w:r>
      <w:r w:rsidR="004959E0">
        <w:rPr>
          <w:rFonts w:ascii="Times" w:hAnsi="Times" w:cs="Times New Roman"/>
          <w:lang w:val="en"/>
        </w:rPr>
        <w:t xml:space="preserve">include the use of validated health registries and prescription databases, and the large number of patients and fractures accrued over a substantial </w:t>
      </w:r>
      <w:proofErr w:type="gramStart"/>
      <w:r w:rsidR="004959E0">
        <w:rPr>
          <w:rFonts w:ascii="Times" w:hAnsi="Times" w:cs="Times New Roman"/>
          <w:lang w:val="en"/>
        </w:rPr>
        <w:t>time period</w:t>
      </w:r>
      <w:proofErr w:type="gramEnd"/>
      <w:r w:rsidR="004959E0">
        <w:rPr>
          <w:rFonts w:ascii="Times" w:hAnsi="Times" w:cs="Times New Roman"/>
          <w:lang w:val="en"/>
        </w:rPr>
        <w:t xml:space="preserve"> without data breaks.  </w:t>
      </w:r>
      <w:r w:rsidR="00231AF7">
        <w:rPr>
          <w:rFonts w:ascii="Times" w:hAnsi="Times" w:cs="Times New Roman"/>
          <w:lang w:val="en"/>
        </w:rPr>
        <w:t>Further, to our knowledge this is the first study</w:t>
      </w:r>
      <w:r w:rsidR="00296EB5">
        <w:rPr>
          <w:rFonts w:ascii="Times" w:hAnsi="Times" w:cs="Times New Roman"/>
          <w:lang w:val="en"/>
        </w:rPr>
        <w:t xml:space="preserve"> using Danish data</w:t>
      </w:r>
      <w:r w:rsidR="00231AF7">
        <w:rPr>
          <w:rFonts w:ascii="Times" w:hAnsi="Times" w:cs="Times New Roman"/>
          <w:lang w:val="en"/>
        </w:rPr>
        <w:t xml:space="preserve"> to include hospital-administered AOM therapy in the evaluation of the post-fracture AOM treatment gap.</w:t>
      </w:r>
      <w:r w:rsidR="00F649BA">
        <w:rPr>
          <w:rFonts w:ascii="Times" w:hAnsi="Times" w:cs="Times New Roman"/>
          <w:lang w:val="en"/>
        </w:rPr>
        <w:t xml:space="preserve"> </w:t>
      </w:r>
    </w:p>
    <w:p w14:paraId="0EC03930" w14:textId="77777777" w:rsidR="00231AF7" w:rsidRDefault="00231AF7" w:rsidP="00F13638">
      <w:pPr>
        <w:spacing w:line="480" w:lineRule="auto"/>
        <w:rPr>
          <w:rFonts w:ascii="Times" w:hAnsi="Times" w:cs="Times New Roman"/>
          <w:lang w:val="en"/>
        </w:rPr>
      </w:pPr>
    </w:p>
    <w:p w14:paraId="474E5EBD" w14:textId="14D5153D" w:rsidR="00F941AE" w:rsidRDefault="00F678B3" w:rsidP="00F13638">
      <w:pPr>
        <w:spacing w:line="480" w:lineRule="auto"/>
        <w:rPr>
          <w:rFonts w:ascii="Times" w:hAnsi="Times" w:cs="Times New Roman"/>
          <w:lang w:val="en"/>
        </w:rPr>
      </w:pPr>
      <w:r>
        <w:rPr>
          <w:rFonts w:ascii="Times" w:hAnsi="Times" w:cs="Times New Roman"/>
          <w:lang w:val="en"/>
        </w:rPr>
        <w:t xml:space="preserve">Limitations do exist, </w:t>
      </w:r>
      <w:r w:rsidR="00231AF7">
        <w:rPr>
          <w:rFonts w:ascii="Times" w:hAnsi="Times" w:cs="Times New Roman"/>
          <w:lang w:val="en"/>
        </w:rPr>
        <w:t xml:space="preserve">including </w:t>
      </w:r>
      <w:r w:rsidR="00504D30">
        <w:rPr>
          <w:rFonts w:ascii="Times" w:hAnsi="Times" w:cs="Times New Roman"/>
          <w:lang w:val="en"/>
        </w:rPr>
        <w:t xml:space="preserve">the </w:t>
      </w:r>
      <w:r w:rsidR="00C122CE" w:rsidRPr="00397404">
        <w:rPr>
          <w:rFonts w:ascii="Times" w:hAnsi="Times" w:cs="Times New Roman"/>
          <w:lang w:val="en-US"/>
        </w:rPr>
        <w:t xml:space="preserve">small </w:t>
      </w:r>
      <w:r w:rsidR="00504D30">
        <w:rPr>
          <w:rFonts w:ascii="Times" w:hAnsi="Times" w:cs="Times New Roman"/>
          <w:lang w:val="en"/>
        </w:rPr>
        <w:t>risk of</w:t>
      </w:r>
      <w:r w:rsidR="00C122CE" w:rsidRPr="00397404">
        <w:rPr>
          <w:rFonts w:ascii="Times" w:hAnsi="Times" w:cs="Times New Roman"/>
          <w:lang w:val="en-US"/>
        </w:rPr>
        <w:t xml:space="preserve"> diagnosis</w:t>
      </w:r>
      <w:r w:rsidR="00504D30">
        <w:rPr>
          <w:rFonts w:ascii="Times" w:hAnsi="Times" w:cs="Times New Roman"/>
          <w:lang w:val="en"/>
        </w:rPr>
        <w:t xml:space="preserve"> </w:t>
      </w:r>
      <w:r w:rsidR="00C122CE" w:rsidRPr="00397404">
        <w:rPr>
          <w:rFonts w:ascii="Times" w:hAnsi="Times" w:cs="Times New Roman"/>
          <w:lang w:val="en-US"/>
        </w:rPr>
        <w:t>mis</w:t>
      </w:r>
      <w:r w:rsidR="00504D30">
        <w:rPr>
          <w:rFonts w:ascii="Times" w:hAnsi="Times" w:cs="Times New Roman"/>
          <w:lang w:val="en"/>
        </w:rPr>
        <w:t>coding</w:t>
      </w:r>
      <w:r w:rsidR="00D25B9A">
        <w:rPr>
          <w:rFonts w:ascii="Times" w:hAnsi="Times" w:cs="Times New Roman"/>
          <w:lang w:val="en"/>
        </w:rPr>
        <w:t xml:space="preserve"> which is an inherent part of registry-based research. Further, p</w:t>
      </w:r>
      <w:r w:rsidR="00D10DDD">
        <w:rPr>
          <w:rFonts w:ascii="Times" w:hAnsi="Times" w:cs="Times New Roman"/>
          <w:lang w:val="en"/>
        </w:rPr>
        <w:t xml:space="preserve">rescription data </w:t>
      </w:r>
      <w:r w:rsidR="00144935">
        <w:rPr>
          <w:rFonts w:ascii="Times" w:hAnsi="Times" w:cs="Times New Roman"/>
          <w:lang w:val="en"/>
        </w:rPr>
        <w:t xml:space="preserve">originates at pharmacy level, thus reflecting filled </w:t>
      </w:r>
      <w:r w:rsidR="00C31F11">
        <w:rPr>
          <w:rFonts w:ascii="Times" w:hAnsi="Times" w:cs="Times New Roman"/>
          <w:lang w:val="en"/>
        </w:rPr>
        <w:t>prescriptions</w:t>
      </w:r>
      <w:r w:rsidR="00144935">
        <w:rPr>
          <w:rFonts w:ascii="Times" w:hAnsi="Times" w:cs="Times New Roman"/>
          <w:lang w:val="en"/>
        </w:rPr>
        <w:t>. Hence</w:t>
      </w:r>
      <w:r w:rsidR="00214911">
        <w:rPr>
          <w:rFonts w:ascii="Times" w:hAnsi="Times" w:cs="Times New Roman"/>
          <w:lang w:val="en"/>
        </w:rPr>
        <w:t>,</w:t>
      </w:r>
      <w:r w:rsidR="004A7FAF">
        <w:rPr>
          <w:rFonts w:ascii="Times" w:hAnsi="Times" w:cs="Times New Roman"/>
          <w:lang w:val="en"/>
        </w:rPr>
        <w:t xml:space="preserve"> we are not able to ascertain</w:t>
      </w:r>
      <w:r w:rsidR="00144935">
        <w:rPr>
          <w:rFonts w:ascii="Times" w:hAnsi="Times" w:cs="Times New Roman"/>
          <w:lang w:val="en"/>
        </w:rPr>
        <w:t xml:space="preserve"> the number of patients actually prescribed </w:t>
      </w:r>
      <w:r w:rsidR="004A7FAF">
        <w:rPr>
          <w:rFonts w:ascii="Times" w:hAnsi="Times" w:cs="Times New Roman"/>
          <w:lang w:val="en"/>
        </w:rPr>
        <w:t xml:space="preserve">an </w:t>
      </w:r>
      <w:r w:rsidR="00144935">
        <w:rPr>
          <w:rFonts w:ascii="Times" w:hAnsi="Times" w:cs="Times New Roman"/>
          <w:lang w:val="en"/>
        </w:rPr>
        <w:t>AOM. Further, we cannot assess from our data if patients filling their prescriptions actually ingest their AOM.</w:t>
      </w:r>
      <w:r w:rsidR="004A475C">
        <w:rPr>
          <w:rFonts w:ascii="Times" w:hAnsi="Times" w:cs="Times New Roman"/>
          <w:lang w:val="en"/>
        </w:rPr>
        <w:t xml:space="preserve"> This, coupled with the fact that our study did not require patients to remain on AOM throughout the full year post fracture, likely resulted in an underestimation of the true tre</w:t>
      </w:r>
      <w:r w:rsidR="00884F42">
        <w:rPr>
          <w:rFonts w:ascii="Times" w:hAnsi="Times" w:cs="Times New Roman"/>
          <w:lang w:val="en"/>
        </w:rPr>
        <w:t>a</w:t>
      </w:r>
      <w:r w:rsidR="004A475C">
        <w:rPr>
          <w:rFonts w:ascii="Times" w:hAnsi="Times" w:cs="Times New Roman"/>
          <w:lang w:val="en"/>
        </w:rPr>
        <w:t>tment gap.</w:t>
      </w:r>
      <w:r w:rsidR="00296EB5">
        <w:rPr>
          <w:rFonts w:ascii="Times" w:hAnsi="Times" w:cs="Times New Roman"/>
          <w:lang w:val="en"/>
        </w:rPr>
        <w:t xml:space="preserve"> To this end, we found a 1-year treatment persistence around 81%.</w:t>
      </w:r>
    </w:p>
    <w:p w14:paraId="70185CBF" w14:textId="1295EF8A" w:rsidR="00A31986" w:rsidRDefault="00AA52E0" w:rsidP="00F13638">
      <w:pPr>
        <w:spacing w:line="480" w:lineRule="auto"/>
        <w:rPr>
          <w:rFonts w:ascii="Times" w:hAnsi="Times" w:cs="Times New Roman"/>
          <w:lang w:val="en"/>
        </w:rPr>
      </w:pPr>
      <w:r>
        <w:rPr>
          <w:rFonts w:ascii="Times" w:hAnsi="Times" w:cs="Times New Roman"/>
          <w:lang w:val="en"/>
        </w:rPr>
        <w:t>An additional</w:t>
      </w:r>
      <w:r w:rsidR="001C323A">
        <w:rPr>
          <w:rFonts w:ascii="Times" w:hAnsi="Times" w:cs="Times New Roman"/>
          <w:lang w:val="en"/>
        </w:rPr>
        <w:t xml:space="preserve"> limitation pertains to the use of zoledronic acid. From the data, we cannot ascertain if it has been administered due to osteoporosis or in the oncology-setting (e.g. tumor-induced </w:t>
      </w:r>
      <w:proofErr w:type="spellStart"/>
      <w:r w:rsidR="001C323A">
        <w:rPr>
          <w:rFonts w:ascii="Times" w:hAnsi="Times" w:cs="Times New Roman"/>
          <w:lang w:val="en"/>
        </w:rPr>
        <w:t>hypercalcaemia</w:t>
      </w:r>
      <w:proofErr w:type="spellEnd"/>
      <w:r w:rsidR="001C323A">
        <w:rPr>
          <w:rFonts w:ascii="Times" w:hAnsi="Times" w:cs="Times New Roman"/>
          <w:lang w:val="en"/>
        </w:rPr>
        <w:t xml:space="preserve">). </w:t>
      </w:r>
      <w:r w:rsidR="008A1E4A" w:rsidRPr="00BF05BC">
        <w:rPr>
          <w:rFonts w:ascii="Times" w:hAnsi="Times" w:cs="Times New Roman"/>
          <w:lang w:val="en"/>
        </w:rPr>
        <w:t>Hence, in this study the indication for using zoledronic acid following an index fracture may be biased, yet even so,</w:t>
      </w:r>
      <w:r w:rsidR="00AD3184">
        <w:rPr>
          <w:rFonts w:ascii="Times" w:hAnsi="Times" w:cs="Times New Roman"/>
          <w:lang w:val="en"/>
        </w:rPr>
        <w:t xml:space="preserve"> fracture</w:t>
      </w:r>
      <w:r w:rsidR="008A1E4A" w:rsidRPr="00BF05BC">
        <w:rPr>
          <w:rFonts w:ascii="Times" w:hAnsi="Times" w:cs="Times New Roman"/>
          <w:lang w:val="en"/>
        </w:rPr>
        <w:t xml:space="preserve"> </w:t>
      </w:r>
      <w:r w:rsidR="00AD3184">
        <w:rPr>
          <w:rFonts w:ascii="Times" w:hAnsi="Times" w:cs="Times New Roman"/>
          <w:lang w:val="en"/>
        </w:rPr>
        <w:t xml:space="preserve">patients receiving zoledronic acid – regardless of indication – does not contribute to the treatment gap, why this </w:t>
      </w:r>
      <w:r w:rsidR="002350F7">
        <w:rPr>
          <w:rFonts w:ascii="Times" w:hAnsi="Times" w:cs="Times New Roman"/>
          <w:lang w:val="en"/>
        </w:rPr>
        <w:t xml:space="preserve">would merely serve to deflate the treatment gap and thus </w:t>
      </w:r>
      <w:r w:rsidR="00AD3184">
        <w:rPr>
          <w:rFonts w:ascii="Times" w:hAnsi="Times" w:cs="Times New Roman"/>
          <w:lang w:val="en"/>
        </w:rPr>
        <w:t xml:space="preserve">does </w:t>
      </w:r>
      <w:r w:rsidR="008A1E4A" w:rsidRPr="00BF05BC">
        <w:rPr>
          <w:rFonts w:ascii="Times" w:hAnsi="Times" w:cs="Times New Roman"/>
          <w:lang w:val="en"/>
        </w:rPr>
        <w:t>not affect the conclusions</w:t>
      </w:r>
      <w:r w:rsidR="004B2BBA">
        <w:rPr>
          <w:rFonts w:ascii="Times" w:hAnsi="Times" w:cs="Times New Roman"/>
          <w:lang w:val="en"/>
        </w:rPr>
        <w:t xml:space="preserve"> of </w:t>
      </w:r>
      <w:r w:rsidR="00AD3184">
        <w:rPr>
          <w:rFonts w:ascii="Times" w:hAnsi="Times" w:cs="Times New Roman"/>
          <w:lang w:val="en"/>
        </w:rPr>
        <w:t>our</w:t>
      </w:r>
      <w:r w:rsidR="004B2BBA">
        <w:rPr>
          <w:rFonts w:ascii="Times" w:hAnsi="Times" w:cs="Times New Roman"/>
          <w:lang w:val="en"/>
        </w:rPr>
        <w:t xml:space="preserve"> study</w:t>
      </w:r>
      <w:r w:rsidR="008A1E4A" w:rsidRPr="00BF05BC">
        <w:rPr>
          <w:rFonts w:ascii="Times" w:hAnsi="Times" w:cs="Times New Roman"/>
          <w:lang w:val="en"/>
        </w:rPr>
        <w:t>.</w:t>
      </w:r>
      <w:r w:rsidR="00B709FC">
        <w:rPr>
          <w:rFonts w:ascii="Times" w:hAnsi="Times" w:cs="Times New Roman"/>
          <w:lang w:val="en"/>
        </w:rPr>
        <w:t xml:space="preserve"> </w:t>
      </w:r>
    </w:p>
    <w:p w14:paraId="34B5BACE" w14:textId="038A70CF" w:rsidR="001C323A" w:rsidRDefault="00AA52E0" w:rsidP="00F13638">
      <w:pPr>
        <w:spacing w:line="480" w:lineRule="auto"/>
        <w:rPr>
          <w:rFonts w:ascii="Times" w:hAnsi="Times" w:cs="Times New Roman"/>
          <w:lang w:val="en"/>
        </w:rPr>
      </w:pPr>
      <w:r>
        <w:rPr>
          <w:rFonts w:ascii="Times" w:hAnsi="Times" w:cs="Times New Roman"/>
          <w:lang w:val="en"/>
        </w:rPr>
        <w:t xml:space="preserve">Another aspect is the </w:t>
      </w:r>
      <w:r w:rsidR="00A31986">
        <w:rPr>
          <w:rFonts w:ascii="Times" w:hAnsi="Times" w:cs="Times New Roman"/>
          <w:lang w:val="en"/>
        </w:rPr>
        <w:t xml:space="preserve">completeness of our data in terms of hospital administration </w:t>
      </w:r>
      <w:r>
        <w:rPr>
          <w:rFonts w:ascii="Times" w:hAnsi="Times" w:cs="Times New Roman"/>
          <w:lang w:val="en"/>
        </w:rPr>
        <w:t>of zoledronic acid and denosumab by the use of procedure codes.</w:t>
      </w:r>
      <w:r w:rsidR="00A31986">
        <w:rPr>
          <w:rFonts w:ascii="Times" w:hAnsi="Times" w:cs="Times New Roman"/>
          <w:lang w:val="en"/>
        </w:rPr>
        <w:t xml:space="preserve"> While this has not been formally validated, there is a sizeable yet redeemable cost to the department for such hospital administration, hence we are confident that </w:t>
      </w:r>
      <w:proofErr w:type="gramStart"/>
      <w:r w:rsidR="00A31986">
        <w:rPr>
          <w:rFonts w:ascii="Times" w:hAnsi="Times" w:cs="Times New Roman"/>
          <w:lang w:val="en"/>
        </w:rPr>
        <w:t>the vast majority of</w:t>
      </w:r>
      <w:proofErr w:type="gramEnd"/>
      <w:r w:rsidR="00A31986">
        <w:rPr>
          <w:rFonts w:ascii="Times" w:hAnsi="Times" w:cs="Times New Roman"/>
          <w:lang w:val="en"/>
        </w:rPr>
        <w:t xml:space="preserve"> administrations </w:t>
      </w:r>
      <w:r w:rsidR="00690F85">
        <w:rPr>
          <w:rFonts w:ascii="Times" w:hAnsi="Times" w:cs="Times New Roman"/>
          <w:lang w:val="en"/>
        </w:rPr>
        <w:t>were</w:t>
      </w:r>
      <w:r w:rsidR="00A31986">
        <w:rPr>
          <w:rFonts w:ascii="Times" w:hAnsi="Times" w:cs="Times New Roman"/>
          <w:lang w:val="en"/>
        </w:rPr>
        <w:t xml:space="preserve"> indeed captured. </w:t>
      </w:r>
    </w:p>
    <w:p w14:paraId="13FDDA8C" w14:textId="5835E577" w:rsidR="004959E0" w:rsidRDefault="004959E0" w:rsidP="00F13638">
      <w:pPr>
        <w:spacing w:line="480" w:lineRule="auto"/>
        <w:rPr>
          <w:rFonts w:ascii="Times" w:hAnsi="Times" w:cs="Times New Roman"/>
          <w:lang w:val="en"/>
        </w:rPr>
      </w:pPr>
    </w:p>
    <w:p w14:paraId="4C0C671E" w14:textId="7C3FFD85" w:rsidR="00C01F8E" w:rsidRPr="00903566" w:rsidRDefault="00A91A4D" w:rsidP="00903566">
      <w:pPr>
        <w:spacing w:line="480" w:lineRule="auto"/>
        <w:rPr>
          <w:rFonts w:ascii="Times" w:hAnsi="Times" w:cs="Times New Roman"/>
          <w:lang w:val="en"/>
        </w:rPr>
      </w:pPr>
      <w:r>
        <w:rPr>
          <w:rFonts w:ascii="Times" w:hAnsi="Times" w:cs="Times New Roman"/>
          <w:lang w:val="en"/>
        </w:rPr>
        <w:lastRenderedPageBreak/>
        <w:t xml:space="preserve">In conclusion, this analysis has demonstrated that a major gap in post-fracture AOM treatment was evident in patients sustaining a major osteoporotic fracture in Denmark from 2005 to 2014. </w:t>
      </w:r>
      <w:r w:rsidR="008652C9" w:rsidRPr="00397404">
        <w:rPr>
          <w:rFonts w:ascii="Times" w:hAnsi="Times" w:cs="Times New Roman"/>
          <w:lang w:val="en-US"/>
        </w:rPr>
        <w:t xml:space="preserve">Regrettably, the magnitude of this </w:t>
      </w:r>
      <w:r>
        <w:rPr>
          <w:rFonts w:ascii="Times" w:hAnsi="Times" w:cs="Times New Roman"/>
          <w:lang w:val="en"/>
        </w:rPr>
        <w:t xml:space="preserve">gap was not materially altered by the inclusion of </w:t>
      </w:r>
      <w:proofErr w:type="gramStart"/>
      <w:r>
        <w:rPr>
          <w:rFonts w:ascii="Times" w:hAnsi="Times" w:cs="Times New Roman"/>
          <w:lang w:val="en"/>
        </w:rPr>
        <w:t>hospital-administered</w:t>
      </w:r>
      <w:proofErr w:type="gramEnd"/>
      <w:r>
        <w:rPr>
          <w:rFonts w:ascii="Times" w:hAnsi="Times" w:cs="Times New Roman"/>
          <w:lang w:val="en"/>
        </w:rPr>
        <w:t xml:space="preserve"> AOM</w:t>
      </w:r>
      <w:r w:rsidR="008472D3">
        <w:rPr>
          <w:rFonts w:ascii="Times" w:hAnsi="Times" w:cs="Times New Roman"/>
          <w:lang w:val="en"/>
        </w:rPr>
        <w:t xml:space="preserve">. While our results echo the call for </w:t>
      </w:r>
      <w:r w:rsidR="003B1D55">
        <w:rPr>
          <w:rFonts w:ascii="Times" w:hAnsi="Times" w:cs="Times New Roman"/>
          <w:lang w:val="en"/>
        </w:rPr>
        <w:t>strengthening</w:t>
      </w:r>
      <w:r w:rsidR="008472D3">
        <w:rPr>
          <w:rFonts w:ascii="Times" w:hAnsi="Times" w:cs="Times New Roman"/>
          <w:lang w:val="en"/>
        </w:rPr>
        <w:t xml:space="preserve"> post-fracture care</w:t>
      </w:r>
      <w:r w:rsidR="003B1D55">
        <w:rPr>
          <w:rFonts w:ascii="Times" w:hAnsi="Times" w:cs="Times New Roman"/>
          <w:lang w:val="en"/>
        </w:rPr>
        <w:t xml:space="preserve">, </w:t>
      </w:r>
      <w:proofErr w:type="spellStart"/>
      <w:r w:rsidR="00397404">
        <w:rPr>
          <w:rFonts w:ascii="Times" w:hAnsi="Times" w:cs="Times New Roman"/>
          <w:lang w:val="en"/>
        </w:rPr>
        <w:t>t</w:t>
      </w:r>
      <w:r w:rsidR="008652C9" w:rsidRPr="00397404">
        <w:rPr>
          <w:rFonts w:ascii="Times" w:hAnsi="Times" w:cs="Times New Roman"/>
          <w:lang w:val="en-US"/>
        </w:rPr>
        <w:t>h</w:t>
      </w:r>
      <w:r w:rsidR="00397404">
        <w:rPr>
          <w:rFonts w:ascii="Times" w:hAnsi="Times" w:cs="Times New Roman"/>
          <w:lang w:val="en-US"/>
        </w:rPr>
        <w:t>is</w:t>
      </w:r>
      <w:proofErr w:type="spellEnd"/>
      <w:r w:rsidR="008652C9" w:rsidRPr="00397404">
        <w:rPr>
          <w:rFonts w:ascii="Times" w:hAnsi="Times" w:cs="Times New Roman"/>
          <w:lang w:val="en-US"/>
        </w:rPr>
        <w:t xml:space="preserve"> study </w:t>
      </w:r>
      <w:r w:rsidR="00397404">
        <w:rPr>
          <w:rFonts w:ascii="Times" w:hAnsi="Times" w:cs="Times New Roman"/>
          <w:lang w:val="en-US"/>
        </w:rPr>
        <w:t xml:space="preserve">also </w:t>
      </w:r>
      <w:r w:rsidR="008652C9" w:rsidRPr="00397404">
        <w:rPr>
          <w:rFonts w:ascii="Times" w:hAnsi="Times" w:cs="Times New Roman"/>
          <w:lang w:val="en-US"/>
        </w:rPr>
        <w:t xml:space="preserve">highlights the continued </w:t>
      </w:r>
      <w:r w:rsidR="00903566">
        <w:rPr>
          <w:rFonts w:ascii="Times" w:hAnsi="Times" w:cs="Times New Roman"/>
          <w:lang w:val="en"/>
        </w:rPr>
        <w:t>need</w:t>
      </w:r>
      <w:r w:rsidR="003B1D55">
        <w:rPr>
          <w:rFonts w:ascii="Times" w:hAnsi="Times" w:cs="Times New Roman"/>
          <w:lang w:val="en"/>
        </w:rPr>
        <w:t xml:space="preserve"> </w:t>
      </w:r>
      <w:r w:rsidR="00903566">
        <w:rPr>
          <w:rFonts w:ascii="Times" w:hAnsi="Times" w:cs="Times New Roman"/>
          <w:lang w:val="en"/>
        </w:rPr>
        <w:t>for</w:t>
      </w:r>
      <w:r w:rsidR="003B1D55">
        <w:rPr>
          <w:rFonts w:ascii="Times" w:hAnsi="Times" w:cs="Times New Roman"/>
          <w:lang w:val="en"/>
        </w:rPr>
        <w:t xml:space="preserve"> a </w:t>
      </w:r>
      <w:r w:rsidR="008E1061">
        <w:rPr>
          <w:rFonts w:ascii="Times" w:hAnsi="Times" w:cs="Times New Roman"/>
          <w:lang w:val="en"/>
        </w:rPr>
        <w:t>systematic</w:t>
      </w:r>
      <w:r w:rsidR="003B1D55">
        <w:rPr>
          <w:rFonts w:ascii="Times" w:hAnsi="Times" w:cs="Times New Roman"/>
          <w:lang w:val="en"/>
        </w:rPr>
        <w:t xml:space="preserve">, </w:t>
      </w:r>
      <w:r w:rsidR="008652C9" w:rsidRPr="00397404">
        <w:rPr>
          <w:rFonts w:ascii="Times" w:hAnsi="Times" w:cs="Times New Roman"/>
          <w:lang w:val="en-US"/>
        </w:rPr>
        <w:t xml:space="preserve">proactive, </w:t>
      </w:r>
      <w:r w:rsidR="003B1D55">
        <w:rPr>
          <w:rFonts w:ascii="Times" w:hAnsi="Times" w:cs="Times New Roman"/>
          <w:lang w:val="en"/>
        </w:rPr>
        <w:t xml:space="preserve">nationwide approach to </w:t>
      </w:r>
      <w:r w:rsidR="00B34575">
        <w:rPr>
          <w:rFonts w:ascii="Times" w:hAnsi="Times" w:cs="Times New Roman"/>
          <w:lang w:val="en"/>
        </w:rPr>
        <w:t xml:space="preserve">the </w:t>
      </w:r>
      <w:r w:rsidR="001C370B">
        <w:rPr>
          <w:rFonts w:ascii="Times" w:hAnsi="Times" w:cs="Times New Roman"/>
          <w:lang w:val="en"/>
        </w:rPr>
        <w:t xml:space="preserve">organization </w:t>
      </w:r>
      <w:r w:rsidR="00B34575">
        <w:rPr>
          <w:rFonts w:ascii="Times" w:hAnsi="Times" w:cs="Times New Roman"/>
          <w:lang w:val="en"/>
        </w:rPr>
        <w:t xml:space="preserve">of </w:t>
      </w:r>
      <w:r w:rsidR="003B1D55">
        <w:rPr>
          <w:rFonts w:ascii="Times" w:hAnsi="Times" w:cs="Times New Roman"/>
          <w:lang w:val="en"/>
        </w:rPr>
        <w:t xml:space="preserve">secondary fracture prevention. </w:t>
      </w:r>
      <w:r w:rsidR="00C01F8E" w:rsidRPr="00903566">
        <w:rPr>
          <w:rFonts w:ascii="Times" w:hAnsi="Times" w:cs="Times New Roman"/>
          <w:lang w:val="en"/>
        </w:rPr>
        <w:br w:type="page"/>
      </w:r>
    </w:p>
    <w:p w14:paraId="3A763986" w14:textId="0C5C1922" w:rsidR="00C01F8E" w:rsidRPr="004907A0" w:rsidRDefault="00C01F8E" w:rsidP="00872C50">
      <w:pPr>
        <w:spacing w:line="480" w:lineRule="auto"/>
        <w:rPr>
          <w:rFonts w:ascii="Times" w:hAnsi="Times" w:cs="Times New Roman"/>
          <w:b/>
          <w:lang w:val="en"/>
        </w:rPr>
      </w:pPr>
      <w:r w:rsidRPr="004907A0">
        <w:rPr>
          <w:rFonts w:ascii="Times" w:hAnsi="Times" w:cs="Times New Roman"/>
          <w:b/>
          <w:lang w:val="en"/>
        </w:rPr>
        <w:lastRenderedPageBreak/>
        <w:t>References</w:t>
      </w:r>
    </w:p>
    <w:p w14:paraId="1871229F" w14:textId="242A8BA5" w:rsidR="00EF75BA" w:rsidRPr="00347D9A" w:rsidRDefault="00C01F8E" w:rsidP="00EF75BA">
      <w:pPr>
        <w:widowControl w:val="0"/>
        <w:autoSpaceDE w:val="0"/>
        <w:autoSpaceDN w:val="0"/>
        <w:adjustRightInd w:val="0"/>
        <w:spacing w:line="480" w:lineRule="auto"/>
        <w:ind w:left="640" w:hanging="640"/>
        <w:rPr>
          <w:rFonts w:ascii="Times" w:hAnsi="Times" w:cs="Times"/>
          <w:noProof/>
          <w:lang w:val="en-US"/>
        </w:rPr>
      </w:pPr>
      <w:r w:rsidRPr="004907A0">
        <w:rPr>
          <w:rFonts w:ascii="Times" w:hAnsi="Times" w:cs="Times New Roman"/>
          <w:b/>
        </w:rPr>
        <w:fldChar w:fldCharType="begin" w:fldLock="1"/>
      </w:r>
      <w:r w:rsidRPr="004063C4">
        <w:rPr>
          <w:rFonts w:ascii="Times" w:hAnsi="Times" w:cs="Times New Roman"/>
          <w:b/>
          <w:lang w:val="en"/>
        </w:rPr>
        <w:instrText xml:space="preserve">ADDIN Mendeley Bibliography CSL_BIBLIOGRAPHY </w:instrText>
      </w:r>
      <w:r w:rsidRPr="004907A0">
        <w:rPr>
          <w:rFonts w:ascii="Times" w:hAnsi="Times" w:cs="Times New Roman"/>
          <w:b/>
        </w:rPr>
        <w:fldChar w:fldCharType="separate"/>
      </w:r>
      <w:r w:rsidR="00EF75BA" w:rsidRPr="00347D9A">
        <w:rPr>
          <w:rFonts w:ascii="Times" w:hAnsi="Times" w:cs="Times"/>
          <w:noProof/>
          <w:lang w:val="en-US"/>
        </w:rPr>
        <w:t xml:space="preserve">1. </w:t>
      </w:r>
      <w:r w:rsidR="00EF75BA" w:rsidRPr="00347D9A">
        <w:rPr>
          <w:rFonts w:ascii="Times" w:hAnsi="Times" w:cs="Times"/>
          <w:noProof/>
          <w:lang w:val="en-US"/>
        </w:rPr>
        <w:tab/>
        <w:t>Brandi ML (2009) Microarchitecture, the key to bone quality. Rheumatol (United Kingdom) 48:iv3–iv8. https://doi.org/10.1093/rheumatology/kep273</w:t>
      </w:r>
    </w:p>
    <w:p w14:paraId="4749DF24"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2. </w:t>
      </w:r>
      <w:r w:rsidRPr="00347D9A">
        <w:rPr>
          <w:rFonts w:ascii="Times" w:hAnsi="Times" w:cs="Times"/>
          <w:noProof/>
          <w:lang w:val="en-US"/>
        </w:rPr>
        <w:tab/>
        <w:t>Hernlund E, Svedbom A, Ivergård M, et al (2013) Osteoporosis in the European Union: Medical management, epidemiology and economic burden: A report prepared in collaboration with the International Osteoporosis Foundation (IOF) and the European Federation of Pharmaceutical Industry Associations (EFPIA). Arch Osteoporos 8:1–115. https://doi.org/10.1007/s11657-013-0136-1</w:t>
      </w:r>
    </w:p>
    <w:p w14:paraId="78023673"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3. </w:t>
      </w:r>
      <w:r w:rsidRPr="00347D9A">
        <w:rPr>
          <w:rFonts w:ascii="Times" w:hAnsi="Times" w:cs="Times"/>
          <w:noProof/>
          <w:lang w:val="en-US"/>
        </w:rPr>
        <w:tab/>
        <w:t>Driessen JHM, Hansen L, Eriksen SA, et al (2016) The epidemiology of fractures in Denmark in 2011. Osteoporos Int 27:2017–2025. https://doi.org/10.1007/s00198-016-3488-8</w:t>
      </w:r>
    </w:p>
    <w:p w14:paraId="07EFD9D5"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4. </w:t>
      </w:r>
      <w:r w:rsidRPr="00347D9A">
        <w:rPr>
          <w:rFonts w:ascii="Times" w:hAnsi="Times" w:cs="Times"/>
          <w:noProof/>
          <w:lang w:val="en-US"/>
        </w:rPr>
        <w:tab/>
        <w:t>Klotzbuecher CM, Ross PD, Landsman PB, et al (2000) Patients with prior fractures have an increased risk of future fractures: a summary of the literature and statistical synthesis. J Bone Miner Res 15:721–739. https://doi.org/10.1359/jbmr.2000.15.4.721</w:t>
      </w:r>
    </w:p>
    <w:p w14:paraId="17848431"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5. </w:t>
      </w:r>
      <w:r w:rsidRPr="00347D9A">
        <w:rPr>
          <w:rFonts w:ascii="Times" w:hAnsi="Times" w:cs="Times"/>
          <w:noProof/>
          <w:lang w:val="en-US"/>
        </w:rPr>
        <w:tab/>
        <w:t>Van Geel T, Van Helden S, Geusens P, et al (2009) Clinical subsequent fractures cluster in time after first fractures. Ann Rheum Dis 68:99–102. https://doi.org/10.1136/ard.2008.092775</w:t>
      </w:r>
    </w:p>
    <w:p w14:paraId="51D00E09"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6. </w:t>
      </w:r>
      <w:r w:rsidRPr="00347D9A">
        <w:rPr>
          <w:rFonts w:ascii="Times" w:hAnsi="Times" w:cs="Times"/>
          <w:noProof/>
          <w:lang w:val="en-US"/>
        </w:rPr>
        <w:tab/>
        <w:t>Johansson H, Siggeirsdóttir K, Harvey NC, et al (2017) Imminent risk of fracture after fracture. Osteoporos Int 28:775–780. https://doi.org/10.1007/s00198-016-3868-0</w:t>
      </w:r>
    </w:p>
    <w:p w14:paraId="35B75EFD"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7. </w:t>
      </w:r>
      <w:r w:rsidRPr="00347D9A">
        <w:rPr>
          <w:rFonts w:ascii="Times" w:hAnsi="Times" w:cs="Times"/>
          <w:noProof/>
          <w:lang w:val="en-US"/>
        </w:rPr>
        <w:tab/>
        <w:t>Port L, Center J, Briffa NK, et al (2003) Osteoporotic fracture: Missed opportunity for intervention. Osteoporos Int 14:780–784. https://doi.org/10.1007/s00198-003-1452-x</w:t>
      </w:r>
    </w:p>
    <w:p w14:paraId="56C3E314"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8. </w:t>
      </w:r>
      <w:r w:rsidRPr="00347D9A">
        <w:rPr>
          <w:rFonts w:ascii="Times" w:hAnsi="Times" w:cs="Times"/>
          <w:noProof/>
          <w:lang w:val="en-US"/>
        </w:rPr>
        <w:tab/>
        <w:t>Edwards BJ, Bunta AD, Simonelli C, et al (2007) Prior fractures are common in patients with subsequent hip fractures. Clin Orthop Relat Res 226–230. https://doi.org/10.1097/BLO.0b013e3180534269</w:t>
      </w:r>
    </w:p>
    <w:p w14:paraId="33EB67EF"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9. </w:t>
      </w:r>
      <w:r w:rsidRPr="00347D9A">
        <w:rPr>
          <w:rFonts w:ascii="Times" w:hAnsi="Times" w:cs="Times"/>
          <w:noProof/>
          <w:lang w:val="en-US"/>
        </w:rPr>
        <w:tab/>
        <w:t>Frederiksen A, Abrahamsen B, Johansen PB, Sorensen HA (2018) Danish, national cross-</w:t>
      </w:r>
      <w:r w:rsidRPr="00347D9A">
        <w:rPr>
          <w:rFonts w:ascii="Times" w:hAnsi="Times" w:cs="Times"/>
          <w:noProof/>
          <w:lang w:val="en-US"/>
        </w:rPr>
        <w:lastRenderedPageBreak/>
        <w:t>sectional observational study on the prevalence of prior major osteoporotic fractures in adults presenting with hip fracture-limitations and scope for fracture liaison services in prevention of hip fracture. Osteoporos Int 29:109–114. https://doi.org/10.1007/s00198-017-4247-1</w:t>
      </w:r>
    </w:p>
    <w:p w14:paraId="68FF045A"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10. </w:t>
      </w:r>
      <w:r w:rsidRPr="00347D9A">
        <w:rPr>
          <w:rFonts w:ascii="Times" w:hAnsi="Times" w:cs="Times"/>
          <w:noProof/>
          <w:lang w:val="en-US"/>
        </w:rPr>
        <w:tab/>
        <w:t>Geusens P, Lems WF, Bours S, vd Bergh JP (2019) Secondary fracture prevention: Drug treatment, fall prevention and nutrition requirements. Best Pract Res Clin Rheumatol 33:290–300. https://doi.org/10.1016/j.berh.2019.04.005</w:t>
      </w:r>
    </w:p>
    <w:p w14:paraId="1A56EA4E" w14:textId="77777777" w:rsidR="00EF75BA" w:rsidRPr="00EF75BA" w:rsidRDefault="00EF75BA" w:rsidP="00EF75BA">
      <w:pPr>
        <w:widowControl w:val="0"/>
        <w:autoSpaceDE w:val="0"/>
        <w:autoSpaceDN w:val="0"/>
        <w:adjustRightInd w:val="0"/>
        <w:spacing w:line="480" w:lineRule="auto"/>
        <w:ind w:left="640" w:hanging="640"/>
        <w:rPr>
          <w:rFonts w:ascii="Times" w:hAnsi="Times" w:cs="Times"/>
          <w:noProof/>
        </w:rPr>
      </w:pPr>
      <w:r w:rsidRPr="00EF75BA">
        <w:rPr>
          <w:rFonts w:ascii="Times" w:hAnsi="Times" w:cs="Times"/>
          <w:noProof/>
        </w:rPr>
        <w:t xml:space="preserve">11. </w:t>
      </w:r>
      <w:r w:rsidRPr="00EF75BA">
        <w:rPr>
          <w:rFonts w:ascii="Times" w:hAnsi="Times" w:cs="Times"/>
          <w:noProof/>
        </w:rPr>
        <w:tab/>
        <w:t>Hitz M, Harsløf T, Ejersted C, et al (2019) NBV: Postmenopausal osteoporose</w:t>
      </w:r>
    </w:p>
    <w:p w14:paraId="1367849C" w14:textId="77777777" w:rsidR="00EF75BA" w:rsidRPr="00EF75BA" w:rsidRDefault="00EF75BA" w:rsidP="00EF75BA">
      <w:pPr>
        <w:widowControl w:val="0"/>
        <w:autoSpaceDE w:val="0"/>
        <w:autoSpaceDN w:val="0"/>
        <w:adjustRightInd w:val="0"/>
        <w:spacing w:line="480" w:lineRule="auto"/>
        <w:ind w:left="640" w:hanging="640"/>
        <w:rPr>
          <w:rFonts w:ascii="Times" w:hAnsi="Times" w:cs="Times"/>
          <w:noProof/>
        </w:rPr>
      </w:pPr>
      <w:r w:rsidRPr="00EF75BA">
        <w:rPr>
          <w:rFonts w:ascii="Times" w:hAnsi="Times" w:cs="Times"/>
          <w:noProof/>
        </w:rPr>
        <w:t xml:space="preserve">12. </w:t>
      </w:r>
      <w:r w:rsidRPr="00EF75BA">
        <w:rPr>
          <w:rFonts w:ascii="Times" w:hAnsi="Times" w:cs="Times"/>
          <w:noProof/>
        </w:rPr>
        <w:tab/>
        <w:t>Hermann P, Frost M, Abrahamsen B, et al (2020) NBV: Behandling af mandlig osteoporose</w:t>
      </w:r>
    </w:p>
    <w:p w14:paraId="05571916"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13. </w:t>
      </w:r>
      <w:r w:rsidRPr="00347D9A">
        <w:rPr>
          <w:rFonts w:ascii="Times" w:hAnsi="Times" w:cs="Times"/>
          <w:noProof/>
          <w:lang w:val="en-US"/>
        </w:rPr>
        <w:tab/>
        <w:t>Kanis J, Cooper C, Rizzoli R, et al (2019) European guidance for the diagnosis and management of osteoporosis in postmenopausal women. Osteoporos Int 30:3–44. https://doi.org/10.1007/s00198-018-4704-5</w:t>
      </w:r>
    </w:p>
    <w:p w14:paraId="796A0E3F"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14. </w:t>
      </w:r>
      <w:r w:rsidRPr="00347D9A">
        <w:rPr>
          <w:rFonts w:ascii="Times" w:hAnsi="Times" w:cs="Times"/>
          <w:noProof/>
          <w:lang w:val="en-US"/>
        </w:rPr>
        <w:tab/>
        <w:t>Cooper C, Ferrari S, IOF Board and Executive Committee (2017) IOF Compendium of Osteoporosis</w:t>
      </w:r>
    </w:p>
    <w:p w14:paraId="74B17BFF"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15. </w:t>
      </w:r>
      <w:r w:rsidRPr="00347D9A">
        <w:rPr>
          <w:rFonts w:ascii="Times" w:hAnsi="Times" w:cs="Times"/>
          <w:noProof/>
          <w:lang w:val="en-US"/>
        </w:rPr>
        <w:tab/>
        <w:t>Compston J, Cooper A, Cooper C, et al (2017) UK clinical guideline for the prevention and treatment of osteoporosis. Arch Osteoporos 12:43. https://doi.org/10.1007/s11657-017-0324-5</w:t>
      </w:r>
    </w:p>
    <w:p w14:paraId="57EEE23E"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16. </w:t>
      </w:r>
      <w:r w:rsidRPr="00347D9A">
        <w:rPr>
          <w:rFonts w:ascii="Times" w:hAnsi="Times" w:cs="Times"/>
          <w:noProof/>
          <w:lang w:val="en-US"/>
        </w:rPr>
        <w:tab/>
        <w:t>Conley RB, Adib G, Adler RA, et al (2020) Secondary Fracture Prevention: Consensus Clinical Recommendations from a Multistakeholder Coalition. J Bone Miner Res 35:36–52. https://doi.org/10.1002/jbmr.3877</w:t>
      </w:r>
    </w:p>
    <w:p w14:paraId="026A4110"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17. </w:t>
      </w:r>
      <w:r w:rsidRPr="00347D9A">
        <w:rPr>
          <w:rFonts w:ascii="Times" w:hAnsi="Times" w:cs="Times"/>
          <w:noProof/>
          <w:lang w:val="en-US"/>
        </w:rPr>
        <w:tab/>
        <w:t>Elliot-Gibson V, Bogoch ER, Jamal SA, Beaton DE (2004) Practice patterns in the diagnosis and treatment of osteoporosis after a fragility fracture: A systematic review. Osteoporos Int 15:767–778. https://doi.org/10.1007/s00198-004-1675-5</w:t>
      </w:r>
    </w:p>
    <w:p w14:paraId="414EC2CD"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18. </w:t>
      </w:r>
      <w:r w:rsidRPr="00347D9A">
        <w:rPr>
          <w:rFonts w:ascii="Times" w:hAnsi="Times" w:cs="Times"/>
          <w:noProof/>
          <w:lang w:val="en-US"/>
        </w:rPr>
        <w:tab/>
        <w:t>Papaioannou A, Giangregorio L, Kvern B, et al (2004) The osteoporosis care gap in Canada. BMC Musculoskelet Disord 5:1–6. https://doi.org/10.1186/1471-2474-5-11</w:t>
      </w:r>
    </w:p>
    <w:p w14:paraId="059410F7"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lastRenderedPageBreak/>
        <w:t xml:space="preserve">19. </w:t>
      </w:r>
      <w:r w:rsidRPr="00347D9A">
        <w:rPr>
          <w:rFonts w:ascii="Times" w:hAnsi="Times" w:cs="Times"/>
          <w:noProof/>
          <w:lang w:val="en-US"/>
        </w:rPr>
        <w:tab/>
        <w:t>Cheung M, Ho AW, Wong S (2018) Post-fracture care gap: a retrospective population-based analysis of Hong Kong from 2009 to 2012. Hong Kong Med J 24:579–83. https://doi.org/10.12809/hkmj187227</w:t>
      </w:r>
    </w:p>
    <w:p w14:paraId="1C5B79B9"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20. </w:t>
      </w:r>
      <w:r w:rsidRPr="00347D9A">
        <w:rPr>
          <w:rFonts w:ascii="Times" w:hAnsi="Times" w:cs="Times"/>
          <w:noProof/>
          <w:lang w:val="en-US"/>
        </w:rPr>
        <w:tab/>
        <w:t>Fraser LA, Ioannidis G, Adachi JD, et al (2011) Fragility fractures and the osteoporosis care gap in women: The Canadian Multicentre Osteoporosis Study. Osteoporos Int 22:789–796. https://doi.org/10.1007/s00198-010-1359-2</w:t>
      </w:r>
    </w:p>
    <w:p w14:paraId="7C596533"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21. </w:t>
      </w:r>
      <w:r w:rsidRPr="00347D9A">
        <w:rPr>
          <w:rFonts w:ascii="Times" w:hAnsi="Times" w:cs="Times"/>
          <w:noProof/>
          <w:lang w:val="en-US"/>
        </w:rPr>
        <w:tab/>
        <w:t>Wilk A, Sajjan S, Modi A, et al (2014) Post-fracture pharmacotherapy for women with osteoporotic fracture: analysis of a managed care population in the USA. Osteoporos Int 25:2777–2786. https://doi.org/10.1007/s00198-014-2827-x</w:t>
      </w:r>
    </w:p>
    <w:p w14:paraId="0C8C622C"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22. </w:t>
      </w:r>
      <w:r w:rsidRPr="00347D9A">
        <w:rPr>
          <w:rFonts w:ascii="Times" w:hAnsi="Times" w:cs="Times"/>
          <w:noProof/>
          <w:lang w:val="en-US"/>
        </w:rPr>
        <w:tab/>
        <w:t>Shibli-Rahhal A, Vaughan-Sarrazin MS, Richardson K, Cram P (2011) Testing and treatment for osteoporosis following hip fracture in an integrated U.S. healthcare delivery system. Osteoporos Int 22:2973–2980. https://doi.org/10.1007/s00198-011-1536-y</w:t>
      </w:r>
    </w:p>
    <w:p w14:paraId="009EE337"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23. </w:t>
      </w:r>
      <w:r w:rsidRPr="00347D9A">
        <w:rPr>
          <w:rFonts w:ascii="Times" w:hAnsi="Times" w:cs="Times"/>
          <w:noProof/>
          <w:lang w:val="en-US"/>
        </w:rPr>
        <w:tab/>
        <w:t>Papaioannou A, Kennedy CC, Ioannidis G, et al (2008) The osteoporosis care gap in men with fragility fractures: The Canadian Multicentre Osteoporosis Study. Osteoporos Int 19:581–587. https://doi.org/10.1007/s00198-007-0483-0</w:t>
      </w:r>
    </w:p>
    <w:p w14:paraId="6A7F756B"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24. </w:t>
      </w:r>
      <w:r w:rsidRPr="00347D9A">
        <w:rPr>
          <w:rFonts w:ascii="Times" w:hAnsi="Times" w:cs="Times"/>
          <w:noProof/>
          <w:lang w:val="en-US"/>
        </w:rPr>
        <w:tab/>
        <w:t>Lüthje P, Nurmi-Lüthje I, Kaukonen JP, et al (2009) Undertreatment of osteoporosis following hip fracture in the elderly. Arch Gerontol Geriatr 49:153–157. https://doi.org/10.1016/j.archger.2008.06.007</w:t>
      </w:r>
    </w:p>
    <w:p w14:paraId="36C86BCE"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25. </w:t>
      </w:r>
      <w:r w:rsidRPr="00347D9A">
        <w:rPr>
          <w:rFonts w:ascii="Times" w:hAnsi="Times" w:cs="Times"/>
          <w:noProof/>
          <w:lang w:val="en-US"/>
        </w:rPr>
        <w:tab/>
        <w:t>Leslie WD, Giangregorio LM, Yogendran M, et al (2012) A population-based analysis of the post-fracture care gap 1996-2008: The situation is not improving. Osteoporos Int 23:1623–1629. https://doi.org/10.1007/s00198-011-1630-1</w:t>
      </w:r>
    </w:p>
    <w:p w14:paraId="41DC8C49"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26. </w:t>
      </w:r>
      <w:r w:rsidRPr="00347D9A">
        <w:rPr>
          <w:rFonts w:ascii="Times" w:hAnsi="Times" w:cs="Times"/>
          <w:noProof/>
          <w:lang w:val="en-US"/>
        </w:rPr>
        <w:tab/>
        <w:t>Nguyen ET, Posas-Mendoza T, Siu AM, et al (2018) Low rates of osteoporosis treatment after hospitalization for hip fracture in Hawaii. Osteoporos Int 29:1827–1832. https://doi.org/10.1007/s00198-018-4553-2</w:t>
      </w:r>
    </w:p>
    <w:p w14:paraId="44FEAD2D"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lastRenderedPageBreak/>
        <w:t xml:space="preserve">27. </w:t>
      </w:r>
      <w:r w:rsidRPr="00347D9A">
        <w:rPr>
          <w:rFonts w:ascii="Times" w:hAnsi="Times" w:cs="Times"/>
          <w:noProof/>
          <w:lang w:val="en-US"/>
        </w:rPr>
        <w:tab/>
        <w:t>Skjødt MK, Khalid S, Ernst M, et al (2020) Secular trends in the initiation of therapy in secondary fracture prevention in Europe: a multi-national cohort study including data from Denmark, Catalonia, and the United Kingdom. Osteoporos Int 31:1535–44. https://doi.org/10.1007/s00198-020-05358-4</w:t>
      </w:r>
    </w:p>
    <w:p w14:paraId="79467D52"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28. </w:t>
      </w:r>
      <w:r w:rsidRPr="00347D9A">
        <w:rPr>
          <w:rFonts w:ascii="Times" w:hAnsi="Times" w:cs="Times"/>
          <w:noProof/>
          <w:lang w:val="en-US"/>
        </w:rPr>
        <w:tab/>
        <w:t>Axelsson KF, Johansson H, Lundh D, et al (2020) Association Between Recurrent Fracture Risk and Implementation of Fracture Liaison Services in Four Swedish Hospitals: A Cohort Study. J Bone Miner Res 35:1216–23. https://doi.org/10.1002/jbmr.3990</w:t>
      </w:r>
    </w:p>
    <w:p w14:paraId="2042BB29"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29. </w:t>
      </w:r>
      <w:r w:rsidRPr="00347D9A">
        <w:rPr>
          <w:rFonts w:ascii="Times" w:hAnsi="Times" w:cs="Times"/>
          <w:noProof/>
          <w:lang w:val="en-US"/>
        </w:rPr>
        <w:tab/>
        <w:t>Solomon DH, Johnston SS, Boytsov NN, et al (2014) Osteoporosis medication use after hip fracture in U.S. patients between 2002 and 2011. J Bone Miner Res 29:1929–37. https://doi.org/10.1002/jbmr.2202</w:t>
      </w:r>
    </w:p>
    <w:p w14:paraId="3B12DDD9"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30. </w:t>
      </w:r>
      <w:r w:rsidRPr="00347D9A">
        <w:rPr>
          <w:rFonts w:ascii="Times" w:hAnsi="Times" w:cs="Times"/>
          <w:noProof/>
          <w:lang w:val="en-US"/>
        </w:rPr>
        <w:tab/>
        <w:t>(2018) Multinational Observational Database Study on Imminent Osteoporotic Fracture Risk: Stage 1. In: Eur. Union Electron. Regist. Post-Authorisation Stud. (EU PAS Regist. http://www.encepp.eu/encepp/viewResource.htm?id=24100. Accessed 23 Jun 2020</w:t>
      </w:r>
    </w:p>
    <w:p w14:paraId="5DD5B262" w14:textId="77777777" w:rsidR="00EF75BA" w:rsidRPr="00EF75BA" w:rsidRDefault="00EF75BA" w:rsidP="00EF75BA">
      <w:pPr>
        <w:widowControl w:val="0"/>
        <w:autoSpaceDE w:val="0"/>
        <w:autoSpaceDN w:val="0"/>
        <w:adjustRightInd w:val="0"/>
        <w:spacing w:line="480" w:lineRule="auto"/>
        <w:ind w:left="640" w:hanging="640"/>
        <w:rPr>
          <w:rFonts w:ascii="Times" w:hAnsi="Times" w:cs="Times"/>
          <w:noProof/>
        </w:rPr>
      </w:pPr>
      <w:r w:rsidRPr="00347D9A">
        <w:rPr>
          <w:rFonts w:ascii="Times" w:hAnsi="Times" w:cs="Times"/>
          <w:noProof/>
          <w:lang w:val="en-US"/>
        </w:rPr>
        <w:t xml:space="preserve">31. </w:t>
      </w:r>
      <w:r w:rsidRPr="00347D9A">
        <w:rPr>
          <w:rFonts w:ascii="Times" w:hAnsi="Times" w:cs="Times"/>
          <w:noProof/>
          <w:lang w:val="en-US"/>
        </w:rPr>
        <w:tab/>
        <w:t xml:space="preserve">Javaid MK, Sami A, Lems W, et al (2020) A patient-level key performance indicator set to measure the effectiveness of fracture liaison services and guide quality improvement: a position paper of the IOF Capture the Fracture Working Group, National Osteoporosis Foundation and Fragility Fracture. </w:t>
      </w:r>
      <w:r w:rsidRPr="00EF75BA">
        <w:rPr>
          <w:rFonts w:ascii="Times" w:hAnsi="Times" w:cs="Times"/>
          <w:noProof/>
        </w:rPr>
        <w:t>Osteoporos Int 31:1193–1204. https://doi.org/10.1007/s00198-020-05377-1</w:t>
      </w:r>
    </w:p>
    <w:p w14:paraId="6A2950A9"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EF75BA">
        <w:rPr>
          <w:rFonts w:ascii="Times" w:hAnsi="Times" w:cs="Times"/>
          <w:noProof/>
        </w:rPr>
        <w:t xml:space="preserve">32. </w:t>
      </w:r>
      <w:r w:rsidRPr="00EF75BA">
        <w:rPr>
          <w:rFonts w:ascii="Times" w:hAnsi="Times" w:cs="Times"/>
          <w:noProof/>
        </w:rPr>
        <w:tab/>
        <w:t xml:space="preserve">Kanis JA, Harvey NC, Johansson H, et al (2017) FRAX Update. </w:t>
      </w:r>
      <w:r w:rsidRPr="00347D9A">
        <w:rPr>
          <w:rFonts w:ascii="Times" w:hAnsi="Times" w:cs="Times"/>
          <w:noProof/>
          <w:lang w:val="en-US"/>
        </w:rPr>
        <w:t>J Clin Densitom 20:360–67. https://doi.org/10.1016/j.jocd.2017.06.022</w:t>
      </w:r>
    </w:p>
    <w:p w14:paraId="4E085549"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33. </w:t>
      </w:r>
      <w:r w:rsidRPr="00347D9A">
        <w:rPr>
          <w:rFonts w:ascii="Times" w:hAnsi="Times" w:cs="Times"/>
          <w:noProof/>
          <w:lang w:val="en-US"/>
        </w:rPr>
        <w:tab/>
        <w:t>Barton DW, Behrend CJ, Carmouche JJ (2019) Rates of osteoporosis screening and treatment following vertebral fracture. Spine J 19:411–17. https://doi.org/10.1016/j.spinee.2018.08.004</w:t>
      </w:r>
    </w:p>
    <w:p w14:paraId="30BCAEF5"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34. </w:t>
      </w:r>
      <w:r w:rsidRPr="00347D9A">
        <w:rPr>
          <w:rFonts w:ascii="Times" w:hAnsi="Times" w:cs="Times"/>
          <w:noProof/>
          <w:lang w:val="en-US"/>
        </w:rPr>
        <w:tab/>
        <w:t xml:space="preserve">Little EA, Eccles MP (2010) A systematic review of the effectiveness of interventions to </w:t>
      </w:r>
      <w:r w:rsidRPr="00347D9A">
        <w:rPr>
          <w:rFonts w:ascii="Times" w:hAnsi="Times" w:cs="Times"/>
          <w:noProof/>
          <w:lang w:val="en-US"/>
        </w:rPr>
        <w:lastRenderedPageBreak/>
        <w:t>improve post-fracture investigation and management of patients at risk of osteoporosis. Implement Sci 5:. https://doi.org/10.1186/1748-5908-5-80</w:t>
      </w:r>
    </w:p>
    <w:p w14:paraId="5190B3E3"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35. </w:t>
      </w:r>
      <w:r w:rsidRPr="00347D9A">
        <w:rPr>
          <w:rFonts w:ascii="Times" w:hAnsi="Times" w:cs="Times"/>
          <w:noProof/>
          <w:lang w:val="en-US"/>
        </w:rPr>
        <w:tab/>
        <w:t>Ganda K, Puech M, Chen J, et al (2013) Models of care for the secondary prevention of osteoporotic fractures: A systematic review and meta-analysis. Osteoporos Int 24:393–406. https://doi.org/10.1007/s00198-012-2090-y</w:t>
      </w:r>
    </w:p>
    <w:p w14:paraId="3751DEDC"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36. </w:t>
      </w:r>
      <w:r w:rsidRPr="00347D9A">
        <w:rPr>
          <w:rFonts w:ascii="Times" w:hAnsi="Times" w:cs="Times"/>
          <w:noProof/>
          <w:lang w:val="en-US"/>
        </w:rPr>
        <w:tab/>
        <w:t>Mitchell P, Åkesson K, Chandran M, et al (2016) Implementation of Models of Care for secondary osteoporotic fracture prevention and orthogeriatric Models of Care for osteoporotic hip fracture. Best Pract Res Clin Rheumatol 30:536–558. https://doi.org/10.1016/j.berh.2016.09.008</w:t>
      </w:r>
    </w:p>
    <w:p w14:paraId="5ADF7E21"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37. </w:t>
      </w:r>
      <w:r w:rsidRPr="00347D9A">
        <w:rPr>
          <w:rFonts w:ascii="Times" w:hAnsi="Times" w:cs="Times"/>
          <w:noProof/>
          <w:lang w:val="en-US"/>
        </w:rPr>
        <w:tab/>
        <w:t>Jaglal SB, McIsaac WJ, Hawker G, et al (2003) Information needs in the management of osteoporosis in family practice: An illustration of the failure of the current guideline implementation process. Osteoporos Int 14:672–676. https://doi.org/10.1007/s00198-003-1421-4</w:t>
      </w:r>
    </w:p>
    <w:p w14:paraId="4AF69A85" w14:textId="77777777" w:rsidR="00EF75BA" w:rsidRPr="00347D9A" w:rsidRDefault="00EF75BA" w:rsidP="00EF75BA">
      <w:pPr>
        <w:widowControl w:val="0"/>
        <w:autoSpaceDE w:val="0"/>
        <w:autoSpaceDN w:val="0"/>
        <w:adjustRightInd w:val="0"/>
        <w:spacing w:line="480" w:lineRule="auto"/>
        <w:ind w:left="640" w:hanging="640"/>
        <w:rPr>
          <w:rFonts w:ascii="Times" w:hAnsi="Times" w:cs="Times"/>
          <w:noProof/>
          <w:lang w:val="en-US"/>
        </w:rPr>
      </w:pPr>
      <w:r w:rsidRPr="00347D9A">
        <w:rPr>
          <w:rFonts w:ascii="Times" w:hAnsi="Times" w:cs="Times"/>
          <w:noProof/>
          <w:lang w:val="en-US"/>
        </w:rPr>
        <w:t xml:space="preserve">38. </w:t>
      </w:r>
      <w:r w:rsidRPr="00347D9A">
        <w:rPr>
          <w:rFonts w:ascii="Times" w:hAnsi="Times" w:cs="Times"/>
          <w:noProof/>
          <w:lang w:val="en-US"/>
        </w:rPr>
        <w:tab/>
        <w:t>Center JR, Bliuc D, Nguyen T V, Eisman JA (2007) Risk of subsequent fracture after low-trauma fracture in men and women. JAMA 297:387–394. https://doi.org/10.1001/jama.297.4.387</w:t>
      </w:r>
    </w:p>
    <w:p w14:paraId="7192B4AF" w14:textId="77777777" w:rsidR="00EF75BA" w:rsidRPr="00EF75BA" w:rsidRDefault="00EF75BA" w:rsidP="00EF75BA">
      <w:pPr>
        <w:widowControl w:val="0"/>
        <w:autoSpaceDE w:val="0"/>
        <w:autoSpaceDN w:val="0"/>
        <w:adjustRightInd w:val="0"/>
        <w:spacing w:line="480" w:lineRule="auto"/>
        <w:ind w:left="640" w:hanging="640"/>
        <w:rPr>
          <w:rFonts w:ascii="Times" w:hAnsi="Times" w:cs="Times"/>
          <w:noProof/>
        </w:rPr>
      </w:pPr>
      <w:r w:rsidRPr="00347D9A">
        <w:rPr>
          <w:rFonts w:ascii="Times" w:hAnsi="Times" w:cs="Times"/>
          <w:noProof/>
          <w:lang w:val="en-US"/>
        </w:rPr>
        <w:t xml:space="preserve">39. </w:t>
      </w:r>
      <w:r w:rsidRPr="00347D9A">
        <w:rPr>
          <w:rFonts w:ascii="Times" w:hAnsi="Times" w:cs="Times"/>
          <w:noProof/>
          <w:lang w:val="en-US"/>
        </w:rPr>
        <w:tab/>
        <w:t xml:space="preserve">Lyles KW, Colón-Emeric CS, Magaziner JS, et al (2007) Zoledronic Acid and Clinical Fractures and Mortality after Hip Fracture. </w:t>
      </w:r>
      <w:r w:rsidRPr="00EF75BA">
        <w:rPr>
          <w:rFonts w:ascii="Times" w:hAnsi="Times" w:cs="Times"/>
          <w:noProof/>
        </w:rPr>
        <w:t>N Engl J Med 357:1799–1809. https://doi.org/10.1056/NEJMoa074941</w:t>
      </w:r>
    </w:p>
    <w:p w14:paraId="77552B51" w14:textId="4F87749A" w:rsidR="003E2B7C" w:rsidRDefault="00C01F8E" w:rsidP="00DA4160">
      <w:pPr>
        <w:widowControl w:val="0"/>
        <w:autoSpaceDE w:val="0"/>
        <w:autoSpaceDN w:val="0"/>
        <w:adjustRightInd w:val="0"/>
        <w:spacing w:line="480" w:lineRule="auto"/>
        <w:ind w:left="640" w:hanging="640"/>
        <w:rPr>
          <w:rFonts w:ascii="Times" w:hAnsi="Times" w:cs="Times New Roman"/>
          <w:b/>
        </w:rPr>
      </w:pPr>
      <w:r w:rsidRPr="004907A0">
        <w:rPr>
          <w:rFonts w:ascii="Times" w:hAnsi="Times" w:cs="Times New Roman"/>
          <w:b/>
        </w:rPr>
        <w:fldChar w:fldCharType="end"/>
      </w:r>
    </w:p>
    <w:p w14:paraId="694EAAC4" w14:textId="476DB2BE" w:rsidR="00B5275C" w:rsidRDefault="00B5275C">
      <w:pPr>
        <w:rPr>
          <w:rFonts w:ascii="Times" w:hAnsi="Times" w:cs="Times New Roman"/>
          <w:b/>
          <w:lang w:val="en"/>
        </w:rPr>
      </w:pPr>
      <w:r>
        <w:rPr>
          <w:rFonts w:ascii="Times" w:hAnsi="Times" w:cs="Times New Roman"/>
          <w:b/>
          <w:lang w:val="en"/>
        </w:rPr>
        <w:br w:type="page"/>
      </w:r>
    </w:p>
    <w:tbl>
      <w:tblPr>
        <w:tblW w:w="5000" w:type="pct"/>
        <w:tblLayout w:type="fixed"/>
        <w:tblCellMar>
          <w:left w:w="70" w:type="dxa"/>
          <w:right w:w="70" w:type="dxa"/>
        </w:tblCellMar>
        <w:tblLook w:val="04A0" w:firstRow="1" w:lastRow="0" w:firstColumn="1" w:lastColumn="0" w:noHBand="0" w:noVBand="1"/>
      </w:tblPr>
      <w:tblGrid>
        <w:gridCol w:w="1276"/>
        <w:gridCol w:w="1277"/>
        <w:gridCol w:w="2032"/>
        <w:gridCol w:w="2034"/>
        <w:gridCol w:w="2034"/>
        <w:gridCol w:w="979"/>
      </w:tblGrid>
      <w:tr w:rsidR="00D314A0" w:rsidRPr="00754E9C" w14:paraId="7EAA2B5D" w14:textId="77777777" w:rsidTr="00C84A34">
        <w:trPr>
          <w:trHeight w:val="488"/>
        </w:trPr>
        <w:tc>
          <w:tcPr>
            <w:tcW w:w="662" w:type="pct"/>
            <w:vMerge w:val="restart"/>
            <w:shd w:val="clear" w:color="auto" w:fill="auto"/>
            <w:noWrap/>
            <w:vAlign w:val="center"/>
          </w:tcPr>
          <w:p w14:paraId="584FCCFB"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lastRenderedPageBreak/>
              <w:t>Year</w:t>
            </w:r>
          </w:p>
        </w:tc>
        <w:tc>
          <w:tcPr>
            <w:tcW w:w="663" w:type="pct"/>
            <w:vMerge w:val="restart"/>
            <w:shd w:val="clear" w:color="auto" w:fill="auto"/>
            <w:noWrap/>
            <w:vAlign w:val="center"/>
          </w:tcPr>
          <w:p w14:paraId="0877B0C6"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Evaluated</w:t>
            </w:r>
          </w:p>
        </w:tc>
        <w:tc>
          <w:tcPr>
            <w:tcW w:w="3167" w:type="pct"/>
            <w:gridSpan w:val="3"/>
            <w:tcBorders>
              <w:bottom w:val="single" w:sz="4" w:space="0" w:color="auto"/>
            </w:tcBorders>
            <w:shd w:val="clear" w:color="auto" w:fill="auto"/>
            <w:noWrap/>
            <w:vAlign w:val="center"/>
          </w:tcPr>
          <w:p w14:paraId="72C54B82" w14:textId="77777777" w:rsidR="00D314A0" w:rsidRPr="00754E9C" w:rsidRDefault="00D314A0" w:rsidP="00C84A34">
            <w:pPr>
              <w:jc w:val="center"/>
              <w:rPr>
                <w:rFonts w:ascii="Calibri" w:hAnsi="Calibri" w:cs="Calibri"/>
                <w:b/>
                <w:bCs/>
                <w:sz w:val="20"/>
                <w:szCs w:val="20"/>
                <w:lang w:val="en-US"/>
              </w:rPr>
            </w:pPr>
            <w:r>
              <w:rPr>
                <w:rFonts w:ascii="Calibri" w:hAnsi="Calibri" w:cs="Calibri"/>
                <w:b/>
                <w:bCs/>
                <w:sz w:val="20"/>
                <w:szCs w:val="20"/>
                <w:lang w:val="en-US"/>
              </w:rPr>
              <w:t>Excluded</w:t>
            </w:r>
          </w:p>
        </w:tc>
        <w:tc>
          <w:tcPr>
            <w:tcW w:w="508" w:type="pct"/>
            <w:vMerge w:val="restart"/>
            <w:tcBorders>
              <w:bottom w:val="single" w:sz="4" w:space="0" w:color="auto"/>
            </w:tcBorders>
            <w:shd w:val="clear" w:color="auto" w:fill="auto"/>
            <w:noWrap/>
            <w:vAlign w:val="center"/>
          </w:tcPr>
          <w:p w14:paraId="15EEA12E"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Included</w:t>
            </w:r>
          </w:p>
        </w:tc>
      </w:tr>
      <w:tr w:rsidR="00D314A0" w:rsidRPr="00CA2E36" w14:paraId="5D5A3165" w14:textId="77777777" w:rsidTr="00C84A34">
        <w:trPr>
          <w:trHeight w:val="488"/>
        </w:trPr>
        <w:tc>
          <w:tcPr>
            <w:tcW w:w="662" w:type="pct"/>
            <w:vMerge/>
            <w:tcBorders>
              <w:bottom w:val="single" w:sz="4" w:space="0" w:color="auto"/>
            </w:tcBorders>
            <w:shd w:val="clear" w:color="auto" w:fill="auto"/>
            <w:noWrap/>
            <w:vAlign w:val="center"/>
            <w:hideMark/>
          </w:tcPr>
          <w:p w14:paraId="614E7DD4" w14:textId="77777777" w:rsidR="00D314A0" w:rsidRPr="00754E9C" w:rsidRDefault="00D314A0" w:rsidP="00C84A34">
            <w:pPr>
              <w:jc w:val="center"/>
              <w:rPr>
                <w:rFonts w:ascii="Calibri" w:hAnsi="Calibri" w:cs="Calibri"/>
                <w:b/>
                <w:bCs/>
                <w:sz w:val="20"/>
                <w:szCs w:val="20"/>
              </w:rPr>
            </w:pPr>
          </w:p>
        </w:tc>
        <w:tc>
          <w:tcPr>
            <w:tcW w:w="663" w:type="pct"/>
            <w:vMerge/>
            <w:tcBorders>
              <w:bottom w:val="single" w:sz="4" w:space="0" w:color="auto"/>
            </w:tcBorders>
            <w:shd w:val="clear" w:color="auto" w:fill="auto"/>
            <w:noWrap/>
            <w:vAlign w:val="center"/>
            <w:hideMark/>
          </w:tcPr>
          <w:p w14:paraId="1B3E0F5A" w14:textId="77777777" w:rsidR="00D314A0" w:rsidRPr="00754E9C" w:rsidRDefault="00D314A0" w:rsidP="00C84A34">
            <w:pPr>
              <w:jc w:val="center"/>
              <w:rPr>
                <w:rFonts w:ascii="Calibri" w:hAnsi="Calibri" w:cs="Calibri"/>
                <w:b/>
                <w:bCs/>
                <w:sz w:val="20"/>
                <w:szCs w:val="20"/>
              </w:rPr>
            </w:pPr>
          </w:p>
        </w:tc>
        <w:tc>
          <w:tcPr>
            <w:tcW w:w="1055" w:type="pct"/>
            <w:tcBorders>
              <w:top w:val="single" w:sz="4" w:space="0" w:color="auto"/>
              <w:bottom w:val="single" w:sz="4" w:space="0" w:color="auto"/>
            </w:tcBorders>
            <w:shd w:val="clear" w:color="auto" w:fill="auto"/>
            <w:noWrap/>
            <w:vAlign w:val="center"/>
            <w:hideMark/>
          </w:tcPr>
          <w:p w14:paraId="36DFA14C"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History of breast cancer</w:t>
            </w:r>
          </w:p>
        </w:tc>
        <w:tc>
          <w:tcPr>
            <w:tcW w:w="1056" w:type="pct"/>
            <w:tcBorders>
              <w:top w:val="single" w:sz="4" w:space="0" w:color="auto"/>
              <w:bottom w:val="single" w:sz="4" w:space="0" w:color="auto"/>
            </w:tcBorders>
            <w:shd w:val="clear" w:color="auto" w:fill="auto"/>
            <w:noWrap/>
            <w:vAlign w:val="center"/>
            <w:hideMark/>
          </w:tcPr>
          <w:p w14:paraId="3C3BC3E4"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History of prostate cancer</w:t>
            </w:r>
          </w:p>
        </w:tc>
        <w:tc>
          <w:tcPr>
            <w:tcW w:w="1056" w:type="pct"/>
            <w:tcBorders>
              <w:top w:val="single" w:sz="4" w:space="0" w:color="auto"/>
              <w:bottom w:val="single" w:sz="4" w:space="0" w:color="auto"/>
            </w:tcBorders>
            <w:shd w:val="clear" w:color="auto" w:fill="auto"/>
            <w:noWrap/>
            <w:vAlign w:val="center"/>
            <w:hideMark/>
          </w:tcPr>
          <w:p w14:paraId="5BD6CF27" w14:textId="77777777" w:rsidR="00D314A0" w:rsidRPr="00754E9C" w:rsidRDefault="00D314A0" w:rsidP="00C84A34">
            <w:pPr>
              <w:jc w:val="center"/>
              <w:rPr>
                <w:rFonts w:ascii="Calibri" w:hAnsi="Calibri" w:cs="Calibri"/>
                <w:b/>
                <w:bCs/>
                <w:sz w:val="20"/>
                <w:szCs w:val="20"/>
                <w:lang w:val="en-US"/>
              </w:rPr>
            </w:pPr>
            <w:r w:rsidRPr="00754E9C">
              <w:rPr>
                <w:rFonts w:ascii="Calibri" w:hAnsi="Calibri" w:cs="Calibri"/>
                <w:b/>
                <w:bCs/>
                <w:sz w:val="20"/>
                <w:szCs w:val="20"/>
                <w:lang w:val="en-US"/>
              </w:rPr>
              <w:t>History of bone metastasis or Paget's disease</w:t>
            </w:r>
          </w:p>
        </w:tc>
        <w:tc>
          <w:tcPr>
            <w:tcW w:w="508" w:type="pct"/>
            <w:vMerge/>
            <w:tcBorders>
              <w:bottom w:val="single" w:sz="4" w:space="0" w:color="auto"/>
            </w:tcBorders>
            <w:shd w:val="clear" w:color="auto" w:fill="auto"/>
            <w:noWrap/>
            <w:vAlign w:val="center"/>
            <w:hideMark/>
          </w:tcPr>
          <w:p w14:paraId="5AD5F664" w14:textId="77777777" w:rsidR="00D314A0" w:rsidRPr="00754E9C" w:rsidRDefault="00D314A0" w:rsidP="00C84A34">
            <w:pPr>
              <w:jc w:val="center"/>
              <w:rPr>
                <w:rFonts w:ascii="Calibri" w:hAnsi="Calibri" w:cs="Calibri"/>
                <w:b/>
                <w:bCs/>
                <w:sz w:val="20"/>
                <w:szCs w:val="20"/>
                <w:lang w:val="en-US"/>
              </w:rPr>
            </w:pPr>
          </w:p>
        </w:tc>
      </w:tr>
      <w:tr w:rsidR="00D314A0" w:rsidRPr="00754E9C" w14:paraId="77ABBBC6" w14:textId="77777777" w:rsidTr="00C84A34">
        <w:trPr>
          <w:trHeight w:val="488"/>
        </w:trPr>
        <w:tc>
          <w:tcPr>
            <w:tcW w:w="662" w:type="pct"/>
            <w:tcBorders>
              <w:top w:val="single" w:sz="4" w:space="0" w:color="auto"/>
            </w:tcBorders>
            <w:shd w:val="clear" w:color="auto" w:fill="auto"/>
            <w:noWrap/>
            <w:vAlign w:val="center"/>
            <w:hideMark/>
          </w:tcPr>
          <w:p w14:paraId="6825CC13"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2005</w:t>
            </w:r>
          </w:p>
        </w:tc>
        <w:tc>
          <w:tcPr>
            <w:tcW w:w="663" w:type="pct"/>
            <w:tcBorders>
              <w:top w:val="single" w:sz="4" w:space="0" w:color="auto"/>
            </w:tcBorders>
            <w:shd w:val="clear" w:color="auto" w:fill="auto"/>
            <w:noWrap/>
            <w:vAlign w:val="center"/>
            <w:hideMark/>
          </w:tcPr>
          <w:p w14:paraId="0D12F3AF" w14:textId="77777777" w:rsidR="00D314A0" w:rsidRPr="00754E9C" w:rsidRDefault="00D314A0" w:rsidP="00C84A34">
            <w:pPr>
              <w:jc w:val="center"/>
              <w:rPr>
                <w:sz w:val="20"/>
                <w:szCs w:val="20"/>
              </w:rPr>
            </w:pPr>
            <w:r w:rsidRPr="00754E9C">
              <w:rPr>
                <w:sz w:val="20"/>
                <w:szCs w:val="20"/>
              </w:rPr>
              <w:t>25</w:t>
            </w:r>
            <w:r>
              <w:rPr>
                <w:sz w:val="20"/>
                <w:szCs w:val="20"/>
              </w:rPr>
              <w:t>,</w:t>
            </w:r>
            <w:r w:rsidRPr="00754E9C">
              <w:rPr>
                <w:sz w:val="20"/>
                <w:szCs w:val="20"/>
              </w:rPr>
              <w:t>279</w:t>
            </w:r>
          </w:p>
        </w:tc>
        <w:tc>
          <w:tcPr>
            <w:tcW w:w="1055" w:type="pct"/>
            <w:tcBorders>
              <w:top w:val="single" w:sz="4" w:space="0" w:color="auto"/>
            </w:tcBorders>
            <w:shd w:val="clear" w:color="auto" w:fill="auto"/>
            <w:noWrap/>
            <w:vAlign w:val="center"/>
            <w:hideMark/>
          </w:tcPr>
          <w:p w14:paraId="2B1B40F0" w14:textId="77777777" w:rsidR="00D314A0" w:rsidRPr="00754E9C" w:rsidRDefault="00D314A0" w:rsidP="00C84A34">
            <w:pPr>
              <w:jc w:val="center"/>
              <w:rPr>
                <w:sz w:val="20"/>
                <w:szCs w:val="20"/>
              </w:rPr>
            </w:pPr>
            <w:r w:rsidRPr="00754E9C">
              <w:rPr>
                <w:sz w:val="20"/>
                <w:szCs w:val="20"/>
              </w:rPr>
              <w:t>800</w:t>
            </w:r>
          </w:p>
        </w:tc>
        <w:tc>
          <w:tcPr>
            <w:tcW w:w="1056" w:type="pct"/>
            <w:tcBorders>
              <w:top w:val="single" w:sz="4" w:space="0" w:color="auto"/>
            </w:tcBorders>
            <w:shd w:val="clear" w:color="auto" w:fill="auto"/>
            <w:noWrap/>
            <w:vAlign w:val="center"/>
            <w:hideMark/>
          </w:tcPr>
          <w:p w14:paraId="4F971226" w14:textId="77777777" w:rsidR="00D314A0" w:rsidRPr="00754E9C" w:rsidRDefault="00D314A0" w:rsidP="00C84A34">
            <w:pPr>
              <w:jc w:val="center"/>
              <w:rPr>
                <w:sz w:val="20"/>
                <w:szCs w:val="20"/>
              </w:rPr>
            </w:pPr>
            <w:r w:rsidRPr="00754E9C">
              <w:rPr>
                <w:sz w:val="20"/>
                <w:szCs w:val="20"/>
              </w:rPr>
              <w:t>276</w:t>
            </w:r>
          </w:p>
        </w:tc>
        <w:tc>
          <w:tcPr>
            <w:tcW w:w="1056" w:type="pct"/>
            <w:tcBorders>
              <w:top w:val="single" w:sz="4" w:space="0" w:color="auto"/>
            </w:tcBorders>
            <w:shd w:val="clear" w:color="auto" w:fill="auto"/>
            <w:noWrap/>
            <w:vAlign w:val="center"/>
            <w:hideMark/>
          </w:tcPr>
          <w:p w14:paraId="71A02946" w14:textId="77777777" w:rsidR="00D314A0" w:rsidRPr="00754E9C" w:rsidRDefault="00D314A0" w:rsidP="00C84A34">
            <w:pPr>
              <w:jc w:val="center"/>
              <w:rPr>
                <w:sz w:val="20"/>
                <w:szCs w:val="20"/>
              </w:rPr>
            </w:pPr>
            <w:r w:rsidRPr="00754E9C">
              <w:rPr>
                <w:sz w:val="20"/>
                <w:szCs w:val="20"/>
              </w:rPr>
              <w:t>34</w:t>
            </w:r>
          </w:p>
        </w:tc>
        <w:tc>
          <w:tcPr>
            <w:tcW w:w="508" w:type="pct"/>
            <w:tcBorders>
              <w:top w:val="single" w:sz="4" w:space="0" w:color="auto"/>
            </w:tcBorders>
            <w:shd w:val="clear" w:color="auto" w:fill="auto"/>
            <w:noWrap/>
            <w:vAlign w:val="center"/>
            <w:hideMark/>
          </w:tcPr>
          <w:p w14:paraId="285C4ABB" w14:textId="77777777" w:rsidR="00D314A0" w:rsidRPr="00754E9C" w:rsidRDefault="00D314A0" w:rsidP="00C84A34">
            <w:pPr>
              <w:jc w:val="center"/>
              <w:rPr>
                <w:sz w:val="20"/>
                <w:szCs w:val="20"/>
              </w:rPr>
            </w:pPr>
            <w:r w:rsidRPr="00754E9C">
              <w:rPr>
                <w:sz w:val="20"/>
                <w:szCs w:val="20"/>
              </w:rPr>
              <w:t>24</w:t>
            </w:r>
            <w:r>
              <w:rPr>
                <w:sz w:val="20"/>
                <w:szCs w:val="20"/>
              </w:rPr>
              <w:t>,</w:t>
            </w:r>
            <w:r w:rsidRPr="00754E9C">
              <w:rPr>
                <w:sz w:val="20"/>
                <w:szCs w:val="20"/>
              </w:rPr>
              <w:t>169</w:t>
            </w:r>
          </w:p>
        </w:tc>
      </w:tr>
      <w:tr w:rsidR="00D314A0" w:rsidRPr="00754E9C" w14:paraId="60B9A89C" w14:textId="77777777" w:rsidTr="00C84A34">
        <w:trPr>
          <w:trHeight w:val="488"/>
        </w:trPr>
        <w:tc>
          <w:tcPr>
            <w:tcW w:w="662" w:type="pct"/>
            <w:shd w:val="clear" w:color="auto" w:fill="auto"/>
            <w:noWrap/>
            <w:vAlign w:val="center"/>
            <w:hideMark/>
          </w:tcPr>
          <w:p w14:paraId="124FA4F3"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2006</w:t>
            </w:r>
          </w:p>
        </w:tc>
        <w:tc>
          <w:tcPr>
            <w:tcW w:w="663" w:type="pct"/>
            <w:shd w:val="clear" w:color="auto" w:fill="auto"/>
            <w:noWrap/>
            <w:vAlign w:val="center"/>
            <w:hideMark/>
          </w:tcPr>
          <w:p w14:paraId="1477C83C" w14:textId="77777777" w:rsidR="00D314A0" w:rsidRPr="00754E9C" w:rsidRDefault="00D314A0" w:rsidP="00C84A34">
            <w:pPr>
              <w:jc w:val="center"/>
              <w:rPr>
                <w:sz w:val="20"/>
                <w:szCs w:val="20"/>
              </w:rPr>
            </w:pPr>
            <w:r w:rsidRPr="00754E9C">
              <w:rPr>
                <w:sz w:val="20"/>
                <w:szCs w:val="20"/>
              </w:rPr>
              <w:t>25</w:t>
            </w:r>
            <w:r>
              <w:rPr>
                <w:sz w:val="20"/>
                <w:szCs w:val="20"/>
              </w:rPr>
              <w:t>,</w:t>
            </w:r>
            <w:r w:rsidRPr="00754E9C">
              <w:rPr>
                <w:sz w:val="20"/>
                <w:szCs w:val="20"/>
              </w:rPr>
              <w:t>184</w:t>
            </w:r>
          </w:p>
        </w:tc>
        <w:tc>
          <w:tcPr>
            <w:tcW w:w="1055" w:type="pct"/>
            <w:shd w:val="clear" w:color="auto" w:fill="auto"/>
            <w:noWrap/>
            <w:vAlign w:val="center"/>
            <w:hideMark/>
          </w:tcPr>
          <w:p w14:paraId="524963FD" w14:textId="77777777" w:rsidR="00D314A0" w:rsidRPr="00754E9C" w:rsidRDefault="00D314A0" w:rsidP="00C84A34">
            <w:pPr>
              <w:jc w:val="center"/>
              <w:rPr>
                <w:sz w:val="20"/>
                <w:szCs w:val="20"/>
              </w:rPr>
            </w:pPr>
            <w:r w:rsidRPr="00754E9C">
              <w:rPr>
                <w:sz w:val="20"/>
                <w:szCs w:val="20"/>
              </w:rPr>
              <w:t>892</w:t>
            </w:r>
          </w:p>
        </w:tc>
        <w:tc>
          <w:tcPr>
            <w:tcW w:w="1056" w:type="pct"/>
            <w:shd w:val="clear" w:color="auto" w:fill="auto"/>
            <w:noWrap/>
            <w:vAlign w:val="center"/>
            <w:hideMark/>
          </w:tcPr>
          <w:p w14:paraId="648DB19B" w14:textId="77777777" w:rsidR="00D314A0" w:rsidRPr="00754E9C" w:rsidRDefault="00D314A0" w:rsidP="00C84A34">
            <w:pPr>
              <w:jc w:val="center"/>
              <w:rPr>
                <w:sz w:val="20"/>
                <w:szCs w:val="20"/>
              </w:rPr>
            </w:pPr>
            <w:r w:rsidRPr="00754E9C">
              <w:rPr>
                <w:sz w:val="20"/>
                <w:szCs w:val="20"/>
              </w:rPr>
              <w:t>244</w:t>
            </w:r>
          </w:p>
        </w:tc>
        <w:tc>
          <w:tcPr>
            <w:tcW w:w="1056" w:type="pct"/>
            <w:shd w:val="clear" w:color="auto" w:fill="auto"/>
            <w:noWrap/>
            <w:vAlign w:val="center"/>
            <w:hideMark/>
          </w:tcPr>
          <w:p w14:paraId="2AE37934" w14:textId="77777777" w:rsidR="00D314A0" w:rsidRPr="00754E9C" w:rsidRDefault="00D314A0" w:rsidP="00C84A34">
            <w:pPr>
              <w:jc w:val="center"/>
              <w:rPr>
                <w:sz w:val="20"/>
                <w:szCs w:val="20"/>
              </w:rPr>
            </w:pPr>
            <w:r w:rsidRPr="00754E9C">
              <w:rPr>
                <w:sz w:val="20"/>
                <w:szCs w:val="20"/>
              </w:rPr>
              <w:t>25</w:t>
            </w:r>
          </w:p>
        </w:tc>
        <w:tc>
          <w:tcPr>
            <w:tcW w:w="508" w:type="pct"/>
            <w:shd w:val="clear" w:color="auto" w:fill="auto"/>
            <w:noWrap/>
            <w:vAlign w:val="center"/>
            <w:hideMark/>
          </w:tcPr>
          <w:p w14:paraId="73AD76F6" w14:textId="77777777" w:rsidR="00D314A0" w:rsidRPr="00754E9C" w:rsidRDefault="00D314A0" w:rsidP="00C84A34">
            <w:pPr>
              <w:jc w:val="center"/>
              <w:rPr>
                <w:sz w:val="20"/>
                <w:szCs w:val="20"/>
              </w:rPr>
            </w:pPr>
            <w:r w:rsidRPr="00754E9C">
              <w:rPr>
                <w:sz w:val="20"/>
                <w:szCs w:val="20"/>
              </w:rPr>
              <w:t>24</w:t>
            </w:r>
            <w:r>
              <w:rPr>
                <w:sz w:val="20"/>
                <w:szCs w:val="20"/>
              </w:rPr>
              <w:t>,</w:t>
            </w:r>
            <w:r w:rsidRPr="00754E9C">
              <w:rPr>
                <w:sz w:val="20"/>
                <w:szCs w:val="20"/>
              </w:rPr>
              <w:t>023</w:t>
            </w:r>
          </w:p>
        </w:tc>
      </w:tr>
      <w:tr w:rsidR="00D314A0" w:rsidRPr="00754E9C" w14:paraId="0CBA3926" w14:textId="77777777" w:rsidTr="00C84A34">
        <w:trPr>
          <w:trHeight w:val="488"/>
        </w:trPr>
        <w:tc>
          <w:tcPr>
            <w:tcW w:w="662" w:type="pct"/>
            <w:shd w:val="clear" w:color="auto" w:fill="auto"/>
            <w:noWrap/>
            <w:vAlign w:val="center"/>
            <w:hideMark/>
          </w:tcPr>
          <w:p w14:paraId="4D866294"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2007</w:t>
            </w:r>
          </w:p>
        </w:tc>
        <w:tc>
          <w:tcPr>
            <w:tcW w:w="663" w:type="pct"/>
            <w:shd w:val="clear" w:color="auto" w:fill="auto"/>
            <w:noWrap/>
            <w:vAlign w:val="center"/>
            <w:hideMark/>
          </w:tcPr>
          <w:p w14:paraId="3780B5E9" w14:textId="77777777" w:rsidR="00D314A0" w:rsidRPr="00754E9C" w:rsidRDefault="00D314A0" w:rsidP="00C84A34">
            <w:pPr>
              <w:jc w:val="center"/>
              <w:rPr>
                <w:sz w:val="20"/>
                <w:szCs w:val="20"/>
              </w:rPr>
            </w:pPr>
            <w:r w:rsidRPr="00754E9C">
              <w:rPr>
                <w:sz w:val="20"/>
                <w:szCs w:val="20"/>
              </w:rPr>
              <w:t>24</w:t>
            </w:r>
            <w:r>
              <w:rPr>
                <w:sz w:val="20"/>
                <w:szCs w:val="20"/>
              </w:rPr>
              <w:t>,</w:t>
            </w:r>
            <w:r w:rsidRPr="00754E9C">
              <w:rPr>
                <w:sz w:val="20"/>
                <w:szCs w:val="20"/>
              </w:rPr>
              <w:t>158</w:t>
            </w:r>
          </w:p>
        </w:tc>
        <w:tc>
          <w:tcPr>
            <w:tcW w:w="1055" w:type="pct"/>
            <w:shd w:val="clear" w:color="auto" w:fill="auto"/>
            <w:noWrap/>
            <w:vAlign w:val="center"/>
            <w:hideMark/>
          </w:tcPr>
          <w:p w14:paraId="5FCF85EE" w14:textId="77777777" w:rsidR="00D314A0" w:rsidRPr="00754E9C" w:rsidRDefault="00D314A0" w:rsidP="00C84A34">
            <w:pPr>
              <w:jc w:val="center"/>
              <w:rPr>
                <w:sz w:val="20"/>
                <w:szCs w:val="20"/>
              </w:rPr>
            </w:pPr>
            <w:r w:rsidRPr="00754E9C">
              <w:rPr>
                <w:sz w:val="20"/>
                <w:szCs w:val="20"/>
              </w:rPr>
              <w:t>896</w:t>
            </w:r>
          </w:p>
        </w:tc>
        <w:tc>
          <w:tcPr>
            <w:tcW w:w="1056" w:type="pct"/>
            <w:shd w:val="clear" w:color="auto" w:fill="auto"/>
            <w:noWrap/>
            <w:vAlign w:val="center"/>
            <w:hideMark/>
          </w:tcPr>
          <w:p w14:paraId="3751F6F2" w14:textId="77777777" w:rsidR="00D314A0" w:rsidRPr="00754E9C" w:rsidRDefault="00D314A0" w:rsidP="00C84A34">
            <w:pPr>
              <w:jc w:val="center"/>
              <w:rPr>
                <w:sz w:val="20"/>
                <w:szCs w:val="20"/>
              </w:rPr>
            </w:pPr>
            <w:r w:rsidRPr="00754E9C">
              <w:rPr>
                <w:sz w:val="20"/>
                <w:szCs w:val="20"/>
              </w:rPr>
              <w:t>259</w:t>
            </w:r>
          </w:p>
        </w:tc>
        <w:tc>
          <w:tcPr>
            <w:tcW w:w="1056" w:type="pct"/>
            <w:shd w:val="clear" w:color="auto" w:fill="auto"/>
            <w:noWrap/>
            <w:vAlign w:val="center"/>
            <w:hideMark/>
          </w:tcPr>
          <w:p w14:paraId="5E7B6293" w14:textId="77777777" w:rsidR="00D314A0" w:rsidRPr="00754E9C" w:rsidRDefault="00D314A0" w:rsidP="00C84A34">
            <w:pPr>
              <w:jc w:val="center"/>
              <w:rPr>
                <w:sz w:val="20"/>
                <w:szCs w:val="20"/>
              </w:rPr>
            </w:pPr>
            <w:r w:rsidRPr="00754E9C">
              <w:rPr>
                <w:sz w:val="20"/>
                <w:szCs w:val="20"/>
              </w:rPr>
              <w:t>34</w:t>
            </w:r>
          </w:p>
        </w:tc>
        <w:tc>
          <w:tcPr>
            <w:tcW w:w="508" w:type="pct"/>
            <w:shd w:val="clear" w:color="auto" w:fill="auto"/>
            <w:noWrap/>
            <w:vAlign w:val="center"/>
            <w:hideMark/>
          </w:tcPr>
          <w:p w14:paraId="3E81983D" w14:textId="77777777" w:rsidR="00D314A0" w:rsidRPr="00754E9C" w:rsidRDefault="00D314A0" w:rsidP="00C84A34">
            <w:pPr>
              <w:jc w:val="center"/>
              <w:rPr>
                <w:sz w:val="20"/>
                <w:szCs w:val="20"/>
              </w:rPr>
            </w:pPr>
            <w:r w:rsidRPr="00754E9C">
              <w:rPr>
                <w:sz w:val="20"/>
                <w:szCs w:val="20"/>
              </w:rPr>
              <w:t>22</w:t>
            </w:r>
            <w:r>
              <w:rPr>
                <w:sz w:val="20"/>
                <w:szCs w:val="20"/>
              </w:rPr>
              <w:t>,</w:t>
            </w:r>
            <w:r w:rsidRPr="00754E9C">
              <w:rPr>
                <w:sz w:val="20"/>
                <w:szCs w:val="20"/>
              </w:rPr>
              <w:t>969</w:t>
            </w:r>
          </w:p>
        </w:tc>
      </w:tr>
      <w:tr w:rsidR="00D314A0" w:rsidRPr="00754E9C" w14:paraId="2C72FA41" w14:textId="77777777" w:rsidTr="00C84A34">
        <w:trPr>
          <w:trHeight w:val="488"/>
        </w:trPr>
        <w:tc>
          <w:tcPr>
            <w:tcW w:w="662" w:type="pct"/>
            <w:shd w:val="clear" w:color="auto" w:fill="auto"/>
            <w:noWrap/>
            <w:vAlign w:val="center"/>
            <w:hideMark/>
          </w:tcPr>
          <w:p w14:paraId="5F2F2A3D"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2008</w:t>
            </w:r>
          </w:p>
        </w:tc>
        <w:tc>
          <w:tcPr>
            <w:tcW w:w="663" w:type="pct"/>
            <w:shd w:val="clear" w:color="auto" w:fill="auto"/>
            <w:noWrap/>
            <w:vAlign w:val="center"/>
            <w:hideMark/>
          </w:tcPr>
          <w:p w14:paraId="2F745248" w14:textId="77777777" w:rsidR="00D314A0" w:rsidRPr="00754E9C" w:rsidRDefault="00D314A0" w:rsidP="00C84A34">
            <w:pPr>
              <w:jc w:val="center"/>
              <w:rPr>
                <w:sz w:val="20"/>
                <w:szCs w:val="20"/>
              </w:rPr>
            </w:pPr>
            <w:r w:rsidRPr="00754E9C">
              <w:rPr>
                <w:sz w:val="20"/>
                <w:szCs w:val="20"/>
              </w:rPr>
              <w:t>24</w:t>
            </w:r>
            <w:r>
              <w:rPr>
                <w:sz w:val="20"/>
                <w:szCs w:val="20"/>
              </w:rPr>
              <w:t>,</w:t>
            </w:r>
            <w:r w:rsidRPr="00754E9C">
              <w:rPr>
                <w:sz w:val="20"/>
                <w:szCs w:val="20"/>
              </w:rPr>
              <w:t>163</w:t>
            </w:r>
          </w:p>
        </w:tc>
        <w:tc>
          <w:tcPr>
            <w:tcW w:w="1055" w:type="pct"/>
            <w:shd w:val="clear" w:color="auto" w:fill="auto"/>
            <w:noWrap/>
            <w:vAlign w:val="center"/>
            <w:hideMark/>
          </w:tcPr>
          <w:p w14:paraId="1C85721E" w14:textId="77777777" w:rsidR="00D314A0" w:rsidRPr="00754E9C" w:rsidRDefault="00D314A0" w:rsidP="00C84A34">
            <w:pPr>
              <w:jc w:val="center"/>
              <w:rPr>
                <w:sz w:val="20"/>
                <w:szCs w:val="20"/>
              </w:rPr>
            </w:pPr>
            <w:r w:rsidRPr="00754E9C">
              <w:rPr>
                <w:sz w:val="20"/>
                <w:szCs w:val="20"/>
              </w:rPr>
              <w:t>872</w:t>
            </w:r>
          </w:p>
        </w:tc>
        <w:tc>
          <w:tcPr>
            <w:tcW w:w="1056" w:type="pct"/>
            <w:shd w:val="clear" w:color="auto" w:fill="auto"/>
            <w:noWrap/>
            <w:vAlign w:val="center"/>
            <w:hideMark/>
          </w:tcPr>
          <w:p w14:paraId="4677BA32" w14:textId="77777777" w:rsidR="00D314A0" w:rsidRPr="00754E9C" w:rsidRDefault="00D314A0" w:rsidP="00C84A34">
            <w:pPr>
              <w:jc w:val="center"/>
              <w:rPr>
                <w:sz w:val="20"/>
                <w:szCs w:val="20"/>
              </w:rPr>
            </w:pPr>
            <w:r w:rsidRPr="00754E9C">
              <w:rPr>
                <w:sz w:val="20"/>
                <w:szCs w:val="20"/>
              </w:rPr>
              <w:t>282</w:t>
            </w:r>
          </w:p>
        </w:tc>
        <w:tc>
          <w:tcPr>
            <w:tcW w:w="1056" w:type="pct"/>
            <w:shd w:val="clear" w:color="auto" w:fill="auto"/>
            <w:noWrap/>
            <w:vAlign w:val="center"/>
            <w:hideMark/>
          </w:tcPr>
          <w:p w14:paraId="7A2EED12" w14:textId="77777777" w:rsidR="00D314A0" w:rsidRPr="00754E9C" w:rsidRDefault="00D314A0" w:rsidP="00C84A34">
            <w:pPr>
              <w:jc w:val="center"/>
              <w:rPr>
                <w:sz w:val="20"/>
                <w:szCs w:val="20"/>
              </w:rPr>
            </w:pPr>
            <w:r w:rsidRPr="00754E9C">
              <w:rPr>
                <w:sz w:val="20"/>
                <w:szCs w:val="20"/>
              </w:rPr>
              <w:t>60</w:t>
            </w:r>
          </w:p>
        </w:tc>
        <w:tc>
          <w:tcPr>
            <w:tcW w:w="508" w:type="pct"/>
            <w:shd w:val="clear" w:color="auto" w:fill="auto"/>
            <w:noWrap/>
            <w:vAlign w:val="center"/>
            <w:hideMark/>
          </w:tcPr>
          <w:p w14:paraId="7549D4BB" w14:textId="77777777" w:rsidR="00D314A0" w:rsidRPr="00754E9C" w:rsidRDefault="00D314A0" w:rsidP="00C84A34">
            <w:pPr>
              <w:jc w:val="center"/>
              <w:rPr>
                <w:sz w:val="20"/>
                <w:szCs w:val="20"/>
              </w:rPr>
            </w:pPr>
            <w:r w:rsidRPr="00754E9C">
              <w:rPr>
                <w:sz w:val="20"/>
                <w:szCs w:val="20"/>
              </w:rPr>
              <w:t>22</w:t>
            </w:r>
            <w:r>
              <w:rPr>
                <w:sz w:val="20"/>
                <w:szCs w:val="20"/>
              </w:rPr>
              <w:t>,</w:t>
            </w:r>
            <w:r w:rsidRPr="00754E9C">
              <w:rPr>
                <w:sz w:val="20"/>
                <w:szCs w:val="20"/>
              </w:rPr>
              <w:t>949</w:t>
            </w:r>
          </w:p>
        </w:tc>
      </w:tr>
      <w:tr w:rsidR="00D314A0" w:rsidRPr="00754E9C" w14:paraId="7E1A5BBB" w14:textId="77777777" w:rsidTr="00C84A34">
        <w:trPr>
          <w:trHeight w:val="488"/>
        </w:trPr>
        <w:tc>
          <w:tcPr>
            <w:tcW w:w="662" w:type="pct"/>
            <w:shd w:val="clear" w:color="auto" w:fill="auto"/>
            <w:noWrap/>
            <w:vAlign w:val="center"/>
            <w:hideMark/>
          </w:tcPr>
          <w:p w14:paraId="51F74DE1"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2009</w:t>
            </w:r>
          </w:p>
        </w:tc>
        <w:tc>
          <w:tcPr>
            <w:tcW w:w="663" w:type="pct"/>
            <w:shd w:val="clear" w:color="auto" w:fill="auto"/>
            <w:noWrap/>
            <w:vAlign w:val="center"/>
            <w:hideMark/>
          </w:tcPr>
          <w:p w14:paraId="17738868" w14:textId="77777777" w:rsidR="00D314A0" w:rsidRPr="00754E9C" w:rsidRDefault="00D314A0" w:rsidP="00C84A34">
            <w:pPr>
              <w:jc w:val="center"/>
              <w:rPr>
                <w:sz w:val="20"/>
                <w:szCs w:val="20"/>
              </w:rPr>
            </w:pPr>
            <w:r w:rsidRPr="00754E9C">
              <w:rPr>
                <w:sz w:val="20"/>
                <w:szCs w:val="20"/>
              </w:rPr>
              <w:t>24</w:t>
            </w:r>
            <w:r>
              <w:rPr>
                <w:sz w:val="20"/>
                <w:szCs w:val="20"/>
              </w:rPr>
              <w:t>,</w:t>
            </w:r>
            <w:r w:rsidRPr="00754E9C">
              <w:rPr>
                <w:sz w:val="20"/>
                <w:szCs w:val="20"/>
              </w:rPr>
              <w:t>196</w:t>
            </w:r>
          </w:p>
        </w:tc>
        <w:tc>
          <w:tcPr>
            <w:tcW w:w="1055" w:type="pct"/>
            <w:shd w:val="clear" w:color="auto" w:fill="auto"/>
            <w:noWrap/>
            <w:vAlign w:val="center"/>
            <w:hideMark/>
          </w:tcPr>
          <w:p w14:paraId="4644C530" w14:textId="77777777" w:rsidR="00D314A0" w:rsidRPr="00754E9C" w:rsidRDefault="00D314A0" w:rsidP="00C84A34">
            <w:pPr>
              <w:jc w:val="center"/>
              <w:rPr>
                <w:sz w:val="20"/>
                <w:szCs w:val="20"/>
              </w:rPr>
            </w:pPr>
            <w:r w:rsidRPr="00754E9C">
              <w:rPr>
                <w:sz w:val="20"/>
                <w:szCs w:val="20"/>
              </w:rPr>
              <w:t>921</w:t>
            </w:r>
          </w:p>
        </w:tc>
        <w:tc>
          <w:tcPr>
            <w:tcW w:w="1056" w:type="pct"/>
            <w:shd w:val="clear" w:color="auto" w:fill="auto"/>
            <w:noWrap/>
            <w:vAlign w:val="center"/>
            <w:hideMark/>
          </w:tcPr>
          <w:p w14:paraId="574DA03F" w14:textId="77777777" w:rsidR="00D314A0" w:rsidRPr="00754E9C" w:rsidRDefault="00D314A0" w:rsidP="00C84A34">
            <w:pPr>
              <w:jc w:val="center"/>
              <w:rPr>
                <w:sz w:val="20"/>
                <w:szCs w:val="20"/>
              </w:rPr>
            </w:pPr>
            <w:r w:rsidRPr="00754E9C">
              <w:rPr>
                <w:sz w:val="20"/>
                <w:szCs w:val="20"/>
              </w:rPr>
              <w:t>292</w:t>
            </w:r>
          </w:p>
        </w:tc>
        <w:tc>
          <w:tcPr>
            <w:tcW w:w="1056" w:type="pct"/>
            <w:shd w:val="clear" w:color="auto" w:fill="auto"/>
            <w:noWrap/>
            <w:vAlign w:val="center"/>
            <w:hideMark/>
          </w:tcPr>
          <w:p w14:paraId="58097A9C" w14:textId="77777777" w:rsidR="00D314A0" w:rsidRPr="00754E9C" w:rsidRDefault="00D314A0" w:rsidP="00C84A34">
            <w:pPr>
              <w:jc w:val="center"/>
              <w:rPr>
                <w:sz w:val="20"/>
                <w:szCs w:val="20"/>
              </w:rPr>
            </w:pPr>
            <w:r w:rsidRPr="00754E9C">
              <w:rPr>
                <w:sz w:val="20"/>
                <w:szCs w:val="20"/>
              </w:rPr>
              <w:t>41</w:t>
            </w:r>
          </w:p>
        </w:tc>
        <w:tc>
          <w:tcPr>
            <w:tcW w:w="508" w:type="pct"/>
            <w:shd w:val="clear" w:color="auto" w:fill="auto"/>
            <w:noWrap/>
            <w:vAlign w:val="center"/>
            <w:hideMark/>
          </w:tcPr>
          <w:p w14:paraId="7EB197D2" w14:textId="77777777" w:rsidR="00D314A0" w:rsidRPr="00754E9C" w:rsidRDefault="00D314A0" w:rsidP="00C84A34">
            <w:pPr>
              <w:jc w:val="center"/>
              <w:rPr>
                <w:sz w:val="20"/>
                <w:szCs w:val="20"/>
              </w:rPr>
            </w:pPr>
            <w:r w:rsidRPr="00754E9C">
              <w:rPr>
                <w:sz w:val="20"/>
                <w:szCs w:val="20"/>
              </w:rPr>
              <w:t>22</w:t>
            </w:r>
            <w:r>
              <w:rPr>
                <w:sz w:val="20"/>
                <w:szCs w:val="20"/>
              </w:rPr>
              <w:t>,</w:t>
            </w:r>
            <w:r w:rsidRPr="00754E9C">
              <w:rPr>
                <w:sz w:val="20"/>
                <w:szCs w:val="20"/>
              </w:rPr>
              <w:t>942</w:t>
            </w:r>
          </w:p>
        </w:tc>
      </w:tr>
      <w:tr w:rsidR="00D314A0" w:rsidRPr="00754E9C" w14:paraId="315D831B" w14:textId="77777777" w:rsidTr="00C84A34">
        <w:trPr>
          <w:trHeight w:val="488"/>
        </w:trPr>
        <w:tc>
          <w:tcPr>
            <w:tcW w:w="662" w:type="pct"/>
            <w:shd w:val="clear" w:color="auto" w:fill="auto"/>
            <w:noWrap/>
            <w:vAlign w:val="center"/>
            <w:hideMark/>
          </w:tcPr>
          <w:p w14:paraId="543E0C4B"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2010</w:t>
            </w:r>
          </w:p>
        </w:tc>
        <w:tc>
          <w:tcPr>
            <w:tcW w:w="663" w:type="pct"/>
            <w:shd w:val="clear" w:color="auto" w:fill="auto"/>
            <w:noWrap/>
            <w:vAlign w:val="center"/>
            <w:hideMark/>
          </w:tcPr>
          <w:p w14:paraId="6B6A80B8" w14:textId="77777777" w:rsidR="00D314A0" w:rsidRPr="00754E9C" w:rsidRDefault="00D314A0" w:rsidP="00C84A34">
            <w:pPr>
              <w:jc w:val="center"/>
              <w:rPr>
                <w:sz w:val="20"/>
                <w:szCs w:val="20"/>
              </w:rPr>
            </w:pPr>
            <w:r w:rsidRPr="00754E9C">
              <w:rPr>
                <w:sz w:val="20"/>
                <w:szCs w:val="20"/>
              </w:rPr>
              <w:t>27</w:t>
            </w:r>
            <w:r>
              <w:rPr>
                <w:sz w:val="20"/>
                <w:szCs w:val="20"/>
              </w:rPr>
              <w:t>,</w:t>
            </w:r>
            <w:r w:rsidRPr="00754E9C">
              <w:rPr>
                <w:sz w:val="20"/>
                <w:szCs w:val="20"/>
              </w:rPr>
              <w:t>499</w:t>
            </w:r>
          </w:p>
        </w:tc>
        <w:tc>
          <w:tcPr>
            <w:tcW w:w="1055" w:type="pct"/>
            <w:shd w:val="clear" w:color="auto" w:fill="auto"/>
            <w:noWrap/>
            <w:vAlign w:val="center"/>
            <w:hideMark/>
          </w:tcPr>
          <w:p w14:paraId="6FD90D20" w14:textId="77777777" w:rsidR="00D314A0" w:rsidRPr="00754E9C" w:rsidRDefault="00D314A0" w:rsidP="00C84A34">
            <w:pPr>
              <w:jc w:val="center"/>
              <w:rPr>
                <w:sz w:val="20"/>
                <w:szCs w:val="20"/>
              </w:rPr>
            </w:pPr>
            <w:r w:rsidRPr="00754E9C">
              <w:rPr>
                <w:sz w:val="20"/>
                <w:szCs w:val="20"/>
              </w:rPr>
              <w:t>1</w:t>
            </w:r>
            <w:r>
              <w:rPr>
                <w:sz w:val="20"/>
                <w:szCs w:val="20"/>
              </w:rPr>
              <w:t>,</w:t>
            </w:r>
            <w:r w:rsidRPr="00754E9C">
              <w:rPr>
                <w:sz w:val="20"/>
                <w:szCs w:val="20"/>
              </w:rPr>
              <w:t>132</w:t>
            </w:r>
          </w:p>
        </w:tc>
        <w:tc>
          <w:tcPr>
            <w:tcW w:w="1056" w:type="pct"/>
            <w:shd w:val="clear" w:color="auto" w:fill="auto"/>
            <w:noWrap/>
            <w:vAlign w:val="center"/>
            <w:hideMark/>
          </w:tcPr>
          <w:p w14:paraId="74D96F3F" w14:textId="77777777" w:rsidR="00D314A0" w:rsidRPr="00754E9C" w:rsidRDefault="00D314A0" w:rsidP="00C84A34">
            <w:pPr>
              <w:jc w:val="center"/>
              <w:rPr>
                <w:sz w:val="20"/>
                <w:szCs w:val="20"/>
              </w:rPr>
            </w:pPr>
            <w:r w:rsidRPr="00754E9C">
              <w:rPr>
                <w:sz w:val="20"/>
                <w:szCs w:val="20"/>
              </w:rPr>
              <w:t>362</w:t>
            </w:r>
          </w:p>
        </w:tc>
        <w:tc>
          <w:tcPr>
            <w:tcW w:w="1056" w:type="pct"/>
            <w:shd w:val="clear" w:color="auto" w:fill="auto"/>
            <w:noWrap/>
            <w:vAlign w:val="center"/>
            <w:hideMark/>
          </w:tcPr>
          <w:p w14:paraId="548DB002" w14:textId="77777777" w:rsidR="00D314A0" w:rsidRPr="00754E9C" w:rsidRDefault="00D314A0" w:rsidP="00C84A34">
            <w:pPr>
              <w:jc w:val="center"/>
              <w:rPr>
                <w:sz w:val="20"/>
                <w:szCs w:val="20"/>
              </w:rPr>
            </w:pPr>
            <w:r w:rsidRPr="00754E9C">
              <w:rPr>
                <w:sz w:val="20"/>
                <w:szCs w:val="20"/>
              </w:rPr>
              <w:t>42</w:t>
            </w:r>
          </w:p>
        </w:tc>
        <w:tc>
          <w:tcPr>
            <w:tcW w:w="508" w:type="pct"/>
            <w:shd w:val="clear" w:color="auto" w:fill="auto"/>
            <w:noWrap/>
            <w:vAlign w:val="center"/>
            <w:hideMark/>
          </w:tcPr>
          <w:p w14:paraId="5AA61AC3" w14:textId="77777777" w:rsidR="00D314A0" w:rsidRPr="00754E9C" w:rsidRDefault="00D314A0" w:rsidP="00C84A34">
            <w:pPr>
              <w:jc w:val="center"/>
              <w:rPr>
                <w:sz w:val="20"/>
                <w:szCs w:val="20"/>
              </w:rPr>
            </w:pPr>
            <w:r w:rsidRPr="00754E9C">
              <w:rPr>
                <w:sz w:val="20"/>
                <w:szCs w:val="20"/>
              </w:rPr>
              <w:t>25</w:t>
            </w:r>
            <w:r>
              <w:rPr>
                <w:sz w:val="20"/>
                <w:szCs w:val="20"/>
              </w:rPr>
              <w:t>,</w:t>
            </w:r>
            <w:r w:rsidRPr="00754E9C">
              <w:rPr>
                <w:sz w:val="20"/>
                <w:szCs w:val="20"/>
              </w:rPr>
              <w:t>963</w:t>
            </w:r>
          </w:p>
        </w:tc>
      </w:tr>
      <w:tr w:rsidR="00D314A0" w:rsidRPr="00754E9C" w14:paraId="5290E27F" w14:textId="77777777" w:rsidTr="00C84A34">
        <w:trPr>
          <w:trHeight w:val="488"/>
        </w:trPr>
        <w:tc>
          <w:tcPr>
            <w:tcW w:w="662" w:type="pct"/>
            <w:shd w:val="clear" w:color="auto" w:fill="auto"/>
            <w:noWrap/>
            <w:vAlign w:val="center"/>
            <w:hideMark/>
          </w:tcPr>
          <w:p w14:paraId="6B7B7B99"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2011</w:t>
            </w:r>
          </w:p>
        </w:tc>
        <w:tc>
          <w:tcPr>
            <w:tcW w:w="663" w:type="pct"/>
            <w:shd w:val="clear" w:color="auto" w:fill="auto"/>
            <w:noWrap/>
            <w:vAlign w:val="center"/>
            <w:hideMark/>
          </w:tcPr>
          <w:p w14:paraId="7B417FC9" w14:textId="77777777" w:rsidR="00D314A0" w:rsidRPr="00754E9C" w:rsidRDefault="00D314A0" w:rsidP="00C84A34">
            <w:pPr>
              <w:jc w:val="center"/>
              <w:rPr>
                <w:sz w:val="20"/>
                <w:szCs w:val="20"/>
              </w:rPr>
            </w:pPr>
            <w:r w:rsidRPr="00754E9C">
              <w:rPr>
                <w:sz w:val="20"/>
                <w:szCs w:val="20"/>
              </w:rPr>
              <w:t>26</w:t>
            </w:r>
            <w:r>
              <w:rPr>
                <w:sz w:val="20"/>
                <w:szCs w:val="20"/>
              </w:rPr>
              <w:t>,</w:t>
            </w:r>
            <w:r w:rsidRPr="00754E9C">
              <w:rPr>
                <w:sz w:val="20"/>
                <w:szCs w:val="20"/>
              </w:rPr>
              <w:t>154</w:t>
            </w:r>
          </w:p>
        </w:tc>
        <w:tc>
          <w:tcPr>
            <w:tcW w:w="1055" w:type="pct"/>
            <w:shd w:val="clear" w:color="auto" w:fill="auto"/>
            <w:noWrap/>
            <w:vAlign w:val="center"/>
            <w:hideMark/>
          </w:tcPr>
          <w:p w14:paraId="1AD02EBE" w14:textId="77777777" w:rsidR="00D314A0" w:rsidRPr="00754E9C" w:rsidRDefault="00D314A0" w:rsidP="00C84A34">
            <w:pPr>
              <w:jc w:val="center"/>
              <w:rPr>
                <w:sz w:val="20"/>
                <w:szCs w:val="20"/>
              </w:rPr>
            </w:pPr>
            <w:r w:rsidRPr="00754E9C">
              <w:rPr>
                <w:sz w:val="20"/>
                <w:szCs w:val="20"/>
              </w:rPr>
              <w:t>1</w:t>
            </w:r>
            <w:r>
              <w:rPr>
                <w:sz w:val="20"/>
                <w:szCs w:val="20"/>
              </w:rPr>
              <w:t>,</w:t>
            </w:r>
            <w:r w:rsidRPr="00754E9C">
              <w:rPr>
                <w:sz w:val="20"/>
                <w:szCs w:val="20"/>
              </w:rPr>
              <w:t>106</w:t>
            </w:r>
          </w:p>
        </w:tc>
        <w:tc>
          <w:tcPr>
            <w:tcW w:w="1056" w:type="pct"/>
            <w:shd w:val="clear" w:color="auto" w:fill="auto"/>
            <w:noWrap/>
            <w:vAlign w:val="center"/>
            <w:hideMark/>
          </w:tcPr>
          <w:p w14:paraId="3F9DF814" w14:textId="77777777" w:rsidR="00D314A0" w:rsidRPr="00754E9C" w:rsidRDefault="00D314A0" w:rsidP="00C84A34">
            <w:pPr>
              <w:jc w:val="center"/>
              <w:rPr>
                <w:sz w:val="20"/>
                <w:szCs w:val="20"/>
              </w:rPr>
            </w:pPr>
            <w:r w:rsidRPr="00754E9C">
              <w:rPr>
                <w:sz w:val="20"/>
                <w:szCs w:val="20"/>
              </w:rPr>
              <w:t>376</w:t>
            </w:r>
          </w:p>
        </w:tc>
        <w:tc>
          <w:tcPr>
            <w:tcW w:w="1056" w:type="pct"/>
            <w:shd w:val="clear" w:color="auto" w:fill="auto"/>
            <w:noWrap/>
            <w:vAlign w:val="center"/>
            <w:hideMark/>
          </w:tcPr>
          <w:p w14:paraId="2A42F4ED" w14:textId="77777777" w:rsidR="00D314A0" w:rsidRPr="00754E9C" w:rsidRDefault="00D314A0" w:rsidP="00C84A34">
            <w:pPr>
              <w:jc w:val="center"/>
              <w:rPr>
                <w:sz w:val="20"/>
                <w:szCs w:val="20"/>
              </w:rPr>
            </w:pPr>
            <w:r w:rsidRPr="00754E9C">
              <w:rPr>
                <w:sz w:val="20"/>
                <w:szCs w:val="20"/>
              </w:rPr>
              <w:t>40</w:t>
            </w:r>
          </w:p>
        </w:tc>
        <w:tc>
          <w:tcPr>
            <w:tcW w:w="508" w:type="pct"/>
            <w:shd w:val="clear" w:color="auto" w:fill="auto"/>
            <w:noWrap/>
            <w:vAlign w:val="center"/>
            <w:hideMark/>
          </w:tcPr>
          <w:p w14:paraId="65BB03E2" w14:textId="77777777" w:rsidR="00D314A0" w:rsidRPr="00754E9C" w:rsidRDefault="00D314A0" w:rsidP="00C84A34">
            <w:pPr>
              <w:jc w:val="center"/>
              <w:rPr>
                <w:sz w:val="20"/>
                <w:szCs w:val="20"/>
              </w:rPr>
            </w:pPr>
            <w:r w:rsidRPr="00754E9C">
              <w:rPr>
                <w:sz w:val="20"/>
                <w:szCs w:val="20"/>
              </w:rPr>
              <w:t>24</w:t>
            </w:r>
            <w:r>
              <w:rPr>
                <w:sz w:val="20"/>
                <w:szCs w:val="20"/>
              </w:rPr>
              <w:t>,</w:t>
            </w:r>
            <w:r w:rsidRPr="00754E9C">
              <w:rPr>
                <w:sz w:val="20"/>
                <w:szCs w:val="20"/>
              </w:rPr>
              <w:t>632</w:t>
            </w:r>
          </w:p>
        </w:tc>
      </w:tr>
      <w:tr w:rsidR="00D314A0" w:rsidRPr="00754E9C" w14:paraId="682BB2F9" w14:textId="77777777" w:rsidTr="00C84A34">
        <w:trPr>
          <w:trHeight w:val="488"/>
        </w:trPr>
        <w:tc>
          <w:tcPr>
            <w:tcW w:w="662" w:type="pct"/>
            <w:shd w:val="clear" w:color="auto" w:fill="auto"/>
            <w:noWrap/>
            <w:vAlign w:val="center"/>
            <w:hideMark/>
          </w:tcPr>
          <w:p w14:paraId="1B4E0379"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2012</w:t>
            </w:r>
          </w:p>
        </w:tc>
        <w:tc>
          <w:tcPr>
            <w:tcW w:w="663" w:type="pct"/>
            <w:shd w:val="clear" w:color="auto" w:fill="auto"/>
            <w:noWrap/>
            <w:vAlign w:val="center"/>
            <w:hideMark/>
          </w:tcPr>
          <w:p w14:paraId="1AE7EA90" w14:textId="77777777" w:rsidR="00D314A0" w:rsidRPr="00754E9C" w:rsidRDefault="00D314A0" w:rsidP="00C84A34">
            <w:pPr>
              <w:jc w:val="center"/>
              <w:rPr>
                <w:sz w:val="20"/>
                <w:szCs w:val="20"/>
              </w:rPr>
            </w:pPr>
            <w:r w:rsidRPr="00754E9C">
              <w:rPr>
                <w:sz w:val="20"/>
                <w:szCs w:val="20"/>
              </w:rPr>
              <w:t>24</w:t>
            </w:r>
            <w:r>
              <w:rPr>
                <w:sz w:val="20"/>
                <w:szCs w:val="20"/>
              </w:rPr>
              <w:t>,</w:t>
            </w:r>
            <w:r w:rsidRPr="00754E9C">
              <w:rPr>
                <w:sz w:val="20"/>
                <w:szCs w:val="20"/>
              </w:rPr>
              <w:t>110</w:t>
            </w:r>
          </w:p>
        </w:tc>
        <w:tc>
          <w:tcPr>
            <w:tcW w:w="1055" w:type="pct"/>
            <w:shd w:val="clear" w:color="auto" w:fill="auto"/>
            <w:noWrap/>
            <w:vAlign w:val="center"/>
            <w:hideMark/>
          </w:tcPr>
          <w:p w14:paraId="4E1E533B" w14:textId="77777777" w:rsidR="00D314A0" w:rsidRPr="00754E9C" w:rsidRDefault="00D314A0" w:rsidP="00C84A34">
            <w:pPr>
              <w:jc w:val="center"/>
              <w:rPr>
                <w:sz w:val="20"/>
                <w:szCs w:val="20"/>
              </w:rPr>
            </w:pPr>
            <w:r w:rsidRPr="00754E9C">
              <w:rPr>
                <w:sz w:val="20"/>
                <w:szCs w:val="20"/>
              </w:rPr>
              <w:t>1</w:t>
            </w:r>
            <w:r>
              <w:rPr>
                <w:sz w:val="20"/>
                <w:szCs w:val="20"/>
              </w:rPr>
              <w:t>,</w:t>
            </w:r>
            <w:r w:rsidRPr="00754E9C">
              <w:rPr>
                <w:sz w:val="20"/>
                <w:szCs w:val="20"/>
              </w:rPr>
              <w:t>153</w:t>
            </w:r>
          </w:p>
        </w:tc>
        <w:tc>
          <w:tcPr>
            <w:tcW w:w="1056" w:type="pct"/>
            <w:shd w:val="clear" w:color="auto" w:fill="auto"/>
            <w:noWrap/>
            <w:vAlign w:val="center"/>
            <w:hideMark/>
          </w:tcPr>
          <w:p w14:paraId="7C6BCBC2" w14:textId="77777777" w:rsidR="00D314A0" w:rsidRPr="00754E9C" w:rsidRDefault="00D314A0" w:rsidP="00C84A34">
            <w:pPr>
              <w:jc w:val="center"/>
              <w:rPr>
                <w:sz w:val="20"/>
                <w:szCs w:val="20"/>
              </w:rPr>
            </w:pPr>
            <w:r w:rsidRPr="00754E9C">
              <w:rPr>
                <w:sz w:val="20"/>
                <w:szCs w:val="20"/>
              </w:rPr>
              <w:t>357</w:t>
            </w:r>
          </w:p>
        </w:tc>
        <w:tc>
          <w:tcPr>
            <w:tcW w:w="1056" w:type="pct"/>
            <w:shd w:val="clear" w:color="auto" w:fill="auto"/>
            <w:noWrap/>
            <w:vAlign w:val="center"/>
            <w:hideMark/>
          </w:tcPr>
          <w:p w14:paraId="4E74BCB3" w14:textId="77777777" w:rsidR="00D314A0" w:rsidRPr="00754E9C" w:rsidRDefault="00D314A0" w:rsidP="00C84A34">
            <w:pPr>
              <w:jc w:val="center"/>
              <w:rPr>
                <w:sz w:val="20"/>
                <w:szCs w:val="20"/>
              </w:rPr>
            </w:pPr>
            <w:r w:rsidRPr="00754E9C">
              <w:rPr>
                <w:sz w:val="20"/>
                <w:szCs w:val="20"/>
              </w:rPr>
              <w:t>42</w:t>
            </w:r>
          </w:p>
        </w:tc>
        <w:tc>
          <w:tcPr>
            <w:tcW w:w="508" w:type="pct"/>
            <w:shd w:val="clear" w:color="auto" w:fill="auto"/>
            <w:noWrap/>
            <w:vAlign w:val="center"/>
            <w:hideMark/>
          </w:tcPr>
          <w:p w14:paraId="6F77F62B" w14:textId="77777777" w:rsidR="00D314A0" w:rsidRPr="00754E9C" w:rsidRDefault="00D314A0" w:rsidP="00C84A34">
            <w:pPr>
              <w:jc w:val="center"/>
              <w:rPr>
                <w:sz w:val="20"/>
                <w:szCs w:val="20"/>
              </w:rPr>
            </w:pPr>
            <w:r w:rsidRPr="00754E9C">
              <w:rPr>
                <w:sz w:val="20"/>
                <w:szCs w:val="20"/>
              </w:rPr>
              <w:t>22</w:t>
            </w:r>
            <w:r>
              <w:rPr>
                <w:sz w:val="20"/>
                <w:szCs w:val="20"/>
              </w:rPr>
              <w:t>,</w:t>
            </w:r>
            <w:r w:rsidRPr="00754E9C">
              <w:rPr>
                <w:sz w:val="20"/>
                <w:szCs w:val="20"/>
              </w:rPr>
              <w:t>558</w:t>
            </w:r>
          </w:p>
        </w:tc>
      </w:tr>
      <w:tr w:rsidR="00D314A0" w:rsidRPr="00754E9C" w14:paraId="4002765E" w14:textId="77777777" w:rsidTr="00C84A34">
        <w:trPr>
          <w:trHeight w:val="488"/>
        </w:trPr>
        <w:tc>
          <w:tcPr>
            <w:tcW w:w="662" w:type="pct"/>
            <w:shd w:val="clear" w:color="auto" w:fill="auto"/>
            <w:noWrap/>
            <w:vAlign w:val="center"/>
            <w:hideMark/>
          </w:tcPr>
          <w:p w14:paraId="6F7DF543"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2013</w:t>
            </w:r>
          </w:p>
        </w:tc>
        <w:tc>
          <w:tcPr>
            <w:tcW w:w="663" w:type="pct"/>
            <w:shd w:val="clear" w:color="auto" w:fill="auto"/>
            <w:noWrap/>
            <w:vAlign w:val="center"/>
            <w:hideMark/>
          </w:tcPr>
          <w:p w14:paraId="4E370061" w14:textId="77777777" w:rsidR="00D314A0" w:rsidRPr="00754E9C" w:rsidRDefault="00D314A0" w:rsidP="00C84A34">
            <w:pPr>
              <w:jc w:val="center"/>
              <w:rPr>
                <w:sz w:val="20"/>
                <w:szCs w:val="20"/>
              </w:rPr>
            </w:pPr>
            <w:r w:rsidRPr="00754E9C">
              <w:rPr>
                <w:sz w:val="20"/>
                <w:szCs w:val="20"/>
              </w:rPr>
              <w:t>24</w:t>
            </w:r>
            <w:r>
              <w:rPr>
                <w:sz w:val="20"/>
                <w:szCs w:val="20"/>
              </w:rPr>
              <w:t>,</w:t>
            </w:r>
            <w:r w:rsidRPr="00754E9C">
              <w:rPr>
                <w:sz w:val="20"/>
                <w:szCs w:val="20"/>
              </w:rPr>
              <w:t>674</w:t>
            </w:r>
          </w:p>
        </w:tc>
        <w:tc>
          <w:tcPr>
            <w:tcW w:w="1055" w:type="pct"/>
            <w:shd w:val="clear" w:color="auto" w:fill="auto"/>
            <w:noWrap/>
            <w:vAlign w:val="center"/>
            <w:hideMark/>
          </w:tcPr>
          <w:p w14:paraId="2F165897" w14:textId="77777777" w:rsidR="00D314A0" w:rsidRPr="00754E9C" w:rsidRDefault="00D314A0" w:rsidP="00C84A34">
            <w:pPr>
              <w:jc w:val="center"/>
              <w:rPr>
                <w:sz w:val="20"/>
                <w:szCs w:val="20"/>
              </w:rPr>
            </w:pPr>
            <w:r w:rsidRPr="00754E9C">
              <w:rPr>
                <w:sz w:val="20"/>
                <w:szCs w:val="20"/>
              </w:rPr>
              <w:t>1</w:t>
            </w:r>
            <w:r>
              <w:rPr>
                <w:sz w:val="20"/>
                <w:szCs w:val="20"/>
              </w:rPr>
              <w:t>,</w:t>
            </w:r>
            <w:r w:rsidRPr="00754E9C">
              <w:rPr>
                <w:sz w:val="20"/>
                <w:szCs w:val="20"/>
              </w:rPr>
              <w:t>190</w:t>
            </w:r>
          </w:p>
        </w:tc>
        <w:tc>
          <w:tcPr>
            <w:tcW w:w="1056" w:type="pct"/>
            <w:shd w:val="clear" w:color="auto" w:fill="auto"/>
            <w:noWrap/>
            <w:vAlign w:val="center"/>
            <w:hideMark/>
          </w:tcPr>
          <w:p w14:paraId="07515A0C" w14:textId="77777777" w:rsidR="00D314A0" w:rsidRPr="00754E9C" w:rsidRDefault="00D314A0" w:rsidP="00C84A34">
            <w:pPr>
              <w:jc w:val="center"/>
              <w:rPr>
                <w:sz w:val="20"/>
                <w:szCs w:val="20"/>
              </w:rPr>
            </w:pPr>
            <w:r w:rsidRPr="00754E9C">
              <w:rPr>
                <w:sz w:val="20"/>
                <w:szCs w:val="20"/>
              </w:rPr>
              <w:t>364</w:t>
            </w:r>
          </w:p>
        </w:tc>
        <w:tc>
          <w:tcPr>
            <w:tcW w:w="1056" w:type="pct"/>
            <w:shd w:val="clear" w:color="auto" w:fill="auto"/>
            <w:noWrap/>
            <w:vAlign w:val="center"/>
            <w:hideMark/>
          </w:tcPr>
          <w:p w14:paraId="56F832E2" w14:textId="77777777" w:rsidR="00D314A0" w:rsidRPr="00754E9C" w:rsidRDefault="00D314A0" w:rsidP="00C84A34">
            <w:pPr>
              <w:jc w:val="center"/>
              <w:rPr>
                <w:sz w:val="20"/>
                <w:szCs w:val="20"/>
              </w:rPr>
            </w:pPr>
            <w:r w:rsidRPr="00754E9C">
              <w:rPr>
                <w:sz w:val="20"/>
                <w:szCs w:val="20"/>
              </w:rPr>
              <w:t>35</w:t>
            </w:r>
          </w:p>
        </w:tc>
        <w:tc>
          <w:tcPr>
            <w:tcW w:w="508" w:type="pct"/>
            <w:shd w:val="clear" w:color="auto" w:fill="auto"/>
            <w:noWrap/>
            <w:vAlign w:val="center"/>
            <w:hideMark/>
          </w:tcPr>
          <w:p w14:paraId="0AC4EE9B" w14:textId="77777777" w:rsidR="00D314A0" w:rsidRPr="00754E9C" w:rsidRDefault="00D314A0" w:rsidP="00C84A34">
            <w:pPr>
              <w:jc w:val="center"/>
              <w:rPr>
                <w:sz w:val="20"/>
                <w:szCs w:val="20"/>
              </w:rPr>
            </w:pPr>
            <w:r w:rsidRPr="00754E9C">
              <w:rPr>
                <w:sz w:val="20"/>
                <w:szCs w:val="20"/>
              </w:rPr>
              <w:t>23</w:t>
            </w:r>
            <w:r>
              <w:rPr>
                <w:sz w:val="20"/>
                <w:szCs w:val="20"/>
              </w:rPr>
              <w:t>,</w:t>
            </w:r>
            <w:r w:rsidRPr="00754E9C">
              <w:rPr>
                <w:sz w:val="20"/>
                <w:szCs w:val="20"/>
              </w:rPr>
              <w:t>085</w:t>
            </w:r>
          </w:p>
        </w:tc>
      </w:tr>
      <w:tr w:rsidR="00D314A0" w:rsidRPr="00754E9C" w14:paraId="23A2A891" w14:textId="77777777" w:rsidTr="008F56CC">
        <w:trPr>
          <w:trHeight w:val="488"/>
        </w:trPr>
        <w:tc>
          <w:tcPr>
            <w:tcW w:w="662" w:type="pct"/>
            <w:shd w:val="clear" w:color="auto" w:fill="auto"/>
            <w:noWrap/>
            <w:vAlign w:val="center"/>
            <w:hideMark/>
          </w:tcPr>
          <w:p w14:paraId="3983C79F"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2014</w:t>
            </w:r>
          </w:p>
        </w:tc>
        <w:tc>
          <w:tcPr>
            <w:tcW w:w="663" w:type="pct"/>
            <w:shd w:val="clear" w:color="auto" w:fill="auto"/>
            <w:noWrap/>
            <w:vAlign w:val="center"/>
            <w:hideMark/>
          </w:tcPr>
          <w:p w14:paraId="0F8DDF94" w14:textId="77777777" w:rsidR="00D314A0" w:rsidRPr="00754E9C" w:rsidRDefault="00D314A0" w:rsidP="00C84A34">
            <w:pPr>
              <w:jc w:val="center"/>
              <w:rPr>
                <w:sz w:val="20"/>
                <w:szCs w:val="20"/>
              </w:rPr>
            </w:pPr>
            <w:r w:rsidRPr="00754E9C">
              <w:rPr>
                <w:sz w:val="20"/>
                <w:szCs w:val="20"/>
              </w:rPr>
              <w:t>24</w:t>
            </w:r>
            <w:r>
              <w:rPr>
                <w:sz w:val="20"/>
                <w:szCs w:val="20"/>
              </w:rPr>
              <w:t>,</w:t>
            </w:r>
            <w:r w:rsidRPr="00754E9C">
              <w:rPr>
                <w:sz w:val="20"/>
                <w:szCs w:val="20"/>
              </w:rPr>
              <w:t>480</w:t>
            </w:r>
          </w:p>
        </w:tc>
        <w:tc>
          <w:tcPr>
            <w:tcW w:w="1055" w:type="pct"/>
            <w:shd w:val="clear" w:color="auto" w:fill="auto"/>
            <w:noWrap/>
            <w:vAlign w:val="center"/>
            <w:hideMark/>
          </w:tcPr>
          <w:p w14:paraId="50C6E8D0" w14:textId="77777777" w:rsidR="00D314A0" w:rsidRPr="00754E9C" w:rsidRDefault="00D314A0" w:rsidP="00C84A34">
            <w:pPr>
              <w:jc w:val="center"/>
              <w:rPr>
                <w:sz w:val="20"/>
                <w:szCs w:val="20"/>
              </w:rPr>
            </w:pPr>
            <w:r w:rsidRPr="00754E9C">
              <w:rPr>
                <w:sz w:val="20"/>
                <w:szCs w:val="20"/>
              </w:rPr>
              <w:t>1</w:t>
            </w:r>
            <w:r>
              <w:rPr>
                <w:sz w:val="20"/>
                <w:szCs w:val="20"/>
              </w:rPr>
              <w:t>,</w:t>
            </w:r>
            <w:r w:rsidRPr="00754E9C">
              <w:rPr>
                <w:sz w:val="20"/>
                <w:szCs w:val="20"/>
              </w:rPr>
              <w:t>171</w:t>
            </w:r>
          </w:p>
        </w:tc>
        <w:tc>
          <w:tcPr>
            <w:tcW w:w="1056" w:type="pct"/>
            <w:shd w:val="clear" w:color="auto" w:fill="auto"/>
            <w:noWrap/>
            <w:vAlign w:val="center"/>
            <w:hideMark/>
          </w:tcPr>
          <w:p w14:paraId="79DE484E" w14:textId="77777777" w:rsidR="00D314A0" w:rsidRPr="00754E9C" w:rsidRDefault="00D314A0" w:rsidP="00C84A34">
            <w:pPr>
              <w:jc w:val="center"/>
              <w:rPr>
                <w:sz w:val="20"/>
                <w:szCs w:val="20"/>
              </w:rPr>
            </w:pPr>
            <w:r w:rsidRPr="00754E9C">
              <w:rPr>
                <w:sz w:val="20"/>
                <w:szCs w:val="20"/>
              </w:rPr>
              <w:t>380</w:t>
            </w:r>
          </w:p>
        </w:tc>
        <w:tc>
          <w:tcPr>
            <w:tcW w:w="1056" w:type="pct"/>
            <w:shd w:val="clear" w:color="auto" w:fill="auto"/>
            <w:noWrap/>
            <w:vAlign w:val="center"/>
            <w:hideMark/>
          </w:tcPr>
          <w:p w14:paraId="5F88C2E2" w14:textId="77777777" w:rsidR="00D314A0" w:rsidRPr="00754E9C" w:rsidRDefault="00D314A0" w:rsidP="00C84A34">
            <w:pPr>
              <w:jc w:val="center"/>
              <w:rPr>
                <w:sz w:val="20"/>
                <w:szCs w:val="20"/>
              </w:rPr>
            </w:pPr>
            <w:r w:rsidRPr="00754E9C">
              <w:rPr>
                <w:sz w:val="20"/>
                <w:szCs w:val="20"/>
              </w:rPr>
              <w:t>39</w:t>
            </w:r>
          </w:p>
        </w:tc>
        <w:tc>
          <w:tcPr>
            <w:tcW w:w="508" w:type="pct"/>
            <w:shd w:val="clear" w:color="auto" w:fill="auto"/>
            <w:noWrap/>
            <w:vAlign w:val="center"/>
            <w:hideMark/>
          </w:tcPr>
          <w:p w14:paraId="1CA93D55" w14:textId="77777777" w:rsidR="00D314A0" w:rsidRPr="00754E9C" w:rsidRDefault="00D314A0" w:rsidP="00C84A34">
            <w:pPr>
              <w:jc w:val="center"/>
              <w:rPr>
                <w:sz w:val="20"/>
                <w:szCs w:val="20"/>
              </w:rPr>
            </w:pPr>
            <w:r w:rsidRPr="00754E9C">
              <w:rPr>
                <w:sz w:val="20"/>
                <w:szCs w:val="20"/>
              </w:rPr>
              <w:t>22</w:t>
            </w:r>
            <w:r>
              <w:rPr>
                <w:sz w:val="20"/>
                <w:szCs w:val="20"/>
              </w:rPr>
              <w:t>,</w:t>
            </w:r>
            <w:r w:rsidRPr="00754E9C">
              <w:rPr>
                <w:sz w:val="20"/>
                <w:szCs w:val="20"/>
              </w:rPr>
              <w:t>890</w:t>
            </w:r>
          </w:p>
        </w:tc>
      </w:tr>
      <w:tr w:rsidR="00D314A0" w:rsidRPr="00754E9C" w14:paraId="3CD44677" w14:textId="77777777" w:rsidTr="008F56CC">
        <w:trPr>
          <w:trHeight w:val="488"/>
        </w:trPr>
        <w:tc>
          <w:tcPr>
            <w:tcW w:w="662" w:type="pct"/>
            <w:tcBorders>
              <w:bottom w:val="single" w:sz="4" w:space="0" w:color="auto"/>
            </w:tcBorders>
            <w:shd w:val="clear" w:color="auto" w:fill="auto"/>
            <w:noWrap/>
            <w:vAlign w:val="center"/>
            <w:hideMark/>
          </w:tcPr>
          <w:p w14:paraId="32298F7A"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Total</w:t>
            </w:r>
          </w:p>
        </w:tc>
        <w:tc>
          <w:tcPr>
            <w:tcW w:w="663" w:type="pct"/>
            <w:tcBorders>
              <w:bottom w:val="single" w:sz="4" w:space="0" w:color="auto"/>
            </w:tcBorders>
            <w:shd w:val="clear" w:color="auto" w:fill="auto"/>
            <w:noWrap/>
            <w:vAlign w:val="center"/>
            <w:hideMark/>
          </w:tcPr>
          <w:p w14:paraId="7F721C20"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249</w:t>
            </w:r>
            <w:r>
              <w:rPr>
                <w:rFonts w:ascii="Calibri" w:hAnsi="Calibri" w:cs="Calibri"/>
                <w:b/>
                <w:bCs/>
                <w:sz w:val="20"/>
                <w:szCs w:val="20"/>
              </w:rPr>
              <w:t>,</w:t>
            </w:r>
            <w:r w:rsidRPr="00754E9C">
              <w:rPr>
                <w:rFonts w:ascii="Calibri" w:hAnsi="Calibri" w:cs="Calibri"/>
                <w:b/>
                <w:bCs/>
                <w:sz w:val="20"/>
                <w:szCs w:val="20"/>
              </w:rPr>
              <w:t>897</w:t>
            </w:r>
          </w:p>
        </w:tc>
        <w:tc>
          <w:tcPr>
            <w:tcW w:w="1055" w:type="pct"/>
            <w:tcBorders>
              <w:bottom w:val="single" w:sz="4" w:space="0" w:color="auto"/>
            </w:tcBorders>
            <w:shd w:val="clear" w:color="auto" w:fill="auto"/>
            <w:noWrap/>
            <w:vAlign w:val="center"/>
            <w:hideMark/>
          </w:tcPr>
          <w:p w14:paraId="57ADEB8A"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10</w:t>
            </w:r>
            <w:r>
              <w:rPr>
                <w:rFonts w:ascii="Calibri" w:hAnsi="Calibri" w:cs="Calibri"/>
                <w:b/>
                <w:bCs/>
                <w:sz w:val="20"/>
                <w:szCs w:val="20"/>
              </w:rPr>
              <w:t>,</w:t>
            </w:r>
            <w:r w:rsidRPr="00754E9C">
              <w:rPr>
                <w:rFonts w:ascii="Calibri" w:hAnsi="Calibri" w:cs="Calibri"/>
                <w:b/>
                <w:bCs/>
                <w:sz w:val="20"/>
                <w:szCs w:val="20"/>
              </w:rPr>
              <w:t>133</w:t>
            </w:r>
          </w:p>
        </w:tc>
        <w:tc>
          <w:tcPr>
            <w:tcW w:w="1056" w:type="pct"/>
            <w:tcBorders>
              <w:bottom w:val="single" w:sz="4" w:space="0" w:color="auto"/>
            </w:tcBorders>
            <w:shd w:val="clear" w:color="auto" w:fill="auto"/>
            <w:noWrap/>
            <w:vAlign w:val="center"/>
            <w:hideMark/>
          </w:tcPr>
          <w:p w14:paraId="4631E6F9"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3</w:t>
            </w:r>
            <w:r>
              <w:rPr>
                <w:rFonts w:ascii="Calibri" w:hAnsi="Calibri" w:cs="Calibri"/>
                <w:b/>
                <w:bCs/>
                <w:sz w:val="20"/>
                <w:szCs w:val="20"/>
              </w:rPr>
              <w:t>,</w:t>
            </w:r>
            <w:r w:rsidRPr="00754E9C">
              <w:rPr>
                <w:rFonts w:ascii="Calibri" w:hAnsi="Calibri" w:cs="Calibri"/>
                <w:b/>
                <w:bCs/>
                <w:sz w:val="20"/>
                <w:szCs w:val="20"/>
              </w:rPr>
              <w:t>192</w:t>
            </w:r>
          </w:p>
        </w:tc>
        <w:tc>
          <w:tcPr>
            <w:tcW w:w="1056" w:type="pct"/>
            <w:tcBorders>
              <w:bottom w:val="single" w:sz="4" w:space="0" w:color="auto"/>
            </w:tcBorders>
            <w:shd w:val="clear" w:color="auto" w:fill="auto"/>
            <w:noWrap/>
            <w:vAlign w:val="center"/>
            <w:hideMark/>
          </w:tcPr>
          <w:p w14:paraId="0376B022"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392</w:t>
            </w:r>
          </w:p>
        </w:tc>
        <w:tc>
          <w:tcPr>
            <w:tcW w:w="508" w:type="pct"/>
            <w:tcBorders>
              <w:bottom w:val="single" w:sz="4" w:space="0" w:color="auto"/>
            </w:tcBorders>
            <w:shd w:val="clear" w:color="auto" w:fill="auto"/>
            <w:noWrap/>
            <w:vAlign w:val="center"/>
            <w:hideMark/>
          </w:tcPr>
          <w:p w14:paraId="7B4FBB60" w14:textId="77777777" w:rsidR="00D314A0" w:rsidRPr="00754E9C" w:rsidRDefault="00D314A0" w:rsidP="00C84A34">
            <w:pPr>
              <w:jc w:val="center"/>
              <w:rPr>
                <w:rFonts w:ascii="Calibri" w:hAnsi="Calibri" w:cs="Calibri"/>
                <w:b/>
                <w:bCs/>
                <w:sz w:val="20"/>
                <w:szCs w:val="20"/>
              </w:rPr>
            </w:pPr>
            <w:r w:rsidRPr="00754E9C">
              <w:rPr>
                <w:rFonts w:ascii="Calibri" w:hAnsi="Calibri" w:cs="Calibri"/>
                <w:b/>
                <w:bCs/>
                <w:sz w:val="20"/>
                <w:szCs w:val="20"/>
              </w:rPr>
              <w:t>236</w:t>
            </w:r>
            <w:r>
              <w:rPr>
                <w:rFonts w:ascii="Calibri" w:hAnsi="Calibri" w:cs="Calibri"/>
                <w:b/>
                <w:bCs/>
                <w:sz w:val="20"/>
                <w:szCs w:val="20"/>
              </w:rPr>
              <w:t>,</w:t>
            </w:r>
            <w:r w:rsidRPr="00754E9C">
              <w:rPr>
                <w:rFonts w:ascii="Calibri" w:hAnsi="Calibri" w:cs="Calibri"/>
                <w:b/>
                <w:bCs/>
                <w:sz w:val="20"/>
                <w:szCs w:val="20"/>
              </w:rPr>
              <w:t>180</w:t>
            </w:r>
          </w:p>
        </w:tc>
      </w:tr>
    </w:tbl>
    <w:p w14:paraId="36A00EFC" w14:textId="77777777" w:rsidR="00D314A0" w:rsidRDefault="00D314A0" w:rsidP="00D314A0">
      <w:pPr>
        <w:pStyle w:val="Caption"/>
        <w:rPr>
          <w:lang w:val="en-US"/>
        </w:rPr>
      </w:pPr>
      <w:r w:rsidRPr="002A0686">
        <w:rPr>
          <w:lang w:val="en-US"/>
        </w:rPr>
        <w:t xml:space="preserve">Table </w:t>
      </w:r>
      <w:r w:rsidRPr="002A0686">
        <w:fldChar w:fldCharType="begin"/>
      </w:r>
      <w:r w:rsidRPr="002A0686">
        <w:rPr>
          <w:lang w:val="en-US"/>
        </w:rPr>
        <w:instrText xml:space="preserve"> SEQ Table \* ARABIC </w:instrText>
      </w:r>
      <w:r w:rsidRPr="002A0686">
        <w:fldChar w:fldCharType="separate"/>
      </w:r>
      <w:r w:rsidRPr="002A0686">
        <w:rPr>
          <w:noProof/>
          <w:lang w:val="en-US"/>
        </w:rPr>
        <w:t>1</w:t>
      </w:r>
      <w:r w:rsidRPr="002A0686">
        <w:fldChar w:fldCharType="end"/>
      </w:r>
      <w:r w:rsidRPr="002A0686">
        <w:rPr>
          <w:lang w:val="en-US"/>
        </w:rPr>
        <w:t>: Flow table for patients sustaining a first incident major osteoporotic fracture</w:t>
      </w:r>
      <w:r>
        <w:rPr>
          <w:lang w:val="en-US"/>
        </w:rPr>
        <w:t xml:space="preserve"> in a given year</w:t>
      </w:r>
      <w:r w:rsidRPr="002A0686">
        <w:rPr>
          <w:lang w:val="en-US"/>
        </w:rPr>
        <w:t xml:space="preserve">. </w:t>
      </w:r>
      <w:r>
        <w:rPr>
          <w:lang w:val="en-US"/>
        </w:rPr>
        <w:t>History of bone metastasis and history of Paget’s disease has been pooled due to small n.</w:t>
      </w:r>
    </w:p>
    <w:p w14:paraId="566EF538" w14:textId="6A262968" w:rsidR="00920D89" w:rsidRDefault="00920D89">
      <w:pPr>
        <w:rPr>
          <w:rFonts w:ascii="Times" w:hAnsi="Times" w:cs="Times New Roman"/>
          <w:b/>
          <w:lang w:val="en-US"/>
        </w:rPr>
      </w:pPr>
      <w:r>
        <w:rPr>
          <w:rFonts w:ascii="Times" w:hAnsi="Times" w:cs="Times New Roman"/>
          <w:b/>
          <w:lang w:val="en-US"/>
        </w:rPr>
        <w:br w:type="page"/>
      </w:r>
    </w:p>
    <w:tbl>
      <w:tblPr>
        <w:tblStyle w:val="TableGrid"/>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1"/>
        <w:gridCol w:w="794"/>
        <w:gridCol w:w="794"/>
        <w:gridCol w:w="794"/>
        <w:gridCol w:w="794"/>
        <w:gridCol w:w="794"/>
        <w:gridCol w:w="794"/>
        <w:gridCol w:w="794"/>
        <w:gridCol w:w="794"/>
        <w:gridCol w:w="794"/>
        <w:gridCol w:w="794"/>
      </w:tblGrid>
      <w:tr w:rsidR="00D314A0" w:rsidRPr="00CB0159" w14:paraId="518D03D5" w14:textId="77777777" w:rsidTr="00C84A34">
        <w:trPr>
          <w:trHeight w:val="300"/>
        </w:trPr>
        <w:tc>
          <w:tcPr>
            <w:tcW w:w="2041" w:type="dxa"/>
            <w:tcBorders>
              <w:bottom w:val="single" w:sz="4" w:space="0" w:color="auto"/>
            </w:tcBorders>
            <w:vAlign w:val="center"/>
          </w:tcPr>
          <w:p w14:paraId="6D262511" w14:textId="77777777" w:rsidR="00D314A0" w:rsidRPr="00CB0159" w:rsidRDefault="00D314A0" w:rsidP="00C84A34">
            <w:pPr>
              <w:spacing w:line="276" w:lineRule="auto"/>
              <w:rPr>
                <w:rFonts w:ascii="Calibri" w:hAnsi="Calibri" w:cs="Calibri"/>
                <w:b/>
                <w:sz w:val="20"/>
                <w:szCs w:val="20"/>
                <w:lang w:val="en-US"/>
              </w:rPr>
            </w:pPr>
          </w:p>
        </w:tc>
        <w:tc>
          <w:tcPr>
            <w:tcW w:w="794" w:type="dxa"/>
            <w:tcBorders>
              <w:bottom w:val="single" w:sz="4" w:space="0" w:color="auto"/>
            </w:tcBorders>
            <w:vAlign w:val="center"/>
          </w:tcPr>
          <w:p w14:paraId="6B68F1FD" w14:textId="77777777" w:rsidR="00D314A0" w:rsidRPr="00CB0159" w:rsidRDefault="00D314A0" w:rsidP="00C84A34">
            <w:pPr>
              <w:spacing w:line="276" w:lineRule="auto"/>
              <w:jc w:val="center"/>
              <w:rPr>
                <w:rFonts w:ascii="Calibri" w:hAnsi="Calibri" w:cs="Calibri"/>
                <w:b/>
                <w:sz w:val="20"/>
                <w:szCs w:val="20"/>
              </w:rPr>
            </w:pPr>
            <w:r w:rsidRPr="00CB0159">
              <w:rPr>
                <w:rFonts w:ascii="Calibri" w:hAnsi="Calibri" w:cs="Calibri"/>
                <w:b/>
                <w:sz w:val="20"/>
                <w:szCs w:val="20"/>
              </w:rPr>
              <w:t>2005</w:t>
            </w:r>
          </w:p>
        </w:tc>
        <w:tc>
          <w:tcPr>
            <w:tcW w:w="794" w:type="dxa"/>
            <w:tcBorders>
              <w:bottom w:val="single" w:sz="4" w:space="0" w:color="auto"/>
            </w:tcBorders>
            <w:vAlign w:val="center"/>
          </w:tcPr>
          <w:p w14:paraId="341857A5" w14:textId="77777777" w:rsidR="00D314A0" w:rsidRPr="00CB0159" w:rsidRDefault="00D314A0" w:rsidP="00C84A34">
            <w:pPr>
              <w:spacing w:line="276" w:lineRule="auto"/>
              <w:jc w:val="center"/>
              <w:rPr>
                <w:rFonts w:ascii="Calibri" w:hAnsi="Calibri" w:cs="Calibri"/>
                <w:b/>
                <w:sz w:val="20"/>
                <w:szCs w:val="20"/>
              </w:rPr>
            </w:pPr>
            <w:r w:rsidRPr="00CB0159">
              <w:rPr>
                <w:rFonts w:ascii="Calibri" w:hAnsi="Calibri" w:cs="Calibri"/>
                <w:b/>
                <w:sz w:val="20"/>
                <w:szCs w:val="20"/>
              </w:rPr>
              <w:t>2006</w:t>
            </w:r>
          </w:p>
        </w:tc>
        <w:tc>
          <w:tcPr>
            <w:tcW w:w="794" w:type="dxa"/>
            <w:tcBorders>
              <w:bottom w:val="single" w:sz="4" w:space="0" w:color="auto"/>
            </w:tcBorders>
            <w:vAlign w:val="center"/>
          </w:tcPr>
          <w:p w14:paraId="24E71B9A" w14:textId="77777777" w:rsidR="00D314A0" w:rsidRPr="00CB0159" w:rsidRDefault="00D314A0" w:rsidP="00C84A34">
            <w:pPr>
              <w:spacing w:line="276" w:lineRule="auto"/>
              <w:jc w:val="center"/>
              <w:rPr>
                <w:rFonts w:ascii="Calibri" w:hAnsi="Calibri" w:cs="Calibri"/>
                <w:b/>
                <w:sz w:val="20"/>
                <w:szCs w:val="20"/>
              </w:rPr>
            </w:pPr>
            <w:r w:rsidRPr="00CB0159">
              <w:rPr>
                <w:rFonts w:ascii="Calibri" w:hAnsi="Calibri" w:cs="Calibri"/>
                <w:b/>
                <w:sz w:val="20"/>
                <w:szCs w:val="20"/>
              </w:rPr>
              <w:t>2007</w:t>
            </w:r>
          </w:p>
        </w:tc>
        <w:tc>
          <w:tcPr>
            <w:tcW w:w="794" w:type="dxa"/>
            <w:tcBorders>
              <w:bottom w:val="single" w:sz="4" w:space="0" w:color="auto"/>
            </w:tcBorders>
            <w:vAlign w:val="center"/>
          </w:tcPr>
          <w:p w14:paraId="511AA16F" w14:textId="77777777" w:rsidR="00D314A0" w:rsidRPr="00CB0159" w:rsidRDefault="00D314A0" w:rsidP="00C84A34">
            <w:pPr>
              <w:spacing w:line="276" w:lineRule="auto"/>
              <w:jc w:val="center"/>
              <w:rPr>
                <w:rFonts w:ascii="Calibri" w:hAnsi="Calibri" w:cs="Calibri"/>
                <w:b/>
                <w:sz w:val="20"/>
                <w:szCs w:val="20"/>
              </w:rPr>
            </w:pPr>
            <w:r w:rsidRPr="00CB0159">
              <w:rPr>
                <w:rFonts w:ascii="Calibri" w:hAnsi="Calibri" w:cs="Calibri"/>
                <w:b/>
                <w:sz w:val="20"/>
                <w:szCs w:val="20"/>
              </w:rPr>
              <w:t>2008</w:t>
            </w:r>
          </w:p>
        </w:tc>
        <w:tc>
          <w:tcPr>
            <w:tcW w:w="794" w:type="dxa"/>
            <w:tcBorders>
              <w:bottom w:val="single" w:sz="4" w:space="0" w:color="auto"/>
            </w:tcBorders>
            <w:vAlign w:val="center"/>
          </w:tcPr>
          <w:p w14:paraId="05B00BE6" w14:textId="77777777" w:rsidR="00D314A0" w:rsidRPr="00CB0159" w:rsidRDefault="00D314A0" w:rsidP="00C84A34">
            <w:pPr>
              <w:spacing w:line="276" w:lineRule="auto"/>
              <w:jc w:val="center"/>
              <w:rPr>
                <w:rFonts w:ascii="Calibri" w:hAnsi="Calibri" w:cs="Calibri"/>
                <w:b/>
                <w:sz w:val="20"/>
                <w:szCs w:val="20"/>
              </w:rPr>
            </w:pPr>
            <w:r w:rsidRPr="00CB0159">
              <w:rPr>
                <w:rFonts w:ascii="Calibri" w:hAnsi="Calibri" w:cs="Calibri"/>
                <w:b/>
                <w:sz w:val="20"/>
                <w:szCs w:val="20"/>
              </w:rPr>
              <w:t>2009</w:t>
            </w:r>
          </w:p>
        </w:tc>
        <w:tc>
          <w:tcPr>
            <w:tcW w:w="794" w:type="dxa"/>
            <w:tcBorders>
              <w:bottom w:val="single" w:sz="4" w:space="0" w:color="auto"/>
            </w:tcBorders>
            <w:vAlign w:val="center"/>
          </w:tcPr>
          <w:p w14:paraId="4DC53199" w14:textId="77777777" w:rsidR="00D314A0" w:rsidRPr="00CB0159" w:rsidRDefault="00D314A0" w:rsidP="00C84A34">
            <w:pPr>
              <w:spacing w:line="276" w:lineRule="auto"/>
              <w:jc w:val="center"/>
              <w:rPr>
                <w:rFonts w:ascii="Calibri" w:hAnsi="Calibri" w:cs="Calibri"/>
                <w:b/>
                <w:sz w:val="20"/>
                <w:szCs w:val="20"/>
              </w:rPr>
            </w:pPr>
            <w:r w:rsidRPr="00CB0159">
              <w:rPr>
                <w:rFonts w:ascii="Calibri" w:hAnsi="Calibri" w:cs="Calibri"/>
                <w:b/>
                <w:sz w:val="20"/>
                <w:szCs w:val="20"/>
              </w:rPr>
              <w:t>2010</w:t>
            </w:r>
          </w:p>
        </w:tc>
        <w:tc>
          <w:tcPr>
            <w:tcW w:w="794" w:type="dxa"/>
            <w:tcBorders>
              <w:bottom w:val="single" w:sz="4" w:space="0" w:color="auto"/>
            </w:tcBorders>
            <w:vAlign w:val="center"/>
          </w:tcPr>
          <w:p w14:paraId="210C9985" w14:textId="77777777" w:rsidR="00D314A0" w:rsidRPr="00CB0159" w:rsidRDefault="00D314A0" w:rsidP="00C84A34">
            <w:pPr>
              <w:spacing w:line="276" w:lineRule="auto"/>
              <w:jc w:val="center"/>
              <w:rPr>
                <w:rFonts w:ascii="Calibri" w:hAnsi="Calibri" w:cs="Calibri"/>
                <w:b/>
                <w:sz w:val="20"/>
                <w:szCs w:val="20"/>
              </w:rPr>
            </w:pPr>
            <w:r w:rsidRPr="00CB0159">
              <w:rPr>
                <w:rFonts w:ascii="Calibri" w:hAnsi="Calibri" w:cs="Calibri"/>
                <w:b/>
                <w:sz w:val="20"/>
                <w:szCs w:val="20"/>
              </w:rPr>
              <w:t>2011</w:t>
            </w:r>
          </w:p>
        </w:tc>
        <w:tc>
          <w:tcPr>
            <w:tcW w:w="794" w:type="dxa"/>
            <w:tcBorders>
              <w:bottom w:val="single" w:sz="4" w:space="0" w:color="auto"/>
            </w:tcBorders>
            <w:vAlign w:val="center"/>
          </w:tcPr>
          <w:p w14:paraId="7B6A3C1C" w14:textId="77777777" w:rsidR="00D314A0" w:rsidRPr="00CB0159" w:rsidRDefault="00D314A0" w:rsidP="00C84A34">
            <w:pPr>
              <w:spacing w:line="276" w:lineRule="auto"/>
              <w:jc w:val="center"/>
              <w:rPr>
                <w:rFonts w:ascii="Calibri" w:hAnsi="Calibri" w:cs="Calibri"/>
                <w:b/>
                <w:sz w:val="20"/>
                <w:szCs w:val="20"/>
              </w:rPr>
            </w:pPr>
            <w:r w:rsidRPr="00CB0159">
              <w:rPr>
                <w:rFonts w:ascii="Calibri" w:hAnsi="Calibri" w:cs="Calibri"/>
                <w:b/>
                <w:sz w:val="20"/>
                <w:szCs w:val="20"/>
              </w:rPr>
              <w:t>2012</w:t>
            </w:r>
          </w:p>
        </w:tc>
        <w:tc>
          <w:tcPr>
            <w:tcW w:w="794" w:type="dxa"/>
            <w:tcBorders>
              <w:bottom w:val="single" w:sz="4" w:space="0" w:color="auto"/>
            </w:tcBorders>
            <w:vAlign w:val="center"/>
          </w:tcPr>
          <w:p w14:paraId="3590F23D" w14:textId="77777777" w:rsidR="00D314A0" w:rsidRPr="00CB0159" w:rsidRDefault="00D314A0" w:rsidP="00C84A34">
            <w:pPr>
              <w:spacing w:line="276" w:lineRule="auto"/>
              <w:jc w:val="center"/>
              <w:rPr>
                <w:rFonts w:ascii="Calibri" w:hAnsi="Calibri" w:cs="Calibri"/>
                <w:b/>
                <w:sz w:val="20"/>
                <w:szCs w:val="20"/>
              </w:rPr>
            </w:pPr>
            <w:r w:rsidRPr="00CB0159">
              <w:rPr>
                <w:rFonts w:ascii="Calibri" w:hAnsi="Calibri" w:cs="Calibri"/>
                <w:b/>
                <w:sz w:val="20"/>
                <w:szCs w:val="20"/>
              </w:rPr>
              <w:t>2013</w:t>
            </w:r>
          </w:p>
        </w:tc>
        <w:tc>
          <w:tcPr>
            <w:tcW w:w="794" w:type="dxa"/>
            <w:tcBorders>
              <w:bottom w:val="single" w:sz="4" w:space="0" w:color="auto"/>
            </w:tcBorders>
            <w:vAlign w:val="center"/>
          </w:tcPr>
          <w:p w14:paraId="14A9CF93" w14:textId="77777777" w:rsidR="00D314A0" w:rsidRPr="00CB0159" w:rsidRDefault="00D314A0" w:rsidP="00C84A34">
            <w:pPr>
              <w:spacing w:line="276" w:lineRule="auto"/>
              <w:jc w:val="center"/>
              <w:rPr>
                <w:rFonts w:ascii="Calibri" w:hAnsi="Calibri" w:cs="Calibri"/>
                <w:b/>
                <w:sz w:val="20"/>
                <w:szCs w:val="20"/>
              </w:rPr>
            </w:pPr>
            <w:r w:rsidRPr="00CB0159">
              <w:rPr>
                <w:rFonts w:ascii="Calibri" w:hAnsi="Calibri" w:cs="Calibri"/>
                <w:b/>
                <w:sz w:val="20"/>
                <w:szCs w:val="20"/>
              </w:rPr>
              <w:t>2014</w:t>
            </w:r>
          </w:p>
        </w:tc>
      </w:tr>
      <w:tr w:rsidR="00D314A0" w:rsidRPr="00CB0159" w14:paraId="02BD349C" w14:textId="77777777" w:rsidTr="00C84A34">
        <w:trPr>
          <w:trHeight w:val="300"/>
        </w:trPr>
        <w:tc>
          <w:tcPr>
            <w:tcW w:w="2041" w:type="dxa"/>
            <w:tcBorders>
              <w:top w:val="single" w:sz="4" w:space="0" w:color="auto"/>
              <w:bottom w:val="dotted" w:sz="4" w:space="0" w:color="auto"/>
            </w:tcBorders>
            <w:vAlign w:val="center"/>
          </w:tcPr>
          <w:p w14:paraId="29D8DC85" w14:textId="77777777" w:rsidR="00D314A0" w:rsidRPr="00CB0159" w:rsidRDefault="00D314A0" w:rsidP="00C84A34">
            <w:pPr>
              <w:spacing w:line="276" w:lineRule="auto"/>
              <w:rPr>
                <w:rFonts w:ascii="Calibri" w:hAnsi="Calibri" w:cs="Calibri"/>
                <w:b/>
                <w:sz w:val="20"/>
                <w:szCs w:val="20"/>
              </w:rPr>
            </w:pPr>
            <w:r w:rsidRPr="00CB0159">
              <w:rPr>
                <w:rFonts w:ascii="Calibri" w:hAnsi="Calibri" w:cs="Calibri"/>
                <w:b/>
                <w:sz w:val="20"/>
                <w:szCs w:val="20"/>
              </w:rPr>
              <w:t>N</w:t>
            </w:r>
          </w:p>
        </w:tc>
        <w:tc>
          <w:tcPr>
            <w:tcW w:w="794" w:type="dxa"/>
            <w:tcBorders>
              <w:top w:val="single" w:sz="4" w:space="0" w:color="auto"/>
              <w:bottom w:val="dotted" w:sz="4" w:space="0" w:color="auto"/>
            </w:tcBorders>
            <w:vAlign w:val="center"/>
          </w:tcPr>
          <w:p w14:paraId="7F90A17F"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24,169</w:t>
            </w:r>
          </w:p>
        </w:tc>
        <w:tc>
          <w:tcPr>
            <w:tcW w:w="794" w:type="dxa"/>
            <w:tcBorders>
              <w:top w:val="single" w:sz="4" w:space="0" w:color="auto"/>
              <w:bottom w:val="dotted" w:sz="4" w:space="0" w:color="auto"/>
            </w:tcBorders>
            <w:vAlign w:val="center"/>
          </w:tcPr>
          <w:p w14:paraId="6A907467"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24,023</w:t>
            </w:r>
          </w:p>
        </w:tc>
        <w:tc>
          <w:tcPr>
            <w:tcW w:w="794" w:type="dxa"/>
            <w:tcBorders>
              <w:top w:val="single" w:sz="4" w:space="0" w:color="auto"/>
              <w:bottom w:val="dotted" w:sz="4" w:space="0" w:color="auto"/>
            </w:tcBorders>
            <w:vAlign w:val="center"/>
          </w:tcPr>
          <w:p w14:paraId="42CE8994"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22,969</w:t>
            </w:r>
          </w:p>
        </w:tc>
        <w:tc>
          <w:tcPr>
            <w:tcW w:w="794" w:type="dxa"/>
            <w:tcBorders>
              <w:top w:val="single" w:sz="4" w:space="0" w:color="auto"/>
              <w:bottom w:val="dotted" w:sz="4" w:space="0" w:color="auto"/>
            </w:tcBorders>
            <w:vAlign w:val="center"/>
          </w:tcPr>
          <w:p w14:paraId="0880DDC4"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22,949</w:t>
            </w:r>
          </w:p>
        </w:tc>
        <w:tc>
          <w:tcPr>
            <w:tcW w:w="794" w:type="dxa"/>
            <w:tcBorders>
              <w:top w:val="single" w:sz="4" w:space="0" w:color="auto"/>
              <w:bottom w:val="dotted" w:sz="4" w:space="0" w:color="auto"/>
            </w:tcBorders>
            <w:vAlign w:val="center"/>
          </w:tcPr>
          <w:p w14:paraId="52C86A5D"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22,942</w:t>
            </w:r>
          </w:p>
        </w:tc>
        <w:tc>
          <w:tcPr>
            <w:tcW w:w="794" w:type="dxa"/>
            <w:tcBorders>
              <w:top w:val="single" w:sz="4" w:space="0" w:color="auto"/>
              <w:bottom w:val="dotted" w:sz="4" w:space="0" w:color="auto"/>
            </w:tcBorders>
            <w:vAlign w:val="center"/>
          </w:tcPr>
          <w:p w14:paraId="6DA55A88"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25,963</w:t>
            </w:r>
          </w:p>
        </w:tc>
        <w:tc>
          <w:tcPr>
            <w:tcW w:w="794" w:type="dxa"/>
            <w:tcBorders>
              <w:top w:val="single" w:sz="4" w:space="0" w:color="auto"/>
              <w:bottom w:val="dotted" w:sz="4" w:space="0" w:color="auto"/>
            </w:tcBorders>
            <w:vAlign w:val="center"/>
          </w:tcPr>
          <w:p w14:paraId="7B8F110F"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24,632</w:t>
            </w:r>
          </w:p>
        </w:tc>
        <w:tc>
          <w:tcPr>
            <w:tcW w:w="794" w:type="dxa"/>
            <w:tcBorders>
              <w:top w:val="single" w:sz="4" w:space="0" w:color="auto"/>
              <w:bottom w:val="dotted" w:sz="4" w:space="0" w:color="auto"/>
            </w:tcBorders>
            <w:vAlign w:val="center"/>
          </w:tcPr>
          <w:p w14:paraId="3A8E5DD1"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22,558</w:t>
            </w:r>
          </w:p>
        </w:tc>
        <w:tc>
          <w:tcPr>
            <w:tcW w:w="794" w:type="dxa"/>
            <w:tcBorders>
              <w:top w:val="single" w:sz="4" w:space="0" w:color="auto"/>
              <w:bottom w:val="dotted" w:sz="4" w:space="0" w:color="auto"/>
            </w:tcBorders>
            <w:vAlign w:val="center"/>
          </w:tcPr>
          <w:p w14:paraId="02B1EE06"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23,085</w:t>
            </w:r>
          </w:p>
        </w:tc>
        <w:tc>
          <w:tcPr>
            <w:tcW w:w="794" w:type="dxa"/>
            <w:tcBorders>
              <w:top w:val="single" w:sz="4" w:space="0" w:color="auto"/>
              <w:bottom w:val="dotted" w:sz="4" w:space="0" w:color="auto"/>
            </w:tcBorders>
            <w:vAlign w:val="center"/>
          </w:tcPr>
          <w:p w14:paraId="7F052083"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22,890</w:t>
            </w:r>
          </w:p>
        </w:tc>
      </w:tr>
      <w:tr w:rsidR="00D314A0" w:rsidRPr="00CB0159" w14:paraId="62A3B519" w14:textId="77777777" w:rsidTr="00C84A34">
        <w:trPr>
          <w:trHeight w:val="300"/>
        </w:trPr>
        <w:tc>
          <w:tcPr>
            <w:tcW w:w="2041" w:type="dxa"/>
            <w:tcBorders>
              <w:top w:val="dotted" w:sz="4" w:space="0" w:color="auto"/>
              <w:bottom w:val="dotted" w:sz="4" w:space="0" w:color="auto"/>
            </w:tcBorders>
            <w:vAlign w:val="center"/>
          </w:tcPr>
          <w:p w14:paraId="2F98082F" w14:textId="77777777" w:rsidR="00D314A0" w:rsidRPr="00CB0159" w:rsidRDefault="00D314A0" w:rsidP="00C84A34">
            <w:pPr>
              <w:spacing w:line="276" w:lineRule="auto"/>
              <w:rPr>
                <w:rFonts w:ascii="Calibri" w:hAnsi="Calibri" w:cs="Calibri"/>
                <w:b/>
                <w:sz w:val="20"/>
                <w:szCs w:val="20"/>
              </w:rPr>
            </w:pPr>
            <w:r w:rsidRPr="00CB0159">
              <w:rPr>
                <w:rFonts w:ascii="Calibri" w:hAnsi="Calibri" w:cs="Calibri"/>
                <w:b/>
                <w:sz w:val="20"/>
                <w:szCs w:val="20"/>
              </w:rPr>
              <w:t>Age, years (mean)</w:t>
            </w:r>
          </w:p>
        </w:tc>
        <w:tc>
          <w:tcPr>
            <w:tcW w:w="794" w:type="dxa"/>
            <w:tcBorders>
              <w:top w:val="dotted" w:sz="4" w:space="0" w:color="auto"/>
              <w:bottom w:val="dotted" w:sz="4" w:space="0" w:color="auto"/>
            </w:tcBorders>
            <w:vAlign w:val="center"/>
          </w:tcPr>
          <w:p w14:paraId="767EBFCD"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73.8</w:t>
            </w:r>
          </w:p>
        </w:tc>
        <w:tc>
          <w:tcPr>
            <w:tcW w:w="794" w:type="dxa"/>
            <w:tcBorders>
              <w:top w:val="dotted" w:sz="4" w:space="0" w:color="auto"/>
              <w:bottom w:val="dotted" w:sz="4" w:space="0" w:color="auto"/>
            </w:tcBorders>
            <w:vAlign w:val="center"/>
          </w:tcPr>
          <w:p w14:paraId="77910C50"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73.5</w:t>
            </w:r>
          </w:p>
        </w:tc>
        <w:tc>
          <w:tcPr>
            <w:tcW w:w="794" w:type="dxa"/>
            <w:tcBorders>
              <w:top w:val="dotted" w:sz="4" w:space="0" w:color="auto"/>
              <w:bottom w:val="dotted" w:sz="4" w:space="0" w:color="auto"/>
            </w:tcBorders>
            <w:vAlign w:val="center"/>
          </w:tcPr>
          <w:p w14:paraId="1292482F"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73.9</w:t>
            </w:r>
          </w:p>
        </w:tc>
        <w:tc>
          <w:tcPr>
            <w:tcW w:w="794" w:type="dxa"/>
            <w:tcBorders>
              <w:top w:val="dotted" w:sz="4" w:space="0" w:color="auto"/>
              <w:bottom w:val="dotted" w:sz="4" w:space="0" w:color="auto"/>
            </w:tcBorders>
            <w:vAlign w:val="center"/>
          </w:tcPr>
          <w:p w14:paraId="10E7F4F0"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73.8</w:t>
            </w:r>
          </w:p>
        </w:tc>
        <w:tc>
          <w:tcPr>
            <w:tcW w:w="794" w:type="dxa"/>
            <w:tcBorders>
              <w:top w:val="dotted" w:sz="4" w:space="0" w:color="auto"/>
              <w:bottom w:val="dotted" w:sz="4" w:space="0" w:color="auto"/>
            </w:tcBorders>
            <w:vAlign w:val="center"/>
          </w:tcPr>
          <w:p w14:paraId="2DAC6811"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73.5</w:t>
            </w:r>
          </w:p>
        </w:tc>
        <w:tc>
          <w:tcPr>
            <w:tcW w:w="794" w:type="dxa"/>
            <w:tcBorders>
              <w:top w:val="dotted" w:sz="4" w:space="0" w:color="auto"/>
              <w:bottom w:val="dotted" w:sz="4" w:space="0" w:color="auto"/>
            </w:tcBorders>
            <w:vAlign w:val="center"/>
          </w:tcPr>
          <w:p w14:paraId="4A211596"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72.6</w:t>
            </w:r>
          </w:p>
        </w:tc>
        <w:tc>
          <w:tcPr>
            <w:tcW w:w="794" w:type="dxa"/>
            <w:tcBorders>
              <w:top w:val="dotted" w:sz="4" w:space="0" w:color="auto"/>
              <w:bottom w:val="dotted" w:sz="4" w:space="0" w:color="auto"/>
            </w:tcBorders>
            <w:vAlign w:val="center"/>
          </w:tcPr>
          <w:p w14:paraId="72460B48"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72.9</w:t>
            </w:r>
          </w:p>
        </w:tc>
        <w:tc>
          <w:tcPr>
            <w:tcW w:w="794" w:type="dxa"/>
            <w:tcBorders>
              <w:top w:val="dotted" w:sz="4" w:space="0" w:color="auto"/>
              <w:bottom w:val="dotted" w:sz="4" w:space="0" w:color="auto"/>
            </w:tcBorders>
            <w:vAlign w:val="center"/>
          </w:tcPr>
          <w:p w14:paraId="042BC9AA"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73.3</w:t>
            </w:r>
          </w:p>
        </w:tc>
        <w:tc>
          <w:tcPr>
            <w:tcW w:w="794" w:type="dxa"/>
            <w:tcBorders>
              <w:top w:val="dotted" w:sz="4" w:space="0" w:color="auto"/>
              <w:bottom w:val="dotted" w:sz="4" w:space="0" w:color="auto"/>
            </w:tcBorders>
            <w:vAlign w:val="center"/>
          </w:tcPr>
          <w:p w14:paraId="1EE41FA7"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73.3</w:t>
            </w:r>
          </w:p>
        </w:tc>
        <w:tc>
          <w:tcPr>
            <w:tcW w:w="794" w:type="dxa"/>
            <w:tcBorders>
              <w:top w:val="dotted" w:sz="4" w:space="0" w:color="auto"/>
              <w:bottom w:val="dotted" w:sz="4" w:space="0" w:color="auto"/>
            </w:tcBorders>
            <w:vAlign w:val="center"/>
          </w:tcPr>
          <w:p w14:paraId="309F198B"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rPr>
              <w:t>73.4</w:t>
            </w:r>
          </w:p>
        </w:tc>
      </w:tr>
      <w:tr w:rsidR="00D314A0" w:rsidRPr="00CB0159" w14:paraId="4999B733" w14:textId="77777777" w:rsidTr="00C84A34">
        <w:trPr>
          <w:trHeight w:val="300"/>
        </w:trPr>
        <w:tc>
          <w:tcPr>
            <w:tcW w:w="2041" w:type="dxa"/>
            <w:tcBorders>
              <w:top w:val="dotted" w:sz="4" w:space="0" w:color="auto"/>
              <w:bottom w:val="dotted" w:sz="4" w:space="0" w:color="auto"/>
            </w:tcBorders>
            <w:vAlign w:val="center"/>
          </w:tcPr>
          <w:p w14:paraId="3D67647D" w14:textId="77777777" w:rsidR="00D314A0" w:rsidRPr="00CB0159" w:rsidRDefault="00D314A0" w:rsidP="00C84A34">
            <w:pPr>
              <w:spacing w:line="276" w:lineRule="auto"/>
              <w:rPr>
                <w:rFonts w:ascii="Calibri" w:hAnsi="Calibri" w:cs="Calibri"/>
                <w:b/>
                <w:sz w:val="20"/>
                <w:szCs w:val="20"/>
              </w:rPr>
            </w:pPr>
            <w:r w:rsidRPr="00CB0159">
              <w:rPr>
                <w:rFonts w:ascii="Calibri" w:hAnsi="Calibri" w:cs="Calibri"/>
                <w:b/>
                <w:sz w:val="20"/>
                <w:szCs w:val="20"/>
              </w:rPr>
              <w:t>Sex, male</w:t>
            </w:r>
          </w:p>
        </w:tc>
        <w:tc>
          <w:tcPr>
            <w:tcW w:w="794" w:type="dxa"/>
            <w:tcBorders>
              <w:top w:val="dotted" w:sz="4" w:space="0" w:color="auto"/>
              <w:bottom w:val="dotted" w:sz="4" w:space="0" w:color="auto"/>
            </w:tcBorders>
            <w:vAlign w:val="center"/>
          </w:tcPr>
          <w:p w14:paraId="4286D22C"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24.4%</w:t>
            </w:r>
          </w:p>
        </w:tc>
        <w:tc>
          <w:tcPr>
            <w:tcW w:w="794" w:type="dxa"/>
            <w:tcBorders>
              <w:top w:val="dotted" w:sz="4" w:space="0" w:color="auto"/>
              <w:bottom w:val="dotted" w:sz="4" w:space="0" w:color="auto"/>
            </w:tcBorders>
            <w:vAlign w:val="center"/>
          </w:tcPr>
          <w:p w14:paraId="4939B5C1"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24.6%</w:t>
            </w:r>
          </w:p>
        </w:tc>
        <w:tc>
          <w:tcPr>
            <w:tcW w:w="794" w:type="dxa"/>
            <w:tcBorders>
              <w:top w:val="dotted" w:sz="4" w:space="0" w:color="auto"/>
              <w:bottom w:val="dotted" w:sz="4" w:space="0" w:color="auto"/>
            </w:tcBorders>
            <w:vAlign w:val="center"/>
          </w:tcPr>
          <w:p w14:paraId="45FE89CD"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25.1%</w:t>
            </w:r>
          </w:p>
        </w:tc>
        <w:tc>
          <w:tcPr>
            <w:tcW w:w="794" w:type="dxa"/>
            <w:tcBorders>
              <w:top w:val="dotted" w:sz="4" w:space="0" w:color="auto"/>
              <w:bottom w:val="dotted" w:sz="4" w:space="0" w:color="auto"/>
            </w:tcBorders>
            <w:vAlign w:val="center"/>
          </w:tcPr>
          <w:p w14:paraId="50F94B66"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24.9%</w:t>
            </w:r>
          </w:p>
        </w:tc>
        <w:tc>
          <w:tcPr>
            <w:tcW w:w="794" w:type="dxa"/>
            <w:tcBorders>
              <w:top w:val="dotted" w:sz="4" w:space="0" w:color="auto"/>
              <w:bottom w:val="dotted" w:sz="4" w:space="0" w:color="auto"/>
            </w:tcBorders>
            <w:vAlign w:val="center"/>
          </w:tcPr>
          <w:p w14:paraId="06CE5E4D"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25.2%</w:t>
            </w:r>
          </w:p>
        </w:tc>
        <w:tc>
          <w:tcPr>
            <w:tcW w:w="794" w:type="dxa"/>
            <w:tcBorders>
              <w:top w:val="dotted" w:sz="4" w:space="0" w:color="auto"/>
              <w:bottom w:val="dotted" w:sz="4" w:space="0" w:color="auto"/>
            </w:tcBorders>
            <w:vAlign w:val="center"/>
          </w:tcPr>
          <w:p w14:paraId="36046612"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24.3%</w:t>
            </w:r>
          </w:p>
        </w:tc>
        <w:tc>
          <w:tcPr>
            <w:tcW w:w="794" w:type="dxa"/>
            <w:tcBorders>
              <w:top w:val="dotted" w:sz="4" w:space="0" w:color="auto"/>
              <w:bottom w:val="dotted" w:sz="4" w:space="0" w:color="auto"/>
            </w:tcBorders>
            <w:vAlign w:val="center"/>
          </w:tcPr>
          <w:p w14:paraId="61CC9FEC"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25.8%</w:t>
            </w:r>
          </w:p>
        </w:tc>
        <w:tc>
          <w:tcPr>
            <w:tcW w:w="794" w:type="dxa"/>
            <w:tcBorders>
              <w:top w:val="dotted" w:sz="4" w:space="0" w:color="auto"/>
              <w:bottom w:val="dotted" w:sz="4" w:space="0" w:color="auto"/>
            </w:tcBorders>
            <w:vAlign w:val="center"/>
          </w:tcPr>
          <w:p w14:paraId="02200358"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26.1%</w:t>
            </w:r>
          </w:p>
        </w:tc>
        <w:tc>
          <w:tcPr>
            <w:tcW w:w="794" w:type="dxa"/>
            <w:tcBorders>
              <w:top w:val="dotted" w:sz="4" w:space="0" w:color="auto"/>
              <w:bottom w:val="dotted" w:sz="4" w:space="0" w:color="auto"/>
            </w:tcBorders>
            <w:vAlign w:val="center"/>
          </w:tcPr>
          <w:p w14:paraId="212CFBF2"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25.9%</w:t>
            </w:r>
          </w:p>
        </w:tc>
        <w:tc>
          <w:tcPr>
            <w:tcW w:w="794" w:type="dxa"/>
            <w:tcBorders>
              <w:top w:val="dotted" w:sz="4" w:space="0" w:color="auto"/>
              <w:bottom w:val="dotted" w:sz="4" w:space="0" w:color="auto"/>
            </w:tcBorders>
            <w:vAlign w:val="center"/>
          </w:tcPr>
          <w:p w14:paraId="55CA3680"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26.6%</w:t>
            </w:r>
          </w:p>
        </w:tc>
      </w:tr>
      <w:tr w:rsidR="00D314A0" w:rsidRPr="00CB0159" w14:paraId="1EC6B45F" w14:textId="77777777" w:rsidTr="00BF05BC">
        <w:trPr>
          <w:trHeight w:val="300"/>
        </w:trPr>
        <w:tc>
          <w:tcPr>
            <w:tcW w:w="2041" w:type="dxa"/>
            <w:tcBorders>
              <w:top w:val="dotted" w:sz="4" w:space="0" w:color="auto"/>
              <w:bottom w:val="dotted" w:sz="4" w:space="0" w:color="auto"/>
            </w:tcBorders>
            <w:vAlign w:val="center"/>
          </w:tcPr>
          <w:p w14:paraId="2915EC2E" w14:textId="77777777" w:rsidR="00D314A0" w:rsidRPr="00CB0159" w:rsidRDefault="00D314A0" w:rsidP="00C84A34">
            <w:pPr>
              <w:spacing w:line="276" w:lineRule="auto"/>
              <w:rPr>
                <w:rFonts w:ascii="Calibri" w:hAnsi="Calibri" w:cs="Calibri"/>
                <w:b/>
                <w:sz w:val="20"/>
                <w:szCs w:val="20"/>
                <w:lang w:val="en"/>
              </w:rPr>
            </w:pPr>
            <w:r w:rsidRPr="00CB0159">
              <w:rPr>
                <w:rFonts w:ascii="Calibri" w:hAnsi="Calibri" w:cs="Calibri"/>
                <w:b/>
                <w:sz w:val="20"/>
                <w:szCs w:val="20"/>
                <w:lang w:val="en"/>
              </w:rPr>
              <w:t>Index fracture</w:t>
            </w:r>
          </w:p>
          <w:p w14:paraId="49127395" w14:textId="77777777" w:rsidR="00D314A0" w:rsidRPr="00CB0159" w:rsidRDefault="00D314A0" w:rsidP="00C84A34">
            <w:pPr>
              <w:spacing w:line="276" w:lineRule="auto"/>
              <w:rPr>
                <w:rFonts w:ascii="Calibri" w:hAnsi="Calibri" w:cs="Calibri"/>
                <w:b/>
                <w:sz w:val="20"/>
                <w:szCs w:val="20"/>
                <w:lang w:val="en"/>
              </w:rPr>
            </w:pPr>
            <w:r w:rsidRPr="00CB0159">
              <w:rPr>
                <w:rFonts w:ascii="Calibri" w:hAnsi="Calibri" w:cs="Calibri"/>
                <w:b/>
                <w:sz w:val="20"/>
                <w:szCs w:val="20"/>
                <w:lang w:val="en"/>
              </w:rPr>
              <w:t xml:space="preserve">   Vertebral</w:t>
            </w:r>
          </w:p>
          <w:p w14:paraId="63E8F0EC" w14:textId="77777777" w:rsidR="00D314A0" w:rsidRPr="00CB0159" w:rsidRDefault="00D314A0" w:rsidP="00C84A34">
            <w:pPr>
              <w:spacing w:line="276" w:lineRule="auto"/>
              <w:rPr>
                <w:rFonts w:ascii="Calibri" w:hAnsi="Calibri" w:cs="Calibri"/>
                <w:b/>
                <w:sz w:val="20"/>
                <w:szCs w:val="20"/>
                <w:lang w:val="en"/>
              </w:rPr>
            </w:pPr>
            <w:r w:rsidRPr="00CB0159">
              <w:rPr>
                <w:rFonts w:ascii="Calibri" w:hAnsi="Calibri" w:cs="Calibri"/>
                <w:b/>
                <w:sz w:val="20"/>
                <w:szCs w:val="20"/>
                <w:lang w:val="en"/>
              </w:rPr>
              <w:t xml:space="preserve">   </w:t>
            </w:r>
            <w:proofErr w:type="spellStart"/>
            <w:r w:rsidRPr="00CB0159">
              <w:rPr>
                <w:rFonts w:ascii="Calibri" w:hAnsi="Calibri" w:cs="Calibri"/>
                <w:b/>
                <w:sz w:val="20"/>
                <w:szCs w:val="20"/>
                <w:lang w:val="en"/>
              </w:rPr>
              <w:t>Humerus</w:t>
            </w:r>
            <w:proofErr w:type="spellEnd"/>
          </w:p>
          <w:p w14:paraId="7A6F66BF" w14:textId="77777777" w:rsidR="00D314A0" w:rsidRPr="00CB0159" w:rsidRDefault="00D314A0" w:rsidP="00C84A34">
            <w:pPr>
              <w:spacing w:line="276" w:lineRule="auto"/>
              <w:rPr>
                <w:rFonts w:ascii="Calibri" w:hAnsi="Calibri" w:cs="Calibri"/>
                <w:b/>
                <w:sz w:val="20"/>
                <w:szCs w:val="20"/>
                <w:lang w:val="en"/>
              </w:rPr>
            </w:pPr>
            <w:r w:rsidRPr="00CB0159">
              <w:rPr>
                <w:rFonts w:ascii="Calibri" w:hAnsi="Calibri" w:cs="Calibri"/>
                <w:b/>
                <w:sz w:val="20"/>
                <w:szCs w:val="20"/>
                <w:lang w:val="en"/>
              </w:rPr>
              <w:t xml:space="preserve">   Hip</w:t>
            </w:r>
          </w:p>
          <w:p w14:paraId="1EC5A580" w14:textId="77777777" w:rsidR="00D314A0" w:rsidRPr="00CB0159" w:rsidRDefault="00D314A0" w:rsidP="00C84A34">
            <w:pPr>
              <w:spacing w:line="276" w:lineRule="auto"/>
              <w:rPr>
                <w:rFonts w:ascii="Calibri" w:hAnsi="Calibri" w:cs="Calibri"/>
                <w:b/>
                <w:sz w:val="20"/>
                <w:szCs w:val="20"/>
                <w:lang w:val="en"/>
              </w:rPr>
            </w:pPr>
            <w:r w:rsidRPr="00CB0159">
              <w:rPr>
                <w:rFonts w:ascii="Calibri" w:hAnsi="Calibri" w:cs="Calibri"/>
                <w:b/>
                <w:sz w:val="20"/>
                <w:szCs w:val="20"/>
                <w:lang w:val="en"/>
              </w:rPr>
              <w:t xml:space="preserve">   </w:t>
            </w:r>
            <w:r>
              <w:rPr>
                <w:rFonts w:ascii="Calibri" w:hAnsi="Calibri" w:cs="Calibri"/>
                <w:b/>
                <w:sz w:val="20"/>
                <w:szCs w:val="20"/>
                <w:lang w:val="en"/>
              </w:rPr>
              <w:t>Forearm</w:t>
            </w:r>
          </w:p>
        </w:tc>
        <w:tc>
          <w:tcPr>
            <w:tcW w:w="794" w:type="dxa"/>
            <w:tcBorders>
              <w:top w:val="dotted" w:sz="4" w:space="0" w:color="auto"/>
              <w:bottom w:val="dotted" w:sz="4" w:space="0" w:color="auto"/>
            </w:tcBorders>
            <w:vAlign w:val="center"/>
          </w:tcPr>
          <w:p w14:paraId="1F6AD992" w14:textId="77777777" w:rsidR="00D314A0" w:rsidRDefault="00D314A0" w:rsidP="00C84A34">
            <w:pPr>
              <w:spacing w:line="276" w:lineRule="auto"/>
              <w:jc w:val="center"/>
              <w:rPr>
                <w:rFonts w:ascii="Calibri" w:hAnsi="Calibri" w:cs="Calibri"/>
                <w:sz w:val="20"/>
                <w:szCs w:val="20"/>
                <w:lang w:val="en"/>
              </w:rPr>
            </w:pPr>
          </w:p>
          <w:p w14:paraId="6129871C"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6.5%</w:t>
            </w:r>
          </w:p>
          <w:p w14:paraId="11312B8B"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18.2%</w:t>
            </w:r>
          </w:p>
          <w:p w14:paraId="26603C54"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36.2%</w:t>
            </w:r>
          </w:p>
          <w:p w14:paraId="54F72B45"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39.0%</w:t>
            </w:r>
          </w:p>
        </w:tc>
        <w:tc>
          <w:tcPr>
            <w:tcW w:w="794" w:type="dxa"/>
            <w:tcBorders>
              <w:top w:val="dotted" w:sz="4" w:space="0" w:color="auto"/>
              <w:bottom w:val="dotted" w:sz="4" w:space="0" w:color="auto"/>
            </w:tcBorders>
            <w:vAlign w:val="center"/>
          </w:tcPr>
          <w:p w14:paraId="2943DE38" w14:textId="77777777" w:rsidR="00D314A0" w:rsidRDefault="00D314A0" w:rsidP="00C84A34">
            <w:pPr>
              <w:spacing w:line="276" w:lineRule="auto"/>
              <w:jc w:val="center"/>
              <w:rPr>
                <w:rFonts w:ascii="Calibri" w:hAnsi="Calibri" w:cs="Calibri"/>
                <w:sz w:val="20"/>
                <w:szCs w:val="20"/>
                <w:lang w:val="en"/>
              </w:rPr>
            </w:pPr>
          </w:p>
          <w:p w14:paraId="2BB0D041"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6.6%</w:t>
            </w:r>
          </w:p>
          <w:p w14:paraId="39321326"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18.0%</w:t>
            </w:r>
          </w:p>
          <w:p w14:paraId="511561DC"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35.1%</w:t>
            </w:r>
          </w:p>
          <w:p w14:paraId="3C581295"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40.3%</w:t>
            </w:r>
          </w:p>
        </w:tc>
        <w:tc>
          <w:tcPr>
            <w:tcW w:w="794" w:type="dxa"/>
            <w:tcBorders>
              <w:top w:val="dotted" w:sz="4" w:space="0" w:color="auto"/>
              <w:bottom w:val="dotted" w:sz="4" w:space="0" w:color="auto"/>
            </w:tcBorders>
            <w:vAlign w:val="center"/>
          </w:tcPr>
          <w:p w14:paraId="19CDB9EB" w14:textId="77777777" w:rsidR="00D314A0" w:rsidRDefault="00D314A0" w:rsidP="00C84A34">
            <w:pPr>
              <w:spacing w:line="276" w:lineRule="auto"/>
              <w:jc w:val="center"/>
              <w:rPr>
                <w:rFonts w:ascii="Calibri" w:hAnsi="Calibri" w:cs="Calibri"/>
                <w:sz w:val="20"/>
                <w:szCs w:val="20"/>
                <w:lang w:val="en"/>
              </w:rPr>
            </w:pPr>
          </w:p>
          <w:p w14:paraId="04623368"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6.7%</w:t>
            </w:r>
          </w:p>
          <w:p w14:paraId="465AD7C0"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18.5%</w:t>
            </w:r>
          </w:p>
          <w:p w14:paraId="2613B8B8"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36.5%</w:t>
            </w:r>
          </w:p>
          <w:p w14:paraId="5DA227C2"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38.3%</w:t>
            </w:r>
          </w:p>
        </w:tc>
        <w:tc>
          <w:tcPr>
            <w:tcW w:w="794" w:type="dxa"/>
            <w:tcBorders>
              <w:top w:val="dotted" w:sz="4" w:space="0" w:color="auto"/>
              <w:bottom w:val="dotted" w:sz="4" w:space="0" w:color="auto"/>
            </w:tcBorders>
            <w:vAlign w:val="center"/>
          </w:tcPr>
          <w:p w14:paraId="30DC312B" w14:textId="77777777" w:rsidR="00D314A0" w:rsidRDefault="00D314A0" w:rsidP="00C84A34">
            <w:pPr>
              <w:spacing w:line="276" w:lineRule="auto"/>
              <w:jc w:val="center"/>
              <w:rPr>
                <w:rFonts w:ascii="Calibri" w:hAnsi="Calibri" w:cs="Calibri"/>
                <w:sz w:val="20"/>
                <w:szCs w:val="20"/>
                <w:lang w:val="en"/>
              </w:rPr>
            </w:pPr>
          </w:p>
          <w:p w14:paraId="0A57037C"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7.1%</w:t>
            </w:r>
          </w:p>
          <w:p w14:paraId="472D5CC0"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19.0%</w:t>
            </w:r>
          </w:p>
          <w:p w14:paraId="324C0E23"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36.0%</w:t>
            </w:r>
          </w:p>
          <w:p w14:paraId="2AC72D22"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37.9%</w:t>
            </w:r>
          </w:p>
        </w:tc>
        <w:tc>
          <w:tcPr>
            <w:tcW w:w="794" w:type="dxa"/>
            <w:tcBorders>
              <w:top w:val="dotted" w:sz="4" w:space="0" w:color="auto"/>
              <w:bottom w:val="dotted" w:sz="4" w:space="0" w:color="auto"/>
            </w:tcBorders>
            <w:vAlign w:val="center"/>
          </w:tcPr>
          <w:p w14:paraId="361B31B7" w14:textId="77777777" w:rsidR="00D314A0" w:rsidRDefault="00D314A0" w:rsidP="00C84A34">
            <w:pPr>
              <w:spacing w:line="276" w:lineRule="auto"/>
              <w:jc w:val="center"/>
              <w:rPr>
                <w:rFonts w:ascii="Calibri" w:hAnsi="Calibri" w:cs="Calibri"/>
                <w:sz w:val="20"/>
                <w:szCs w:val="20"/>
                <w:lang w:val="en"/>
              </w:rPr>
            </w:pPr>
          </w:p>
          <w:p w14:paraId="4C4F1471"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7.1%</w:t>
            </w:r>
          </w:p>
          <w:p w14:paraId="10D02086"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19.3%</w:t>
            </w:r>
          </w:p>
          <w:p w14:paraId="1B7C769F"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34.7%</w:t>
            </w:r>
          </w:p>
          <w:p w14:paraId="10DF5F3F"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38.9%</w:t>
            </w:r>
          </w:p>
        </w:tc>
        <w:tc>
          <w:tcPr>
            <w:tcW w:w="794" w:type="dxa"/>
            <w:tcBorders>
              <w:top w:val="dotted" w:sz="4" w:space="0" w:color="auto"/>
              <w:bottom w:val="dotted" w:sz="4" w:space="0" w:color="auto"/>
            </w:tcBorders>
            <w:vAlign w:val="center"/>
          </w:tcPr>
          <w:p w14:paraId="6455B12D" w14:textId="77777777" w:rsidR="00D314A0" w:rsidRDefault="00D314A0" w:rsidP="00C84A34">
            <w:pPr>
              <w:spacing w:line="276" w:lineRule="auto"/>
              <w:jc w:val="center"/>
              <w:rPr>
                <w:rFonts w:ascii="Calibri" w:hAnsi="Calibri" w:cs="Calibri"/>
                <w:sz w:val="20"/>
                <w:szCs w:val="20"/>
                <w:lang w:val="en"/>
              </w:rPr>
            </w:pPr>
          </w:p>
          <w:p w14:paraId="467AFB84"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6.7%</w:t>
            </w:r>
          </w:p>
          <w:p w14:paraId="770FCD91"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18.0%</w:t>
            </w:r>
          </w:p>
          <w:p w14:paraId="344E32FB"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31.3%</w:t>
            </w:r>
          </w:p>
          <w:p w14:paraId="3706920A"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44.0%</w:t>
            </w:r>
          </w:p>
        </w:tc>
        <w:tc>
          <w:tcPr>
            <w:tcW w:w="794" w:type="dxa"/>
            <w:tcBorders>
              <w:top w:val="dotted" w:sz="4" w:space="0" w:color="auto"/>
              <w:bottom w:val="dotted" w:sz="4" w:space="0" w:color="auto"/>
            </w:tcBorders>
            <w:vAlign w:val="center"/>
          </w:tcPr>
          <w:p w14:paraId="121D4EB8" w14:textId="77777777" w:rsidR="00D314A0" w:rsidRDefault="00D314A0" w:rsidP="00C84A34">
            <w:pPr>
              <w:spacing w:line="276" w:lineRule="auto"/>
              <w:jc w:val="center"/>
              <w:rPr>
                <w:rFonts w:ascii="Calibri" w:hAnsi="Calibri" w:cs="Calibri"/>
                <w:sz w:val="20"/>
                <w:szCs w:val="20"/>
                <w:lang w:val="en"/>
              </w:rPr>
            </w:pPr>
          </w:p>
          <w:p w14:paraId="0961AE75"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7.6%</w:t>
            </w:r>
          </w:p>
          <w:p w14:paraId="036E682B"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18.3%</w:t>
            </w:r>
          </w:p>
          <w:p w14:paraId="3D9EECCC"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31.2%</w:t>
            </w:r>
          </w:p>
          <w:p w14:paraId="14EF2A46"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42.8%</w:t>
            </w:r>
          </w:p>
        </w:tc>
        <w:tc>
          <w:tcPr>
            <w:tcW w:w="794" w:type="dxa"/>
            <w:tcBorders>
              <w:top w:val="dotted" w:sz="4" w:space="0" w:color="auto"/>
              <w:bottom w:val="dotted" w:sz="4" w:space="0" w:color="auto"/>
            </w:tcBorders>
            <w:vAlign w:val="center"/>
          </w:tcPr>
          <w:p w14:paraId="363582F1" w14:textId="77777777" w:rsidR="00D314A0" w:rsidRDefault="00D314A0" w:rsidP="00C84A34">
            <w:pPr>
              <w:spacing w:line="276" w:lineRule="auto"/>
              <w:jc w:val="center"/>
              <w:rPr>
                <w:rFonts w:ascii="Calibri" w:hAnsi="Calibri" w:cs="Calibri"/>
                <w:sz w:val="20"/>
                <w:szCs w:val="20"/>
                <w:lang w:val="en"/>
              </w:rPr>
            </w:pPr>
          </w:p>
          <w:p w14:paraId="3DED2447"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8.8%</w:t>
            </w:r>
          </w:p>
          <w:p w14:paraId="4D9591A2"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19.0%</w:t>
            </w:r>
          </w:p>
          <w:p w14:paraId="7E00C585"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32.7%</w:t>
            </w:r>
          </w:p>
          <w:p w14:paraId="7EA67F11"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39.5%</w:t>
            </w:r>
          </w:p>
        </w:tc>
        <w:tc>
          <w:tcPr>
            <w:tcW w:w="794" w:type="dxa"/>
            <w:tcBorders>
              <w:top w:val="dotted" w:sz="4" w:space="0" w:color="auto"/>
              <w:bottom w:val="dotted" w:sz="4" w:space="0" w:color="auto"/>
            </w:tcBorders>
            <w:vAlign w:val="center"/>
          </w:tcPr>
          <w:p w14:paraId="5465A3D7" w14:textId="77777777" w:rsidR="00D314A0" w:rsidRDefault="00D314A0" w:rsidP="00C84A34">
            <w:pPr>
              <w:spacing w:line="276" w:lineRule="auto"/>
              <w:jc w:val="center"/>
              <w:rPr>
                <w:rFonts w:ascii="Calibri" w:hAnsi="Calibri" w:cs="Calibri"/>
                <w:sz w:val="20"/>
                <w:szCs w:val="20"/>
                <w:lang w:val="en"/>
              </w:rPr>
            </w:pPr>
          </w:p>
          <w:p w14:paraId="5A4B41E6"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8.9%</w:t>
            </w:r>
          </w:p>
          <w:p w14:paraId="142C09BF"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19.1%</w:t>
            </w:r>
          </w:p>
          <w:p w14:paraId="787E9B28"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31.8%</w:t>
            </w:r>
          </w:p>
          <w:p w14:paraId="2C134545"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40.2%</w:t>
            </w:r>
          </w:p>
        </w:tc>
        <w:tc>
          <w:tcPr>
            <w:tcW w:w="794" w:type="dxa"/>
            <w:tcBorders>
              <w:top w:val="dotted" w:sz="4" w:space="0" w:color="auto"/>
              <w:bottom w:val="dotted" w:sz="4" w:space="0" w:color="auto"/>
            </w:tcBorders>
            <w:vAlign w:val="center"/>
          </w:tcPr>
          <w:p w14:paraId="7A5525BB" w14:textId="77777777" w:rsidR="00D314A0" w:rsidRDefault="00D314A0" w:rsidP="00C84A34">
            <w:pPr>
              <w:spacing w:line="276" w:lineRule="auto"/>
              <w:jc w:val="center"/>
              <w:rPr>
                <w:rFonts w:ascii="Calibri" w:hAnsi="Calibri" w:cs="Calibri"/>
                <w:sz w:val="20"/>
                <w:szCs w:val="20"/>
                <w:lang w:val="en"/>
              </w:rPr>
            </w:pPr>
          </w:p>
          <w:p w14:paraId="2F956395"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9.9%</w:t>
            </w:r>
          </w:p>
          <w:p w14:paraId="111A0D4B"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18.8%</w:t>
            </w:r>
          </w:p>
          <w:p w14:paraId="2F7CB8A2"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31.9%</w:t>
            </w:r>
          </w:p>
          <w:p w14:paraId="5EC3F624"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39.4%</w:t>
            </w:r>
          </w:p>
        </w:tc>
      </w:tr>
      <w:tr w:rsidR="00D314A0" w:rsidRPr="00CB0159" w14:paraId="58DB67DF" w14:textId="77777777" w:rsidTr="00BF05BC">
        <w:trPr>
          <w:trHeight w:val="300"/>
        </w:trPr>
        <w:tc>
          <w:tcPr>
            <w:tcW w:w="2041" w:type="dxa"/>
            <w:tcBorders>
              <w:top w:val="dotted" w:sz="4" w:space="0" w:color="auto"/>
              <w:bottom w:val="dotted" w:sz="4" w:space="0" w:color="auto"/>
            </w:tcBorders>
            <w:vAlign w:val="center"/>
          </w:tcPr>
          <w:p w14:paraId="48026C90" w14:textId="77777777" w:rsidR="00D314A0" w:rsidRPr="00CB0159" w:rsidRDefault="00D314A0" w:rsidP="00C84A34">
            <w:pPr>
              <w:spacing w:line="276" w:lineRule="auto"/>
              <w:rPr>
                <w:rFonts w:ascii="Calibri" w:hAnsi="Calibri" w:cs="Calibri"/>
                <w:b/>
                <w:sz w:val="20"/>
                <w:szCs w:val="20"/>
                <w:lang w:val="en"/>
              </w:rPr>
            </w:pPr>
            <w:r w:rsidRPr="00CB0159">
              <w:rPr>
                <w:rFonts w:ascii="Calibri" w:hAnsi="Calibri" w:cs="Calibri"/>
                <w:b/>
                <w:sz w:val="20"/>
                <w:szCs w:val="20"/>
                <w:lang w:val="en"/>
              </w:rPr>
              <w:t>Previous fracture</w:t>
            </w:r>
          </w:p>
          <w:p w14:paraId="200BB82A" w14:textId="77777777" w:rsidR="00D314A0" w:rsidRPr="00CB0159" w:rsidRDefault="00D314A0" w:rsidP="00C84A34">
            <w:pPr>
              <w:spacing w:line="276" w:lineRule="auto"/>
              <w:rPr>
                <w:rFonts w:ascii="Calibri" w:hAnsi="Calibri" w:cs="Calibri"/>
                <w:b/>
                <w:sz w:val="20"/>
                <w:szCs w:val="20"/>
                <w:lang w:val="en"/>
              </w:rPr>
            </w:pPr>
            <w:r w:rsidRPr="00CB0159">
              <w:rPr>
                <w:rFonts w:ascii="Calibri" w:hAnsi="Calibri" w:cs="Calibri"/>
                <w:b/>
                <w:sz w:val="20"/>
                <w:szCs w:val="20"/>
                <w:lang w:val="en"/>
              </w:rPr>
              <w:t xml:space="preserve">   MOF</w:t>
            </w:r>
          </w:p>
          <w:p w14:paraId="7CA4F3A7" w14:textId="77777777" w:rsidR="00D314A0" w:rsidRPr="00CB0159" w:rsidRDefault="00D314A0" w:rsidP="00C84A34">
            <w:pPr>
              <w:spacing w:line="276" w:lineRule="auto"/>
              <w:rPr>
                <w:rFonts w:ascii="Calibri" w:hAnsi="Calibri" w:cs="Calibri"/>
                <w:b/>
                <w:sz w:val="20"/>
                <w:szCs w:val="20"/>
                <w:lang w:val="en"/>
              </w:rPr>
            </w:pPr>
            <w:r w:rsidRPr="00CB0159">
              <w:rPr>
                <w:rFonts w:ascii="Calibri" w:hAnsi="Calibri" w:cs="Calibri"/>
                <w:b/>
                <w:sz w:val="20"/>
                <w:szCs w:val="20"/>
                <w:lang w:val="en"/>
              </w:rPr>
              <w:t xml:space="preserve">   Any</w:t>
            </w:r>
          </w:p>
        </w:tc>
        <w:tc>
          <w:tcPr>
            <w:tcW w:w="794" w:type="dxa"/>
            <w:tcBorders>
              <w:top w:val="dotted" w:sz="4" w:space="0" w:color="auto"/>
              <w:bottom w:val="dotted" w:sz="4" w:space="0" w:color="auto"/>
            </w:tcBorders>
            <w:vAlign w:val="center"/>
          </w:tcPr>
          <w:p w14:paraId="5F244A0C" w14:textId="77777777" w:rsidR="00D314A0" w:rsidRDefault="00D314A0" w:rsidP="00C84A34">
            <w:pPr>
              <w:spacing w:line="276" w:lineRule="auto"/>
              <w:jc w:val="center"/>
              <w:rPr>
                <w:rFonts w:ascii="Calibri" w:hAnsi="Calibri" w:cs="Calibri"/>
                <w:sz w:val="20"/>
                <w:szCs w:val="20"/>
                <w:lang w:val="en"/>
              </w:rPr>
            </w:pPr>
          </w:p>
          <w:p w14:paraId="0E399C48"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24.0%</w:t>
            </w:r>
          </w:p>
          <w:p w14:paraId="532D3B8A"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32.7%</w:t>
            </w:r>
          </w:p>
        </w:tc>
        <w:tc>
          <w:tcPr>
            <w:tcW w:w="794" w:type="dxa"/>
            <w:tcBorders>
              <w:top w:val="dotted" w:sz="4" w:space="0" w:color="auto"/>
              <w:bottom w:val="dotted" w:sz="4" w:space="0" w:color="auto"/>
            </w:tcBorders>
            <w:vAlign w:val="center"/>
          </w:tcPr>
          <w:p w14:paraId="0951FE9E" w14:textId="77777777" w:rsidR="00D314A0" w:rsidRDefault="00D314A0" w:rsidP="00C84A34">
            <w:pPr>
              <w:spacing w:line="276" w:lineRule="auto"/>
              <w:jc w:val="center"/>
              <w:rPr>
                <w:rFonts w:ascii="Calibri" w:hAnsi="Calibri" w:cs="Calibri"/>
                <w:sz w:val="20"/>
                <w:szCs w:val="20"/>
                <w:lang w:val="en"/>
              </w:rPr>
            </w:pPr>
          </w:p>
          <w:p w14:paraId="29A1B2F0"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24.8%</w:t>
            </w:r>
          </w:p>
          <w:p w14:paraId="3B5A7C3A"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33.8%</w:t>
            </w:r>
          </w:p>
        </w:tc>
        <w:tc>
          <w:tcPr>
            <w:tcW w:w="794" w:type="dxa"/>
            <w:tcBorders>
              <w:top w:val="dotted" w:sz="4" w:space="0" w:color="auto"/>
              <w:bottom w:val="dotted" w:sz="4" w:space="0" w:color="auto"/>
            </w:tcBorders>
            <w:vAlign w:val="center"/>
          </w:tcPr>
          <w:p w14:paraId="195C8B26" w14:textId="77777777" w:rsidR="00D314A0" w:rsidRDefault="00D314A0" w:rsidP="00C84A34">
            <w:pPr>
              <w:spacing w:line="276" w:lineRule="auto"/>
              <w:jc w:val="center"/>
              <w:rPr>
                <w:rFonts w:ascii="Calibri" w:hAnsi="Calibri" w:cs="Calibri"/>
                <w:sz w:val="20"/>
                <w:szCs w:val="20"/>
                <w:lang w:val="en"/>
              </w:rPr>
            </w:pPr>
          </w:p>
          <w:p w14:paraId="0E52EEA0"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25.6%</w:t>
            </w:r>
          </w:p>
          <w:p w14:paraId="1E991DFC"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35.1%</w:t>
            </w:r>
          </w:p>
        </w:tc>
        <w:tc>
          <w:tcPr>
            <w:tcW w:w="794" w:type="dxa"/>
            <w:tcBorders>
              <w:top w:val="dotted" w:sz="4" w:space="0" w:color="auto"/>
              <w:bottom w:val="dotted" w:sz="4" w:space="0" w:color="auto"/>
            </w:tcBorders>
            <w:vAlign w:val="center"/>
          </w:tcPr>
          <w:p w14:paraId="73200650" w14:textId="77777777" w:rsidR="00D314A0" w:rsidRDefault="00D314A0" w:rsidP="00C84A34">
            <w:pPr>
              <w:spacing w:line="276" w:lineRule="auto"/>
              <w:jc w:val="center"/>
              <w:rPr>
                <w:rFonts w:ascii="Calibri" w:hAnsi="Calibri" w:cs="Calibri"/>
                <w:sz w:val="20"/>
                <w:szCs w:val="20"/>
                <w:lang w:val="en"/>
              </w:rPr>
            </w:pPr>
          </w:p>
          <w:p w14:paraId="2E9F2CFD"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26.4%</w:t>
            </w:r>
          </w:p>
          <w:p w14:paraId="2B8DBE8D"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36.0%</w:t>
            </w:r>
          </w:p>
        </w:tc>
        <w:tc>
          <w:tcPr>
            <w:tcW w:w="794" w:type="dxa"/>
            <w:tcBorders>
              <w:top w:val="dotted" w:sz="4" w:space="0" w:color="auto"/>
              <w:bottom w:val="dotted" w:sz="4" w:space="0" w:color="auto"/>
            </w:tcBorders>
            <w:vAlign w:val="center"/>
          </w:tcPr>
          <w:p w14:paraId="77D3FC7D" w14:textId="77777777" w:rsidR="00D314A0" w:rsidRDefault="00D314A0" w:rsidP="00C84A34">
            <w:pPr>
              <w:spacing w:line="276" w:lineRule="auto"/>
              <w:jc w:val="center"/>
              <w:rPr>
                <w:rFonts w:ascii="Calibri" w:hAnsi="Calibri" w:cs="Calibri"/>
                <w:sz w:val="20"/>
                <w:szCs w:val="20"/>
                <w:lang w:val="en"/>
              </w:rPr>
            </w:pPr>
          </w:p>
          <w:p w14:paraId="1A8A3C60"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26.4%</w:t>
            </w:r>
          </w:p>
          <w:p w14:paraId="443AF72E"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36.4%</w:t>
            </w:r>
          </w:p>
        </w:tc>
        <w:tc>
          <w:tcPr>
            <w:tcW w:w="794" w:type="dxa"/>
            <w:tcBorders>
              <w:top w:val="dotted" w:sz="4" w:space="0" w:color="auto"/>
              <w:bottom w:val="dotted" w:sz="4" w:space="0" w:color="auto"/>
            </w:tcBorders>
            <w:vAlign w:val="center"/>
          </w:tcPr>
          <w:p w14:paraId="2529846B" w14:textId="77777777" w:rsidR="00D314A0" w:rsidRDefault="00D314A0" w:rsidP="00C84A34">
            <w:pPr>
              <w:spacing w:line="276" w:lineRule="auto"/>
              <w:jc w:val="center"/>
              <w:rPr>
                <w:rFonts w:ascii="Calibri" w:hAnsi="Calibri" w:cs="Calibri"/>
                <w:sz w:val="20"/>
                <w:szCs w:val="20"/>
                <w:lang w:val="en"/>
              </w:rPr>
            </w:pPr>
          </w:p>
          <w:p w14:paraId="44C9B524"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25.6%</w:t>
            </w:r>
          </w:p>
          <w:p w14:paraId="09370FBB"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35.7%</w:t>
            </w:r>
          </w:p>
        </w:tc>
        <w:tc>
          <w:tcPr>
            <w:tcW w:w="794" w:type="dxa"/>
            <w:tcBorders>
              <w:top w:val="dotted" w:sz="4" w:space="0" w:color="auto"/>
              <w:bottom w:val="dotted" w:sz="4" w:space="0" w:color="auto"/>
            </w:tcBorders>
            <w:vAlign w:val="center"/>
          </w:tcPr>
          <w:p w14:paraId="206330C2" w14:textId="77777777" w:rsidR="00D314A0" w:rsidRDefault="00D314A0" w:rsidP="00C84A34">
            <w:pPr>
              <w:spacing w:line="276" w:lineRule="auto"/>
              <w:jc w:val="center"/>
              <w:rPr>
                <w:rFonts w:ascii="Calibri" w:hAnsi="Calibri" w:cs="Calibri"/>
                <w:sz w:val="20"/>
                <w:szCs w:val="20"/>
                <w:lang w:val="en"/>
              </w:rPr>
            </w:pPr>
          </w:p>
          <w:p w14:paraId="18524251"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26.2%</w:t>
            </w:r>
          </w:p>
          <w:p w14:paraId="26C6EDFA"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36.6%</w:t>
            </w:r>
          </w:p>
        </w:tc>
        <w:tc>
          <w:tcPr>
            <w:tcW w:w="794" w:type="dxa"/>
            <w:tcBorders>
              <w:top w:val="dotted" w:sz="4" w:space="0" w:color="auto"/>
              <w:bottom w:val="dotted" w:sz="4" w:space="0" w:color="auto"/>
            </w:tcBorders>
            <w:vAlign w:val="center"/>
          </w:tcPr>
          <w:p w14:paraId="38A44D6A" w14:textId="77777777" w:rsidR="00D314A0" w:rsidRDefault="00D314A0" w:rsidP="00C84A34">
            <w:pPr>
              <w:spacing w:line="276" w:lineRule="auto"/>
              <w:jc w:val="center"/>
              <w:rPr>
                <w:rFonts w:ascii="Calibri" w:hAnsi="Calibri" w:cs="Calibri"/>
                <w:sz w:val="20"/>
                <w:szCs w:val="20"/>
                <w:lang w:val="en"/>
              </w:rPr>
            </w:pPr>
          </w:p>
          <w:p w14:paraId="123A9AD3"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28.2%</w:t>
            </w:r>
          </w:p>
          <w:p w14:paraId="6D5256C8"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39.3%</w:t>
            </w:r>
          </w:p>
        </w:tc>
        <w:tc>
          <w:tcPr>
            <w:tcW w:w="794" w:type="dxa"/>
            <w:tcBorders>
              <w:top w:val="dotted" w:sz="4" w:space="0" w:color="auto"/>
              <w:bottom w:val="dotted" w:sz="4" w:space="0" w:color="auto"/>
            </w:tcBorders>
            <w:vAlign w:val="center"/>
          </w:tcPr>
          <w:p w14:paraId="0AD83776" w14:textId="77777777" w:rsidR="00D314A0" w:rsidRDefault="00D314A0" w:rsidP="00C84A34">
            <w:pPr>
              <w:spacing w:line="276" w:lineRule="auto"/>
              <w:jc w:val="center"/>
              <w:rPr>
                <w:rFonts w:ascii="Calibri" w:hAnsi="Calibri" w:cs="Calibri"/>
                <w:sz w:val="20"/>
                <w:szCs w:val="20"/>
                <w:lang w:val="en"/>
              </w:rPr>
            </w:pPr>
          </w:p>
          <w:p w14:paraId="23D466A3"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28.0%</w:t>
            </w:r>
          </w:p>
          <w:p w14:paraId="26723A9B"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39.2%</w:t>
            </w:r>
          </w:p>
        </w:tc>
        <w:tc>
          <w:tcPr>
            <w:tcW w:w="794" w:type="dxa"/>
            <w:tcBorders>
              <w:top w:val="dotted" w:sz="4" w:space="0" w:color="auto"/>
              <w:bottom w:val="dotted" w:sz="4" w:space="0" w:color="auto"/>
            </w:tcBorders>
            <w:vAlign w:val="center"/>
          </w:tcPr>
          <w:p w14:paraId="073F196A" w14:textId="77777777" w:rsidR="00D314A0" w:rsidRDefault="00D314A0" w:rsidP="00C84A34">
            <w:pPr>
              <w:spacing w:line="276" w:lineRule="auto"/>
              <w:jc w:val="center"/>
              <w:rPr>
                <w:rFonts w:ascii="Calibri" w:hAnsi="Calibri" w:cs="Calibri"/>
                <w:sz w:val="20"/>
                <w:szCs w:val="20"/>
                <w:lang w:val="en"/>
              </w:rPr>
            </w:pPr>
          </w:p>
          <w:p w14:paraId="1ABEA777"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28.8%</w:t>
            </w:r>
          </w:p>
          <w:p w14:paraId="1F2B3D4D"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40.2%</w:t>
            </w:r>
          </w:p>
        </w:tc>
      </w:tr>
      <w:tr w:rsidR="00D314A0" w:rsidRPr="00CB0159" w14:paraId="16CAC5C2" w14:textId="77777777" w:rsidTr="00BF05BC">
        <w:trPr>
          <w:trHeight w:val="300"/>
        </w:trPr>
        <w:tc>
          <w:tcPr>
            <w:tcW w:w="2041" w:type="dxa"/>
            <w:tcBorders>
              <w:top w:val="dotted" w:sz="4" w:space="0" w:color="auto"/>
            </w:tcBorders>
            <w:vAlign w:val="center"/>
          </w:tcPr>
          <w:p w14:paraId="742CB8FD" w14:textId="77777777" w:rsidR="00D314A0" w:rsidRPr="00CB0159" w:rsidRDefault="00D314A0" w:rsidP="00C84A34">
            <w:pPr>
              <w:spacing w:line="276" w:lineRule="auto"/>
              <w:rPr>
                <w:rFonts w:ascii="Calibri" w:hAnsi="Calibri" w:cs="Calibri"/>
                <w:b/>
                <w:sz w:val="20"/>
                <w:szCs w:val="20"/>
                <w:lang w:val="en"/>
              </w:rPr>
            </w:pPr>
            <w:r w:rsidRPr="00CB0159">
              <w:rPr>
                <w:rFonts w:ascii="Calibri" w:hAnsi="Calibri" w:cs="Calibri"/>
                <w:b/>
                <w:sz w:val="20"/>
                <w:szCs w:val="20"/>
                <w:lang w:val="en"/>
              </w:rPr>
              <w:t>Medical therapy</w:t>
            </w:r>
            <w:r w:rsidRPr="00CB0159">
              <w:rPr>
                <w:rFonts w:ascii="Calibri" w:hAnsi="Calibri" w:cs="Calibri"/>
                <w:b/>
                <w:sz w:val="20"/>
                <w:szCs w:val="20"/>
                <w:vertAlign w:val="superscript"/>
                <w:lang w:val="en"/>
              </w:rPr>
              <w:t>1</w:t>
            </w:r>
          </w:p>
          <w:p w14:paraId="72C1C016" w14:textId="77777777" w:rsidR="00D314A0" w:rsidRPr="00CB0159" w:rsidRDefault="00D314A0" w:rsidP="00C84A34">
            <w:pPr>
              <w:spacing w:line="276" w:lineRule="auto"/>
              <w:rPr>
                <w:rFonts w:ascii="Calibri" w:hAnsi="Calibri" w:cs="Calibri"/>
                <w:b/>
                <w:sz w:val="20"/>
                <w:szCs w:val="20"/>
                <w:lang w:val="en"/>
              </w:rPr>
            </w:pPr>
            <w:r w:rsidRPr="00CB0159">
              <w:rPr>
                <w:rFonts w:ascii="Calibri" w:hAnsi="Calibri" w:cs="Calibri"/>
                <w:b/>
                <w:sz w:val="20"/>
                <w:szCs w:val="20"/>
                <w:lang w:val="en"/>
              </w:rPr>
              <w:t xml:space="preserve">   Corticosteroids</w:t>
            </w:r>
          </w:p>
          <w:p w14:paraId="0DF307B4" w14:textId="77777777" w:rsidR="00D314A0" w:rsidRPr="00CB0159" w:rsidRDefault="00D314A0" w:rsidP="00C84A34">
            <w:pPr>
              <w:spacing w:line="276" w:lineRule="auto"/>
              <w:rPr>
                <w:rFonts w:ascii="Calibri" w:hAnsi="Calibri" w:cs="Calibri"/>
                <w:b/>
                <w:sz w:val="20"/>
                <w:szCs w:val="20"/>
                <w:lang w:val="en"/>
              </w:rPr>
            </w:pPr>
            <w:r w:rsidRPr="00CB0159">
              <w:rPr>
                <w:rFonts w:ascii="Calibri" w:hAnsi="Calibri" w:cs="Calibri"/>
                <w:b/>
                <w:sz w:val="20"/>
                <w:szCs w:val="20"/>
                <w:lang w:val="en"/>
              </w:rPr>
              <w:t xml:space="preserve">   HRT</w:t>
            </w:r>
          </w:p>
        </w:tc>
        <w:tc>
          <w:tcPr>
            <w:tcW w:w="794" w:type="dxa"/>
            <w:tcBorders>
              <w:top w:val="dotted" w:sz="4" w:space="0" w:color="auto"/>
            </w:tcBorders>
            <w:vAlign w:val="center"/>
          </w:tcPr>
          <w:p w14:paraId="3F7B33AC" w14:textId="77777777" w:rsidR="00D314A0" w:rsidRPr="00CB0159" w:rsidRDefault="00D314A0" w:rsidP="00C84A34">
            <w:pPr>
              <w:spacing w:line="276" w:lineRule="auto"/>
              <w:jc w:val="center"/>
              <w:rPr>
                <w:rFonts w:ascii="Calibri" w:hAnsi="Calibri" w:cs="Calibri"/>
                <w:sz w:val="20"/>
                <w:szCs w:val="20"/>
                <w:lang w:val="en"/>
              </w:rPr>
            </w:pPr>
          </w:p>
          <w:p w14:paraId="747A188F"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9.4%</w:t>
            </w:r>
          </w:p>
          <w:p w14:paraId="0B0D264E"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8.7%</w:t>
            </w:r>
          </w:p>
        </w:tc>
        <w:tc>
          <w:tcPr>
            <w:tcW w:w="794" w:type="dxa"/>
            <w:tcBorders>
              <w:top w:val="dotted" w:sz="4" w:space="0" w:color="auto"/>
            </w:tcBorders>
            <w:vAlign w:val="center"/>
          </w:tcPr>
          <w:p w14:paraId="128337A9" w14:textId="77777777" w:rsidR="00D314A0" w:rsidRDefault="00D314A0" w:rsidP="00C84A34">
            <w:pPr>
              <w:spacing w:line="276" w:lineRule="auto"/>
              <w:jc w:val="center"/>
              <w:rPr>
                <w:rFonts w:ascii="Calibri" w:hAnsi="Calibri" w:cs="Calibri"/>
                <w:sz w:val="20"/>
                <w:szCs w:val="20"/>
                <w:lang w:val="en"/>
              </w:rPr>
            </w:pPr>
          </w:p>
          <w:p w14:paraId="4EFB0025"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8.9%</w:t>
            </w:r>
          </w:p>
          <w:p w14:paraId="0E417CA9"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9.4%</w:t>
            </w:r>
          </w:p>
        </w:tc>
        <w:tc>
          <w:tcPr>
            <w:tcW w:w="794" w:type="dxa"/>
            <w:tcBorders>
              <w:top w:val="dotted" w:sz="4" w:space="0" w:color="auto"/>
            </w:tcBorders>
            <w:vAlign w:val="center"/>
          </w:tcPr>
          <w:p w14:paraId="0158247C" w14:textId="77777777" w:rsidR="00D314A0" w:rsidRDefault="00D314A0" w:rsidP="00C84A34">
            <w:pPr>
              <w:spacing w:line="276" w:lineRule="auto"/>
              <w:jc w:val="center"/>
              <w:rPr>
                <w:rFonts w:ascii="Calibri" w:hAnsi="Calibri" w:cs="Calibri"/>
                <w:sz w:val="20"/>
                <w:szCs w:val="20"/>
                <w:lang w:val="en"/>
              </w:rPr>
            </w:pPr>
          </w:p>
          <w:p w14:paraId="2D7C484B"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9.4%</w:t>
            </w:r>
          </w:p>
          <w:p w14:paraId="13EE3546"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9.5%</w:t>
            </w:r>
          </w:p>
        </w:tc>
        <w:tc>
          <w:tcPr>
            <w:tcW w:w="794" w:type="dxa"/>
            <w:tcBorders>
              <w:top w:val="dotted" w:sz="4" w:space="0" w:color="auto"/>
            </w:tcBorders>
            <w:vAlign w:val="center"/>
          </w:tcPr>
          <w:p w14:paraId="347E7D1C" w14:textId="77777777" w:rsidR="00D314A0" w:rsidRDefault="00D314A0" w:rsidP="00C84A34">
            <w:pPr>
              <w:spacing w:line="276" w:lineRule="auto"/>
              <w:jc w:val="center"/>
              <w:rPr>
                <w:rFonts w:ascii="Calibri" w:hAnsi="Calibri" w:cs="Calibri"/>
                <w:sz w:val="20"/>
                <w:szCs w:val="20"/>
                <w:lang w:val="en"/>
              </w:rPr>
            </w:pPr>
          </w:p>
          <w:p w14:paraId="73925F9E"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8.9%</w:t>
            </w:r>
          </w:p>
          <w:p w14:paraId="516B1AAF"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9.5%</w:t>
            </w:r>
          </w:p>
        </w:tc>
        <w:tc>
          <w:tcPr>
            <w:tcW w:w="794" w:type="dxa"/>
            <w:tcBorders>
              <w:top w:val="dotted" w:sz="4" w:space="0" w:color="auto"/>
            </w:tcBorders>
            <w:vAlign w:val="center"/>
          </w:tcPr>
          <w:p w14:paraId="14EB8B8F" w14:textId="77777777" w:rsidR="00D314A0" w:rsidRDefault="00D314A0" w:rsidP="00C84A34">
            <w:pPr>
              <w:spacing w:line="276" w:lineRule="auto"/>
              <w:jc w:val="center"/>
              <w:rPr>
                <w:rFonts w:ascii="Calibri" w:hAnsi="Calibri" w:cs="Calibri"/>
                <w:sz w:val="20"/>
                <w:szCs w:val="20"/>
                <w:lang w:val="en"/>
              </w:rPr>
            </w:pPr>
          </w:p>
          <w:p w14:paraId="2B55BA94"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8.9%</w:t>
            </w:r>
          </w:p>
          <w:p w14:paraId="12E37A23"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9.5%</w:t>
            </w:r>
          </w:p>
        </w:tc>
        <w:tc>
          <w:tcPr>
            <w:tcW w:w="794" w:type="dxa"/>
            <w:tcBorders>
              <w:top w:val="dotted" w:sz="4" w:space="0" w:color="auto"/>
            </w:tcBorders>
            <w:vAlign w:val="center"/>
          </w:tcPr>
          <w:p w14:paraId="3BD1574C" w14:textId="77777777" w:rsidR="00D314A0" w:rsidRDefault="00D314A0" w:rsidP="00C84A34">
            <w:pPr>
              <w:spacing w:line="276" w:lineRule="auto"/>
              <w:jc w:val="center"/>
              <w:rPr>
                <w:rFonts w:ascii="Calibri" w:hAnsi="Calibri" w:cs="Calibri"/>
                <w:sz w:val="20"/>
                <w:szCs w:val="20"/>
                <w:lang w:val="en"/>
              </w:rPr>
            </w:pPr>
          </w:p>
          <w:p w14:paraId="690EDC7E"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8.5%</w:t>
            </w:r>
          </w:p>
          <w:p w14:paraId="7A2DBE76"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10.2%</w:t>
            </w:r>
          </w:p>
        </w:tc>
        <w:tc>
          <w:tcPr>
            <w:tcW w:w="794" w:type="dxa"/>
            <w:tcBorders>
              <w:top w:val="dotted" w:sz="4" w:space="0" w:color="auto"/>
            </w:tcBorders>
            <w:vAlign w:val="center"/>
          </w:tcPr>
          <w:p w14:paraId="47F0BC43" w14:textId="77777777" w:rsidR="00D314A0" w:rsidRDefault="00D314A0" w:rsidP="00C84A34">
            <w:pPr>
              <w:spacing w:line="276" w:lineRule="auto"/>
              <w:jc w:val="center"/>
              <w:rPr>
                <w:rFonts w:ascii="Calibri" w:hAnsi="Calibri" w:cs="Calibri"/>
                <w:sz w:val="20"/>
                <w:szCs w:val="20"/>
                <w:lang w:val="en"/>
              </w:rPr>
            </w:pPr>
          </w:p>
          <w:p w14:paraId="797338DE"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8.9%</w:t>
            </w:r>
          </w:p>
          <w:p w14:paraId="54599761"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9.6%</w:t>
            </w:r>
          </w:p>
        </w:tc>
        <w:tc>
          <w:tcPr>
            <w:tcW w:w="794" w:type="dxa"/>
            <w:tcBorders>
              <w:top w:val="dotted" w:sz="4" w:space="0" w:color="auto"/>
            </w:tcBorders>
            <w:vAlign w:val="center"/>
          </w:tcPr>
          <w:p w14:paraId="0C115276" w14:textId="77777777" w:rsidR="00D314A0" w:rsidRDefault="00D314A0" w:rsidP="00C84A34">
            <w:pPr>
              <w:spacing w:line="276" w:lineRule="auto"/>
              <w:jc w:val="center"/>
              <w:rPr>
                <w:rFonts w:ascii="Calibri" w:hAnsi="Calibri" w:cs="Calibri"/>
                <w:sz w:val="20"/>
                <w:szCs w:val="20"/>
                <w:lang w:val="en"/>
              </w:rPr>
            </w:pPr>
          </w:p>
          <w:p w14:paraId="0F9533C4"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8.6%</w:t>
            </w:r>
          </w:p>
          <w:p w14:paraId="69EF90D6"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10.4%</w:t>
            </w:r>
          </w:p>
        </w:tc>
        <w:tc>
          <w:tcPr>
            <w:tcW w:w="794" w:type="dxa"/>
            <w:tcBorders>
              <w:top w:val="dotted" w:sz="4" w:space="0" w:color="auto"/>
            </w:tcBorders>
            <w:vAlign w:val="center"/>
          </w:tcPr>
          <w:p w14:paraId="26944925" w14:textId="77777777" w:rsidR="00D314A0" w:rsidRDefault="00D314A0" w:rsidP="00C84A34">
            <w:pPr>
              <w:spacing w:line="276" w:lineRule="auto"/>
              <w:jc w:val="center"/>
              <w:rPr>
                <w:rFonts w:ascii="Calibri" w:hAnsi="Calibri" w:cs="Calibri"/>
                <w:sz w:val="20"/>
                <w:szCs w:val="20"/>
                <w:lang w:val="en"/>
              </w:rPr>
            </w:pPr>
          </w:p>
          <w:p w14:paraId="21C6DD65"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8.7%</w:t>
            </w:r>
          </w:p>
          <w:p w14:paraId="65283412"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10.6%</w:t>
            </w:r>
          </w:p>
        </w:tc>
        <w:tc>
          <w:tcPr>
            <w:tcW w:w="794" w:type="dxa"/>
            <w:tcBorders>
              <w:top w:val="dotted" w:sz="4" w:space="0" w:color="auto"/>
            </w:tcBorders>
            <w:vAlign w:val="center"/>
          </w:tcPr>
          <w:p w14:paraId="52628236" w14:textId="77777777" w:rsidR="00D314A0" w:rsidRDefault="00D314A0" w:rsidP="00C84A34">
            <w:pPr>
              <w:spacing w:line="276" w:lineRule="auto"/>
              <w:jc w:val="center"/>
              <w:rPr>
                <w:rFonts w:ascii="Calibri" w:hAnsi="Calibri" w:cs="Calibri"/>
                <w:sz w:val="20"/>
                <w:szCs w:val="20"/>
                <w:lang w:val="en"/>
              </w:rPr>
            </w:pPr>
          </w:p>
          <w:p w14:paraId="282A2C22"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8.7%</w:t>
            </w:r>
          </w:p>
          <w:p w14:paraId="74EBD802"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11.0%</w:t>
            </w:r>
          </w:p>
        </w:tc>
      </w:tr>
      <w:tr w:rsidR="00DE20B2" w:rsidRPr="00CB0159" w14:paraId="33A48538" w14:textId="77777777" w:rsidTr="00BF05BC">
        <w:trPr>
          <w:trHeight w:val="300"/>
        </w:trPr>
        <w:tc>
          <w:tcPr>
            <w:tcW w:w="2041" w:type="dxa"/>
            <w:tcBorders>
              <w:bottom w:val="dotted" w:sz="4" w:space="0" w:color="auto"/>
            </w:tcBorders>
            <w:vAlign w:val="center"/>
          </w:tcPr>
          <w:p w14:paraId="4076E204" w14:textId="6E615843" w:rsidR="00DE20B2" w:rsidRPr="00CB0159" w:rsidRDefault="00DE20B2" w:rsidP="00C84A34">
            <w:pPr>
              <w:spacing w:line="276" w:lineRule="auto"/>
              <w:rPr>
                <w:rFonts w:ascii="Calibri" w:hAnsi="Calibri" w:cs="Calibri"/>
                <w:b/>
                <w:sz w:val="20"/>
                <w:szCs w:val="20"/>
                <w:lang w:val="en"/>
              </w:rPr>
            </w:pPr>
            <w:r>
              <w:rPr>
                <w:rFonts w:ascii="Calibri" w:hAnsi="Calibri" w:cs="Calibri"/>
                <w:b/>
                <w:sz w:val="20"/>
                <w:szCs w:val="20"/>
                <w:lang w:val="en"/>
              </w:rPr>
              <w:t xml:space="preserve">   AOM</w:t>
            </w:r>
          </w:p>
        </w:tc>
        <w:tc>
          <w:tcPr>
            <w:tcW w:w="794" w:type="dxa"/>
            <w:tcBorders>
              <w:bottom w:val="dotted" w:sz="4" w:space="0" w:color="auto"/>
            </w:tcBorders>
            <w:vAlign w:val="center"/>
          </w:tcPr>
          <w:p w14:paraId="2BC993AA" w14:textId="27869CC8" w:rsidR="00DE20B2" w:rsidRPr="00CB0159" w:rsidRDefault="00DE20B2" w:rsidP="00C84A34">
            <w:pPr>
              <w:spacing w:line="276" w:lineRule="auto"/>
              <w:jc w:val="center"/>
              <w:rPr>
                <w:rFonts w:ascii="Calibri" w:hAnsi="Calibri" w:cs="Calibri"/>
                <w:sz w:val="20"/>
                <w:szCs w:val="20"/>
                <w:lang w:val="en"/>
              </w:rPr>
            </w:pPr>
            <w:r>
              <w:rPr>
                <w:rFonts w:ascii="Calibri" w:hAnsi="Calibri" w:cs="Calibri"/>
                <w:sz w:val="20"/>
                <w:szCs w:val="20"/>
                <w:lang w:val="en"/>
              </w:rPr>
              <w:t>8.0%</w:t>
            </w:r>
          </w:p>
        </w:tc>
        <w:tc>
          <w:tcPr>
            <w:tcW w:w="794" w:type="dxa"/>
            <w:tcBorders>
              <w:bottom w:val="dotted" w:sz="4" w:space="0" w:color="auto"/>
            </w:tcBorders>
            <w:vAlign w:val="center"/>
          </w:tcPr>
          <w:p w14:paraId="6F329CEC" w14:textId="1D613D3E" w:rsidR="00DE20B2" w:rsidRDefault="00DE20B2" w:rsidP="00C84A34">
            <w:pPr>
              <w:spacing w:line="276" w:lineRule="auto"/>
              <w:jc w:val="center"/>
              <w:rPr>
                <w:rFonts w:ascii="Calibri" w:hAnsi="Calibri" w:cs="Calibri"/>
                <w:sz w:val="20"/>
                <w:szCs w:val="20"/>
                <w:lang w:val="en"/>
              </w:rPr>
            </w:pPr>
            <w:r>
              <w:rPr>
                <w:rFonts w:ascii="Calibri" w:hAnsi="Calibri" w:cs="Calibri"/>
                <w:sz w:val="20"/>
                <w:szCs w:val="20"/>
                <w:lang w:val="en"/>
              </w:rPr>
              <w:t>9.2%</w:t>
            </w:r>
          </w:p>
        </w:tc>
        <w:tc>
          <w:tcPr>
            <w:tcW w:w="794" w:type="dxa"/>
            <w:tcBorders>
              <w:bottom w:val="dotted" w:sz="4" w:space="0" w:color="auto"/>
            </w:tcBorders>
            <w:vAlign w:val="center"/>
          </w:tcPr>
          <w:p w14:paraId="03BB0479" w14:textId="1436FBA4" w:rsidR="00DE20B2" w:rsidRDefault="00DE20B2" w:rsidP="00C84A34">
            <w:pPr>
              <w:spacing w:line="276" w:lineRule="auto"/>
              <w:jc w:val="center"/>
              <w:rPr>
                <w:rFonts w:ascii="Calibri" w:hAnsi="Calibri" w:cs="Calibri"/>
                <w:sz w:val="20"/>
                <w:szCs w:val="20"/>
                <w:lang w:val="en"/>
              </w:rPr>
            </w:pPr>
            <w:r>
              <w:rPr>
                <w:rFonts w:ascii="Calibri" w:hAnsi="Calibri" w:cs="Calibri"/>
                <w:sz w:val="20"/>
                <w:szCs w:val="20"/>
                <w:lang w:val="en"/>
              </w:rPr>
              <w:t>9.6%</w:t>
            </w:r>
          </w:p>
        </w:tc>
        <w:tc>
          <w:tcPr>
            <w:tcW w:w="794" w:type="dxa"/>
            <w:tcBorders>
              <w:bottom w:val="dotted" w:sz="4" w:space="0" w:color="auto"/>
            </w:tcBorders>
            <w:vAlign w:val="center"/>
          </w:tcPr>
          <w:p w14:paraId="38A73773" w14:textId="3C5B8039" w:rsidR="00DE20B2" w:rsidRDefault="00DE20B2" w:rsidP="00C84A34">
            <w:pPr>
              <w:spacing w:line="276" w:lineRule="auto"/>
              <w:jc w:val="center"/>
              <w:rPr>
                <w:rFonts w:ascii="Calibri" w:hAnsi="Calibri" w:cs="Calibri"/>
                <w:sz w:val="20"/>
                <w:szCs w:val="20"/>
                <w:lang w:val="en"/>
              </w:rPr>
            </w:pPr>
            <w:r>
              <w:rPr>
                <w:rFonts w:ascii="Calibri" w:hAnsi="Calibri" w:cs="Calibri"/>
                <w:sz w:val="20"/>
                <w:szCs w:val="20"/>
                <w:lang w:val="en"/>
              </w:rPr>
              <w:t>10.4%</w:t>
            </w:r>
          </w:p>
        </w:tc>
        <w:tc>
          <w:tcPr>
            <w:tcW w:w="794" w:type="dxa"/>
            <w:tcBorders>
              <w:bottom w:val="dotted" w:sz="4" w:space="0" w:color="auto"/>
            </w:tcBorders>
            <w:vAlign w:val="center"/>
          </w:tcPr>
          <w:p w14:paraId="0207180A" w14:textId="0F812742" w:rsidR="00DE20B2" w:rsidRDefault="00DE20B2" w:rsidP="00C84A34">
            <w:pPr>
              <w:spacing w:line="276" w:lineRule="auto"/>
              <w:jc w:val="center"/>
              <w:rPr>
                <w:rFonts w:ascii="Calibri" w:hAnsi="Calibri" w:cs="Calibri"/>
                <w:sz w:val="20"/>
                <w:szCs w:val="20"/>
                <w:lang w:val="en"/>
              </w:rPr>
            </w:pPr>
            <w:r>
              <w:rPr>
                <w:rFonts w:ascii="Calibri" w:hAnsi="Calibri" w:cs="Calibri"/>
                <w:sz w:val="20"/>
                <w:szCs w:val="20"/>
                <w:lang w:val="en"/>
              </w:rPr>
              <w:t>10.7%</w:t>
            </w:r>
          </w:p>
        </w:tc>
        <w:tc>
          <w:tcPr>
            <w:tcW w:w="794" w:type="dxa"/>
            <w:tcBorders>
              <w:bottom w:val="dotted" w:sz="4" w:space="0" w:color="auto"/>
            </w:tcBorders>
            <w:vAlign w:val="center"/>
          </w:tcPr>
          <w:p w14:paraId="6531E244" w14:textId="1152C38F" w:rsidR="00DE20B2" w:rsidRDefault="00DE20B2" w:rsidP="00C84A34">
            <w:pPr>
              <w:spacing w:line="276" w:lineRule="auto"/>
              <w:jc w:val="center"/>
              <w:rPr>
                <w:rFonts w:ascii="Calibri" w:hAnsi="Calibri" w:cs="Calibri"/>
                <w:sz w:val="20"/>
                <w:szCs w:val="20"/>
                <w:lang w:val="en"/>
              </w:rPr>
            </w:pPr>
            <w:r>
              <w:rPr>
                <w:rFonts w:ascii="Calibri" w:hAnsi="Calibri" w:cs="Calibri"/>
                <w:sz w:val="20"/>
                <w:szCs w:val="20"/>
                <w:lang w:val="en"/>
              </w:rPr>
              <w:t>11.1%</w:t>
            </w:r>
          </w:p>
        </w:tc>
        <w:tc>
          <w:tcPr>
            <w:tcW w:w="794" w:type="dxa"/>
            <w:tcBorders>
              <w:bottom w:val="dotted" w:sz="4" w:space="0" w:color="auto"/>
            </w:tcBorders>
            <w:vAlign w:val="center"/>
          </w:tcPr>
          <w:p w14:paraId="45C2321B" w14:textId="375B6AC8" w:rsidR="00DE20B2" w:rsidRDefault="00DE20B2" w:rsidP="00C84A34">
            <w:pPr>
              <w:spacing w:line="276" w:lineRule="auto"/>
              <w:jc w:val="center"/>
              <w:rPr>
                <w:rFonts w:ascii="Calibri" w:hAnsi="Calibri" w:cs="Calibri"/>
                <w:sz w:val="20"/>
                <w:szCs w:val="20"/>
                <w:lang w:val="en"/>
              </w:rPr>
            </w:pPr>
            <w:r>
              <w:rPr>
                <w:rFonts w:ascii="Calibri" w:hAnsi="Calibri" w:cs="Calibri"/>
                <w:sz w:val="20"/>
                <w:szCs w:val="20"/>
                <w:lang w:val="en"/>
              </w:rPr>
              <w:t>11.8%</w:t>
            </w:r>
          </w:p>
        </w:tc>
        <w:tc>
          <w:tcPr>
            <w:tcW w:w="794" w:type="dxa"/>
            <w:tcBorders>
              <w:bottom w:val="dotted" w:sz="4" w:space="0" w:color="auto"/>
            </w:tcBorders>
            <w:vAlign w:val="center"/>
          </w:tcPr>
          <w:p w14:paraId="460919C3" w14:textId="5C4A5BAE" w:rsidR="00DE20B2" w:rsidRDefault="00DE20B2" w:rsidP="00C84A34">
            <w:pPr>
              <w:spacing w:line="276" w:lineRule="auto"/>
              <w:jc w:val="center"/>
              <w:rPr>
                <w:rFonts w:ascii="Calibri" w:hAnsi="Calibri" w:cs="Calibri"/>
                <w:sz w:val="20"/>
                <w:szCs w:val="20"/>
                <w:lang w:val="en"/>
              </w:rPr>
            </w:pPr>
            <w:r>
              <w:rPr>
                <w:rFonts w:ascii="Calibri" w:hAnsi="Calibri" w:cs="Calibri"/>
                <w:sz w:val="20"/>
                <w:szCs w:val="20"/>
                <w:lang w:val="en"/>
              </w:rPr>
              <w:t>12.6%</w:t>
            </w:r>
          </w:p>
        </w:tc>
        <w:tc>
          <w:tcPr>
            <w:tcW w:w="794" w:type="dxa"/>
            <w:tcBorders>
              <w:bottom w:val="dotted" w:sz="4" w:space="0" w:color="auto"/>
            </w:tcBorders>
            <w:vAlign w:val="center"/>
          </w:tcPr>
          <w:p w14:paraId="662E3384" w14:textId="048EBB3F" w:rsidR="00DE20B2" w:rsidRDefault="00DE20B2" w:rsidP="00C84A34">
            <w:pPr>
              <w:spacing w:line="276" w:lineRule="auto"/>
              <w:jc w:val="center"/>
              <w:rPr>
                <w:rFonts w:ascii="Calibri" w:hAnsi="Calibri" w:cs="Calibri"/>
                <w:sz w:val="20"/>
                <w:szCs w:val="20"/>
                <w:lang w:val="en"/>
              </w:rPr>
            </w:pPr>
            <w:r>
              <w:rPr>
                <w:rFonts w:ascii="Calibri" w:hAnsi="Calibri" w:cs="Calibri"/>
                <w:sz w:val="20"/>
                <w:szCs w:val="20"/>
                <w:lang w:val="en"/>
              </w:rPr>
              <w:t>12.2%</w:t>
            </w:r>
          </w:p>
        </w:tc>
        <w:tc>
          <w:tcPr>
            <w:tcW w:w="794" w:type="dxa"/>
            <w:tcBorders>
              <w:bottom w:val="dotted" w:sz="4" w:space="0" w:color="auto"/>
            </w:tcBorders>
            <w:vAlign w:val="center"/>
          </w:tcPr>
          <w:p w14:paraId="157B3B74" w14:textId="33AF1331" w:rsidR="00DE20B2" w:rsidRDefault="00DE20B2" w:rsidP="00C84A34">
            <w:pPr>
              <w:spacing w:line="276" w:lineRule="auto"/>
              <w:jc w:val="center"/>
              <w:rPr>
                <w:rFonts w:ascii="Calibri" w:hAnsi="Calibri" w:cs="Calibri"/>
                <w:sz w:val="20"/>
                <w:szCs w:val="20"/>
                <w:lang w:val="en"/>
              </w:rPr>
            </w:pPr>
            <w:r>
              <w:rPr>
                <w:rFonts w:ascii="Calibri" w:hAnsi="Calibri" w:cs="Calibri"/>
                <w:sz w:val="20"/>
                <w:szCs w:val="20"/>
                <w:lang w:val="en"/>
              </w:rPr>
              <w:t>12.0%</w:t>
            </w:r>
          </w:p>
        </w:tc>
      </w:tr>
      <w:tr w:rsidR="00D314A0" w:rsidRPr="00CB0159" w14:paraId="1265CCC5" w14:textId="77777777" w:rsidTr="00C84A34">
        <w:trPr>
          <w:trHeight w:val="300"/>
        </w:trPr>
        <w:tc>
          <w:tcPr>
            <w:tcW w:w="2041" w:type="dxa"/>
            <w:tcBorders>
              <w:top w:val="dotted" w:sz="4" w:space="0" w:color="auto"/>
              <w:bottom w:val="single" w:sz="4" w:space="0" w:color="auto"/>
            </w:tcBorders>
            <w:vAlign w:val="center"/>
          </w:tcPr>
          <w:p w14:paraId="7C114EDB" w14:textId="77777777" w:rsidR="00D314A0" w:rsidRPr="00CB0159" w:rsidRDefault="00D314A0" w:rsidP="00C84A34">
            <w:pPr>
              <w:spacing w:line="276" w:lineRule="auto"/>
              <w:rPr>
                <w:rFonts w:ascii="Calibri" w:hAnsi="Calibri" w:cs="Calibri"/>
                <w:b/>
                <w:sz w:val="20"/>
                <w:szCs w:val="20"/>
                <w:lang w:val="en"/>
              </w:rPr>
            </w:pPr>
            <w:proofErr w:type="spellStart"/>
            <w:r w:rsidRPr="00CB0159">
              <w:rPr>
                <w:rFonts w:ascii="Calibri" w:hAnsi="Calibri" w:cs="Calibri"/>
                <w:b/>
                <w:sz w:val="20"/>
                <w:szCs w:val="20"/>
                <w:lang w:val="en"/>
              </w:rPr>
              <w:t>Charlson</w:t>
            </w:r>
            <w:proofErr w:type="spellEnd"/>
            <w:r w:rsidRPr="00CB0159">
              <w:rPr>
                <w:rFonts w:ascii="Calibri" w:hAnsi="Calibri" w:cs="Calibri"/>
                <w:b/>
                <w:sz w:val="20"/>
                <w:szCs w:val="20"/>
                <w:lang w:val="en"/>
              </w:rPr>
              <w:t xml:space="preserve"> comorbidity index score</w:t>
            </w:r>
            <w:r w:rsidRPr="00CB0159">
              <w:rPr>
                <w:rFonts w:ascii="Calibri" w:hAnsi="Calibri" w:cs="Calibri"/>
                <w:b/>
                <w:sz w:val="20"/>
                <w:szCs w:val="20"/>
                <w:vertAlign w:val="superscript"/>
                <w:lang w:val="en"/>
              </w:rPr>
              <w:t>2</w:t>
            </w:r>
          </w:p>
          <w:p w14:paraId="3F0B2E48" w14:textId="77777777" w:rsidR="00D314A0" w:rsidRPr="00CB0159" w:rsidRDefault="00D314A0" w:rsidP="00C84A34">
            <w:pPr>
              <w:spacing w:line="276" w:lineRule="auto"/>
              <w:rPr>
                <w:rFonts w:ascii="Calibri" w:hAnsi="Calibri" w:cs="Calibri"/>
                <w:b/>
                <w:sz w:val="20"/>
                <w:szCs w:val="20"/>
                <w:lang w:val="en"/>
              </w:rPr>
            </w:pPr>
            <w:r w:rsidRPr="00CB0159">
              <w:rPr>
                <w:rFonts w:ascii="Calibri" w:hAnsi="Calibri" w:cs="Calibri"/>
                <w:b/>
                <w:sz w:val="20"/>
                <w:szCs w:val="20"/>
                <w:lang w:val="en"/>
              </w:rPr>
              <w:t xml:space="preserve">   = 0</w:t>
            </w:r>
          </w:p>
          <w:p w14:paraId="2AFB4A69" w14:textId="77777777" w:rsidR="00D314A0" w:rsidRPr="00CB0159" w:rsidRDefault="00D314A0" w:rsidP="00C84A34">
            <w:pPr>
              <w:spacing w:line="276" w:lineRule="auto"/>
              <w:rPr>
                <w:rFonts w:ascii="Calibri" w:hAnsi="Calibri" w:cs="Calibri"/>
                <w:b/>
                <w:sz w:val="20"/>
                <w:szCs w:val="20"/>
                <w:lang w:val="en"/>
              </w:rPr>
            </w:pPr>
            <w:r w:rsidRPr="00CB0159">
              <w:rPr>
                <w:rFonts w:ascii="Calibri" w:hAnsi="Calibri" w:cs="Calibri"/>
                <w:b/>
                <w:sz w:val="20"/>
                <w:szCs w:val="20"/>
                <w:lang w:val="en"/>
              </w:rPr>
              <w:t xml:space="preserve">   = 1</w:t>
            </w:r>
          </w:p>
          <w:p w14:paraId="05627836" w14:textId="77777777" w:rsidR="00D314A0" w:rsidRPr="00CB0159" w:rsidRDefault="00D314A0" w:rsidP="00C84A34">
            <w:pPr>
              <w:spacing w:line="276" w:lineRule="auto"/>
              <w:rPr>
                <w:rFonts w:ascii="Calibri" w:hAnsi="Calibri" w:cs="Calibri"/>
                <w:b/>
                <w:sz w:val="20"/>
                <w:szCs w:val="20"/>
                <w:lang w:val="en"/>
              </w:rPr>
            </w:pPr>
            <w:r w:rsidRPr="00CB0159">
              <w:rPr>
                <w:rFonts w:ascii="Calibri" w:hAnsi="Calibri" w:cs="Calibri"/>
                <w:b/>
                <w:sz w:val="20"/>
                <w:szCs w:val="20"/>
                <w:lang w:val="en"/>
              </w:rPr>
              <w:t xml:space="preserve">   = 2</w:t>
            </w:r>
          </w:p>
          <w:p w14:paraId="2DAA6FD5" w14:textId="77777777" w:rsidR="00D314A0" w:rsidRPr="00CB0159" w:rsidRDefault="00D314A0" w:rsidP="00C84A34">
            <w:pPr>
              <w:spacing w:line="276" w:lineRule="auto"/>
              <w:rPr>
                <w:rFonts w:ascii="Calibri" w:hAnsi="Calibri" w:cs="Calibri"/>
                <w:b/>
                <w:sz w:val="20"/>
                <w:szCs w:val="20"/>
                <w:lang w:val="en"/>
              </w:rPr>
            </w:pPr>
            <w:r w:rsidRPr="00CB0159">
              <w:rPr>
                <w:rFonts w:ascii="Calibri" w:hAnsi="Calibri" w:cs="Calibri"/>
                <w:b/>
                <w:sz w:val="20"/>
                <w:szCs w:val="20"/>
                <w:lang w:val="en"/>
              </w:rPr>
              <w:t xml:space="preserve">   ≥ 3</w:t>
            </w:r>
          </w:p>
        </w:tc>
        <w:tc>
          <w:tcPr>
            <w:tcW w:w="794" w:type="dxa"/>
            <w:tcBorders>
              <w:top w:val="dotted" w:sz="4" w:space="0" w:color="auto"/>
              <w:bottom w:val="single" w:sz="4" w:space="0" w:color="auto"/>
            </w:tcBorders>
            <w:vAlign w:val="center"/>
          </w:tcPr>
          <w:p w14:paraId="7E910B67" w14:textId="77777777" w:rsidR="00D314A0" w:rsidRPr="00CB0159" w:rsidRDefault="00D314A0" w:rsidP="00C84A34">
            <w:pPr>
              <w:spacing w:line="276" w:lineRule="auto"/>
              <w:jc w:val="center"/>
              <w:rPr>
                <w:rFonts w:ascii="Calibri" w:hAnsi="Calibri" w:cs="Calibri"/>
                <w:sz w:val="20"/>
                <w:szCs w:val="20"/>
                <w:lang w:val="en"/>
              </w:rPr>
            </w:pPr>
          </w:p>
          <w:p w14:paraId="1D6F6422" w14:textId="77777777" w:rsidR="00D314A0" w:rsidRPr="00CB0159" w:rsidRDefault="00D314A0" w:rsidP="00C84A34">
            <w:pPr>
              <w:spacing w:line="276" w:lineRule="auto"/>
              <w:jc w:val="center"/>
              <w:rPr>
                <w:rFonts w:ascii="Calibri" w:hAnsi="Calibri" w:cs="Calibri"/>
                <w:sz w:val="20"/>
                <w:szCs w:val="20"/>
                <w:lang w:val="en"/>
              </w:rPr>
            </w:pPr>
          </w:p>
          <w:p w14:paraId="55612D9D"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83.2%</w:t>
            </w:r>
          </w:p>
          <w:p w14:paraId="0C1FC1E5"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10.0%</w:t>
            </w:r>
          </w:p>
          <w:p w14:paraId="395E2A36"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4.1%</w:t>
            </w:r>
          </w:p>
          <w:p w14:paraId="6C86200C"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2.8%</w:t>
            </w:r>
          </w:p>
        </w:tc>
        <w:tc>
          <w:tcPr>
            <w:tcW w:w="794" w:type="dxa"/>
            <w:tcBorders>
              <w:top w:val="dotted" w:sz="4" w:space="0" w:color="auto"/>
              <w:bottom w:val="single" w:sz="4" w:space="0" w:color="auto"/>
            </w:tcBorders>
            <w:vAlign w:val="center"/>
          </w:tcPr>
          <w:p w14:paraId="708862AB" w14:textId="77777777" w:rsidR="00D314A0" w:rsidRPr="00CB0159" w:rsidRDefault="00D314A0" w:rsidP="00C84A34">
            <w:pPr>
              <w:spacing w:line="276" w:lineRule="auto"/>
              <w:jc w:val="center"/>
              <w:rPr>
                <w:rFonts w:ascii="Calibri" w:hAnsi="Calibri" w:cs="Calibri"/>
                <w:sz w:val="20"/>
                <w:szCs w:val="20"/>
                <w:lang w:val="en"/>
              </w:rPr>
            </w:pPr>
          </w:p>
          <w:p w14:paraId="3B3E3322" w14:textId="77777777" w:rsidR="00D314A0" w:rsidRPr="00CB0159" w:rsidRDefault="00D314A0" w:rsidP="00C84A34">
            <w:pPr>
              <w:spacing w:line="276" w:lineRule="auto"/>
              <w:jc w:val="center"/>
              <w:rPr>
                <w:rFonts w:ascii="Calibri" w:hAnsi="Calibri" w:cs="Calibri"/>
                <w:sz w:val="20"/>
                <w:szCs w:val="20"/>
                <w:lang w:val="en"/>
              </w:rPr>
            </w:pPr>
          </w:p>
          <w:p w14:paraId="5C3C6050"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83.2%</w:t>
            </w:r>
          </w:p>
          <w:p w14:paraId="1347C969"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9.9%</w:t>
            </w:r>
          </w:p>
          <w:p w14:paraId="44068DA5"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4.1%</w:t>
            </w:r>
          </w:p>
          <w:p w14:paraId="4A74DE3D"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2.9%</w:t>
            </w:r>
          </w:p>
        </w:tc>
        <w:tc>
          <w:tcPr>
            <w:tcW w:w="794" w:type="dxa"/>
            <w:tcBorders>
              <w:top w:val="dotted" w:sz="4" w:space="0" w:color="auto"/>
              <w:bottom w:val="single" w:sz="4" w:space="0" w:color="auto"/>
            </w:tcBorders>
            <w:vAlign w:val="center"/>
          </w:tcPr>
          <w:p w14:paraId="007EA833" w14:textId="77777777" w:rsidR="00D314A0" w:rsidRPr="00CB0159" w:rsidRDefault="00D314A0" w:rsidP="00C84A34">
            <w:pPr>
              <w:spacing w:line="276" w:lineRule="auto"/>
              <w:jc w:val="center"/>
              <w:rPr>
                <w:rFonts w:ascii="Calibri" w:hAnsi="Calibri" w:cs="Calibri"/>
                <w:sz w:val="20"/>
                <w:szCs w:val="20"/>
                <w:lang w:val="en"/>
              </w:rPr>
            </w:pPr>
          </w:p>
          <w:p w14:paraId="16075E6F" w14:textId="77777777" w:rsidR="00D314A0" w:rsidRPr="00CB0159" w:rsidRDefault="00D314A0" w:rsidP="00C84A34">
            <w:pPr>
              <w:spacing w:line="276" w:lineRule="auto"/>
              <w:jc w:val="center"/>
              <w:rPr>
                <w:rFonts w:ascii="Calibri" w:hAnsi="Calibri" w:cs="Calibri"/>
                <w:sz w:val="20"/>
                <w:szCs w:val="20"/>
                <w:lang w:val="en"/>
              </w:rPr>
            </w:pPr>
          </w:p>
          <w:p w14:paraId="33BE7AC1"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82.8%</w:t>
            </w:r>
          </w:p>
          <w:p w14:paraId="2D780675"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9.9%</w:t>
            </w:r>
          </w:p>
          <w:p w14:paraId="709C8B82"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4.6%</w:t>
            </w:r>
          </w:p>
          <w:p w14:paraId="40A0E9FB"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2.8%</w:t>
            </w:r>
          </w:p>
        </w:tc>
        <w:tc>
          <w:tcPr>
            <w:tcW w:w="794" w:type="dxa"/>
            <w:tcBorders>
              <w:top w:val="dotted" w:sz="4" w:space="0" w:color="auto"/>
              <w:bottom w:val="single" w:sz="4" w:space="0" w:color="auto"/>
            </w:tcBorders>
            <w:vAlign w:val="center"/>
          </w:tcPr>
          <w:p w14:paraId="783D2C0E" w14:textId="77777777" w:rsidR="00D314A0" w:rsidRPr="00CB0159" w:rsidRDefault="00D314A0" w:rsidP="00C84A34">
            <w:pPr>
              <w:spacing w:line="276" w:lineRule="auto"/>
              <w:jc w:val="center"/>
              <w:rPr>
                <w:rFonts w:ascii="Calibri" w:hAnsi="Calibri" w:cs="Calibri"/>
                <w:sz w:val="20"/>
                <w:szCs w:val="20"/>
                <w:lang w:val="en"/>
              </w:rPr>
            </w:pPr>
          </w:p>
          <w:p w14:paraId="5DD0082D" w14:textId="77777777" w:rsidR="00D314A0" w:rsidRPr="00CB0159" w:rsidRDefault="00D314A0" w:rsidP="00C84A34">
            <w:pPr>
              <w:spacing w:line="276" w:lineRule="auto"/>
              <w:jc w:val="center"/>
              <w:rPr>
                <w:rFonts w:ascii="Calibri" w:hAnsi="Calibri" w:cs="Calibri"/>
                <w:sz w:val="20"/>
                <w:szCs w:val="20"/>
                <w:lang w:val="en"/>
              </w:rPr>
            </w:pPr>
          </w:p>
          <w:p w14:paraId="10D68031"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83.1%</w:t>
            </w:r>
          </w:p>
          <w:p w14:paraId="1000831D"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9.5%</w:t>
            </w:r>
          </w:p>
          <w:p w14:paraId="7EB2A28F"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4.4%</w:t>
            </w:r>
          </w:p>
          <w:p w14:paraId="26133C8A"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3.0%</w:t>
            </w:r>
          </w:p>
        </w:tc>
        <w:tc>
          <w:tcPr>
            <w:tcW w:w="794" w:type="dxa"/>
            <w:tcBorders>
              <w:top w:val="dotted" w:sz="4" w:space="0" w:color="auto"/>
              <w:bottom w:val="single" w:sz="4" w:space="0" w:color="auto"/>
            </w:tcBorders>
            <w:vAlign w:val="center"/>
          </w:tcPr>
          <w:p w14:paraId="4B0645E3" w14:textId="77777777" w:rsidR="00D314A0" w:rsidRPr="00CB0159" w:rsidRDefault="00D314A0" w:rsidP="00C84A34">
            <w:pPr>
              <w:spacing w:line="276" w:lineRule="auto"/>
              <w:jc w:val="center"/>
              <w:rPr>
                <w:rFonts w:ascii="Calibri" w:hAnsi="Calibri" w:cs="Calibri"/>
                <w:sz w:val="20"/>
                <w:szCs w:val="20"/>
                <w:lang w:val="en"/>
              </w:rPr>
            </w:pPr>
          </w:p>
          <w:p w14:paraId="4AB3E171" w14:textId="77777777" w:rsidR="00D314A0" w:rsidRPr="00CB0159" w:rsidRDefault="00D314A0" w:rsidP="00C84A34">
            <w:pPr>
              <w:spacing w:line="276" w:lineRule="auto"/>
              <w:jc w:val="center"/>
              <w:rPr>
                <w:rFonts w:ascii="Calibri" w:hAnsi="Calibri" w:cs="Calibri"/>
                <w:sz w:val="20"/>
                <w:szCs w:val="20"/>
                <w:lang w:val="en"/>
              </w:rPr>
            </w:pPr>
          </w:p>
          <w:p w14:paraId="71DC8CEE"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82.3%</w:t>
            </w:r>
          </w:p>
          <w:p w14:paraId="35178158"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10.0%</w:t>
            </w:r>
          </w:p>
          <w:p w14:paraId="61C9E29C"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4.6%</w:t>
            </w:r>
          </w:p>
          <w:p w14:paraId="19076C1E"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3.0%</w:t>
            </w:r>
          </w:p>
        </w:tc>
        <w:tc>
          <w:tcPr>
            <w:tcW w:w="794" w:type="dxa"/>
            <w:tcBorders>
              <w:top w:val="dotted" w:sz="4" w:space="0" w:color="auto"/>
              <w:bottom w:val="single" w:sz="4" w:space="0" w:color="auto"/>
            </w:tcBorders>
            <w:vAlign w:val="center"/>
          </w:tcPr>
          <w:p w14:paraId="4CCB6E86" w14:textId="77777777" w:rsidR="00D314A0" w:rsidRPr="00CB0159" w:rsidRDefault="00D314A0" w:rsidP="00C84A34">
            <w:pPr>
              <w:spacing w:line="276" w:lineRule="auto"/>
              <w:jc w:val="center"/>
              <w:rPr>
                <w:rFonts w:ascii="Calibri" w:hAnsi="Calibri" w:cs="Calibri"/>
                <w:sz w:val="20"/>
                <w:szCs w:val="20"/>
                <w:lang w:val="en"/>
              </w:rPr>
            </w:pPr>
          </w:p>
          <w:p w14:paraId="335BEA4A" w14:textId="77777777" w:rsidR="00D314A0" w:rsidRPr="00CB0159" w:rsidRDefault="00D314A0" w:rsidP="00C84A34">
            <w:pPr>
              <w:spacing w:line="276" w:lineRule="auto"/>
              <w:jc w:val="center"/>
              <w:rPr>
                <w:rFonts w:ascii="Calibri" w:hAnsi="Calibri" w:cs="Calibri"/>
                <w:sz w:val="20"/>
                <w:szCs w:val="20"/>
                <w:lang w:val="en"/>
              </w:rPr>
            </w:pPr>
          </w:p>
          <w:p w14:paraId="6837EA07"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84.1%</w:t>
            </w:r>
          </w:p>
          <w:p w14:paraId="441A03E1"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9.2%</w:t>
            </w:r>
          </w:p>
          <w:p w14:paraId="3513B9D0"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4.0%</w:t>
            </w:r>
          </w:p>
          <w:p w14:paraId="50CC29B1"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2.7%</w:t>
            </w:r>
          </w:p>
        </w:tc>
        <w:tc>
          <w:tcPr>
            <w:tcW w:w="794" w:type="dxa"/>
            <w:tcBorders>
              <w:top w:val="dotted" w:sz="4" w:space="0" w:color="auto"/>
              <w:bottom w:val="single" w:sz="4" w:space="0" w:color="auto"/>
            </w:tcBorders>
            <w:vAlign w:val="center"/>
          </w:tcPr>
          <w:p w14:paraId="43684FEE" w14:textId="77777777" w:rsidR="00D314A0" w:rsidRPr="00CB0159" w:rsidRDefault="00D314A0" w:rsidP="00C84A34">
            <w:pPr>
              <w:spacing w:line="276" w:lineRule="auto"/>
              <w:jc w:val="center"/>
              <w:rPr>
                <w:rFonts w:ascii="Calibri" w:hAnsi="Calibri" w:cs="Calibri"/>
                <w:sz w:val="20"/>
                <w:szCs w:val="20"/>
                <w:lang w:val="en"/>
              </w:rPr>
            </w:pPr>
          </w:p>
          <w:p w14:paraId="13CF3521" w14:textId="77777777" w:rsidR="00D314A0" w:rsidRPr="00CB0159" w:rsidRDefault="00D314A0" w:rsidP="00C84A34">
            <w:pPr>
              <w:spacing w:line="276" w:lineRule="auto"/>
              <w:jc w:val="center"/>
              <w:rPr>
                <w:rFonts w:ascii="Calibri" w:hAnsi="Calibri" w:cs="Calibri"/>
                <w:sz w:val="20"/>
                <w:szCs w:val="20"/>
                <w:lang w:val="en"/>
              </w:rPr>
            </w:pPr>
          </w:p>
          <w:p w14:paraId="0F35FA66"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83.9%</w:t>
            </w:r>
          </w:p>
          <w:p w14:paraId="24D3D281"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9.0%</w:t>
            </w:r>
          </w:p>
          <w:p w14:paraId="6D3F6239"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4.3%</w:t>
            </w:r>
          </w:p>
          <w:p w14:paraId="33A809DC"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2.8%</w:t>
            </w:r>
          </w:p>
        </w:tc>
        <w:tc>
          <w:tcPr>
            <w:tcW w:w="794" w:type="dxa"/>
            <w:tcBorders>
              <w:top w:val="dotted" w:sz="4" w:space="0" w:color="auto"/>
              <w:bottom w:val="single" w:sz="4" w:space="0" w:color="auto"/>
            </w:tcBorders>
            <w:vAlign w:val="center"/>
          </w:tcPr>
          <w:p w14:paraId="508F1F27" w14:textId="77777777" w:rsidR="00D314A0" w:rsidRPr="00CB0159" w:rsidRDefault="00D314A0" w:rsidP="00C84A34">
            <w:pPr>
              <w:spacing w:line="276" w:lineRule="auto"/>
              <w:jc w:val="center"/>
              <w:rPr>
                <w:rFonts w:ascii="Calibri" w:hAnsi="Calibri" w:cs="Calibri"/>
                <w:sz w:val="20"/>
                <w:szCs w:val="20"/>
                <w:lang w:val="en"/>
              </w:rPr>
            </w:pPr>
          </w:p>
          <w:p w14:paraId="1DAAFA08" w14:textId="77777777" w:rsidR="00D314A0" w:rsidRPr="00CB0159" w:rsidRDefault="00D314A0" w:rsidP="00C84A34">
            <w:pPr>
              <w:spacing w:line="276" w:lineRule="auto"/>
              <w:jc w:val="center"/>
              <w:rPr>
                <w:rFonts w:ascii="Calibri" w:hAnsi="Calibri" w:cs="Calibri"/>
                <w:sz w:val="20"/>
                <w:szCs w:val="20"/>
                <w:lang w:val="en"/>
              </w:rPr>
            </w:pPr>
          </w:p>
          <w:p w14:paraId="4346B6BC"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83.2%</w:t>
            </w:r>
          </w:p>
          <w:p w14:paraId="0ADD1C1F"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9.5%</w:t>
            </w:r>
          </w:p>
          <w:p w14:paraId="5F8C9239"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4.3%</w:t>
            </w:r>
          </w:p>
          <w:p w14:paraId="2ED2810E"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2.9%</w:t>
            </w:r>
          </w:p>
        </w:tc>
        <w:tc>
          <w:tcPr>
            <w:tcW w:w="794" w:type="dxa"/>
            <w:tcBorders>
              <w:top w:val="dotted" w:sz="4" w:space="0" w:color="auto"/>
              <w:bottom w:val="single" w:sz="4" w:space="0" w:color="auto"/>
            </w:tcBorders>
            <w:vAlign w:val="center"/>
          </w:tcPr>
          <w:p w14:paraId="5CADC296" w14:textId="77777777" w:rsidR="00D314A0" w:rsidRPr="00CB0159" w:rsidRDefault="00D314A0" w:rsidP="00C84A34">
            <w:pPr>
              <w:spacing w:line="276" w:lineRule="auto"/>
              <w:jc w:val="center"/>
              <w:rPr>
                <w:rFonts w:ascii="Calibri" w:hAnsi="Calibri" w:cs="Calibri"/>
                <w:sz w:val="20"/>
                <w:szCs w:val="20"/>
                <w:lang w:val="en"/>
              </w:rPr>
            </w:pPr>
          </w:p>
          <w:p w14:paraId="110EDFCB" w14:textId="77777777" w:rsidR="00D314A0" w:rsidRPr="00CB0159" w:rsidRDefault="00D314A0" w:rsidP="00C84A34">
            <w:pPr>
              <w:spacing w:line="276" w:lineRule="auto"/>
              <w:jc w:val="center"/>
              <w:rPr>
                <w:rFonts w:ascii="Calibri" w:hAnsi="Calibri" w:cs="Calibri"/>
                <w:sz w:val="20"/>
                <w:szCs w:val="20"/>
                <w:lang w:val="en"/>
              </w:rPr>
            </w:pPr>
          </w:p>
          <w:p w14:paraId="02AC266C"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83.2%</w:t>
            </w:r>
          </w:p>
          <w:p w14:paraId="214AAF24"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9.3%</w:t>
            </w:r>
          </w:p>
          <w:p w14:paraId="492DAA82"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4.3%</w:t>
            </w:r>
          </w:p>
          <w:p w14:paraId="77F31111"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3.2%</w:t>
            </w:r>
          </w:p>
        </w:tc>
        <w:tc>
          <w:tcPr>
            <w:tcW w:w="794" w:type="dxa"/>
            <w:tcBorders>
              <w:top w:val="dotted" w:sz="4" w:space="0" w:color="auto"/>
              <w:bottom w:val="single" w:sz="4" w:space="0" w:color="auto"/>
            </w:tcBorders>
            <w:vAlign w:val="center"/>
          </w:tcPr>
          <w:p w14:paraId="42E2C332" w14:textId="77777777" w:rsidR="00D314A0" w:rsidRPr="00CB0159" w:rsidRDefault="00D314A0" w:rsidP="00C84A34">
            <w:pPr>
              <w:spacing w:line="276" w:lineRule="auto"/>
              <w:jc w:val="center"/>
              <w:rPr>
                <w:rFonts w:ascii="Calibri" w:hAnsi="Calibri" w:cs="Calibri"/>
                <w:sz w:val="20"/>
                <w:szCs w:val="20"/>
                <w:lang w:val="en"/>
              </w:rPr>
            </w:pPr>
          </w:p>
          <w:p w14:paraId="10671F1F" w14:textId="77777777" w:rsidR="00D314A0" w:rsidRPr="00CB0159" w:rsidRDefault="00D314A0" w:rsidP="00C84A34">
            <w:pPr>
              <w:spacing w:line="276" w:lineRule="auto"/>
              <w:jc w:val="center"/>
              <w:rPr>
                <w:rFonts w:ascii="Calibri" w:hAnsi="Calibri" w:cs="Calibri"/>
                <w:sz w:val="20"/>
                <w:szCs w:val="20"/>
                <w:lang w:val="en"/>
              </w:rPr>
            </w:pPr>
          </w:p>
          <w:p w14:paraId="5F21A673"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83.2%</w:t>
            </w:r>
          </w:p>
          <w:p w14:paraId="28FB80D7"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9.2%</w:t>
            </w:r>
          </w:p>
          <w:p w14:paraId="538A83A2" w14:textId="77777777" w:rsidR="00D314A0" w:rsidRPr="00CB0159" w:rsidRDefault="00D314A0" w:rsidP="00C84A34">
            <w:pPr>
              <w:spacing w:line="276" w:lineRule="auto"/>
              <w:jc w:val="center"/>
              <w:rPr>
                <w:rFonts w:ascii="Calibri" w:hAnsi="Calibri" w:cs="Calibri"/>
                <w:sz w:val="20"/>
                <w:szCs w:val="20"/>
                <w:lang w:val="en"/>
              </w:rPr>
            </w:pPr>
            <w:r w:rsidRPr="00CB0159">
              <w:rPr>
                <w:rFonts w:ascii="Calibri" w:hAnsi="Calibri" w:cs="Calibri"/>
                <w:sz w:val="20"/>
                <w:szCs w:val="20"/>
                <w:lang w:val="en"/>
              </w:rPr>
              <w:t>4.4%</w:t>
            </w:r>
          </w:p>
          <w:p w14:paraId="03E8BB4B" w14:textId="77777777" w:rsidR="00D314A0" w:rsidRPr="00CB0159" w:rsidRDefault="00D314A0" w:rsidP="00C84A34">
            <w:pPr>
              <w:keepNext/>
              <w:spacing w:line="276" w:lineRule="auto"/>
              <w:jc w:val="center"/>
              <w:rPr>
                <w:rFonts w:ascii="Calibri" w:hAnsi="Calibri" w:cs="Calibri"/>
                <w:sz w:val="20"/>
                <w:szCs w:val="20"/>
                <w:lang w:val="en"/>
              </w:rPr>
            </w:pPr>
            <w:r w:rsidRPr="00CB0159">
              <w:rPr>
                <w:rFonts w:ascii="Calibri" w:hAnsi="Calibri" w:cs="Calibri"/>
                <w:sz w:val="20"/>
                <w:szCs w:val="20"/>
                <w:lang w:val="en"/>
              </w:rPr>
              <w:t>3.3%</w:t>
            </w:r>
          </w:p>
        </w:tc>
      </w:tr>
    </w:tbl>
    <w:p w14:paraId="550F6208" w14:textId="3CF290DC" w:rsidR="00B5275C" w:rsidRDefault="00D314A0" w:rsidP="00D314A0">
      <w:pPr>
        <w:pStyle w:val="Caption"/>
        <w:spacing w:line="276" w:lineRule="auto"/>
        <w:rPr>
          <w:rFonts w:ascii="Calibri" w:hAnsi="Calibri"/>
          <w:lang w:val="en"/>
        </w:rPr>
      </w:pPr>
      <w:r w:rsidRPr="00383AB2">
        <w:rPr>
          <w:rFonts w:ascii="Calibri" w:hAnsi="Calibri"/>
          <w:lang w:val="en"/>
        </w:rPr>
        <w:t xml:space="preserve">Table </w:t>
      </w:r>
      <w:r w:rsidRPr="004110D5">
        <w:rPr>
          <w:rFonts w:ascii="Calibri" w:hAnsi="Calibri"/>
          <w:lang w:val="en"/>
        </w:rPr>
        <w:t>2</w:t>
      </w:r>
      <w:r w:rsidRPr="00383AB2">
        <w:rPr>
          <w:rFonts w:ascii="Calibri" w:hAnsi="Calibri"/>
          <w:lang w:val="en"/>
        </w:rPr>
        <w:t xml:space="preserve">: </w:t>
      </w:r>
      <w:r>
        <w:rPr>
          <w:rFonts w:ascii="Calibri" w:hAnsi="Calibri"/>
          <w:lang w:val="en"/>
        </w:rPr>
        <w:t>B</w:t>
      </w:r>
      <w:r w:rsidRPr="00383AB2">
        <w:rPr>
          <w:rFonts w:ascii="Calibri" w:hAnsi="Calibri"/>
          <w:lang w:val="en"/>
        </w:rPr>
        <w:t>aseline characteristics of</w:t>
      </w:r>
      <w:r>
        <w:rPr>
          <w:rFonts w:ascii="Calibri" w:hAnsi="Calibri"/>
          <w:lang w:val="en"/>
        </w:rPr>
        <w:t xml:space="preserve"> patients sustaining a first incident major osteoporotic fracture in a given year. </w:t>
      </w:r>
      <w:r>
        <w:rPr>
          <w:rFonts w:ascii="Calibri" w:hAnsi="Calibri"/>
          <w:lang w:val="en"/>
        </w:rPr>
        <w:br/>
      </w:r>
      <w:r w:rsidR="00DE20B2">
        <w:rPr>
          <w:rFonts w:ascii="Calibri" w:hAnsi="Calibri"/>
          <w:lang w:val="en"/>
        </w:rPr>
        <w:t xml:space="preserve">AOM, anti-osteoporosis medication; </w:t>
      </w:r>
      <w:r w:rsidRPr="00383AB2">
        <w:rPr>
          <w:rFonts w:ascii="Calibri" w:hAnsi="Calibri"/>
          <w:lang w:val="en"/>
        </w:rPr>
        <w:t>HRT, hormone replacement therapy; MOF, major osteoporotic fracture</w:t>
      </w:r>
      <w:r>
        <w:rPr>
          <w:rFonts w:ascii="Calibri" w:hAnsi="Calibri"/>
          <w:lang w:val="en"/>
        </w:rPr>
        <w:t>.</w:t>
      </w:r>
      <w:r w:rsidRPr="00383AB2">
        <w:rPr>
          <w:rFonts w:ascii="Calibri" w:hAnsi="Calibri"/>
          <w:lang w:val="en"/>
        </w:rPr>
        <w:br/>
      </w:r>
      <w:r w:rsidRPr="00383AB2">
        <w:rPr>
          <w:rFonts w:ascii="Calibri" w:hAnsi="Calibri"/>
          <w:vertAlign w:val="superscript"/>
          <w:lang w:val="en"/>
        </w:rPr>
        <w:t>1</w:t>
      </w:r>
      <w:r w:rsidRPr="00383AB2">
        <w:rPr>
          <w:rFonts w:ascii="Calibri" w:hAnsi="Calibri"/>
          <w:lang w:val="en"/>
        </w:rPr>
        <w:t>Within one year prior to the index fracture</w:t>
      </w:r>
      <w:r>
        <w:rPr>
          <w:rFonts w:ascii="Calibri" w:hAnsi="Calibri"/>
          <w:lang w:val="en"/>
        </w:rPr>
        <w:br/>
      </w:r>
      <w:r w:rsidRPr="007F3A27">
        <w:rPr>
          <w:rFonts w:ascii="Calibri" w:hAnsi="Calibri"/>
          <w:vertAlign w:val="superscript"/>
          <w:lang w:val="en"/>
        </w:rPr>
        <w:t>2</w:t>
      </w:r>
      <w:r>
        <w:rPr>
          <w:rFonts w:ascii="Calibri" w:hAnsi="Calibri"/>
          <w:lang w:val="en"/>
        </w:rPr>
        <w:t>Within five years prior to the index fracture</w:t>
      </w:r>
    </w:p>
    <w:p w14:paraId="325C80A1" w14:textId="4B468E9D" w:rsidR="007156B0" w:rsidRDefault="007156B0" w:rsidP="007156B0">
      <w:pPr>
        <w:rPr>
          <w:lang w:val="en"/>
        </w:rPr>
      </w:pPr>
    </w:p>
    <w:p w14:paraId="6CD9FD04" w14:textId="14E5E902" w:rsidR="007156B0" w:rsidRDefault="007156B0">
      <w:pPr>
        <w:rPr>
          <w:lang w:val="en"/>
        </w:rPr>
      </w:pPr>
      <w:r>
        <w:rPr>
          <w:lang w:val="en"/>
        </w:rPr>
        <w:br w:type="page"/>
      </w:r>
    </w:p>
    <w:p w14:paraId="5328AD38" w14:textId="587A3742" w:rsidR="007156B0" w:rsidRDefault="007156B0" w:rsidP="007156B0">
      <w:pPr>
        <w:spacing w:line="480" w:lineRule="auto"/>
        <w:rPr>
          <w:rFonts w:ascii="Times" w:hAnsi="Times" w:cs="Times New Roman"/>
          <w:b/>
          <w:lang w:val="en"/>
        </w:rPr>
      </w:pPr>
      <w:r w:rsidRPr="008F56CC">
        <w:rPr>
          <w:rFonts w:ascii="Times" w:hAnsi="Times" w:cs="Times New Roman"/>
          <w:b/>
          <w:lang w:val="en"/>
        </w:rPr>
        <w:lastRenderedPageBreak/>
        <w:t>Figure captions</w:t>
      </w:r>
    </w:p>
    <w:p w14:paraId="63A6C5EE" w14:textId="05A6C6AF" w:rsidR="007156B0" w:rsidRPr="008F56CC" w:rsidRDefault="007156B0" w:rsidP="008F56CC">
      <w:pPr>
        <w:spacing w:line="480" w:lineRule="auto"/>
        <w:rPr>
          <w:rFonts w:ascii="Times" w:hAnsi="Times" w:cs="Times New Roman"/>
          <w:b/>
          <w:lang w:val="en"/>
        </w:rPr>
      </w:pPr>
      <w:r w:rsidRPr="008F56CC">
        <w:rPr>
          <w:rFonts w:ascii="Times" w:hAnsi="Times" w:cs="Times New Roman"/>
          <w:b/>
          <w:lang w:val="en"/>
        </w:rPr>
        <w:t>Fig</w:t>
      </w:r>
      <w:r w:rsidR="0034368E" w:rsidRPr="008F56CC">
        <w:rPr>
          <w:rFonts w:ascii="Times" w:hAnsi="Times" w:cs="Times New Roman"/>
          <w:b/>
          <w:lang w:val="en"/>
        </w:rPr>
        <w:t>.</w:t>
      </w:r>
      <w:r w:rsidRPr="008F56CC">
        <w:rPr>
          <w:rFonts w:ascii="Times" w:hAnsi="Times" w:cs="Times New Roman"/>
          <w:b/>
          <w:lang w:val="en"/>
        </w:rPr>
        <w:t xml:space="preserve"> 1</w:t>
      </w:r>
      <w:r w:rsidRPr="006F202F">
        <w:rPr>
          <w:rFonts w:ascii="Times" w:hAnsi="Times" w:cs="Times New Roman"/>
          <w:lang w:val="en"/>
        </w:rPr>
        <w:t xml:space="preserve"> </w:t>
      </w:r>
      <w:r w:rsidR="006F202F" w:rsidRPr="008F56CC">
        <w:rPr>
          <w:rFonts w:ascii="Times" w:hAnsi="Times" w:cs="Times New Roman"/>
          <w:lang w:val="en-US"/>
        </w:rPr>
        <w:t>Treatment rate and treatment gap for patients sustaining a first incident major osteoporotic fracture within any given year (2005-2014). The numbers above the bars indicate the proportion of patients initiating hospital-administered treatment (zoledronic acid or denosumab)</w:t>
      </w:r>
    </w:p>
    <w:p w14:paraId="13DD8091" w14:textId="672AF565" w:rsidR="0034368E" w:rsidRPr="00BB40C2" w:rsidRDefault="0034368E" w:rsidP="0034368E">
      <w:pPr>
        <w:spacing w:line="480" w:lineRule="auto"/>
        <w:rPr>
          <w:rFonts w:ascii="Times" w:hAnsi="Times" w:cs="Times New Roman"/>
          <w:b/>
          <w:lang w:val="en"/>
        </w:rPr>
      </w:pPr>
      <w:r w:rsidRPr="00BB40C2">
        <w:rPr>
          <w:rFonts w:ascii="Times" w:hAnsi="Times" w:cs="Times New Roman"/>
          <w:b/>
          <w:lang w:val="en"/>
        </w:rPr>
        <w:t xml:space="preserve">Fig. </w:t>
      </w:r>
      <w:r>
        <w:rPr>
          <w:rFonts w:ascii="Times" w:hAnsi="Times" w:cs="Times New Roman"/>
          <w:b/>
          <w:lang w:val="en"/>
        </w:rPr>
        <w:t>2</w:t>
      </w:r>
      <w:r w:rsidRPr="00BB40C2">
        <w:rPr>
          <w:rFonts w:ascii="Times" w:hAnsi="Times" w:cs="Times New Roman"/>
          <w:b/>
          <w:lang w:val="en"/>
        </w:rPr>
        <w:t xml:space="preserve"> </w:t>
      </w:r>
      <w:r w:rsidR="006F202F" w:rsidRPr="008F56CC">
        <w:rPr>
          <w:rFonts w:ascii="Times" w:hAnsi="Times" w:cs="Times New Roman"/>
          <w:lang w:val="en-US"/>
        </w:rPr>
        <w:t>Treatment rate and treatment gap for patients sustaining a first incident hip (panel 2A), vertebral (2B), humerus (2C), or forearm (2D) fracture within any given year (2005-2014). The numbers above the bars indicate the proportion of patients initiating hospital-administered treatment (zoledronic acid or denosumab); no number listed if too few observations</w:t>
      </w:r>
    </w:p>
    <w:p w14:paraId="7A18FCB9" w14:textId="1A4F4D6F" w:rsidR="0034368E" w:rsidRPr="00BB40C2" w:rsidRDefault="0034368E" w:rsidP="0034368E">
      <w:pPr>
        <w:spacing w:line="480" w:lineRule="auto"/>
        <w:rPr>
          <w:rFonts w:ascii="Times" w:hAnsi="Times" w:cs="Times New Roman"/>
          <w:b/>
          <w:lang w:val="en"/>
        </w:rPr>
      </w:pPr>
      <w:r w:rsidRPr="00BB40C2">
        <w:rPr>
          <w:rFonts w:ascii="Times" w:hAnsi="Times" w:cs="Times New Roman"/>
          <w:b/>
          <w:lang w:val="en"/>
        </w:rPr>
        <w:t xml:space="preserve">Fig. </w:t>
      </w:r>
      <w:r>
        <w:rPr>
          <w:rFonts w:ascii="Times" w:hAnsi="Times" w:cs="Times New Roman"/>
          <w:b/>
          <w:lang w:val="en"/>
        </w:rPr>
        <w:t>3</w:t>
      </w:r>
      <w:r w:rsidR="006F202F">
        <w:rPr>
          <w:rFonts w:ascii="Times" w:hAnsi="Times" w:cs="Times New Roman"/>
          <w:b/>
          <w:lang w:val="en"/>
        </w:rPr>
        <w:t xml:space="preserve"> </w:t>
      </w:r>
      <w:r w:rsidR="006F202F" w:rsidRPr="008F56CC">
        <w:rPr>
          <w:rFonts w:ascii="Times" w:hAnsi="Times" w:cs="Times New Roman"/>
          <w:lang w:val="en-US"/>
        </w:rPr>
        <w:t>Treatment rate and treatment gap for patients sustaining a first incident major osteoporotic fracture within any given year (2005-2014), stratified according to gender. The numbers above the bars indicate the proportion of patients initiating hospital-administered treatment (zoledronic acid or denosumab)</w:t>
      </w:r>
      <w:r w:rsidR="002603C1">
        <w:rPr>
          <w:rFonts w:ascii="Times" w:hAnsi="Times" w:cs="Times New Roman"/>
          <w:lang w:val="en-US"/>
        </w:rPr>
        <w:t>. Treatment gap lines are trend lines</w:t>
      </w:r>
    </w:p>
    <w:p w14:paraId="7E6AAE97" w14:textId="48908A1F" w:rsidR="0034368E" w:rsidRPr="00BB40C2" w:rsidRDefault="0034368E" w:rsidP="0034368E">
      <w:pPr>
        <w:spacing w:line="480" w:lineRule="auto"/>
        <w:rPr>
          <w:rFonts w:ascii="Times" w:hAnsi="Times" w:cs="Times New Roman"/>
          <w:b/>
          <w:lang w:val="en"/>
        </w:rPr>
      </w:pPr>
      <w:r w:rsidRPr="00BB40C2">
        <w:rPr>
          <w:rFonts w:ascii="Times" w:hAnsi="Times" w:cs="Times New Roman"/>
          <w:b/>
          <w:lang w:val="en"/>
        </w:rPr>
        <w:t xml:space="preserve">Fig. </w:t>
      </w:r>
      <w:r>
        <w:rPr>
          <w:rFonts w:ascii="Times" w:hAnsi="Times" w:cs="Times New Roman"/>
          <w:b/>
          <w:lang w:val="en"/>
        </w:rPr>
        <w:t>4</w:t>
      </w:r>
      <w:r w:rsidR="006F202F">
        <w:rPr>
          <w:rFonts w:ascii="Times" w:hAnsi="Times" w:cs="Times New Roman"/>
          <w:b/>
          <w:lang w:val="en"/>
        </w:rPr>
        <w:t xml:space="preserve"> </w:t>
      </w:r>
      <w:r w:rsidR="006F202F" w:rsidRPr="008F56CC">
        <w:rPr>
          <w:rFonts w:ascii="Times" w:hAnsi="Times" w:cs="Times New Roman"/>
          <w:lang w:val="en-US"/>
        </w:rPr>
        <w:t>Use of hospital-administered AOM in patients sustaining a first incident major osteoporotic fracture in any given year</w:t>
      </w:r>
      <w:r w:rsidR="00E94686">
        <w:rPr>
          <w:rFonts w:ascii="Times" w:hAnsi="Times" w:cs="Times New Roman"/>
          <w:lang w:val="en-US"/>
        </w:rPr>
        <w:t xml:space="preserve"> (2015-2014)</w:t>
      </w:r>
      <w:r w:rsidR="006F202F" w:rsidRPr="008F56CC">
        <w:rPr>
          <w:rFonts w:ascii="Times" w:hAnsi="Times" w:cs="Times New Roman"/>
          <w:lang w:val="en-US"/>
        </w:rPr>
        <w:t>. The figure shows the proportion of all AOM-treated MOF-patients treated with hospital-administered AOM (zoledronic acid or denosumab), stratified according to gender. Index year has been grouped for smoothening. AOM, anti-osteoporosis medication</w:t>
      </w:r>
      <w:r w:rsidR="0012621C">
        <w:rPr>
          <w:rFonts w:ascii="Times" w:hAnsi="Times" w:cs="Times New Roman"/>
          <w:lang w:val="en-US"/>
        </w:rPr>
        <w:t>; MOF, major osteoporotic fracture</w:t>
      </w:r>
    </w:p>
    <w:p w14:paraId="31B2EEDA" w14:textId="77777777" w:rsidR="007156B0" w:rsidRPr="008F56CC" w:rsidRDefault="007156B0" w:rsidP="008F56CC">
      <w:pPr>
        <w:rPr>
          <w:b/>
          <w:lang w:val="en"/>
        </w:rPr>
      </w:pPr>
    </w:p>
    <w:sectPr w:rsidR="007156B0" w:rsidRPr="008F56CC" w:rsidSect="002C5179">
      <w:footerReference w:type="even" r:id="rId9"/>
      <w:footerReference w:type="default" r:id="rId10"/>
      <w:pgSz w:w="11900" w:h="16840"/>
      <w:pgMar w:top="1701" w:right="1134" w:bottom="1701"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6D2F7" w14:textId="77777777" w:rsidR="000976C3" w:rsidRDefault="000976C3" w:rsidP="00241213">
      <w:r>
        <w:separator/>
      </w:r>
    </w:p>
  </w:endnote>
  <w:endnote w:type="continuationSeparator" w:id="0">
    <w:p w14:paraId="068368BF" w14:textId="77777777" w:rsidR="000976C3" w:rsidRDefault="000976C3" w:rsidP="0024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24546897"/>
      <w:docPartObj>
        <w:docPartGallery w:val="Page Numbers (Bottom of Page)"/>
        <w:docPartUnique/>
      </w:docPartObj>
    </w:sdtPr>
    <w:sdtEndPr>
      <w:rPr>
        <w:rStyle w:val="PageNumber"/>
      </w:rPr>
    </w:sdtEndPr>
    <w:sdtContent>
      <w:p w14:paraId="397E154B" w14:textId="6AF37313" w:rsidR="00B9131C" w:rsidRDefault="00B9131C" w:rsidP="00715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C7726F" w14:textId="77777777" w:rsidR="00B9131C" w:rsidRDefault="00B9131C">
    <w:pPr>
      <w:pStyle w:val="Footer"/>
      <w:ind w:right="360"/>
      <w:pPrChange w:id="0" w:author="Microsoft Office User" w:date="2020-07-10T14:1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95745981"/>
      <w:docPartObj>
        <w:docPartGallery w:val="Page Numbers (Bottom of Page)"/>
        <w:docPartUnique/>
      </w:docPartObj>
    </w:sdtPr>
    <w:sdtEndPr>
      <w:rPr>
        <w:rStyle w:val="PageNumber"/>
      </w:rPr>
    </w:sdtEndPr>
    <w:sdtContent>
      <w:p w14:paraId="2B1B35B0" w14:textId="21FE66B3" w:rsidR="00B9131C" w:rsidRDefault="00B9131C" w:rsidP="00715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A2E36">
          <w:rPr>
            <w:rStyle w:val="PageNumber"/>
            <w:noProof/>
          </w:rPr>
          <w:t>13</w:t>
        </w:r>
        <w:r>
          <w:rPr>
            <w:rStyle w:val="PageNumber"/>
          </w:rPr>
          <w:fldChar w:fldCharType="end"/>
        </w:r>
      </w:p>
    </w:sdtContent>
  </w:sdt>
  <w:p w14:paraId="78352D63" w14:textId="77777777" w:rsidR="00B9131C" w:rsidRDefault="00B9131C" w:rsidP="008F56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1589A" w14:textId="77777777" w:rsidR="000976C3" w:rsidRDefault="000976C3" w:rsidP="00241213">
      <w:r>
        <w:separator/>
      </w:r>
    </w:p>
  </w:footnote>
  <w:footnote w:type="continuationSeparator" w:id="0">
    <w:p w14:paraId="262B07E7" w14:textId="77777777" w:rsidR="000976C3" w:rsidRDefault="000976C3" w:rsidP="00241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3092"/>
    <w:multiLevelType w:val="hybridMultilevel"/>
    <w:tmpl w:val="99F6E61C"/>
    <w:lvl w:ilvl="0" w:tplc="BE8E0274">
      <w:start w:val="1"/>
      <w:numFmt w:val="bullet"/>
      <w:lvlText w:val=""/>
      <w:lvlJc w:val="left"/>
      <w:pPr>
        <w:ind w:left="720" w:hanging="360"/>
      </w:pPr>
      <w:rPr>
        <w:rFonts w:ascii="Symbol" w:eastAsiaTheme="minorHAns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04D7E5B"/>
    <w:multiLevelType w:val="hybridMultilevel"/>
    <w:tmpl w:val="C7C44072"/>
    <w:lvl w:ilvl="0" w:tplc="0A223FD2">
      <w:start w:val="19"/>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0D4BC8"/>
    <w:multiLevelType w:val="hybridMultilevel"/>
    <w:tmpl w:val="A74A624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CCC63B2"/>
    <w:multiLevelType w:val="hybridMultilevel"/>
    <w:tmpl w:val="99388A72"/>
    <w:lvl w:ilvl="0" w:tplc="A71A3D60">
      <w:start w:val="1"/>
      <w:numFmt w:val="decimal"/>
      <w:lvlText w:val="%1)"/>
      <w:lvlJc w:val="left"/>
      <w:pPr>
        <w:ind w:left="720" w:hanging="360"/>
      </w:pPr>
      <w:rPr>
        <w:rFonts w:asciiTheme="minorHAnsi" w:eastAsiaTheme="minorHAnsi" w:hAnsiTheme="minorHAns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6852188"/>
    <w:multiLevelType w:val="hybridMultilevel"/>
    <w:tmpl w:val="42647DE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30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9EC"/>
    <w:rsid w:val="00004687"/>
    <w:rsid w:val="00004DEC"/>
    <w:rsid w:val="00011D41"/>
    <w:rsid w:val="000128C3"/>
    <w:rsid w:val="00013C5D"/>
    <w:rsid w:val="00014817"/>
    <w:rsid w:val="000151E6"/>
    <w:rsid w:val="000224D5"/>
    <w:rsid w:val="000257C1"/>
    <w:rsid w:val="00030B5E"/>
    <w:rsid w:val="0003360E"/>
    <w:rsid w:val="00035489"/>
    <w:rsid w:val="00037397"/>
    <w:rsid w:val="00040555"/>
    <w:rsid w:val="00042DE9"/>
    <w:rsid w:val="00043FD6"/>
    <w:rsid w:val="0004441A"/>
    <w:rsid w:val="00050067"/>
    <w:rsid w:val="00050F5A"/>
    <w:rsid w:val="00056275"/>
    <w:rsid w:val="00060423"/>
    <w:rsid w:val="000626AC"/>
    <w:rsid w:val="00062A79"/>
    <w:rsid w:val="00062BF0"/>
    <w:rsid w:val="0006533B"/>
    <w:rsid w:val="00065D82"/>
    <w:rsid w:val="00065F39"/>
    <w:rsid w:val="000674C7"/>
    <w:rsid w:val="00071736"/>
    <w:rsid w:val="000744A1"/>
    <w:rsid w:val="00074BC0"/>
    <w:rsid w:val="00074DF3"/>
    <w:rsid w:val="00074F52"/>
    <w:rsid w:val="00076110"/>
    <w:rsid w:val="00076724"/>
    <w:rsid w:val="00077DE0"/>
    <w:rsid w:val="00080E59"/>
    <w:rsid w:val="00082BAA"/>
    <w:rsid w:val="00085308"/>
    <w:rsid w:val="00087A1D"/>
    <w:rsid w:val="00087E69"/>
    <w:rsid w:val="00092049"/>
    <w:rsid w:val="00092D3A"/>
    <w:rsid w:val="000936F4"/>
    <w:rsid w:val="000939C4"/>
    <w:rsid w:val="00095FC8"/>
    <w:rsid w:val="00097219"/>
    <w:rsid w:val="000976C3"/>
    <w:rsid w:val="00097D4F"/>
    <w:rsid w:val="000A036C"/>
    <w:rsid w:val="000A32D8"/>
    <w:rsid w:val="000A4774"/>
    <w:rsid w:val="000A4D63"/>
    <w:rsid w:val="000B14B3"/>
    <w:rsid w:val="000B1534"/>
    <w:rsid w:val="000B16DF"/>
    <w:rsid w:val="000B17CE"/>
    <w:rsid w:val="000B2074"/>
    <w:rsid w:val="000C1747"/>
    <w:rsid w:val="000C1E21"/>
    <w:rsid w:val="000C1EF6"/>
    <w:rsid w:val="000C2B52"/>
    <w:rsid w:val="000C3732"/>
    <w:rsid w:val="000C416A"/>
    <w:rsid w:val="000C5C1C"/>
    <w:rsid w:val="000C69AD"/>
    <w:rsid w:val="000D56AD"/>
    <w:rsid w:val="000D6B0F"/>
    <w:rsid w:val="000E10CE"/>
    <w:rsid w:val="000E2F5D"/>
    <w:rsid w:val="000E56F0"/>
    <w:rsid w:val="000E6C2F"/>
    <w:rsid w:val="000F0E41"/>
    <w:rsid w:val="000F1245"/>
    <w:rsid w:val="000F2632"/>
    <w:rsid w:val="000F3DDE"/>
    <w:rsid w:val="000F5773"/>
    <w:rsid w:val="00101CFB"/>
    <w:rsid w:val="00102855"/>
    <w:rsid w:val="0010370F"/>
    <w:rsid w:val="001039A1"/>
    <w:rsid w:val="0010420E"/>
    <w:rsid w:val="00104D45"/>
    <w:rsid w:val="00107240"/>
    <w:rsid w:val="00107A44"/>
    <w:rsid w:val="00107E03"/>
    <w:rsid w:val="0011151B"/>
    <w:rsid w:val="00112A9A"/>
    <w:rsid w:val="001130A5"/>
    <w:rsid w:val="00117C50"/>
    <w:rsid w:val="00117C52"/>
    <w:rsid w:val="00117CE8"/>
    <w:rsid w:val="001208B8"/>
    <w:rsid w:val="00120B8A"/>
    <w:rsid w:val="00121483"/>
    <w:rsid w:val="0012365C"/>
    <w:rsid w:val="0012621C"/>
    <w:rsid w:val="00127F05"/>
    <w:rsid w:val="00131DEF"/>
    <w:rsid w:val="001334B1"/>
    <w:rsid w:val="0013380D"/>
    <w:rsid w:val="00134239"/>
    <w:rsid w:val="00134632"/>
    <w:rsid w:val="00136E22"/>
    <w:rsid w:val="00142F6E"/>
    <w:rsid w:val="0014349B"/>
    <w:rsid w:val="00143907"/>
    <w:rsid w:val="00144935"/>
    <w:rsid w:val="00145770"/>
    <w:rsid w:val="00147D5B"/>
    <w:rsid w:val="00150FE9"/>
    <w:rsid w:val="00154734"/>
    <w:rsid w:val="00155B37"/>
    <w:rsid w:val="00155D0B"/>
    <w:rsid w:val="00155FA1"/>
    <w:rsid w:val="001566CF"/>
    <w:rsid w:val="001616A9"/>
    <w:rsid w:val="00162681"/>
    <w:rsid w:val="00165252"/>
    <w:rsid w:val="001652E0"/>
    <w:rsid w:val="0017328B"/>
    <w:rsid w:val="0017527E"/>
    <w:rsid w:val="00175613"/>
    <w:rsid w:val="00176788"/>
    <w:rsid w:val="00176B0F"/>
    <w:rsid w:val="00176CB3"/>
    <w:rsid w:val="00177A25"/>
    <w:rsid w:val="0018012F"/>
    <w:rsid w:val="00180DF4"/>
    <w:rsid w:val="00181F7D"/>
    <w:rsid w:val="00187C1A"/>
    <w:rsid w:val="0019047B"/>
    <w:rsid w:val="001906C0"/>
    <w:rsid w:val="00190BEE"/>
    <w:rsid w:val="00191F10"/>
    <w:rsid w:val="001949D2"/>
    <w:rsid w:val="0019701C"/>
    <w:rsid w:val="001973EF"/>
    <w:rsid w:val="0019751F"/>
    <w:rsid w:val="001A01CE"/>
    <w:rsid w:val="001A18BA"/>
    <w:rsid w:val="001A22C1"/>
    <w:rsid w:val="001B0148"/>
    <w:rsid w:val="001B022E"/>
    <w:rsid w:val="001B02C2"/>
    <w:rsid w:val="001B046F"/>
    <w:rsid w:val="001B0BDD"/>
    <w:rsid w:val="001B0D3F"/>
    <w:rsid w:val="001B1518"/>
    <w:rsid w:val="001B2EC2"/>
    <w:rsid w:val="001B3902"/>
    <w:rsid w:val="001B5330"/>
    <w:rsid w:val="001C323A"/>
    <w:rsid w:val="001C370B"/>
    <w:rsid w:val="001C4F15"/>
    <w:rsid w:val="001C6772"/>
    <w:rsid w:val="001C70B5"/>
    <w:rsid w:val="001D1D96"/>
    <w:rsid w:val="001D310E"/>
    <w:rsid w:val="001D32FE"/>
    <w:rsid w:val="001D431A"/>
    <w:rsid w:val="001E1917"/>
    <w:rsid w:val="001E1A49"/>
    <w:rsid w:val="001E33BC"/>
    <w:rsid w:val="001E48FF"/>
    <w:rsid w:val="001E6C4A"/>
    <w:rsid w:val="001E7E1D"/>
    <w:rsid w:val="001F0285"/>
    <w:rsid w:val="001F1C1C"/>
    <w:rsid w:val="001F21AF"/>
    <w:rsid w:val="001F2CE2"/>
    <w:rsid w:val="001F5174"/>
    <w:rsid w:val="0020136D"/>
    <w:rsid w:val="0020231D"/>
    <w:rsid w:val="00202F02"/>
    <w:rsid w:val="00204BBF"/>
    <w:rsid w:val="00204E4C"/>
    <w:rsid w:val="00206792"/>
    <w:rsid w:val="002069B4"/>
    <w:rsid w:val="002125B6"/>
    <w:rsid w:val="0021336D"/>
    <w:rsid w:val="00213656"/>
    <w:rsid w:val="00213E31"/>
    <w:rsid w:val="00214911"/>
    <w:rsid w:val="00214B06"/>
    <w:rsid w:val="00215BF8"/>
    <w:rsid w:val="002161A7"/>
    <w:rsid w:val="00220561"/>
    <w:rsid w:val="00220B49"/>
    <w:rsid w:val="002216AC"/>
    <w:rsid w:val="0022222A"/>
    <w:rsid w:val="002223F8"/>
    <w:rsid w:val="0022301B"/>
    <w:rsid w:val="002238B7"/>
    <w:rsid w:val="002245D6"/>
    <w:rsid w:val="00231AF7"/>
    <w:rsid w:val="002347AE"/>
    <w:rsid w:val="00234C43"/>
    <w:rsid w:val="002350F7"/>
    <w:rsid w:val="00235E11"/>
    <w:rsid w:val="002406ED"/>
    <w:rsid w:val="002409CC"/>
    <w:rsid w:val="00241213"/>
    <w:rsid w:val="002463B8"/>
    <w:rsid w:val="00254667"/>
    <w:rsid w:val="0025523A"/>
    <w:rsid w:val="002603C1"/>
    <w:rsid w:val="00260E44"/>
    <w:rsid w:val="00262C8F"/>
    <w:rsid w:val="0026364A"/>
    <w:rsid w:val="00263670"/>
    <w:rsid w:val="00263FEF"/>
    <w:rsid w:val="00264426"/>
    <w:rsid w:val="00264C19"/>
    <w:rsid w:val="00266A42"/>
    <w:rsid w:val="002678D5"/>
    <w:rsid w:val="00272589"/>
    <w:rsid w:val="002733E4"/>
    <w:rsid w:val="00274760"/>
    <w:rsid w:val="00277A2E"/>
    <w:rsid w:val="0028020E"/>
    <w:rsid w:val="00280DEB"/>
    <w:rsid w:val="002827CB"/>
    <w:rsid w:val="002854C1"/>
    <w:rsid w:val="00285BAF"/>
    <w:rsid w:val="002865AC"/>
    <w:rsid w:val="00287768"/>
    <w:rsid w:val="00290FCC"/>
    <w:rsid w:val="002910FF"/>
    <w:rsid w:val="00291542"/>
    <w:rsid w:val="00292FCA"/>
    <w:rsid w:val="00293D45"/>
    <w:rsid w:val="00296EB5"/>
    <w:rsid w:val="00297653"/>
    <w:rsid w:val="002A4540"/>
    <w:rsid w:val="002A4ACA"/>
    <w:rsid w:val="002A7D1B"/>
    <w:rsid w:val="002B0117"/>
    <w:rsid w:val="002B247F"/>
    <w:rsid w:val="002B2603"/>
    <w:rsid w:val="002B4B59"/>
    <w:rsid w:val="002B5DF7"/>
    <w:rsid w:val="002B69B1"/>
    <w:rsid w:val="002B73AA"/>
    <w:rsid w:val="002B7D02"/>
    <w:rsid w:val="002C15D3"/>
    <w:rsid w:val="002C5179"/>
    <w:rsid w:val="002C58C2"/>
    <w:rsid w:val="002C6BAA"/>
    <w:rsid w:val="002C7164"/>
    <w:rsid w:val="002C75CC"/>
    <w:rsid w:val="002D2496"/>
    <w:rsid w:val="002D26DA"/>
    <w:rsid w:val="002D318D"/>
    <w:rsid w:val="002D3A12"/>
    <w:rsid w:val="002D4C22"/>
    <w:rsid w:val="002D5297"/>
    <w:rsid w:val="002D6A21"/>
    <w:rsid w:val="002E1944"/>
    <w:rsid w:val="002E2982"/>
    <w:rsid w:val="002E358F"/>
    <w:rsid w:val="002E617F"/>
    <w:rsid w:val="002F00D4"/>
    <w:rsid w:val="002F036D"/>
    <w:rsid w:val="002F1D52"/>
    <w:rsid w:val="002F271F"/>
    <w:rsid w:val="002F3526"/>
    <w:rsid w:val="002F57A7"/>
    <w:rsid w:val="002F7ED5"/>
    <w:rsid w:val="00302908"/>
    <w:rsid w:val="0030516E"/>
    <w:rsid w:val="00305724"/>
    <w:rsid w:val="00305D73"/>
    <w:rsid w:val="003121F6"/>
    <w:rsid w:val="00313BE8"/>
    <w:rsid w:val="00315752"/>
    <w:rsid w:val="00320ABA"/>
    <w:rsid w:val="0032364D"/>
    <w:rsid w:val="00324978"/>
    <w:rsid w:val="00326085"/>
    <w:rsid w:val="003260C4"/>
    <w:rsid w:val="0032641C"/>
    <w:rsid w:val="00326B21"/>
    <w:rsid w:val="00330C8A"/>
    <w:rsid w:val="00331268"/>
    <w:rsid w:val="00331E07"/>
    <w:rsid w:val="00332132"/>
    <w:rsid w:val="003343D1"/>
    <w:rsid w:val="00334AAD"/>
    <w:rsid w:val="00335C08"/>
    <w:rsid w:val="00336058"/>
    <w:rsid w:val="00336506"/>
    <w:rsid w:val="00336E98"/>
    <w:rsid w:val="0034106F"/>
    <w:rsid w:val="003412AD"/>
    <w:rsid w:val="003415CC"/>
    <w:rsid w:val="00341A36"/>
    <w:rsid w:val="00343624"/>
    <w:rsid w:val="0034368E"/>
    <w:rsid w:val="00344D8F"/>
    <w:rsid w:val="00345E7C"/>
    <w:rsid w:val="00346BCC"/>
    <w:rsid w:val="00347D9A"/>
    <w:rsid w:val="00347DB3"/>
    <w:rsid w:val="0035042E"/>
    <w:rsid w:val="00350C4C"/>
    <w:rsid w:val="0035112A"/>
    <w:rsid w:val="00351435"/>
    <w:rsid w:val="00353B77"/>
    <w:rsid w:val="00353CA3"/>
    <w:rsid w:val="00354A01"/>
    <w:rsid w:val="003552A4"/>
    <w:rsid w:val="003559D3"/>
    <w:rsid w:val="00357A12"/>
    <w:rsid w:val="00361C50"/>
    <w:rsid w:val="00361EB9"/>
    <w:rsid w:val="00362C17"/>
    <w:rsid w:val="003636E2"/>
    <w:rsid w:val="00364FCF"/>
    <w:rsid w:val="00365B48"/>
    <w:rsid w:val="0036690C"/>
    <w:rsid w:val="0036704A"/>
    <w:rsid w:val="00367835"/>
    <w:rsid w:val="00367ECF"/>
    <w:rsid w:val="00375667"/>
    <w:rsid w:val="0037727B"/>
    <w:rsid w:val="00382002"/>
    <w:rsid w:val="00382BD7"/>
    <w:rsid w:val="00382F9E"/>
    <w:rsid w:val="0038424C"/>
    <w:rsid w:val="00385406"/>
    <w:rsid w:val="00386FDA"/>
    <w:rsid w:val="00392612"/>
    <w:rsid w:val="00393672"/>
    <w:rsid w:val="00395CB4"/>
    <w:rsid w:val="00397404"/>
    <w:rsid w:val="0039764C"/>
    <w:rsid w:val="003A005E"/>
    <w:rsid w:val="003A169E"/>
    <w:rsid w:val="003A1C04"/>
    <w:rsid w:val="003A458F"/>
    <w:rsid w:val="003A460B"/>
    <w:rsid w:val="003A4E65"/>
    <w:rsid w:val="003B1D55"/>
    <w:rsid w:val="003B468B"/>
    <w:rsid w:val="003B556F"/>
    <w:rsid w:val="003C1A23"/>
    <w:rsid w:val="003C491B"/>
    <w:rsid w:val="003C5106"/>
    <w:rsid w:val="003D3630"/>
    <w:rsid w:val="003D4773"/>
    <w:rsid w:val="003D7AE1"/>
    <w:rsid w:val="003E0743"/>
    <w:rsid w:val="003E251C"/>
    <w:rsid w:val="003E288D"/>
    <w:rsid w:val="003E2B7C"/>
    <w:rsid w:val="003E2E03"/>
    <w:rsid w:val="003E367B"/>
    <w:rsid w:val="003F1788"/>
    <w:rsid w:val="003F2F6C"/>
    <w:rsid w:val="003F42DF"/>
    <w:rsid w:val="003F55D1"/>
    <w:rsid w:val="003F5FBF"/>
    <w:rsid w:val="00400EB0"/>
    <w:rsid w:val="00401315"/>
    <w:rsid w:val="00404E92"/>
    <w:rsid w:val="004056A4"/>
    <w:rsid w:val="0040623D"/>
    <w:rsid w:val="004063C4"/>
    <w:rsid w:val="004128B3"/>
    <w:rsid w:val="00414A26"/>
    <w:rsid w:val="00415BDE"/>
    <w:rsid w:val="0042471E"/>
    <w:rsid w:val="0042605C"/>
    <w:rsid w:val="00426547"/>
    <w:rsid w:val="00426674"/>
    <w:rsid w:val="00426724"/>
    <w:rsid w:val="004274C5"/>
    <w:rsid w:val="0043152A"/>
    <w:rsid w:val="004317BA"/>
    <w:rsid w:val="00432287"/>
    <w:rsid w:val="004344B0"/>
    <w:rsid w:val="00434673"/>
    <w:rsid w:val="00436B4A"/>
    <w:rsid w:val="0044040D"/>
    <w:rsid w:val="004436B3"/>
    <w:rsid w:val="00445D2B"/>
    <w:rsid w:val="00446469"/>
    <w:rsid w:val="004502C3"/>
    <w:rsid w:val="00450A26"/>
    <w:rsid w:val="00451531"/>
    <w:rsid w:val="00451E30"/>
    <w:rsid w:val="00453D14"/>
    <w:rsid w:val="00455E8B"/>
    <w:rsid w:val="004571A5"/>
    <w:rsid w:val="00461118"/>
    <w:rsid w:val="00461FD2"/>
    <w:rsid w:val="00465017"/>
    <w:rsid w:val="00466399"/>
    <w:rsid w:val="00470391"/>
    <w:rsid w:val="00473174"/>
    <w:rsid w:val="004733FC"/>
    <w:rsid w:val="00474254"/>
    <w:rsid w:val="00474C17"/>
    <w:rsid w:val="00481052"/>
    <w:rsid w:val="004847CB"/>
    <w:rsid w:val="00485055"/>
    <w:rsid w:val="00485B5D"/>
    <w:rsid w:val="00485CA4"/>
    <w:rsid w:val="00485F4E"/>
    <w:rsid w:val="00486BE0"/>
    <w:rsid w:val="00486FEB"/>
    <w:rsid w:val="004907A0"/>
    <w:rsid w:val="00490979"/>
    <w:rsid w:val="0049155A"/>
    <w:rsid w:val="00491A26"/>
    <w:rsid w:val="0049380F"/>
    <w:rsid w:val="00493904"/>
    <w:rsid w:val="00494EF4"/>
    <w:rsid w:val="00494EF6"/>
    <w:rsid w:val="004959E0"/>
    <w:rsid w:val="004970BB"/>
    <w:rsid w:val="004A0D8F"/>
    <w:rsid w:val="004A0E80"/>
    <w:rsid w:val="004A12F0"/>
    <w:rsid w:val="004A3EE2"/>
    <w:rsid w:val="004A475C"/>
    <w:rsid w:val="004A7FAF"/>
    <w:rsid w:val="004B0992"/>
    <w:rsid w:val="004B2BBA"/>
    <w:rsid w:val="004B72CB"/>
    <w:rsid w:val="004C2222"/>
    <w:rsid w:val="004C2F59"/>
    <w:rsid w:val="004C3501"/>
    <w:rsid w:val="004C4C70"/>
    <w:rsid w:val="004C63E1"/>
    <w:rsid w:val="004C7B49"/>
    <w:rsid w:val="004C7F1F"/>
    <w:rsid w:val="004D07F6"/>
    <w:rsid w:val="004D2296"/>
    <w:rsid w:val="004D3324"/>
    <w:rsid w:val="004D4F27"/>
    <w:rsid w:val="004D513B"/>
    <w:rsid w:val="004E00AE"/>
    <w:rsid w:val="004E0D45"/>
    <w:rsid w:val="004E24D6"/>
    <w:rsid w:val="004E3004"/>
    <w:rsid w:val="004E47C3"/>
    <w:rsid w:val="004F0D7C"/>
    <w:rsid w:val="004F19AE"/>
    <w:rsid w:val="004F1BB6"/>
    <w:rsid w:val="004F3EB8"/>
    <w:rsid w:val="004F6E81"/>
    <w:rsid w:val="005001E5"/>
    <w:rsid w:val="005004E0"/>
    <w:rsid w:val="00500D7D"/>
    <w:rsid w:val="00502018"/>
    <w:rsid w:val="0050498D"/>
    <w:rsid w:val="00504D30"/>
    <w:rsid w:val="005115E6"/>
    <w:rsid w:val="00511F90"/>
    <w:rsid w:val="00512B9A"/>
    <w:rsid w:val="00512BBD"/>
    <w:rsid w:val="005168E1"/>
    <w:rsid w:val="00517827"/>
    <w:rsid w:val="00517943"/>
    <w:rsid w:val="00520114"/>
    <w:rsid w:val="00520592"/>
    <w:rsid w:val="0052128F"/>
    <w:rsid w:val="0052159C"/>
    <w:rsid w:val="0052369B"/>
    <w:rsid w:val="0052395D"/>
    <w:rsid w:val="00530B78"/>
    <w:rsid w:val="00530D4A"/>
    <w:rsid w:val="00531D7C"/>
    <w:rsid w:val="00533BF0"/>
    <w:rsid w:val="00534202"/>
    <w:rsid w:val="005406F6"/>
    <w:rsid w:val="005413A0"/>
    <w:rsid w:val="00541E9F"/>
    <w:rsid w:val="0054328E"/>
    <w:rsid w:val="0054469E"/>
    <w:rsid w:val="005457A2"/>
    <w:rsid w:val="00546EF9"/>
    <w:rsid w:val="005474B8"/>
    <w:rsid w:val="00547690"/>
    <w:rsid w:val="00547D08"/>
    <w:rsid w:val="00552DB1"/>
    <w:rsid w:val="0056129C"/>
    <w:rsid w:val="005620C1"/>
    <w:rsid w:val="00564132"/>
    <w:rsid w:val="0057028A"/>
    <w:rsid w:val="00570925"/>
    <w:rsid w:val="00571486"/>
    <w:rsid w:val="005719EB"/>
    <w:rsid w:val="005736D2"/>
    <w:rsid w:val="00573D21"/>
    <w:rsid w:val="0057675E"/>
    <w:rsid w:val="00576A89"/>
    <w:rsid w:val="00577156"/>
    <w:rsid w:val="00581408"/>
    <w:rsid w:val="00581C6C"/>
    <w:rsid w:val="0058271B"/>
    <w:rsid w:val="00582A0E"/>
    <w:rsid w:val="00584C03"/>
    <w:rsid w:val="00585AA0"/>
    <w:rsid w:val="00590A8E"/>
    <w:rsid w:val="00591044"/>
    <w:rsid w:val="00591C7B"/>
    <w:rsid w:val="005940AC"/>
    <w:rsid w:val="0059469D"/>
    <w:rsid w:val="005962F8"/>
    <w:rsid w:val="00596A75"/>
    <w:rsid w:val="005A09D4"/>
    <w:rsid w:val="005A2E7E"/>
    <w:rsid w:val="005A5D96"/>
    <w:rsid w:val="005B02A3"/>
    <w:rsid w:val="005B1DF8"/>
    <w:rsid w:val="005B44A9"/>
    <w:rsid w:val="005B44CE"/>
    <w:rsid w:val="005B4B6B"/>
    <w:rsid w:val="005B6835"/>
    <w:rsid w:val="005C07DF"/>
    <w:rsid w:val="005C3C5D"/>
    <w:rsid w:val="005C484A"/>
    <w:rsid w:val="005C6DD4"/>
    <w:rsid w:val="005D0E48"/>
    <w:rsid w:val="005D10D9"/>
    <w:rsid w:val="005D22C6"/>
    <w:rsid w:val="005D232B"/>
    <w:rsid w:val="005D3303"/>
    <w:rsid w:val="005D39A4"/>
    <w:rsid w:val="005D4571"/>
    <w:rsid w:val="005D583C"/>
    <w:rsid w:val="005D645B"/>
    <w:rsid w:val="005D6971"/>
    <w:rsid w:val="005D7E58"/>
    <w:rsid w:val="005E01EF"/>
    <w:rsid w:val="005E2009"/>
    <w:rsid w:val="005E3492"/>
    <w:rsid w:val="005E4CF6"/>
    <w:rsid w:val="005E61BD"/>
    <w:rsid w:val="005E7BA2"/>
    <w:rsid w:val="005F038F"/>
    <w:rsid w:val="005F2801"/>
    <w:rsid w:val="005F3AF5"/>
    <w:rsid w:val="005F7AE2"/>
    <w:rsid w:val="0060115C"/>
    <w:rsid w:val="00610B9A"/>
    <w:rsid w:val="00612617"/>
    <w:rsid w:val="0061344B"/>
    <w:rsid w:val="006142C3"/>
    <w:rsid w:val="00614BC8"/>
    <w:rsid w:val="006164B4"/>
    <w:rsid w:val="006178D3"/>
    <w:rsid w:val="00622F35"/>
    <w:rsid w:val="00624D8B"/>
    <w:rsid w:val="00625809"/>
    <w:rsid w:val="00627493"/>
    <w:rsid w:val="00631A69"/>
    <w:rsid w:val="0063223B"/>
    <w:rsid w:val="00632C34"/>
    <w:rsid w:val="006364A4"/>
    <w:rsid w:val="006379C4"/>
    <w:rsid w:val="00637A96"/>
    <w:rsid w:val="00643411"/>
    <w:rsid w:val="00643512"/>
    <w:rsid w:val="0064367E"/>
    <w:rsid w:val="00643C3D"/>
    <w:rsid w:val="006460D5"/>
    <w:rsid w:val="00646F55"/>
    <w:rsid w:val="0065061B"/>
    <w:rsid w:val="00651E92"/>
    <w:rsid w:val="00652A8E"/>
    <w:rsid w:val="006532F7"/>
    <w:rsid w:val="00653564"/>
    <w:rsid w:val="00654D20"/>
    <w:rsid w:val="00655452"/>
    <w:rsid w:val="00655792"/>
    <w:rsid w:val="00663DB1"/>
    <w:rsid w:val="00664660"/>
    <w:rsid w:val="00671452"/>
    <w:rsid w:val="00677172"/>
    <w:rsid w:val="00677DCD"/>
    <w:rsid w:val="006804C1"/>
    <w:rsid w:val="00680800"/>
    <w:rsid w:val="006820D7"/>
    <w:rsid w:val="00683F6D"/>
    <w:rsid w:val="00686E38"/>
    <w:rsid w:val="00687959"/>
    <w:rsid w:val="00690137"/>
    <w:rsid w:val="0069097A"/>
    <w:rsid w:val="00690F85"/>
    <w:rsid w:val="0069230F"/>
    <w:rsid w:val="006929D5"/>
    <w:rsid w:val="006940B0"/>
    <w:rsid w:val="00694AF9"/>
    <w:rsid w:val="00695966"/>
    <w:rsid w:val="006979BA"/>
    <w:rsid w:val="006A0123"/>
    <w:rsid w:val="006A47F6"/>
    <w:rsid w:val="006A4FB4"/>
    <w:rsid w:val="006A55F5"/>
    <w:rsid w:val="006A5BBD"/>
    <w:rsid w:val="006A6BC6"/>
    <w:rsid w:val="006B030A"/>
    <w:rsid w:val="006B242B"/>
    <w:rsid w:val="006C00EB"/>
    <w:rsid w:val="006C1A81"/>
    <w:rsid w:val="006C3479"/>
    <w:rsid w:val="006C3D25"/>
    <w:rsid w:val="006C68C2"/>
    <w:rsid w:val="006C74CB"/>
    <w:rsid w:val="006D0021"/>
    <w:rsid w:val="006D174F"/>
    <w:rsid w:val="006D34EF"/>
    <w:rsid w:val="006D3FDB"/>
    <w:rsid w:val="006D4811"/>
    <w:rsid w:val="006D50C4"/>
    <w:rsid w:val="006D55D7"/>
    <w:rsid w:val="006D6763"/>
    <w:rsid w:val="006D6960"/>
    <w:rsid w:val="006D7887"/>
    <w:rsid w:val="006E05FA"/>
    <w:rsid w:val="006E07B6"/>
    <w:rsid w:val="006E0988"/>
    <w:rsid w:val="006E15AC"/>
    <w:rsid w:val="006E411C"/>
    <w:rsid w:val="006E66FF"/>
    <w:rsid w:val="006E789F"/>
    <w:rsid w:val="006F07A4"/>
    <w:rsid w:val="006F0BF3"/>
    <w:rsid w:val="006F10CC"/>
    <w:rsid w:val="006F202F"/>
    <w:rsid w:val="006F2D3F"/>
    <w:rsid w:val="00700F6C"/>
    <w:rsid w:val="0070110A"/>
    <w:rsid w:val="00703C59"/>
    <w:rsid w:val="00706FBE"/>
    <w:rsid w:val="007078A0"/>
    <w:rsid w:val="00707D6C"/>
    <w:rsid w:val="0071102F"/>
    <w:rsid w:val="00711103"/>
    <w:rsid w:val="007156B0"/>
    <w:rsid w:val="00717B56"/>
    <w:rsid w:val="00720C0F"/>
    <w:rsid w:val="00720C85"/>
    <w:rsid w:val="00721585"/>
    <w:rsid w:val="00722272"/>
    <w:rsid w:val="00725074"/>
    <w:rsid w:val="00727C66"/>
    <w:rsid w:val="00727E5B"/>
    <w:rsid w:val="007306FD"/>
    <w:rsid w:val="00730D4C"/>
    <w:rsid w:val="007315A2"/>
    <w:rsid w:val="0073356B"/>
    <w:rsid w:val="00733A61"/>
    <w:rsid w:val="00734C35"/>
    <w:rsid w:val="00735E02"/>
    <w:rsid w:val="0073623F"/>
    <w:rsid w:val="00736985"/>
    <w:rsid w:val="00740ECA"/>
    <w:rsid w:val="00742AD7"/>
    <w:rsid w:val="007454C2"/>
    <w:rsid w:val="00745F74"/>
    <w:rsid w:val="0074706C"/>
    <w:rsid w:val="0074725E"/>
    <w:rsid w:val="00750019"/>
    <w:rsid w:val="0075131C"/>
    <w:rsid w:val="007577C9"/>
    <w:rsid w:val="00760F57"/>
    <w:rsid w:val="00761995"/>
    <w:rsid w:val="00761F86"/>
    <w:rsid w:val="0076260D"/>
    <w:rsid w:val="00762A7B"/>
    <w:rsid w:val="00763E10"/>
    <w:rsid w:val="00770524"/>
    <w:rsid w:val="00770FA9"/>
    <w:rsid w:val="00771720"/>
    <w:rsid w:val="00774B62"/>
    <w:rsid w:val="00774F82"/>
    <w:rsid w:val="007761F2"/>
    <w:rsid w:val="00776919"/>
    <w:rsid w:val="0077710F"/>
    <w:rsid w:val="00783E20"/>
    <w:rsid w:val="00783F1F"/>
    <w:rsid w:val="00784ED5"/>
    <w:rsid w:val="0079408F"/>
    <w:rsid w:val="0079655C"/>
    <w:rsid w:val="00797FD7"/>
    <w:rsid w:val="007A1CF1"/>
    <w:rsid w:val="007A271A"/>
    <w:rsid w:val="007A370B"/>
    <w:rsid w:val="007A504E"/>
    <w:rsid w:val="007A6FED"/>
    <w:rsid w:val="007B0D9E"/>
    <w:rsid w:val="007B3113"/>
    <w:rsid w:val="007B3AEC"/>
    <w:rsid w:val="007B6A1E"/>
    <w:rsid w:val="007B713F"/>
    <w:rsid w:val="007B7539"/>
    <w:rsid w:val="007C1CD3"/>
    <w:rsid w:val="007C43AF"/>
    <w:rsid w:val="007C655B"/>
    <w:rsid w:val="007C79BD"/>
    <w:rsid w:val="007D1D67"/>
    <w:rsid w:val="007D2540"/>
    <w:rsid w:val="007D5A61"/>
    <w:rsid w:val="007D6088"/>
    <w:rsid w:val="007D6A9E"/>
    <w:rsid w:val="007E1250"/>
    <w:rsid w:val="007E1C98"/>
    <w:rsid w:val="007E4673"/>
    <w:rsid w:val="007E6983"/>
    <w:rsid w:val="007E7238"/>
    <w:rsid w:val="007F2FCC"/>
    <w:rsid w:val="007F4F05"/>
    <w:rsid w:val="007F66C8"/>
    <w:rsid w:val="007F6D49"/>
    <w:rsid w:val="007F6E19"/>
    <w:rsid w:val="007F7617"/>
    <w:rsid w:val="008001DA"/>
    <w:rsid w:val="00802C95"/>
    <w:rsid w:val="00803198"/>
    <w:rsid w:val="008067F8"/>
    <w:rsid w:val="00806BBE"/>
    <w:rsid w:val="00811E7F"/>
    <w:rsid w:val="008142AF"/>
    <w:rsid w:val="00816F84"/>
    <w:rsid w:val="00820979"/>
    <w:rsid w:val="00820BE3"/>
    <w:rsid w:val="00820C47"/>
    <w:rsid w:val="00821C8C"/>
    <w:rsid w:val="00822FC3"/>
    <w:rsid w:val="00823339"/>
    <w:rsid w:val="00827436"/>
    <w:rsid w:val="00830AD6"/>
    <w:rsid w:val="0083209E"/>
    <w:rsid w:val="00835476"/>
    <w:rsid w:val="00835E37"/>
    <w:rsid w:val="00840F11"/>
    <w:rsid w:val="00841DEC"/>
    <w:rsid w:val="008450F4"/>
    <w:rsid w:val="0084681C"/>
    <w:rsid w:val="00847088"/>
    <w:rsid w:val="008472D3"/>
    <w:rsid w:val="00851C00"/>
    <w:rsid w:val="00856882"/>
    <w:rsid w:val="00860CAF"/>
    <w:rsid w:val="008611C0"/>
    <w:rsid w:val="008617F2"/>
    <w:rsid w:val="00864F6F"/>
    <w:rsid w:val="008652C9"/>
    <w:rsid w:val="00871946"/>
    <w:rsid w:val="00872C50"/>
    <w:rsid w:val="008755CD"/>
    <w:rsid w:val="0087629D"/>
    <w:rsid w:val="00876843"/>
    <w:rsid w:val="00876D62"/>
    <w:rsid w:val="0088154B"/>
    <w:rsid w:val="00881C8F"/>
    <w:rsid w:val="008820EE"/>
    <w:rsid w:val="00883E21"/>
    <w:rsid w:val="00884E86"/>
    <w:rsid w:val="00884F42"/>
    <w:rsid w:val="00886A4B"/>
    <w:rsid w:val="0089031D"/>
    <w:rsid w:val="00892510"/>
    <w:rsid w:val="00893D42"/>
    <w:rsid w:val="008940EE"/>
    <w:rsid w:val="00896E45"/>
    <w:rsid w:val="008A053D"/>
    <w:rsid w:val="008A1042"/>
    <w:rsid w:val="008A122E"/>
    <w:rsid w:val="008A1E4A"/>
    <w:rsid w:val="008A2E6B"/>
    <w:rsid w:val="008A3CD9"/>
    <w:rsid w:val="008A6D65"/>
    <w:rsid w:val="008A79B6"/>
    <w:rsid w:val="008B02D7"/>
    <w:rsid w:val="008B29F2"/>
    <w:rsid w:val="008B2A3C"/>
    <w:rsid w:val="008B2B5C"/>
    <w:rsid w:val="008B48F6"/>
    <w:rsid w:val="008B5CBB"/>
    <w:rsid w:val="008B6E7D"/>
    <w:rsid w:val="008B7279"/>
    <w:rsid w:val="008B7ACD"/>
    <w:rsid w:val="008C41C7"/>
    <w:rsid w:val="008C4D69"/>
    <w:rsid w:val="008C60CA"/>
    <w:rsid w:val="008D0E70"/>
    <w:rsid w:val="008D3034"/>
    <w:rsid w:val="008D45EB"/>
    <w:rsid w:val="008D5A37"/>
    <w:rsid w:val="008D6E08"/>
    <w:rsid w:val="008E1061"/>
    <w:rsid w:val="008E29CB"/>
    <w:rsid w:val="008E6B59"/>
    <w:rsid w:val="008E6C91"/>
    <w:rsid w:val="008F32A7"/>
    <w:rsid w:val="008F3903"/>
    <w:rsid w:val="008F4E2F"/>
    <w:rsid w:val="008F56CC"/>
    <w:rsid w:val="008F6682"/>
    <w:rsid w:val="009005C8"/>
    <w:rsid w:val="00900FDA"/>
    <w:rsid w:val="00902E9B"/>
    <w:rsid w:val="00903566"/>
    <w:rsid w:val="00903F89"/>
    <w:rsid w:val="009041CE"/>
    <w:rsid w:val="00907D02"/>
    <w:rsid w:val="00912229"/>
    <w:rsid w:val="00914D6A"/>
    <w:rsid w:val="0091530C"/>
    <w:rsid w:val="0091656A"/>
    <w:rsid w:val="00920323"/>
    <w:rsid w:val="00920C5A"/>
    <w:rsid w:val="00920D89"/>
    <w:rsid w:val="00921900"/>
    <w:rsid w:val="009223C0"/>
    <w:rsid w:val="00922851"/>
    <w:rsid w:val="00923E07"/>
    <w:rsid w:val="0092626F"/>
    <w:rsid w:val="00926EC8"/>
    <w:rsid w:val="00931C9A"/>
    <w:rsid w:val="00932142"/>
    <w:rsid w:val="00933DFA"/>
    <w:rsid w:val="00936682"/>
    <w:rsid w:val="00937757"/>
    <w:rsid w:val="00945D13"/>
    <w:rsid w:val="00945E3F"/>
    <w:rsid w:val="009500CC"/>
    <w:rsid w:val="009521F9"/>
    <w:rsid w:val="00952238"/>
    <w:rsid w:val="00953E0A"/>
    <w:rsid w:val="00953F87"/>
    <w:rsid w:val="009565BB"/>
    <w:rsid w:val="0096108B"/>
    <w:rsid w:val="009620FA"/>
    <w:rsid w:val="00962640"/>
    <w:rsid w:val="009626A4"/>
    <w:rsid w:val="00962C1F"/>
    <w:rsid w:val="009631A6"/>
    <w:rsid w:val="009674EB"/>
    <w:rsid w:val="00971B71"/>
    <w:rsid w:val="009748B8"/>
    <w:rsid w:val="00976714"/>
    <w:rsid w:val="00976CBE"/>
    <w:rsid w:val="0097709B"/>
    <w:rsid w:val="0097793D"/>
    <w:rsid w:val="00977C73"/>
    <w:rsid w:val="00977D52"/>
    <w:rsid w:val="00983B71"/>
    <w:rsid w:val="0098407B"/>
    <w:rsid w:val="009841AC"/>
    <w:rsid w:val="009861F1"/>
    <w:rsid w:val="00991333"/>
    <w:rsid w:val="00991B51"/>
    <w:rsid w:val="00992CE0"/>
    <w:rsid w:val="00995008"/>
    <w:rsid w:val="00995073"/>
    <w:rsid w:val="00995917"/>
    <w:rsid w:val="00996676"/>
    <w:rsid w:val="00997BDB"/>
    <w:rsid w:val="009A2781"/>
    <w:rsid w:val="009A4C67"/>
    <w:rsid w:val="009A684C"/>
    <w:rsid w:val="009A6A49"/>
    <w:rsid w:val="009B2F83"/>
    <w:rsid w:val="009B4352"/>
    <w:rsid w:val="009B4EE1"/>
    <w:rsid w:val="009B51DC"/>
    <w:rsid w:val="009C33A5"/>
    <w:rsid w:val="009C5C63"/>
    <w:rsid w:val="009D015E"/>
    <w:rsid w:val="009D0897"/>
    <w:rsid w:val="009D37EF"/>
    <w:rsid w:val="009D5E98"/>
    <w:rsid w:val="009D6A37"/>
    <w:rsid w:val="009E6CBA"/>
    <w:rsid w:val="009E79AF"/>
    <w:rsid w:val="009F0445"/>
    <w:rsid w:val="009F0543"/>
    <w:rsid w:val="009F08EF"/>
    <w:rsid w:val="009F0984"/>
    <w:rsid w:val="009F235F"/>
    <w:rsid w:val="009F5A36"/>
    <w:rsid w:val="009F68A4"/>
    <w:rsid w:val="009F7D62"/>
    <w:rsid w:val="009F7DBF"/>
    <w:rsid w:val="009F7FDD"/>
    <w:rsid w:val="00A00C08"/>
    <w:rsid w:val="00A03B6C"/>
    <w:rsid w:val="00A102BE"/>
    <w:rsid w:val="00A11365"/>
    <w:rsid w:val="00A12BDC"/>
    <w:rsid w:val="00A141F0"/>
    <w:rsid w:val="00A1727D"/>
    <w:rsid w:val="00A172F0"/>
    <w:rsid w:val="00A1763B"/>
    <w:rsid w:val="00A221CF"/>
    <w:rsid w:val="00A22465"/>
    <w:rsid w:val="00A227B3"/>
    <w:rsid w:val="00A238A6"/>
    <w:rsid w:val="00A2510E"/>
    <w:rsid w:val="00A30752"/>
    <w:rsid w:val="00A309BE"/>
    <w:rsid w:val="00A31986"/>
    <w:rsid w:val="00A332B1"/>
    <w:rsid w:val="00A33A40"/>
    <w:rsid w:val="00A343C6"/>
    <w:rsid w:val="00A35579"/>
    <w:rsid w:val="00A3601D"/>
    <w:rsid w:val="00A40067"/>
    <w:rsid w:val="00A40F00"/>
    <w:rsid w:val="00A42324"/>
    <w:rsid w:val="00A43A85"/>
    <w:rsid w:val="00A43DF4"/>
    <w:rsid w:val="00A45A77"/>
    <w:rsid w:val="00A4682D"/>
    <w:rsid w:val="00A46B3A"/>
    <w:rsid w:val="00A46F55"/>
    <w:rsid w:val="00A47C18"/>
    <w:rsid w:val="00A5086D"/>
    <w:rsid w:val="00A53680"/>
    <w:rsid w:val="00A54C42"/>
    <w:rsid w:val="00A5510C"/>
    <w:rsid w:val="00A60BF3"/>
    <w:rsid w:val="00A621C5"/>
    <w:rsid w:val="00A62894"/>
    <w:rsid w:val="00A62FC5"/>
    <w:rsid w:val="00A64632"/>
    <w:rsid w:val="00A64DD7"/>
    <w:rsid w:val="00A67413"/>
    <w:rsid w:val="00A715F7"/>
    <w:rsid w:val="00A72E28"/>
    <w:rsid w:val="00A737D6"/>
    <w:rsid w:val="00A73851"/>
    <w:rsid w:val="00A76114"/>
    <w:rsid w:val="00A770E9"/>
    <w:rsid w:val="00A817FD"/>
    <w:rsid w:val="00A81C5E"/>
    <w:rsid w:val="00A81E5D"/>
    <w:rsid w:val="00A84318"/>
    <w:rsid w:val="00A8460E"/>
    <w:rsid w:val="00A86D82"/>
    <w:rsid w:val="00A9090D"/>
    <w:rsid w:val="00A91A4D"/>
    <w:rsid w:val="00A91EEA"/>
    <w:rsid w:val="00A92E3F"/>
    <w:rsid w:val="00A9330A"/>
    <w:rsid w:val="00AA0DE2"/>
    <w:rsid w:val="00AA2218"/>
    <w:rsid w:val="00AA5110"/>
    <w:rsid w:val="00AA513A"/>
    <w:rsid w:val="00AA519D"/>
    <w:rsid w:val="00AA52E0"/>
    <w:rsid w:val="00AA7F9F"/>
    <w:rsid w:val="00AB2CD8"/>
    <w:rsid w:val="00AB3548"/>
    <w:rsid w:val="00AB6FBA"/>
    <w:rsid w:val="00AC24BD"/>
    <w:rsid w:val="00AC51D6"/>
    <w:rsid w:val="00AC5771"/>
    <w:rsid w:val="00AC77E5"/>
    <w:rsid w:val="00AD3184"/>
    <w:rsid w:val="00AD39C2"/>
    <w:rsid w:val="00AD480B"/>
    <w:rsid w:val="00AD5128"/>
    <w:rsid w:val="00AD587B"/>
    <w:rsid w:val="00AD6066"/>
    <w:rsid w:val="00AD7928"/>
    <w:rsid w:val="00AE349C"/>
    <w:rsid w:val="00AE3E87"/>
    <w:rsid w:val="00AE4942"/>
    <w:rsid w:val="00AE49B5"/>
    <w:rsid w:val="00AE4AF3"/>
    <w:rsid w:val="00AE4CB5"/>
    <w:rsid w:val="00AE6CDF"/>
    <w:rsid w:val="00AE6E0A"/>
    <w:rsid w:val="00AF02EB"/>
    <w:rsid w:val="00AF0EE6"/>
    <w:rsid w:val="00AF1253"/>
    <w:rsid w:val="00AF1C88"/>
    <w:rsid w:val="00AF4415"/>
    <w:rsid w:val="00AF77EF"/>
    <w:rsid w:val="00B0013A"/>
    <w:rsid w:val="00B00F5C"/>
    <w:rsid w:val="00B06296"/>
    <w:rsid w:val="00B06BE6"/>
    <w:rsid w:val="00B06EF3"/>
    <w:rsid w:val="00B07D6B"/>
    <w:rsid w:val="00B07EF8"/>
    <w:rsid w:val="00B13F1B"/>
    <w:rsid w:val="00B17DAF"/>
    <w:rsid w:val="00B201E0"/>
    <w:rsid w:val="00B2021E"/>
    <w:rsid w:val="00B21071"/>
    <w:rsid w:val="00B21A6A"/>
    <w:rsid w:val="00B221AB"/>
    <w:rsid w:val="00B34575"/>
    <w:rsid w:val="00B35902"/>
    <w:rsid w:val="00B36AFA"/>
    <w:rsid w:val="00B3787F"/>
    <w:rsid w:val="00B37950"/>
    <w:rsid w:val="00B406B1"/>
    <w:rsid w:val="00B413B0"/>
    <w:rsid w:val="00B4315F"/>
    <w:rsid w:val="00B45C38"/>
    <w:rsid w:val="00B465A9"/>
    <w:rsid w:val="00B46832"/>
    <w:rsid w:val="00B476AD"/>
    <w:rsid w:val="00B50AB7"/>
    <w:rsid w:val="00B517B8"/>
    <w:rsid w:val="00B5275C"/>
    <w:rsid w:val="00B5484A"/>
    <w:rsid w:val="00B55179"/>
    <w:rsid w:val="00B6005D"/>
    <w:rsid w:val="00B60BD5"/>
    <w:rsid w:val="00B62CDC"/>
    <w:rsid w:val="00B631D4"/>
    <w:rsid w:val="00B638B5"/>
    <w:rsid w:val="00B65F4F"/>
    <w:rsid w:val="00B6721F"/>
    <w:rsid w:val="00B67837"/>
    <w:rsid w:val="00B7041F"/>
    <w:rsid w:val="00B70911"/>
    <w:rsid w:val="00B709FC"/>
    <w:rsid w:val="00B71A53"/>
    <w:rsid w:val="00B723B0"/>
    <w:rsid w:val="00B729B4"/>
    <w:rsid w:val="00B72C25"/>
    <w:rsid w:val="00B730FF"/>
    <w:rsid w:val="00B741D9"/>
    <w:rsid w:val="00B74502"/>
    <w:rsid w:val="00B75B9B"/>
    <w:rsid w:val="00B765F8"/>
    <w:rsid w:val="00B80E98"/>
    <w:rsid w:val="00B81EF6"/>
    <w:rsid w:val="00B82375"/>
    <w:rsid w:val="00B8436E"/>
    <w:rsid w:val="00B857F5"/>
    <w:rsid w:val="00B912C4"/>
    <w:rsid w:val="00B9131C"/>
    <w:rsid w:val="00B92387"/>
    <w:rsid w:val="00B96447"/>
    <w:rsid w:val="00B96E2C"/>
    <w:rsid w:val="00B971A1"/>
    <w:rsid w:val="00B977FE"/>
    <w:rsid w:val="00BA2EE0"/>
    <w:rsid w:val="00BA3472"/>
    <w:rsid w:val="00BB3D35"/>
    <w:rsid w:val="00BB4258"/>
    <w:rsid w:val="00BB64F5"/>
    <w:rsid w:val="00BB6D75"/>
    <w:rsid w:val="00BB6F29"/>
    <w:rsid w:val="00BB7EDA"/>
    <w:rsid w:val="00BC3AD8"/>
    <w:rsid w:val="00BC54FA"/>
    <w:rsid w:val="00BC78DB"/>
    <w:rsid w:val="00BD17E2"/>
    <w:rsid w:val="00BD2867"/>
    <w:rsid w:val="00BD43B8"/>
    <w:rsid w:val="00BD48DB"/>
    <w:rsid w:val="00BD4C56"/>
    <w:rsid w:val="00BD6E0B"/>
    <w:rsid w:val="00BE19A5"/>
    <w:rsid w:val="00BE1AAF"/>
    <w:rsid w:val="00BE36BF"/>
    <w:rsid w:val="00BE3777"/>
    <w:rsid w:val="00BF05BC"/>
    <w:rsid w:val="00BF211A"/>
    <w:rsid w:val="00BF225C"/>
    <w:rsid w:val="00BF27FD"/>
    <w:rsid w:val="00BF34A2"/>
    <w:rsid w:val="00C01F8E"/>
    <w:rsid w:val="00C0273F"/>
    <w:rsid w:val="00C048DE"/>
    <w:rsid w:val="00C06E34"/>
    <w:rsid w:val="00C072F8"/>
    <w:rsid w:val="00C07BD1"/>
    <w:rsid w:val="00C10622"/>
    <w:rsid w:val="00C10AA4"/>
    <w:rsid w:val="00C11309"/>
    <w:rsid w:val="00C122CE"/>
    <w:rsid w:val="00C163E0"/>
    <w:rsid w:val="00C17218"/>
    <w:rsid w:val="00C20ACB"/>
    <w:rsid w:val="00C21C7B"/>
    <w:rsid w:val="00C21FB2"/>
    <w:rsid w:val="00C23B07"/>
    <w:rsid w:val="00C2415F"/>
    <w:rsid w:val="00C24C13"/>
    <w:rsid w:val="00C26C31"/>
    <w:rsid w:val="00C30ADC"/>
    <w:rsid w:val="00C31CB8"/>
    <w:rsid w:val="00C31F11"/>
    <w:rsid w:val="00C34AAD"/>
    <w:rsid w:val="00C35655"/>
    <w:rsid w:val="00C37043"/>
    <w:rsid w:val="00C3784C"/>
    <w:rsid w:val="00C400ED"/>
    <w:rsid w:val="00C41972"/>
    <w:rsid w:val="00C4306D"/>
    <w:rsid w:val="00C43E2A"/>
    <w:rsid w:val="00C53BB6"/>
    <w:rsid w:val="00C64F03"/>
    <w:rsid w:val="00C65513"/>
    <w:rsid w:val="00C715A6"/>
    <w:rsid w:val="00C754DA"/>
    <w:rsid w:val="00C7639B"/>
    <w:rsid w:val="00C808B7"/>
    <w:rsid w:val="00C81030"/>
    <w:rsid w:val="00C814CC"/>
    <w:rsid w:val="00C83E0D"/>
    <w:rsid w:val="00C84A34"/>
    <w:rsid w:val="00C84F0C"/>
    <w:rsid w:val="00C87BDB"/>
    <w:rsid w:val="00C87E16"/>
    <w:rsid w:val="00C90F13"/>
    <w:rsid w:val="00C93B42"/>
    <w:rsid w:val="00C96D01"/>
    <w:rsid w:val="00C97F50"/>
    <w:rsid w:val="00CA0F9C"/>
    <w:rsid w:val="00CA2E36"/>
    <w:rsid w:val="00CA49A8"/>
    <w:rsid w:val="00CA7A2D"/>
    <w:rsid w:val="00CB0DA1"/>
    <w:rsid w:val="00CB20C4"/>
    <w:rsid w:val="00CB3E26"/>
    <w:rsid w:val="00CB4235"/>
    <w:rsid w:val="00CB4533"/>
    <w:rsid w:val="00CB5ADA"/>
    <w:rsid w:val="00CB5E3E"/>
    <w:rsid w:val="00CC12FF"/>
    <w:rsid w:val="00CC4677"/>
    <w:rsid w:val="00CC4981"/>
    <w:rsid w:val="00CC66B1"/>
    <w:rsid w:val="00CC7EDA"/>
    <w:rsid w:val="00CD01AB"/>
    <w:rsid w:val="00CD09AA"/>
    <w:rsid w:val="00CD208D"/>
    <w:rsid w:val="00CD3CC9"/>
    <w:rsid w:val="00CD5A48"/>
    <w:rsid w:val="00CD5A85"/>
    <w:rsid w:val="00CE04B0"/>
    <w:rsid w:val="00CE0AAA"/>
    <w:rsid w:val="00CE0F1D"/>
    <w:rsid w:val="00CE19DD"/>
    <w:rsid w:val="00CE37AF"/>
    <w:rsid w:val="00CE3F93"/>
    <w:rsid w:val="00CE4626"/>
    <w:rsid w:val="00CE57C8"/>
    <w:rsid w:val="00CE67F6"/>
    <w:rsid w:val="00CE779C"/>
    <w:rsid w:val="00CE78C0"/>
    <w:rsid w:val="00CE7D12"/>
    <w:rsid w:val="00CF0199"/>
    <w:rsid w:val="00CF035D"/>
    <w:rsid w:val="00CF3312"/>
    <w:rsid w:val="00CF47C6"/>
    <w:rsid w:val="00CF484E"/>
    <w:rsid w:val="00CF776B"/>
    <w:rsid w:val="00D0072E"/>
    <w:rsid w:val="00D00EFB"/>
    <w:rsid w:val="00D010DC"/>
    <w:rsid w:val="00D01801"/>
    <w:rsid w:val="00D03064"/>
    <w:rsid w:val="00D0338B"/>
    <w:rsid w:val="00D03C3F"/>
    <w:rsid w:val="00D04092"/>
    <w:rsid w:val="00D05053"/>
    <w:rsid w:val="00D060B7"/>
    <w:rsid w:val="00D06220"/>
    <w:rsid w:val="00D10DDD"/>
    <w:rsid w:val="00D11241"/>
    <w:rsid w:val="00D12352"/>
    <w:rsid w:val="00D13DB2"/>
    <w:rsid w:val="00D13E6C"/>
    <w:rsid w:val="00D20116"/>
    <w:rsid w:val="00D21502"/>
    <w:rsid w:val="00D242BC"/>
    <w:rsid w:val="00D256FF"/>
    <w:rsid w:val="00D25B9A"/>
    <w:rsid w:val="00D272D7"/>
    <w:rsid w:val="00D27A0D"/>
    <w:rsid w:val="00D314A0"/>
    <w:rsid w:val="00D329D1"/>
    <w:rsid w:val="00D33931"/>
    <w:rsid w:val="00D33C1E"/>
    <w:rsid w:val="00D34B29"/>
    <w:rsid w:val="00D34F30"/>
    <w:rsid w:val="00D350CB"/>
    <w:rsid w:val="00D37099"/>
    <w:rsid w:val="00D4168A"/>
    <w:rsid w:val="00D43192"/>
    <w:rsid w:val="00D44D51"/>
    <w:rsid w:val="00D52385"/>
    <w:rsid w:val="00D52FC9"/>
    <w:rsid w:val="00D53F70"/>
    <w:rsid w:val="00D55BDC"/>
    <w:rsid w:val="00D57D11"/>
    <w:rsid w:val="00D60A8D"/>
    <w:rsid w:val="00D629B4"/>
    <w:rsid w:val="00D66E08"/>
    <w:rsid w:val="00D67428"/>
    <w:rsid w:val="00D708B3"/>
    <w:rsid w:val="00D708DE"/>
    <w:rsid w:val="00D71C52"/>
    <w:rsid w:val="00D73F2D"/>
    <w:rsid w:val="00D810F4"/>
    <w:rsid w:val="00D8232F"/>
    <w:rsid w:val="00D853F7"/>
    <w:rsid w:val="00D94D57"/>
    <w:rsid w:val="00D95DD6"/>
    <w:rsid w:val="00D96064"/>
    <w:rsid w:val="00D9773F"/>
    <w:rsid w:val="00DA0657"/>
    <w:rsid w:val="00DA121C"/>
    <w:rsid w:val="00DA129D"/>
    <w:rsid w:val="00DA4160"/>
    <w:rsid w:val="00DA42C3"/>
    <w:rsid w:val="00DA4E9F"/>
    <w:rsid w:val="00DA5DA0"/>
    <w:rsid w:val="00DA7294"/>
    <w:rsid w:val="00DB0908"/>
    <w:rsid w:val="00DB279C"/>
    <w:rsid w:val="00DB2BF3"/>
    <w:rsid w:val="00DB4FF2"/>
    <w:rsid w:val="00DB6E37"/>
    <w:rsid w:val="00DB7193"/>
    <w:rsid w:val="00DB7F9F"/>
    <w:rsid w:val="00DC1892"/>
    <w:rsid w:val="00DC346A"/>
    <w:rsid w:val="00DC506E"/>
    <w:rsid w:val="00DC5601"/>
    <w:rsid w:val="00DC6136"/>
    <w:rsid w:val="00DC6198"/>
    <w:rsid w:val="00DC6E98"/>
    <w:rsid w:val="00DC7FE2"/>
    <w:rsid w:val="00DD1C67"/>
    <w:rsid w:val="00DD1E85"/>
    <w:rsid w:val="00DD2DB6"/>
    <w:rsid w:val="00DD440F"/>
    <w:rsid w:val="00DD58B9"/>
    <w:rsid w:val="00DD61C6"/>
    <w:rsid w:val="00DD651A"/>
    <w:rsid w:val="00DE20B2"/>
    <w:rsid w:val="00DE3B20"/>
    <w:rsid w:val="00DE4AFA"/>
    <w:rsid w:val="00DE4F8F"/>
    <w:rsid w:val="00DE5AF3"/>
    <w:rsid w:val="00DE6E6B"/>
    <w:rsid w:val="00DE737A"/>
    <w:rsid w:val="00DF3E9C"/>
    <w:rsid w:val="00DF4036"/>
    <w:rsid w:val="00DF59ED"/>
    <w:rsid w:val="00E027E9"/>
    <w:rsid w:val="00E036B5"/>
    <w:rsid w:val="00E03D7A"/>
    <w:rsid w:val="00E03E46"/>
    <w:rsid w:val="00E05AE3"/>
    <w:rsid w:val="00E05C25"/>
    <w:rsid w:val="00E06776"/>
    <w:rsid w:val="00E10FAC"/>
    <w:rsid w:val="00E1347D"/>
    <w:rsid w:val="00E1410E"/>
    <w:rsid w:val="00E15846"/>
    <w:rsid w:val="00E15D21"/>
    <w:rsid w:val="00E21FE0"/>
    <w:rsid w:val="00E22CFE"/>
    <w:rsid w:val="00E22E43"/>
    <w:rsid w:val="00E231AE"/>
    <w:rsid w:val="00E24582"/>
    <w:rsid w:val="00E26BE3"/>
    <w:rsid w:val="00E27488"/>
    <w:rsid w:val="00E27893"/>
    <w:rsid w:val="00E31A0B"/>
    <w:rsid w:val="00E32831"/>
    <w:rsid w:val="00E32B7F"/>
    <w:rsid w:val="00E40FD7"/>
    <w:rsid w:val="00E429DC"/>
    <w:rsid w:val="00E42B34"/>
    <w:rsid w:val="00E525DA"/>
    <w:rsid w:val="00E558CB"/>
    <w:rsid w:val="00E559DF"/>
    <w:rsid w:val="00E56811"/>
    <w:rsid w:val="00E56E47"/>
    <w:rsid w:val="00E57425"/>
    <w:rsid w:val="00E60598"/>
    <w:rsid w:val="00E612DC"/>
    <w:rsid w:val="00E6484A"/>
    <w:rsid w:val="00E650F0"/>
    <w:rsid w:val="00E652BB"/>
    <w:rsid w:val="00E65AE2"/>
    <w:rsid w:val="00E67B3C"/>
    <w:rsid w:val="00E731AC"/>
    <w:rsid w:val="00E74D3E"/>
    <w:rsid w:val="00E7656B"/>
    <w:rsid w:val="00E8051C"/>
    <w:rsid w:val="00E828B2"/>
    <w:rsid w:val="00E836C5"/>
    <w:rsid w:val="00E87F9C"/>
    <w:rsid w:val="00E91649"/>
    <w:rsid w:val="00E91EFC"/>
    <w:rsid w:val="00E94686"/>
    <w:rsid w:val="00E9527A"/>
    <w:rsid w:val="00E971DE"/>
    <w:rsid w:val="00EA11D0"/>
    <w:rsid w:val="00EA1504"/>
    <w:rsid w:val="00EA29EC"/>
    <w:rsid w:val="00EA2F12"/>
    <w:rsid w:val="00EA3F41"/>
    <w:rsid w:val="00EA543B"/>
    <w:rsid w:val="00EA5A2A"/>
    <w:rsid w:val="00EA693B"/>
    <w:rsid w:val="00EA71A7"/>
    <w:rsid w:val="00EB0E81"/>
    <w:rsid w:val="00EB1D57"/>
    <w:rsid w:val="00EB2453"/>
    <w:rsid w:val="00EB476A"/>
    <w:rsid w:val="00EB4877"/>
    <w:rsid w:val="00EB493D"/>
    <w:rsid w:val="00EB5987"/>
    <w:rsid w:val="00EB6787"/>
    <w:rsid w:val="00EB7AF6"/>
    <w:rsid w:val="00EC083C"/>
    <w:rsid w:val="00EC1421"/>
    <w:rsid w:val="00EC33E5"/>
    <w:rsid w:val="00EC3646"/>
    <w:rsid w:val="00EC52A6"/>
    <w:rsid w:val="00ED1F08"/>
    <w:rsid w:val="00EE0152"/>
    <w:rsid w:val="00EE04E8"/>
    <w:rsid w:val="00EE088D"/>
    <w:rsid w:val="00EE1AF5"/>
    <w:rsid w:val="00EE2187"/>
    <w:rsid w:val="00EE2C4B"/>
    <w:rsid w:val="00EE4711"/>
    <w:rsid w:val="00EE4A8F"/>
    <w:rsid w:val="00EE69A5"/>
    <w:rsid w:val="00EF0104"/>
    <w:rsid w:val="00EF0545"/>
    <w:rsid w:val="00EF5DFE"/>
    <w:rsid w:val="00EF5E43"/>
    <w:rsid w:val="00EF6677"/>
    <w:rsid w:val="00EF75BA"/>
    <w:rsid w:val="00F00147"/>
    <w:rsid w:val="00F009B3"/>
    <w:rsid w:val="00F0221F"/>
    <w:rsid w:val="00F03500"/>
    <w:rsid w:val="00F04AEB"/>
    <w:rsid w:val="00F06BCD"/>
    <w:rsid w:val="00F07AD8"/>
    <w:rsid w:val="00F10319"/>
    <w:rsid w:val="00F11DFF"/>
    <w:rsid w:val="00F11EA8"/>
    <w:rsid w:val="00F12F3A"/>
    <w:rsid w:val="00F13638"/>
    <w:rsid w:val="00F14677"/>
    <w:rsid w:val="00F1746B"/>
    <w:rsid w:val="00F17627"/>
    <w:rsid w:val="00F20F6B"/>
    <w:rsid w:val="00F22084"/>
    <w:rsid w:val="00F23012"/>
    <w:rsid w:val="00F233E6"/>
    <w:rsid w:val="00F2685A"/>
    <w:rsid w:val="00F3495A"/>
    <w:rsid w:val="00F34A27"/>
    <w:rsid w:val="00F41193"/>
    <w:rsid w:val="00F44983"/>
    <w:rsid w:val="00F44B45"/>
    <w:rsid w:val="00F455A8"/>
    <w:rsid w:val="00F46AE2"/>
    <w:rsid w:val="00F5007D"/>
    <w:rsid w:val="00F522C8"/>
    <w:rsid w:val="00F52C3B"/>
    <w:rsid w:val="00F53176"/>
    <w:rsid w:val="00F53E13"/>
    <w:rsid w:val="00F540D4"/>
    <w:rsid w:val="00F604C6"/>
    <w:rsid w:val="00F6062F"/>
    <w:rsid w:val="00F618C8"/>
    <w:rsid w:val="00F61D68"/>
    <w:rsid w:val="00F646DF"/>
    <w:rsid w:val="00F649BA"/>
    <w:rsid w:val="00F66AAD"/>
    <w:rsid w:val="00F6710D"/>
    <w:rsid w:val="00F678B3"/>
    <w:rsid w:val="00F70DC3"/>
    <w:rsid w:val="00F711A0"/>
    <w:rsid w:val="00F74F6E"/>
    <w:rsid w:val="00F7632E"/>
    <w:rsid w:val="00F769C2"/>
    <w:rsid w:val="00F76E99"/>
    <w:rsid w:val="00F774CB"/>
    <w:rsid w:val="00F77D4B"/>
    <w:rsid w:val="00F800D6"/>
    <w:rsid w:val="00F80747"/>
    <w:rsid w:val="00F83A24"/>
    <w:rsid w:val="00F84422"/>
    <w:rsid w:val="00F8570F"/>
    <w:rsid w:val="00F85C07"/>
    <w:rsid w:val="00F864DC"/>
    <w:rsid w:val="00F87D19"/>
    <w:rsid w:val="00F908F0"/>
    <w:rsid w:val="00F90A6E"/>
    <w:rsid w:val="00F9252E"/>
    <w:rsid w:val="00F941AE"/>
    <w:rsid w:val="00F95ECE"/>
    <w:rsid w:val="00FA1005"/>
    <w:rsid w:val="00FA1F76"/>
    <w:rsid w:val="00FA338D"/>
    <w:rsid w:val="00FA6A70"/>
    <w:rsid w:val="00FB09DB"/>
    <w:rsid w:val="00FB0B4C"/>
    <w:rsid w:val="00FB1161"/>
    <w:rsid w:val="00FB2240"/>
    <w:rsid w:val="00FB3EC9"/>
    <w:rsid w:val="00FB4C20"/>
    <w:rsid w:val="00FB7561"/>
    <w:rsid w:val="00FB77A1"/>
    <w:rsid w:val="00FB7F3A"/>
    <w:rsid w:val="00FC3F5E"/>
    <w:rsid w:val="00FC46BF"/>
    <w:rsid w:val="00FC4CE8"/>
    <w:rsid w:val="00FD0408"/>
    <w:rsid w:val="00FD5666"/>
    <w:rsid w:val="00FE173A"/>
    <w:rsid w:val="00FE3710"/>
    <w:rsid w:val="00FE4F3D"/>
    <w:rsid w:val="00FE7F66"/>
    <w:rsid w:val="00FF1BFF"/>
    <w:rsid w:val="00FF5B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2BD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303"/>
    <w:pPr>
      <w:ind w:left="720"/>
      <w:contextualSpacing/>
    </w:pPr>
    <w:rPr>
      <w:rFonts w:ascii="Calibri" w:hAnsi="Calibri"/>
      <w:lang w:eastAsia="da-DK"/>
    </w:rPr>
  </w:style>
  <w:style w:type="character" w:styleId="Hyperlink">
    <w:name w:val="Hyperlink"/>
    <w:basedOn w:val="DefaultParagraphFont"/>
    <w:uiPriority w:val="99"/>
    <w:unhideWhenUsed/>
    <w:rsid w:val="005D3303"/>
    <w:rPr>
      <w:color w:val="0563C1" w:themeColor="hyperlink"/>
      <w:u w:val="single"/>
    </w:rPr>
  </w:style>
  <w:style w:type="paragraph" w:styleId="Caption">
    <w:name w:val="caption"/>
    <w:basedOn w:val="Normal"/>
    <w:next w:val="Normal"/>
    <w:uiPriority w:val="35"/>
    <w:unhideWhenUsed/>
    <w:qFormat/>
    <w:rsid w:val="003E2B7C"/>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64FCF"/>
    <w:rPr>
      <w:sz w:val="18"/>
      <w:szCs w:val="18"/>
    </w:rPr>
  </w:style>
  <w:style w:type="paragraph" w:styleId="CommentText">
    <w:name w:val="annotation text"/>
    <w:basedOn w:val="Normal"/>
    <w:link w:val="CommentTextChar"/>
    <w:uiPriority w:val="99"/>
    <w:unhideWhenUsed/>
    <w:rsid w:val="00364FCF"/>
  </w:style>
  <w:style w:type="character" w:customStyle="1" w:styleId="CommentTextChar">
    <w:name w:val="Comment Text Char"/>
    <w:basedOn w:val="DefaultParagraphFont"/>
    <w:link w:val="CommentText"/>
    <w:uiPriority w:val="99"/>
    <w:rsid w:val="00364FCF"/>
  </w:style>
  <w:style w:type="paragraph" w:styleId="CommentSubject">
    <w:name w:val="annotation subject"/>
    <w:basedOn w:val="CommentText"/>
    <w:next w:val="CommentText"/>
    <w:link w:val="CommentSubjectChar"/>
    <w:uiPriority w:val="99"/>
    <w:semiHidden/>
    <w:unhideWhenUsed/>
    <w:rsid w:val="00364FCF"/>
    <w:rPr>
      <w:b/>
      <w:bCs/>
      <w:sz w:val="20"/>
      <w:szCs w:val="20"/>
    </w:rPr>
  </w:style>
  <w:style w:type="character" w:customStyle="1" w:styleId="CommentSubjectChar">
    <w:name w:val="Comment Subject Char"/>
    <w:basedOn w:val="CommentTextChar"/>
    <w:link w:val="CommentSubject"/>
    <w:uiPriority w:val="99"/>
    <w:semiHidden/>
    <w:rsid w:val="00364FCF"/>
    <w:rPr>
      <w:b/>
      <w:bCs/>
      <w:sz w:val="20"/>
      <w:szCs w:val="20"/>
    </w:rPr>
  </w:style>
  <w:style w:type="paragraph" w:styleId="BalloonText">
    <w:name w:val="Balloon Text"/>
    <w:basedOn w:val="Normal"/>
    <w:link w:val="BalloonTextChar"/>
    <w:uiPriority w:val="99"/>
    <w:semiHidden/>
    <w:unhideWhenUsed/>
    <w:rsid w:val="00364FC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64FCF"/>
    <w:rPr>
      <w:rFonts w:ascii="Times New Roman" w:hAnsi="Times New Roman"/>
      <w:sz w:val="18"/>
      <w:szCs w:val="18"/>
    </w:rPr>
  </w:style>
  <w:style w:type="character" w:styleId="LineNumber">
    <w:name w:val="line number"/>
    <w:basedOn w:val="DefaultParagraphFont"/>
    <w:uiPriority w:val="99"/>
    <w:semiHidden/>
    <w:unhideWhenUsed/>
    <w:rsid w:val="000128C3"/>
  </w:style>
  <w:style w:type="table" w:styleId="TableGrid">
    <w:name w:val="Table Grid"/>
    <w:basedOn w:val="TableNormal"/>
    <w:uiPriority w:val="39"/>
    <w:rsid w:val="00D57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07F6"/>
    <w:rPr>
      <w:color w:val="954F72" w:themeColor="followedHyperlink"/>
      <w:u w:val="single"/>
    </w:rPr>
  </w:style>
  <w:style w:type="character" w:customStyle="1" w:styleId="UnresolvedMention1">
    <w:name w:val="Unresolved Mention1"/>
    <w:basedOn w:val="DefaultParagraphFont"/>
    <w:uiPriority w:val="99"/>
    <w:semiHidden/>
    <w:unhideWhenUsed/>
    <w:rsid w:val="00835E37"/>
    <w:rPr>
      <w:color w:val="605E5C"/>
      <w:shd w:val="clear" w:color="auto" w:fill="E1DFDD"/>
    </w:rPr>
  </w:style>
  <w:style w:type="paragraph" w:styleId="Revision">
    <w:name w:val="Revision"/>
    <w:hidden/>
    <w:uiPriority w:val="99"/>
    <w:semiHidden/>
    <w:rsid w:val="00D314A0"/>
  </w:style>
  <w:style w:type="paragraph" w:styleId="Footer">
    <w:name w:val="footer"/>
    <w:basedOn w:val="Normal"/>
    <w:link w:val="FooterChar"/>
    <w:uiPriority w:val="99"/>
    <w:unhideWhenUsed/>
    <w:rsid w:val="00241213"/>
    <w:pPr>
      <w:tabs>
        <w:tab w:val="center" w:pos="4819"/>
        <w:tab w:val="right" w:pos="9638"/>
      </w:tabs>
    </w:pPr>
  </w:style>
  <w:style w:type="character" w:customStyle="1" w:styleId="FooterChar">
    <w:name w:val="Footer Char"/>
    <w:basedOn w:val="DefaultParagraphFont"/>
    <w:link w:val="Footer"/>
    <w:uiPriority w:val="99"/>
    <w:rsid w:val="00241213"/>
  </w:style>
  <w:style w:type="character" w:styleId="PageNumber">
    <w:name w:val="page number"/>
    <w:basedOn w:val="DefaultParagraphFont"/>
    <w:uiPriority w:val="99"/>
    <w:semiHidden/>
    <w:unhideWhenUsed/>
    <w:rsid w:val="00241213"/>
  </w:style>
  <w:style w:type="paragraph" w:styleId="Header">
    <w:name w:val="header"/>
    <w:basedOn w:val="Normal"/>
    <w:link w:val="HeaderChar"/>
    <w:uiPriority w:val="99"/>
    <w:unhideWhenUsed/>
    <w:rsid w:val="00DC506E"/>
    <w:pPr>
      <w:tabs>
        <w:tab w:val="center" w:pos="4819"/>
        <w:tab w:val="right" w:pos="9638"/>
      </w:tabs>
    </w:pPr>
  </w:style>
  <w:style w:type="character" w:customStyle="1" w:styleId="HeaderChar">
    <w:name w:val="Header Char"/>
    <w:basedOn w:val="DefaultParagraphFont"/>
    <w:link w:val="Header"/>
    <w:uiPriority w:val="99"/>
    <w:rsid w:val="00DC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29750">
      <w:bodyDiv w:val="1"/>
      <w:marLeft w:val="0"/>
      <w:marRight w:val="0"/>
      <w:marTop w:val="0"/>
      <w:marBottom w:val="0"/>
      <w:divBdr>
        <w:top w:val="none" w:sz="0" w:space="0" w:color="auto"/>
        <w:left w:val="none" w:sz="0" w:space="0" w:color="auto"/>
        <w:bottom w:val="none" w:sz="0" w:space="0" w:color="auto"/>
        <w:right w:val="none" w:sz="0" w:space="0" w:color="auto"/>
      </w:divBdr>
    </w:div>
    <w:div w:id="387581307">
      <w:bodyDiv w:val="1"/>
      <w:marLeft w:val="0"/>
      <w:marRight w:val="0"/>
      <w:marTop w:val="0"/>
      <w:marBottom w:val="0"/>
      <w:divBdr>
        <w:top w:val="none" w:sz="0" w:space="0" w:color="auto"/>
        <w:left w:val="none" w:sz="0" w:space="0" w:color="auto"/>
        <w:bottom w:val="none" w:sz="0" w:space="0" w:color="auto"/>
        <w:right w:val="none" w:sz="0" w:space="0" w:color="auto"/>
      </w:divBdr>
    </w:div>
    <w:div w:id="439565811">
      <w:bodyDiv w:val="1"/>
      <w:marLeft w:val="0"/>
      <w:marRight w:val="0"/>
      <w:marTop w:val="0"/>
      <w:marBottom w:val="0"/>
      <w:divBdr>
        <w:top w:val="none" w:sz="0" w:space="0" w:color="auto"/>
        <w:left w:val="none" w:sz="0" w:space="0" w:color="auto"/>
        <w:bottom w:val="none" w:sz="0" w:space="0" w:color="auto"/>
        <w:right w:val="none" w:sz="0" w:space="0" w:color="auto"/>
      </w:divBdr>
    </w:div>
    <w:div w:id="513375502">
      <w:bodyDiv w:val="1"/>
      <w:marLeft w:val="0"/>
      <w:marRight w:val="0"/>
      <w:marTop w:val="0"/>
      <w:marBottom w:val="0"/>
      <w:divBdr>
        <w:top w:val="none" w:sz="0" w:space="0" w:color="auto"/>
        <w:left w:val="none" w:sz="0" w:space="0" w:color="auto"/>
        <w:bottom w:val="none" w:sz="0" w:space="0" w:color="auto"/>
        <w:right w:val="none" w:sz="0" w:space="0" w:color="auto"/>
      </w:divBdr>
    </w:div>
    <w:div w:id="795367854">
      <w:bodyDiv w:val="1"/>
      <w:marLeft w:val="0"/>
      <w:marRight w:val="0"/>
      <w:marTop w:val="0"/>
      <w:marBottom w:val="0"/>
      <w:divBdr>
        <w:top w:val="none" w:sz="0" w:space="0" w:color="auto"/>
        <w:left w:val="none" w:sz="0" w:space="0" w:color="auto"/>
        <w:bottom w:val="none" w:sz="0" w:space="0" w:color="auto"/>
        <w:right w:val="none" w:sz="0" w:space="0" w:color="auto"/>
      </w:divBdr>
    </w:div>
    <w:div w:id="997466627">
      <w:bodyDiv w:val="1"/>
      <w:marLeft w:val="0"/>
      <w:marRight w:val="0"/>
      <w:marTop w:val="0"/>
      <w:marBottom w:val="0"/>
      <w:divBdr>
        <w:top w:val="none" w:sz="0" w:space="0" w:color="auto"/>
        <w:left w:val="none" w:sz="0" w:space="0" w:color="auto"/>
        <w:bottom w:val="none" w:sz="0" w:space="0" w:color="auto"/>
        <w:right w:val="none" w:sz="0" w:space="0" w:color="auto"/>
      </w:divBdr>
    </w:div>
    <w:div w:id="1279681575">
      <w:bodyDiv w:val="1"/>
      <w:marLeft w:val="0"/>
      <w:marRight w:val="0"/>
      <w:marTop w:val="0"/>
      <w:marBottom w:val="0"/>
      <w:divBdr>
        <w:top w:val="none" w:sz="0" w:space="0" w:color="auto"/>
        <w:left w:val="none" w:sz="0" w:space="0" w:color="auto"/>
        <w:bottom w:val="none" w:sz="0" w:space="0" w:color="auto"/>
        <w:right w:val="none" w:sz="0" w:space="0" w:color="auto"/>
      </w:divBdr>
    </w:div>
    <w:div w:id="1321077142">
      <w:bodyDiv w:val="1"/>
      <w:marLeft w:val="0"/>
      <w:marRight w:val="0"/>
      <w:marTop w:val="0"/>
      <w:marBottom w:val="0"/>
      <w:divBdr>
        <w:top w:val="none" w:sz="0" w:space="0" w:color="auto"/>
        <w:left w:val="none" w:sz="0" w:space="0" w:color="auto"/>
        <w:bottom w:val="none" w:sz="0" w:space="0" w:color="auto"/>
        <w:right w:val="none" w:sz="0" w:space="0" w:color="auto"/>
      </w:divBdr>
    </w:div>
    <w:div w:id="1602839922">
      <w:bodyDiv w:val="1"/>
      <w:marLeft w:val="0"/>
      <w:marRight w:val="0"/>
      <w:marTop w:val="0"/>
      <w:marBottom w:val="0"/>
      <w:divBdr>
        <w:top w:val="none" w:sz="0" w:space="0" w:color="auto"/>
        <w:left w:val="none" w:sz="0" w:space="0" w:color="auto"/>
        <w:bottom w:val="none" w:sz="0" w:space="0" w:color="auto"/>
        <w:right w:val="none" w:sz="0" w:space="0" w:color="auto"/>
      </w:divBdr>
    </w:div>
    <w:div w:id="1648824861">
      <w:bodyDiv w:val="1"/>
      <w:marLeft w:val="0"/>
      <w:marRight w:val="0"/>
      <w:marTop w:val="0"/>
      <w:marBottom w:val="0"/>
      <w:divBdr>
        <w:top w:val="none" w:sz="0" w:space="0" w:color="auto"/>
        <w:left w:val="none" w:sz="0" w:space="0" w:color="auto"/>
        <w:bottom w:val="none" w:sz="0" w:space="0" w:color="auto"/>
        <w:right w:val="none" w:sz="0" w:space="0" w:color="auto"/>
      </w:divBdr>
    </w:div>
    <w:div w:id="1662156481">
      <w:bodyDiv w:val="1"/>
      <w:marLeft w:val="0"/>
      <w:marRight w:val="0"/>
      <w:marTop w:val="0"/>
      <w:marBottom w:val="0"/>
      <w:divBdr>
        <w:top w:val="none" w:sz="0" w:space="0" w:color="auto"/>
        <w:left w:val="none" w:sz="0" w:space="0" w:color="auto"/>
        <w:bottom w:val="none" w:sz="0" w:space="0" w:color="auto"/>
        <w:right w:val="none" w:sz="0" w:space="0" w:color="auto"/>
      </w:divBdr>
    </w:div>
    <w:div w:id="17365129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turethefractur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A0CF4DA-A594-482C-8770-226474F0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34895</Words>
  <Characters>198902</Characters>
  <Application>Microsoft Office Word</Application>
  <DocSecurity>0</DocSecurity>
  <Lines>1657</Lines>
  <Paragraphs>466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Kriegbaum Skjødt</dc:creator>
  <cp:keywords/>
  <dc:description/>
  <cp:lastModifiedBy>Karen Drake</cp:lastModifiedBy>
  <cp:revision>2</cp:revision>
  <dcterms:created xsi:type="dcterms:W3CDTF">2021-03-17T15:15:00Z</dcterms:created>
  <dcterms:modified xsi:type="dcterms:W3CDTF">2021-03-17T15:15:00Z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http://www.zotero.org/styles/osteoporosis-international</vt:lpwstr>
  </property>
  <property fmtid="{D5CDD505-2E9C-101B-9397-08002B2CF9AE}" pid="19" name="Mendeley Recent Style Name 8_1">
    <vt:lpwstr>Osteoporosis International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14be4232-77df-3650-bb33-413be135dcfb</vt:lpwstr>
  </property>
  <property fmtid="{D5CDD505-2E9C-101B-9397-08002B2CF9AE}" pid="24" name="Mendeley Citation Style_1">
    <vt:lpwstr>http://www.zotero.org/styles/osteoporosis-international</vt:lpwstr>
  </property>
</Properties>
</file>