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789983" w14:textId="77777777" w:rsidR="00EA125A" w:rsidRDefault="00EA125A" w:rsidP="00EA125A">
      <w:pPr>
        <w:pStyle w:val="Articletitle"/>
      </w:pPr>
      <w:r>
        <w:t xml:space="preserve">Non-oncological outcomes following limb salvage surgery in patients with knee sarcoma: a scoping review </w:t>
      </w:r>
    </w:p>
    <w:p w14:paraId="74A63C55" w14:textId="77777777" w:rsidR="00EA125A" w:rsidRPr="000E2864" w:rsidRDefault="00EA125A" w:rsidP="00EA125A">
      <w:pPr>
        <w:pStyle w:val="Authornames"/>
        <w:rPr>
          <w:vertAlign w:val="superscript"/>
        </w:rPr>
      </w:pPr>
      <w:proofErr w:type="spellStart"/>
      <w:r>
        <w:t>Nafla</w:t>
      </w:r>
      <w:proofErr w:type="spellEnd"/>
      <w:r>
        <w:t xml:space="preserve"> M. </w:t>
      </w:r>
      <w:proofErr w:type="spellStart"/>
      <w:r>
        <w:t>AlDossary</w:t>
      </w:r>
      <w:proofErr w:type="spellEnd"/>
      <w:r>
        <w:t xml:space="preserve"> </w:t>
      </w:r>
      <w:r>
        <w:rPr>
          <w:vertAlign w:val="superscript"/>
        </w:rPr>
        <w:t>1</w:t>
      </w:r>
      <w:r>
        <w:t xml:space="preserve">, Chantel Ostler </w:t>
      </w:r>
      <w:r>
        <w:rPr>
          <w:vertAlign w:val="superscript"/>
        </w:rPr>
        <w:t>234</w:t>
      </w:r>
      <w:r>
        <w:t xml:space="preserve">, Maggie Donovan-Hall </w:t>
      </w:r>
      <w:r>
        <w:rPr>
          <w:vertAlign w:val="superscript"/>
        </w:rPr>
        <w:t>23</w:t>
      </w:r>
      <w:r>
        <w:t xml:space="preserve"> &amp; Cheryl D. Metcalf </w:t>
      </w:r>
      <w:r>
        <w:rPr>
          <w:vertAlign w:val="superscript"/>
        </w:rPr>
        <w:t>23*</w:t>
      </w:r>
    </w:p>
    <w:p w14:paraId="286591ED" w14:textId="77777777" w:rsidR="00EA125A" w:rsidRPr="00872367" w:rsidRDefault="00EA125A" w:rsidP="00EA125A"/>
    <w:p w14:paraId="5B9BED1D" w14:textId="77777777" w:rsidR="00EA125A" w:rsidRDefault="00EA125A" w:rsidP="00EA125A">
      <w:pPr>
        <w:pStyle w:val="Affiliation"/>
      </w:pPr>
      <w:r>
        <w:rPr>
          <w:vertAlign w:val="superscript"/>
        </w:rPr>
        <w:t xml:space="preserve">1 </w:t>
      </w:r>
      <w:r>
        <w:t>Physical Therapy Department, King Fahad Specialist Hospital, Dammam City, Saudi Arabia</w:t>
      </w:r>
    </w:p>
    <w:p w14:paraId="07E45E56" w14:textId="77777777" w:rsidR="00EA125A" w:rsidRDefault="00EA125A" w:rsidP="00EA125A">
      <w:pPr>
        <w:pStyle w:val="Affiliation"/>
      </w:pPr>
      <w:r>
        <w:rPr>
          <w:vertAlign w:val="superscript"/>
        </w:rPr>
        <w:t>2</w:t>
      </w:r>
      <w:r>
        <w:t xml:space="preserve"> Portsmouth Enablement Centre, Portsmouth Hospitals NHS Trust, Portsmouth, UK. </w:t>
      </w:r>
    </w:p>
    <w:p w14:paraId="5F03B2D3" w14:textId="77777777" w:rsidR="00EA125A" w:rsidRDefault="00EA125A" w:rsidP="00EA125A">
      <w:pPr>
        <w:pStyle w:val="Affiliation"/>
      </w:pPr>
      <w:r>
        <w:rPr>
          <w:vertAlign w:val="superscript"/>
        </w:rPr>
        <w:t>3</w:t>
      </w:r>
      <w:r>
        <w:t xml:space="preserve"> School of Health Sciences, University of Southampton, Southampton, UK</w:t>
      </w:r>
    </w:p>
    <w:p w14:paraId="2BF04197" w14:textId="77777777" w:rsidR="00EA125A" w:rsidRPr="00035615" w:rsidRDefault="00EA125A" w:rsidP="00EA125A">
      <w:pPr>
        <w:pStyle w:val="Affiliation"/>
      </w:pPr>
      <w:r>
        <w:rPr>
          <w:vertAlign w:val="superscript"/>
        </w:rPr>
        <w:t>4</w:t>
      </w:r>
      <w:r>
        <w:t xml:space="preserve"> Exceed Research Network, Lisburn, Northern Ireland</w:t>
      </w:r>
    </w:p>
    <w:p w14:paraId="3B10F7C7" w14:textId="77777777" w:rsidR="00EA125A" w:rsidRDefault="00EA125A" w:rsidP="00EA125A">
      <w:pPr>
        <w:pStyle w:val="Correspondencedetails"/>
      </w:pPr>
    </w:p>
    <w:p w14:paraId="14FE506F" w14:textId="77777777" w:rsidR="00EA125A" w:rsidRDefault="00EA125A" w:rsidP="00EA125A">
      <w:pPr>
        <w:pStyle w:val="Correspondencedetails"/>
      </w:pPr>
      <w:hyperlink r:id="rId8" w:history="1">
        <w:r w:rsidRPr="00F866B3">
          <w:rPr>
            <w:rStyle w:val="Hyperlink"/>
          </w:rPr>
          <w:t>c.d.metcalf@soton.ac.uk</w:t>
        </w:r>
      </w:hyperlink>
    </w:p>
    <w:p w14:paraId="7B605C35" w14:textId="77777777" w:rsidR="00EA125A" w:rsidRDefault="00EA125A" w:rsidP="00EA125A">
      <w:pPr>
        <w:pStyle w:val="Correspondencedetails"/>
      </w:pPr>
      <w:r>
        <w:t>Twitter: @CherylMetcalf</w:t>
      </w:r>
    </w:p>
    <w:p w14:paraId="3ABE4BB3" w14:textId="77777777" w:rsidR="00EA125A" w:rsidRDefault="00EA125A" w:rsidP="00EA125A">
      <w:pPr>
        <w:pStyle w:val="Correspondencedetails"/>
      </w:pPr>
      <w:r>
        <w:t xml:space="preserve">Orchid ID: </w:t>
      </w:r>
      <w:r w:rsidRPr="00870AC1">
        <w:t>0000-0002-7404-6066</w:t>
      </w:r>
    </w:p>
    <w:p w14:paraId="316AE1FA" w14:textId="77777777" w:rsidR="00EA125A" w:rsidRDefault="00EA125A" w:rsidP="00EA125A">
      <w:pPr>
        <w:pStyle w:val="Correspondencedetails"/>
      </w:pPr>
      <w:r>
        <w:t xml:space="preserve">LinkedIn: </w:t>
      </w:r>
      <w:r w:rsidRPr="00EA657F">
        <w:t>https://www.linkedin.com/in/cheryl-metcalf-20573117/</w:t>
      </w:r>
    </w:p>
    <w:p w14:paraId="6C6C0664" w14:textId="77777777" w:rsidR="00EA125A" w:rsidRDefault="00EA125A" w:rsidP="00EA125A">
      <w:pPr>
        <w:pStyle w:val="Correspondencedetails"/>
      </w:pPr>
      <w:r>
        <w:t>4003, Building 67, People Powered Prosthetics Research Group, University of Southampton, SO17 1BJ, UK</w:t>
      </w:r>
    </w:p>
    <w:p w14:paraId="073E0A9D" w14:textId="77777777" w:rsidR="00EA125A" w:rsidRDefault="00EA125A" w:rsidP="00EA125A"/>
    <w:p w14:paraId="7229EC3E" w14:textId="77777777" w:rsidR="00EA125A" w:rsidRDefault="00EA125A" w:rsidP="00EA125A"/>
    <w:p w14:paraId="4D59041A" w14:textId="77777777" w:rsidR="00EA125A" w:rsidRPr="00902138" w:rsidRDefault="00EA125A" w:rsidP="00EA125A">
      <w:pPr>
        <w:spacing w:before="240" w:line="360" w:lineRule="auto"/>
        <w:rPr>
          <w:rFonts w:ascii="Times New Roman" w:hAnsi="Times New Roman" w:cs="Times New Roman"/>
          <w:sz w:val="24"/>
          <w:szCs w:val="24"/>
        </w:rPr>
      </w:pPr>
      <w:r w:rsidRPr="00902138">
        <w:rPr>
          <w:rFonts w:ascii="Times New Roman" w:hAnsi="Times New Roman" w:cs="Times New Roman"/>
          <w:sz w:val="24"/>
          <w:szCs w:val="24"/>
        </w:rPr>
        <w:t>Research Type: Scoping Review</w:t>
      </w:r>
    </w:p>
    <w:p w14:paraId="6AFF43C4" w14:textId="77777777" w:rsidR="00EA125A" w:rsidRDefault="00EA125A" w:rsidP="00EA125A">
      <w:pPr>
        <w:spacing w:before="240" w:line="360" w:lineRule="auto"/>
        <w:rPr>
          <w:rFonts w:ascii="Times New Roman" w:hAnsi="Times New Roman" w:cs="Times New Roman"/>
          <w:sz w:val="24"/>
          <w:szCs w:val="24"/>
        </w:rPr>
      </w:pPr>
      <w:r w:rsidRPr="00902138">
        <w:rPr>
          <w:rFonts w:ascii="Times New Roman" w:hAnsi="Times New Roman" w:cs="Times New Roman"/>
          <w:sz w:val="24"/>
          <w:szCs w:val="24"/>
        </w:rPr>
        <w:t>Running title: Recovery outcomes following limb salvage surgery</w:t>
      </w:r>
    </w:p>
    <w:p w14:paraId="5DD7ACBD" w14:textId="77777777" w:rsidR="00EA125A" w:rsidRDefault="00EA125A" w:rsidP="00EA125A">
      <w:pPr>
        <w:spacing w:before="240" w:line="360" w:lineRule="auto"/>
        <w:rPr>
          <w:rFonts w:ascii="Times New Roman" w:hAnsi="Times New Roman" w:cs="Times New Roman"/>
          <w:sz w:val="24"/>
          <w:szCs w:val="24"/>
        </w:rPr>
      </w:pPr>
      <w:r>
        <w:rPr>
          <w:rFonts w:ascii="Times New Roman" w:hAnsi="Times New Roman" w:cs="Times New Roman"/>
          <w:sz w:val="24"/>
          <w:szCs w:val="24"/>
        </w:rPr>
        <w:t>Disclosure statement: The authors declare that there is no conflict of interest.</w:t>
      </w:r>
    </w:p>
    <w:p w14:paraId="360AB649" w14:textId="77777777" w:rsidR="00EA125A" w:rsidRDefault="00EA125A" w:rsidP="00EA125A">
      <w:pPr>
        <w:spacing w:before="24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Double blind policy: The authors have chosen to adhere to the double-blind policy therefore have removed any information which might identify the author’s identity. </w:t>
      </w:r>
    </w:p>
    <w:p w14:paraId="53FFF060" w14:textId="77777777" w:rsidR="00EA125A" w:rsidRPr="002B7ECA" w:rsidRDefault="00EA125A" w:rsidP="00EA125A">
      <w:pPr>
        <w:spacing w:before="240" w:line="360" w:lineRule="auto"/>
        <w:rPr>
          <w:rFonts w:ascii="Times New Roman" w:hAnsi="Times New Roman" w:cs="Times New Roman"/>
          <w:sz w:val="24"/>
          <w:szCs w:val="24"/>
        </w:rPr>
      </w:pPr>
      <w:r w:rsidRPr="002B7ECA">
        <w:rPr>
          <w:rFonts w:ascii="Times New Roman" w:hAnsi="Times New Roman" w:cs="Times New Roman"/>
          <w:sz w:val="24"/>
          <w:szCs w:val="24"/>
        </w:rPr>
        <w:t xml:space="preserve">Funding support: None. </w:t>
      </w:r>
    </w:p>
    <w:p w14:paraId="1CB57542" w14:textId="77777777" w:rsidR="00EA125A" w:rsidRDefault="00EA125A" w:rsidP="00EA125A">
      <w:pPr>
        <w:spacing w:before="240" w:after="0" w:line="360" w:lineRule="auto"/>
        <w:rPr>
          <w:rFonts w:ascii="Times New Roman" w:hAnsi="Times New Roman" w:cs="Times New Roman"/>
          <w:sz w:val="24"/>
          <w:szCs w:val="24"/>
        </w:rPr>
      </w:pPr>
    </w:p>
    <w:p w14:paraId="78602B68" w14:textId="77777777" w:rsidR="00EA125A" w:rsidRPr="002B7ECA" w:rsidRDefault="00EA125A" w:rsidP="00EA125A">
      <w:pPr>
        <w:spacing w:before="240" w:after="0" w:line="360" w:lineRule="auto"/>
        <w:rPr>
          <w:rFonts w:ascii="Times New Roman" w:hAnsi="Times New Roman" w:cs="Times New Roman"/>
          <w:sz w:val="24"/>
          <w:szCs w:val="24"/>
        </w:rPr>
      </w:pPr>
      <w:r w:rsidRPr="002B7ECA">
        <w:rPr>
          <w:rFonts w:ascii="Times New Roman" w:hAnsi="Times New Roman" w:cs="Times New Roman"/>
          <w:sz w:val="24"/>
          <w:szCs w:val="24"/>
        </w:rPr>
        <w:t>Acknowledgements</w:t>
      </w:r>
      <w:r>
        <w:rPr>
          <w:rFonts w:ascii="Times New Roman" w:hAnsi="Times New Roman" w:cs="Times New Roman"/>
          <w:sz w:val="24"/>
          <w:szCs w:val="24"/>
        </w:rPr>
        <w:t xml:space="preserve">: </w:t>
      </w:r>
      <w:r w:rsidRPr="002B7ECA">
        <w:rPr>
          <w:rFonts w:ascii="Times New Roman" w:hAnsi="Times New Roman" w:cs="Times New Roman"/>
          <w:sz w:val="24"/>
          <w:szCs w:val="24"/>
        </w:rPr>
        <w:t xml:space="preserve">The Authors would like to thank King Fahad Specialist Hospital, Dammam City, Saudi Arabia for supporting NMAD’s studentship to attend the University of Southampton, UK.  </w:t>
      </w:r>
    </w:p>
    <w:p w14:paraId="1C6E2B18" w14:textId="77777777" w:rsidR="00EA125A" w:rsidRPr="002B7ECA" w:rsidRDefault="00EA125A" w:rsidP="00EA125A">
      <w:pPr>
        <w:spacing w:before="240" w:line="360" w:lineRule="auto"/>
        <w:jc w:val="both"/>
        <w:rPr>
          <w:rFonts w:ascii="Times New Roman" w:hAnsi="Times New Roman" w:cs="Times New Roman"/>
          <w:sz w:val="24"/>
          <w:szCs w:val="24"/>
        </w:rPr>
      </w:pPr>
      <w:r w:rsidRPr="002B7ECA">
        <w:rPr>
          <w:rFonts w:ascii="Times New Roman" w:hAnsi="Times New Roman" w:cs="Times New Roman"/>
          <w:sz w:val="24"/>
          <w:szCs w:val="24"/>
        </w:rPr>
        <w:t xml:space="preserve">The Authors would also like to acknowledge the international research consortium, Exceed Research Network (ERN), coordinated by the International Non-Government Organisation, Exceed Worldwide, based in Lisburn, Northern Ireland, for providing substantial support to MDH, CO and CM. </w:t>
      </w:r>
    </w:p>
    <w:p w14:paraId="49780A5D" w14:textId="77777777" w:rsidR="00EA125A" w:rsidRPr="002B7ECA" w:rsidRDefault="00EA125A" w:rsidP="00EA125A">
      <w:pPr>
        <w:spacing w:before="240" w:line="360" w:lineRule="auto"/>
        <w:rPr>
          <w:rFonts w:ascii="Times New Roman" w:hAnsi="Times New Roman" w:cs="Times New Roman"/>
          <w:sz w:val="24"/>
          <w:szCs w:val="24"/>
        </w:rPr>
      </w:pPr>
    </w:p>
    <w:p w14:paraId="1D32790A" w14:textId="77777777" w:rsidR="00EA125A" w:rsidRPr="002B7ECA" w:rsidRDefault="00EA125A" w:rsidP="00EA125A">
      <w:pPr>
        <w:spacing w:before="240" w:line="360" w:lineRule="auto"/>
        <w:rPr>
          <w:rFonts w:ascii="Times New Roman" w:hAnsi="Times New Roman" w:cs="Times New Roman"/>
          <w:sz w:val="24"/>
          <w:szCs w:val="24"/>
        </w:rPr>
      </w:pPr>
      <w:r w:rsidRPr="002B7ECA">
        <w:rPr>
          <w:rFonts w:ascii="Times New Roman" w:hAnsi="Times New Roman" w:cs="Times New Roman"/>
          <w:sz w:val="24"/>
          <w:szCs w:val="24"/>
        </w:rPr>
        <w:t>Author contributions: NAMD conceptualised the topic and conducted the literature search and analysis of the literature.</w:t>
      </w:r>
    </w:p>
    <w:p w14:paraId="345A33A6" w14:textId="77777777" w:rsidR="00EA125A" w:rsidRPr="002B7ECA" w:rsidRDefault="00EA125A" w:rsidP="00EA125A">
      <w:pPr>
        <w:spacing w:before="240" w:line="360" w:lineRule="auto"/>
        <w:rPr>
          <w:rFonts w:ascii="Times New Roman" w:hAnsi="Times New Roman" w:cs="Times New Roman"/>
          <w:sz w:val="24"/>
          <w:szCs w:val="24"/>
        </w:rPr>
      </w:pPr>
      <w:r w:rsidRPr="002B7ECA">
        <w:rPr>
          <w:rFonts w:ascii="Times New Roman" w:hAnsi="Times New Roman" w:cs="Times New Roman"/>
          <w:sz w:val="24"/>
          <w:szCs w:val="24"/>
        </w:rPr>
        <w:t xml:space="preserve">CO provided content from a specialist physiotherapy perspective, provided a critical </w:t>
      </w:r>
      <w:proofErr w:type="gramStart"/>
      <w:r w:rsidRPr="002B7ECA">
        <w:rPr>
          <w:rFonts w:ascii="Times New Roman" w:hAnsi="Times New Roman" w:cs="Times New Roman"/>
          <w:sz w:val="24"/>
          <w:szCs w:val="24"/>
        </w:rPr>
        <w:t>review</w:t>
      </w:r>
      <w:proofErr w:type="gramEnd"/>
      <w:r w:rsidRPr="002B7ECA">
        <w:rPr>
          <w:rFonts w:ascii="Times New Roman" w:hAnsi="Times New Roman" w:cs="Times New Roman"/>
          <w:sz w:val="24"/>
          <w:szCs w:val="24"/>
        </w:rPr>
        <w:t xml:space="preserve"> and helped refine the manuscript for publication.</w:t>
      </w:r>
    </w:p>
    <w:p w14:paraId="037C37EE" w14:textId="77777777" w:rsidR="00EA125A" w:rsidRPr="002B7ECA" w:rsidRDefault="00EA125A" w:rsidP="00EA125A">
      <w:pPr>
        <w:spacing w:before="240" w:line="360" w:lineRule="auto"/>
        <w:rPr>
          <w:rFonts w:ascii="Times New Roman" w:hAnsi="Times New Roman" w:cs="Times New Roman"/>
          <w:sz w:val="24"/>
          <w:szCs w:val="24"/>
        </w:rPr>
      </w:pPr>
      <w:r w:rsidRPr="002B7ECA">
        <w:rPr>
          <w:rFonts w:ascii="Times New Roman" w:hAnsi="Times New Roman" w:cs="Times New Roman"/>
          <w:sz w:val="24"/>
          <w:szCs w:val="24"/>
        </w:rPr>
        <w:t>MDH provided perspective from a health psychology viewpoint and provided critical review prior to submission of the manuscript.</w:t>
      </w:r>
    </w:p>
    <w:p w14:paraId="4F7A6A05" w14:textId="77777777" w:rsidR="00EA125A" w:rsidRPr="002B7ECA" w:rsidRDefault="00EA125A" w:rsidP="00EA125A">
      <w:pPr>
        <w:spacing w:before="240" w:line="360" w:lineRule="auto"/>
        <w:rPr>
          <w:rFonts w:ascii="Times New Roman" w:hAnsi="Times New Roman" w:cs="Times New Roman"/>
          <w:sz w:val="24"/>
          <w:szCs w:val="24"/>
        </w:rPr>
      </w:pPr>
      <w:r w:rsidRPr="002B7ECA">
        <w:rPr>
          <w:rFonts w:ascii="Times New Roman" w:hAnsi="Times New Roman" w:cs="Times New Roman"/>
          <w:sz w:val="24"/>
          <w:szCs w:val="24"/>
        </w:rPr>
        <w:t xml:space="preserve">CM provided guidance during the review process, </w:t>
      </w:r>
      <w:proofErr w:type="gramStart"/>
      <w:r w:rsidRPr="002B7ECA">
        <w:rPr>
          <w:rFonts w:ascii="Times New Roman" w:hAnsi="Times New Roman" w:cs="Times New Roman"/>
          <w:sz w:val="24"/>
          <w:szCs w:val="24"/>
        </w:rPr>
        <w:t>refined</w:t>
      </w:r>
      <w:proofErr w:type="gramEnd"/>
      <w:r w:rsidRPr="002B7ECA">
        <w:rPr>
          <w:rFonts w:ascii="Times New Roman" w:hAnsi="Times New Roman" w:cs="Times New Roman"/>
          <w:sz w:val="24"/>
          <w:szCs w:val="24"/>
        </w:rPr>
        <w:t xml:space="preserve"> and finalised the manuscript for publication.</w:t>
      </w:r>
    </w:p>
    <w:p w14:paraId="26422360" w14:textId="77777777" w:rsidR="00EA125A" w:rsidRPr="002B7ECA" w:rsidRDefault="00EA125A" w:rsidP="00EA125A">
      <w:pPr>
        <w:spacing w:before="240" w:line="360" w:lineRule="auto"/>
        <w:rPr>
          <w:rFonts w:ascii="Times New Roman" w:hAnsi="Times New Roman" w:cs="Times New Roman"/>
          <w:sz w:val="24"/>
          <w:szCs w:val="24"/>
        </w:rPr>
      </w:pPr>
    </w:p>
    <w:p w14:paraId="5253E062" w14:textId="77777777" w:rsidR="00EA125A" w:rsidRPr="00902138" w:rsidRDefault="00EA125A" w:rsidP="00EA125A">
      <w:pPr>
        <w:spacing w:before="240" w:line="360" w:lineRule="auto"/>
        <w:rPr>
          <w:rFonts w:ascii="Times New Roman" w:hAnsi="Times New Roman" w:cs="Times New Roman"/>
          <w:sz w:val="24"/>
          <w:szCs w:val="24"/>
        </w:rPr>
      </w:pPr>
    </w:p>
    <w:p w14:paraId="76D3E684" w14:textId="77777777" w:rsidR="00EA125A" w:rsidRPr="002B7ECA" w:rsidRDefault="00EA125A" w:rsidP="00EA125A">
      <w:pPr>
        <w:rPr>
          <w:rFonts w:ascii="Times New Roman" w:hAnsi="Times New Roman" w:cs="Times New Roman"/>
          <w:sz w:val="24"/>
          <w:szCs w:val="24"/>
        </w:rPr>
      </w:pPr>
    </w:p>
    <w:p w14:paraId="549F0466" w14:textId="1DE72F13" w:rsidR="00EA125A" w:rsidRDefault="00580AC8" w:rsidP="00781E9F">
      <w:pPr>
        <w:pStyle w:val="Articletitle"/>
      </w:pPr>
      <w:r>
        <w:rPr>
          <w:noProof/>
        </w:rPr>
        <w:lastRenderedPageBreak/>
        <w:drawing>
          <wp:inline distT="0" distB="0" distL="0" distR="0" wp14:anchorId="1210F914" wp14:editId="1E3622F1">
            <wp:extent cx="5242560" cy="4884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560" cy="4884420"/>
                    </a:xfrm>
                    <a:prstGeom prst="rect">
                      <a:avLst/>
                    </a:prstGeom>
                    <a:noFill/>
                    <a:ln>
                      <a:noFill/>
                    </a:ln>
                  </pic:spPr>
                </pic:pic>
              </a:graphicData>
            </a:graphic>
          </wp:inline>
        </w:drawing>
      </w:r>
    </w:p>
    <w:p w14:paraId="53B34D10" w14:textId="53E6B448" w:rsidR="00781E9F" w:rsidRPr="005B5460" w:rsidRDefault="00781E9F" w:rsidP="00781E9F">
      <w:pPr>
        <w:pStyle w:val="Articletitle"/>
      </w:pPr>
      <w:r w:rsidRPr="005B5460">
        <w:t xml:space="preserve">Non-oncological outcomes following limb salvage surgery in patients with knee sarcoma: a scoping review </w:t>
      </w:r>
    </w:p>
    <w:p w14:paraId="0EB1CB24" w14:textId="147958E5" w:rsidR="00C73837" w:rsidRPr="005B5460" w:rsidRDefault="00781E9F" w:rsidP="00781E9F">
      <w:pPr>
        <w:pStyle w:val="Abstract"/>
      </w:pPr>
      <w:r w:rsidRPr="005B5460">
        <w:t xml:space="preserve">Limb </w:t>
      </w:r>
      <w:r w:rsidR="00A04E47" w:rsidRPr="005B5460">
        <w:t>s</w:t>
      </w:r>
      <w:r w:rsidRPr="005B5460">
        <w:t xml:space="preserve">alvage </w:t>
      </w:r>
      <w:r w:rsidR="00A04E47" w:rsidRPr="005B5460">
        <w:t>s</w:t>
      </w:r>
      <w:r w:rsidRPr="005B5460">
        <w:t xml:space="preserve">urgery </w:t>
      </w:r>
      <w:r w:rsidR="00A04E47" w:rsidRPr="005B5460">
        <w:t>is</w:t>
      </w:r>
      <w:r w:rsidRPr="005B5460">
        <w:t xml:space="preserve"> </w:t>
      </w:r>
      <w:r w:rsidR="00A04E47" w:rsidRPr="005B5460">
        <w:t>a</w:t>
      </w:r>
      <w:r w:rsidRPr="005B5460">
        <w:t xml:space="preserve"> surgical procedure for tumour resection in bone and soft-tissue cancer</w:t>
      </w:r>
      <w:r w:rsidR="003871F9" w:rsidRPr="005B5460">
        <w:t>s</w:t>
      </w:r>
      <w:r w:rsidRPr="005B5460">
        <w:t xml:space="preserve">. </w:t>
      </w:r>
      <w:r w:rsidR="00450C42" w:rsidRPr="005B5460">
        <w:t>G</w:t>
      </w:r>
      <w:r w:rsidRPr="005B5460">
        <w:t xml:space="preserve">uidelines aim to preserve </w:t>
      </w:r>
      <w:r w:rsidR="00366872" w:rsidRPr="005B5460">
        <w:t xml:space="preserve">as much </w:t>
      </w:r>
      <w:r w:rsidRPr="005B5460">
        <w:t>function and tissue of the limb as possible</w:t>
      </w:r>
      <w:r w:rsidR="00EA57E9" w:rsidRPr="005B5460">
        <w:t>.</w:t>
      </w:r>
      <w:r w:rsidRPr="005B5460">
        <w:t xml:space="preserve"> </w:t>
      </w:r>
      <w:r w:rsidR="00EA57E9" w:rsidRPr="005B5460">
        <w:t>S</w:t>
      </w:r>
      <w:r w:rsidRPr="005B5460">
        <w:t xml:space="preserve">urgical outcome data is </w:t>
      </w:r>
      <w:proofErr w:type="spellStart"/>
      <w:r w:rsidR="00315C1F" w:rsidRPr="005B5460">
        <w:t>routeinly</w:t>
      </w:r>
      <w:proofErr w:type="spellEnd"/>
      <w:r w:rsidR="00315C1F" w:rsidRPr="005B5460">
        <w:t xml:space="preserve"> </w:t>
      </w:r>
      <w:r w:rsidRPr="005B5460">
        <w:t>available as part of surgical reporting process</w:t>
      </w:r>
      <w:r w:rsidR="00EA57E9" w:rsidRPr="005B5460">
        <w:t>es</w:t>
      </w:r>
      <w:r w:rsidRPr="005B5460">
        <w:t xml:space="preserve">. What is less known are </w:t>
      </w:r>
      <w:r w:rsidR="002B59B4" w:rsidRPr="005B5460">
        <w:t xml:space="preserve">important </w:t>
      </w:r>
      <w:r w:rsidRPr="005B5460">
        <w:t>non-oncological outcomes throughout recovery from both clinical and patient perspective</w:t>
      </w:r>
      <w:r w:rsidR="007E7F9C" w:rsidRPr="005B5460">
        <w:t>s</w:t>
      </w:r>
      <w:r w:rsidRPr="005B5460">
        <w:t xml:space="preserve">. The objective of this review </w:t>
      </w:r>
      <w:r w:rsidR="00FA23B0" w:rsidRPr="005B5460">
        <w:t>wa</w:t>
      </w:r>
      <w:r w:rsidRPr="005B5460">
        <w:t>s to explore non-oncological outcomes</w:t>
      </w:r>
      <w:r w:rsidR="00EA57E9" w:rsidRPr="005B5460">
        <w:t xml:space="preserve"> </w:t>
      </w:r>
      <w:r w:rsidRPr="005B5460">
        <w:t xml:space="preserve">in patients diagnosed with sarcoma around the knee following </w:t>
      </w:r>
      <w:r w:rsidR="00FA23B0" w:rsidRPr="005B5460">
        <w:t>l</w:t>
      </w:r>
      <w:r w:rsidRPr="005B5460">
        <w:t xml:space="preserve">imb </w:t>
      </w:r>
      <w:r w:rsidR="00FA23B0" w:rsidRPr="005B5460">
        <w:t>s</w:t>
      </w:r>
      <w:r w:rsidRPr="005B5460">
        <w:t xml:space="preserve">alvage </w:t>
      </w:r>
      <w:r w:rsidR="00FA23B0" w:rsidRPr="005B5460">
        <w:t>s</w:t>
      </w:r>
      <w:r w:rsidRPr="005B5460">
        <w:t xml:space="preserve">urgery. </w:t>
      </w:r>
    </w:p>
    <w:p w14:paraId="20A053A1" w14:textId="4F97657B" w:rsidR="00781E9F" w:rsidRPr="005B5460" w:rsidRDefault="00781E9F" w:rsidP="00781E9F">
      <w:pPr>
        <w:pStyle w:val="Abstract"/>
      </w:pPr>
      <w:r w:rsidRPr="005B5460">
        <w:t xml:space="preserve">A scoping review methodology was </w:t>
      </w:r>
      <w:proofErr w:type="gramStart"/>
      <w:r w:rsidRPr="005B5460">
        <w:t>used</w:t>
      </w:r>
      <w:proofErr w:type="gramEnd"/>
      <w:r w:rsidRPr="005B5460">
        <w:t xml:space="preserve"> and results analysed using CASP checklists</w:t>
      </w:r>
      <w:r w:rsidR="00EA57E9" w:rsidRPr="005B5460">
        <w:t>.</w:t>
      </w:r>
      <w:r w:rsidRPr="005B5460">
        <w:t xml:space="preserve"> </w:t>
      </w:r>
    </w:p>
    <w:p w14:paraId="1751889B" w14:textId="7304087E" w:rsidR="00EA57E9" w:rsidRPr="005B5460" w:rsidRDefault="00AB553F" w:rsidP="00EA57E9">
      <w:pPr>
        <w:pStyle w:val="Abstract"/>
      </w:pPr>
      <w:r w:rsidRPr="005B5460">
        <w:t>Twelve</w:t>
      </w:r>
      <w:r w:rsidR="00781E9F" w:rsidRPr="005B5460">
        <w:t xml:space="preserve"> studies were </w:t>
      </w:r>
      <w:r w:rsidR="008D11B5" w:rsidRPr="005B5460">
        <w:t xml:space="preserve">included </w:t>
      </w:r>
      <w:r w:rsidR="00844C32" w:rsidRPr="005B5460">
        <w:t>and</w:t>
      </w:r>
      <w:r w:rsidR="0068432F" w:rsidRPr="005B5460">
        <w:t xml:space="preserve"> </w:t>
      </w:r>
      <w:r w:rsidR="00844C32" w:rsidRPr="005B5460">
        <w:t>f</w:t>
      </w:r>
      <w:r w:rsidR="0068432F" w:rsidRPr="005B5460">
        <w:t xml:space="preserve">ollowing </w:t>
      </w:r>
      <w:proofErr w:type="spellStart"/>
      <w:r w:rsidR="0068432F" w:rsidRPr="005B5460">
        <w:t>appriasal</w:t>
      </w:r>
      <w:proofErr w:type="spellEnd"/>
      <w:r w:rsidR="0068432F" w:rsidRPr="005B5460">
        <w:t xml:space="preserve"> and synthesis, </w:t>
      </w:r>
      <w:r w:rsidR="00F2454C" w:rsidRPr="005B5460">
        <w:t>t</w:t>
      </w:r>
      <w:r w:rsidR="00781E9F" w:rsidRPr="005B5460">
        <w:t xml:space="preserve">hree themes </w:t>
      </w:r>
      <w:r w:rsidR="0068432F" w:rsidRPr="005B5460">
        <w:t>emerged</w:t>
      </w:r>
      <w:r w:rsidR="00D946A9" w:rsidRPr="005B5460">
        <w:t xml:space="preserve"> as providing important measures </w:t>
      </w:r>
      <w:r w:rsidR="00615EFA" w:rsidRPr="005B5460">
        <w:t>intrinsic to</w:t>
      </w:r>
      <w:r w:rsidR="00D946A9" w:rsidRPr="005B5460">
        <w:t xml:space="preserve"> </w:t>
      </w:r>
      <w:r w:rsidR="00E463E2" w:rsidRPr="005B5460">
        <w:t xml:space="preserve">successful </w:t>
      </w:r>
      <w:r w:rsidR="00106915" w:rsidRPr="005B5460">
        <w:t xml:space="preserve">patient </w:t>
      </w:r>
      <w:r w:rsidR="00106915" w:rsidRPr="005B5460">
        <w:lastRenderedPageBreak/>
        <w:t>recovery</w:t>
      </w:r>
      <w:r w:rsidR="00781E9F" w:rsidRPr="005B5460">
        <w:t xml:space="preserve">: </w:t>
      </w:r>
      <w:r w:rsidR="003D0F9A" w:rsidRPr="005B5460">
        <w:t>1</w:t>
      </w:r>
      <w:r w:rsidR="00781E9F" w:rsidRPr="005B5460">
        <w:t xml:space="preserve">) physical function, </w:t>
      </w:r>
      <w:r w:rsidR="0098026A" w:rsidRPr="005B5460">
        <w:t>2</w:t>
      </w:r>
      <w:r w:rsidR="00781E9F" w:rsidRPr="005B5460">
        <w:t xml:space="preserve">) </w:t>
      </w:r>
      <w:r w:rsidR="0098026A" w:rsidRPr="005B5460">
        <w:t>q</w:t>
      </w:r>
      <w:r w:rsidR="00781E9F" w:rsidRPr="005B5460">
        <w:t xml:space="preserve">uality of </w:t>
      </w:r>
      <w:r w:rsidR="0098026A" w:rsidRPr="005B5460">
        <w:t>l</w:t>
      </w:r>
      <w:r w:rsidR="00781E9F" w:rsidRPr="005B5460">
        <w:t xml:space="preserve">ife and, </w:t>
      </w:r>
      <w:r w:rsidR="0098026A" w:rsidRPr="005B5460">
        <w:t>3</w:t>
      </w:r>
      <w:r w:rsidR="00781E9F" w:rsidRPr="005B5460">
        <w:t xml:space="preserve">) gait and knee goniometry. </w:t>
      </w:r>
      <w:r w:rsidR="00D0127B" w:rsidRPr="005B5460">
        <w:t>Specifically</w:t>
      </w:r>
      <w:r w:rsidR="001B411B" w:rsidRPr="005B5460">
        <w:t xml:space="preserve">, </w:t>
      </w:r>
      <w:r w:rsidR="00D62C10" w:rsidRPr="005B5460">
        <w:t xml:space="preserve">patients develop </w:t>
      </w:r>
      <w:r w:rsidR="00B84833" w:rsidRPr="005B5460">
        <w:t xml:space="preserve">range of motion complications that </w:t>
      </w:r>
      <w:r w:rsidR="006701B9" w:rsidRPr="005B5460">
        <w:t>alter gait pattern</w:t>
      </w:r>
      <w:r w:rsidR="00EA57E9" w:rsidRPr="005B5460">
        <w:t>s</w:t>
      </w:r>
      <w:r w:rsidR="006701B9" w:rsidRPr="005B5460">
        <w:t xml:space="preserve"> and patients often limit their </w:t>
      </w:r>
      <w:r w:rsidR="00592E42" w:rsidRPr="005B5460">
        <w:t xml:space="preserve">post-operative </w:t>
      </w:r>
      <w:proofErr w:type="spellStart"/>
      <w:r w:rsidR="006701B9" w:rsidRPr="005B5460">
        <w:t>particpation</w:t>
      </w:r>
      <w:proofErr w:type="spellEnd"/>
      <w:r w:rsidR="006701B9" w:rsidRPr="005B5460">
        <w:t xml:space="preserve"> in </w:t>
      </w:r>
      <w:r w:rsidR="00592E42" w:rsidRPr="005B5460">
        <w:t xml:space="preserve">sport and leisure activities. </w:t>
      </w:r>
    </w:p>
    <w:p w14:paraId="7431BBD3" w14:textId="4027BD56" w:rsidR="00EA57E9" w:rsidRPr="005B5460" w:rsidRDefault="00EA57E9" w:rsidP="00EA57E9">
      <w:pPr>
        <w:pStyle w:val="Abstract"/>
      </w:pPr>
      <w:r w:rsidRPr="005B5460">
        <w:t>Results show the importance of exploring confounding factors, adopting a holistic view of patient recovery beyond surgical outcomes</w:t>
      </w:r>
      <w:r w:rsidR="00844C32" w:rsidRPr="005B5460">
        <w:t>,</w:t>
      </w:r>
      <w:r w:rsidRPr="005B5460">
        <w:t xml:space="preserve"> proposing evidence-based guidance to support and inform healthcare providers with clinical decision-making. This review highligh</w:t>
      </w:r>
      <w:r w:rsidR="00844C32" w:rsidRPr="005B5460">
        <w:t>ts</w:t>
      </w:r>
      <w:r w:rsidRPr="005B5460">
        <w:t xml:space="preserve"> the paucity and lack of quality of research available, emphasising how under-represented this population is in the research literature.  </w:t>
      </w:r>
    </w:p>
    <w:p w14:paraId="4478B5B3" w14:textId="32FF9114" w:rsidR="00EA57E9" w:rsidRPr="005B5460" w:rsidRDefault="00EA57E9" w:rsidP="004F37CE">
      <w:pPr>
        <w:pStyle w:val="Abstract"/>
      </w:pPr>
    </w:p>
    <w:p w14:paraId="4E8697DB" w14:textId="4B710EEE" w:rsidR="00781E9F" w:rsidRPr="005B5460" w:rsidRDefault="00781E9F" w:rsidP="00781E9F">
      <w:pPr>
        <w:pStyle w:val="Keywords"/>
      </w:pPr>
      <w:r w:rsidRPr="005B5460">
        <w:t xml:space="preserve">Keywords: </w:t>
      </w:r>
      <w:r w:rsidR="008256C2" w:rsidRPr="005B5460">
        <w:t xml:space="preserve">enhanced recovery after surgery; </w:t>
      </w:r>
      <w:r w:rsidRPr="005B5460">
        <w:t xml:space="preserve">limb salvage; </w:t>
      </w:r>
      <w:r w:rsidR="008256C2" w:rsidRPr="005B5460">
        <w:t xml:space="preserve">outcome; </w:t>
      </w:r>
      <w:r w:rsidR="005728DC" w:rsidRPr="005B5460">
        <w:t xml:space="preserve">process assessment (health care); </w:t>
      </w:r>
      <w:r w:rsidR="008256C2" w:rsidRPr="005B5460">
        <w:t>sarcoma</w:t>
      </w:r>
      <w:r w:rsidR="005728DC" w:rsidRPr="005B5460">
        <w:t>; surgical oncology</w:t>
      </w:r>
    </w:p>
    <w:p w14:paraId="3029BDE6" w14:textId="77777777" w:rsidR="00781E9F" w:rsidRPr="005B5460" w:rsidRDefault="00781E9F" w:rsidP="00097897">
      <w:pPr>
        <w:spacing w:line="480" w:lineRule="auto"/>
        <w:rPr>
          <w:rFonts w:ascii="Times New Roman" w:hAnsi="Times New Roman" w:cs="Times New Roman"/>
          <w:b/>
          <w:bCs/>
          <w:sz w:val="24"/>
          <w:szCs w:val="24"/>
        </w:rPr>
      </w:pPr>
    </w:p>
    <w:p w14:paraId="739B21ED" w14:textId="77777777" w:rsidR="00781E9F" w:rsidRPr="005B5460" w:rsidRDefault="00781E9F">
      <w:pPr>
        <w:spacing w:after="0" w:line="240" w:lineRule="auto"/>
        <w:rPr>
          <w:rFonts w:ascii="Times New Roman" w:hAnsi="Times New Roman" w:cs="Times New Roman"/>
          <w:b/>
          <w:bCs/>
          <w:sz w:val="24"/>
          <w:szCs w:val="24"/>
        </w:rPr>
      </w:pPr>
      <w:r w:rsidRPr="005B5460">
        <w:rPr>
          <w:rFonts w:ascii="Times New Roman" w:hAnsi="Times New Roman" w:cs="Times New Roman"/>
          <w:b/>
          <w:bCs/>
          <w:sz w:val="24"/>
          <w:szCs w:val="24"/>
        </w:rPr>
        <w:br w:type="page"/>
      </w:r>
    </w:p>
    <w:p w14:paraId="00AE1352" w14:textId="1C7C9CE1" w:rsidR="00097897" w:rsidRPr="005B5460" w:rsidRDefault="00097897" w:rsidP="00097897">
      <w:pPr>
        <w:spacing w:line="480" w:lineRule="auto"/>
        <w:rPr>
          <w:rFonts w:ascii="Times New Roman" w:hAnsi="Times New Roman" w:cs="Times New Roman"/>
          <w:b/>
          <w:bCs/>
        </w:rPr>
      </w:pPr>
      <w:r w:rsidRPr="005B5460">
        <w:rPr>
          <w:rFonts w:ascii="Times New Roman" w:hAnsi="Times New Roman" w:cs="Times New Roman"/>
          <w:b/>
          <w:bCs/>
          <w:sz w:val="24"/>
          <w:szCs w:val="24"/>
        </w:rPr>
        <w:lastRenderedPageBreak/>
        <w:t>Introduction</w:t>
      </w:r>
    </w:p>
    <w:p w14:paraId="51303681" w14:textId="248F8206" w:rsidR="00D44F1D" w:rsidRPr="005B5460" w:rsidRDefault="00822DBF" w:rsidP="00097897">
      <w:pPr>
        <w:spacing w:line="480" w:lineRule="auto"/>
        <w:rPr>
          <w:rFonts w:ascii="Times New Roman" w:hAnsi="Times New Roman" w:cs="Times New Roman"/>
        </w:rPr>
      </w:pPr>
      <w:r w:rsidRPr="005B5460">
        <w:rPr>
          <w:rFonts w:ascii="Times New Roman" w:hAnsi="Times New Roman" w:cs="Times New Roman"/>
        </w:rPr>
        <w:t>B</w:t>
      </w:r>
      <w:r w:rsidR="00097897" w:rsidRPr="005B5460">
        <w:rPr>
          <w:rFonts w:ascii="Times New Roman" w:hAnsi="Times New Roman" w:cs="Times New Roman"/>
        </w:rPr>
        <w:t>one cancer, is considered a rare form of mesenchymal malignancy and is a life-threatening disease</w:t>
      </w:r>
      <w:r w:rsidR="00260664" w:rsidRPr="005B5460">
        <w:rPr>
          <w:rFonts w:ascii="Times New Roman" w:hAnsi="Times New Roman" w:cs="Times New Roman"/>
        </w:rPr>
        <w:t xml:space="preserve"> </w:t>
      </w:r>
      <w:r w:rsidR="00260664" w:rsidRPr="005B5460">
        <w:rPr>
          <w:rFonts w:ascii="Times New Roman" w:hAnsi="Times New Roman" w:cs="Times New Roman"/>
        </w:rPr>
        <w:fldChar w:fldCharType="begin" w:fldLock="1"/>
      </w:r>
      <w:r w:rsidR="009F4822" w:rsidRPr="005B5460">
        <w:rPr>
          <w:rFonts w:ascii="Times New Roman" w:hAnsi="Times New Roman" w:cs="Times New Roman"/>
        </w:rPr>
        <w:instrText>ADDIN CSL_CITATION {"citationItems":[{"id":"ITEM-1","itemData":{"ISSN":"0002-838X (Print)","PMID":"11925089","abstract":"The treatment of osteosarcoma requires a multidisciplinary approach involving the  family physician, orthopedic oncologist, medical oncologist, radiologist and pathologist. Osteosarcoma is a mesenchymally derived, high-grade bone sarcoma. It is the third most common malignancy in children and adolescents. The most frequent sites of origin are the distal femur, proximal tibia and proximal humerus. Patients typically present with pain, swelling, localized enlargement of the extremity and, occasionally, pathologic fracture. Most patients present with localized disease. Radiographs commonly demonstrate a mixed sclerotic and lytic lesion arising in the metaphyseal region of the involved bone. Computed tomography and bone scanning are recommended to detect pulmonary and bone metastases, respectively. Before 1970, osteosarcomas were treated with amputation. Survival was poor: 80 percent of patients died from metastatic disease. With the development of induction and adjuvant chemotherapy protocols, advances in surgical techniques and improvements in radiologic staging studies, 90 to 95 percent of patients with osteosarcoma can now be treated with limb-sparing resection and reconstruction. Long-term survival and cure rates have increased to between 60 and 80 percent in patients with localized disease.","author":[{"dropping-particle":"","family":"Wittig","given":"James C","non-dropping-particle":"","parse-names":false,"suffix":""},{"dropping-particle":"","family":"Bickels","given":"Jacob","non-dropping-particle":"","parse-names":false,"suffix":""},{"dropping-particle":"","family":"Priebat","given":"Dennis","non-dropping-particle":"","parse-names":false,"suffix":""},{"dropping-particle":"","family":"Jelinek","given":"James","non-dropping-particle":"","parse-names":false,"suffix":""},{"dropping-particle":"","family":"Kellar-Graney","given":"Kristen","non-dropping-particle":"","parse-names":false,"suffix":""},{"dropping-particle":"","family":"Shmookler","given":"Barr","non-dropping-particle":"","parse-names":false,"suffix":""},{"dropping-particle":"","family":"Malawer","given":"Martin M","non-dropping-particle":"","parse-names":false,"suffix":""}],"container-title":"American family physician","id":"ITEM-1","issue":"6","issued":{"date-parts":[["2002","3"]]},"language":"eng","page":"1123-1132","publisher-place":"United States","title":"Osteosarcoma: a multidisciplinary approach to diagnosis and treatment.","type":"article-journal","volume":"65"},"uris":["http://www.mendeley.com/documents/?uuid=37c0bc8a-6adc-4f11-93c2-8bb6e81860cd"]}],"mendeley":{"formattedCitation":"(1)","plainTextFormattedCitation":"(1)","previouslyFormattedCitation":"(1)"},"properties":{"noteIndex":0},"schema":"https://github.com/citation-style-language/schema/raw/master/csl-citation.json"}</w:instrText>
      </w:r>
      <w:r w:rsidR="00260664" w:rsidRPr="005B5460">
        <w:rPr>
          <w:rFonts w:ascii="Times New Roman" w:hAnsi="Times New Roman" w:cs="Times New Roman"/>
        </w:rPr>
        <w:fldChar w:fldCharType="separate"/>
      </w:r>
      <w:r w:rsidR="00260664" w:rsidRPr="005B5460">
        <w:rPr>
          <w:rFonts w:ascii="Times New Roman" w:hAnsi="Times New Roman" w:cs="Times New Roman"/>
          <w:noProof/>
        </w:rPr>
        <w:t>(1)</w:t>
      </w:r>
      <w:r w:rsidR="00260664" w:rsidRPr="005B5460">
        <w:rPr>
          <w:rFonts w:ascii="Times New Roman" w:hAnsi="Times New Roman" w:cs="Times New Roman"/>
        </w:rPr>
        <w:fldChar w:fldCharType="end"/>
      </w:r>
      <w:r w:rsidR="00097897" w:rsidRPr="005B5460">
        <w:rPr>
          <w:rFonts w:ascii="Times New Roman" w:hAnsi="Times New Roman" w:cs="Times New Roman"/>
        </w:rPr>
        <w:t xml:space="preserve">. The incidence of sarcoma is higher in men than women, occurring in 5.4 per million men and 4.0 per million women each year, and the predominant population is young adults, teenagers and children </w:t>
      </w:r>
      <w:r w:rsidR="00BC0586" w:rsidRPr="005B5460">
        <w:rPr>
          <w:rFonts w:ascii="Times New Roman" w:hAnsi="Times New Roman" w:cs="Times New Roman"/>
        </w:rPr>
        <w:fldChar w:fldCharType="begin" w:fldLock="1"/>
      </w:r>
      <w:r w:rsidR="008077AD" w:rsidRPr="005B5460">
        <w:rPr>
          <w:rFonts w:ascii="Times New Roman" w:hAnsi="Times New Roman" w:cs="Times New Roman"/>
        </w:rPr>
        <w:instrText>ADDIN CSL_CITATION {"citationItems":[{"id":"ITEM-1","itemData":{"DOI":"10.4103/0971-5851.203513","ISSN":"0971-5851 (Print)","PMID":"28469335","abstract":"Osteosarcoma (OS), the most common type of primary malignant bone tumor, is defined  by the presence of malignant mesenchymal cells producing osteoid or immature bone. The peak incidence of the most frequent type of OS, i.e., high-grade central OS, occurs in the second decade of life during the adolescent growth spurt. Most patients suffer from the pain and swelling in the involved region and, usually, seek medical attention. Diagnosis is carried out by conventional radiographs, computed tomography, and magnetic resonance image (MRI). In addition, three-phase bone scans, thallium scintigraphy, dynamic MRI, and positron emission spectroscopy are new innovative promising tools. OS can be treated with surgery, radiotherapy, and chemotherapy. There is a clear need for newer effective agents for patients with OS, especially for patients who afflicted with metastatic and recurrence tumor. Monoclonal antibodies directed against OS may prove useful as treatment, either for drug delivery or for radiopharmaceuticals.","author":[{"dropping-particle":"","family":"Taran","given":"Shachi Jain","non-dropping-particle":"","parse-names":false,"suffix":""},{"dropping-particle":"","family":"Taran","given":"Rakesh","non-dropping-particle":"","parse-names":false,"suffix":""},{"dropping-particle":"","family":"Malipatil","given":"Nagraj B","non-dropping-particle":"","parse-names":false,"suffix":""}],"container-title":"Indian journal of medical and paediatric oncology : official journal of Indian  Society of Medical &amp; Paediatric Oncology","id":"ITEM-1","issue":"1","issued":{"date-parts":[["2017"]]},"language":"eng","page":"33-43","title":"Pediatric Osteosarcoma: An Updated Review.","type":"article-journal","volume":"38"},"uris":["http://www.mendeley.com/documents/?uuid=d9ebb21a-2549-433d-aba0-81bfc052068e"]},{"id":"ITEM-2","itemData":{"DOI":"10.1002/cncr.24121","ISSN":"0008-543X (Print)","PMID":"19197972","abstract":"BACKGROUND: Osteosarcoma, which is the most common primary bone tumor, occurs most  frequently in adolescents, but there is a second incidence peak among individuals aged &gt; 60 years. Most osteosarcoma epidemiology studies have been embedded in large analyses of all bone tumors or focused on cases occurring in adolescence. Detailed descriptions of osteosarcoma incidence and survival with direct comparisons among patients of all ages and ethnicities are not available. METHODS: Frequency, incidence, and survival rates for 3482 patients with osteosarcoma from the National Cancer Institute's population-based Surveillance, Epidemiology, and End Results (SEER) Program between 1973 and 2004 were investigated by age (ages 0-24 years, 25-59 years, and 60 to &gt; or = 85 years), race, sex, pathology subtype, stage, and anatomic site. RESULTS: There were large differences in incidence and survival rates by age. There was a high percentage of osteosarcoma with Paget disease and osteosarcoma as a second or later cancer among the elderly. There was a high percentage of osteosarcoma among patients with Paget disease and osteosarcoma as a second or later cancer among the elderly. Tumor site differences among age groups were noted. Survival rates varied by anatomic site and disease stage and did not improve significantly from 1984 to 2004. CONCLUSIONS: This comprehensive, population-based description of osteosarcoma, identified important differences in incidence, survival, pathologic subtype, and anatomic site among age groups, and quantified the impact of osteosarcoma in patients with Paget disease or as a second cancer on incidence and mortality rates. These findings may have implications in understanding osteosarcoma biology and epidemiology.","author":[{"dropping-particle":"","family":"Mirabello","given":"Lisa","non-dropping-particle":"","parse-names":false,"suffix":""},{"dropping-particle":"","family":"Troisi","given":"Rebecca J","non-dropping-particle":"","parse-names":false,"suffix":""},{"dropping-particle":"","family":"Savage","given":"Sharon A","non-dropping-particle":"","parse-names":false,"suffix":""}],"container-title":"Cancer","id":"ITEM-2","issue":"7","issued":{"date-parts":[["2009","4"]]},"language":"eng","page":"1531-1543","title":"Osteosarcoma incidence and survival rates from 1973 to 2004: data from the  Surveillance, Epidemiology, and End Results Program.","type":"article-journal","volume":"115"},"uris":["http://www.mendeley.com/documents/?uuid=f9504fe8-a77b-4797-82e1-10438de9c0d8"]}],"mendeley":{"formattedCitation":"(2,3)","plainTextFormattedCitation":"(2,3)","previouslyFormattedCitation":"(2,3)"},"properties":{"noteIndex":0},"schema":"https://github.com/citation-style-language/schema/raw/master/csl-citation.json"}</w:instrText>
      </w:r>
      <w:r w:rsidR="00BC0586" w:rsidRPr="005B5460">
        <w:rPr>
          <w:rFonts w:ascii="Times New Roman" w:hAnsi="Times New Roman" w:cs="Times New Roman"/>
        </w:rPr>
        <w:fldChar w:fldCharType="separate"/>
      </w:r>
      <w:r w:rsidR="00BC0586" w:rsidRPr="005B5460">
        <w:rPr>
          <w:rFonts w:ascii="Times New Roman" w:hAnsi="Times New Roman" w:cs="Times New Roman"/>
          <w:noProof/>
        </w:rPr>
        <w:t>(2,3)</w:t>
      </w:r>
      <w:r w:rsidR="00BC0586" w:rsidRPr="005B5460">
        <w:rPr>
          <w:rFonts w:ascii="Times New Roman" w:hAnsi="Times New Roman" w:cs="Times New Roman"/>
        </w:rPr>
        <w:fldChar w:fldCharType="end"/>
      </w:r>
      <w:r w:rsidR="00097897" w:rsidRPr="005B5460">
        <w:rPr>
          <w:rFonts w:ascii="Times New Roman" w:hAnsi="Times New Roman" w:cs="Times New Roman"/>
        </w:rPr>
        <w:t xml:space="preserve">. </w:t>
      </w:r>
      <w:r w:rsidR="00B24F98" w:rsidRPr="005B5460">
        <w:rPr>
          <w:rFonts w:ascii="Times New Roman" w:hAnsi="Times New Roman" w:cs="Times New Roman"/>
        </w:rPr>
        <w:t xml:space="preserve">This paper will focus on </w:t>
      </w:r>
      <w:r w:rsidR="000B7B56" w:rsidRPr="005B5460">
        <w:rPr>
          <w:rFonts w:ascii="Times New Roman" w:hAnsi="Times New Roman" w:cs="Times New Roman"/>
        </w:rPr>
        <w:t>knee sarcoma</w:t>
      </w:r>
      <w:r w:rsidR="00AA7CB9" w:rsidRPr="005B5460">
        <w:rPr>
          <w:rFonts w:ascii="Times New Roman" w:hAnsi="Times New Roman" w:cs="Times New Roman"/>
        </w:rPr>
        <w:t>:</w:t>
      </w:r>
      <w:r w:rsidR="000B7B56" w:rsidRPr="005B5460">
        <w:rPr>
          <w:rFonts w:ascii="Times New Roman" w:hAnsi="Times New Roman" w:cs="Times New Roman"/>
        </w:rPr>
        <w:t xml:space="preserve"> </w:t>
      </w:r>
      <w:r w:rsidR="002C0F3C" w:rsidRPr="005B5460">
        <w:rPr>
          <w:rFonts w:ascii="Times New Roman" w:hAnsi="Times New Roman" w:cs="Times New Roman"/>
        </w:rPr>
        <w:t>o</w:t>
      </w:r>
      <w:r w:rsidR="00097897" w:rsidRPr="005B5460">
        <w:rPr>
          <w:rFonts w:ascii="Times New Roman" w:hAnsi="Times New Roman" w:cs="Times New Roman"/>
        </w:rPr>
        <w:t xml:space="preserve">steosarcoma, which forms within bone cells, is the most common type of bone malignancy, representing 56% of bone cancer cases, followed by Ewing’s sarcoma, a malignancy formed within the </w:t>
      </w:r>
      <w:r w:rsidR="00EC5137" w:rsidRPr="005B5460">
        <w:rPr>
          <w:rFonts w:ascii="Times New Roman" w:hAnsi="Times New Roman" w:cs="Times New Roman"/>
        </w:rPr>
        <w:t xml:space="preserve">bone </w:t>
      </w:r>
      <w:r w:rsidR="00AB197B" w:rsidRPr="005B5460">
        <w:rPr>
          <w:rFonts w:ascii="Times New Roman" w:hAnsi="Times New Roman" w:cs="Times New Roman"/>
        </w:rPr>
        <w:t>or</w:t>
      </w:r>
      <w:r w:rsidR="00BA6E79" w:rsidRPr="005B5460">
        <w:rPr>
          <w:rFonts w:ascii="Times New Roman" w:hAnsi="Times New Roman" w:cs="Times New Roman"/>
        </w:rPr>
        <w:t>, in rare cases, the</w:t>
      </w:r>
      <w:r w:rsidR="00AB197B" w:rsidRPr="005B5460">
        <w:rPr>
          <w:rFonts w:ascii="Times New Roman" w:hAnsi="Times New Roman" w:cs="Times New Roman"/>
        </w:rPr>
        <w:t xml:space="preserve"> </w:t>
      </w:r>
      <w:r w:rsidR="00097897" w:rsidRPr="005B5460">
        <w:rPr>
          <w:rFonts w:ascii="Times New Roman" w:hAnsi="Times New Roman" w:cs="Times New Roman"/>
        </w:rPr>
        <w:t>soft tissue</w:t>
      </w:r>
      <w:r w:rsidR="00AB197B" w:rsidRPr="005B5460">
        <w:rPr>
          <w:rFonts w:ascii="Times New Roman" w:hAnsi="Times New Roman" w:cs="Times New Roman"/>
        </w:rPr>
        <w:t xml:space="preserve"> around the bone</w:t>
      </w:r>
      <w:r w:rsidR="00097897" w:rsidRPr="005B5460">
        <w:rPr>
          <w:rFonts w:ascii="Times New Roman" w:hAnsi="Times New Roman" w:cs="Times New Roman"/>
        </w:rPr>
        <w:t xml:space="preserve">, representing 34% of bone cancer cases </w:t>
      </w:r>
      <w:r w:rsidR="008077AD" w:rsidRPr="005B5460">
        <w:rPr>
          <w:rFonts w:ascii="Times New Roman" w:hAnsi="Times New Roman" w:cs="Times New Roman"/>
        </w:rPr>
        <w:fldChar w:fldCharType="begin" w:fldLock="1"/>
      </w:r>
      <w:r w:rsidR="008077AD" w:rsidRPr="005B5460">
        <w:rPr>
          <w:rFonts w:ascii="Times New Roman" w:hAnsi="Times New Roman" w:cs="Times New Roman"/>
        </w:rPr>
        <w:instrText>ADDIN CSL_CITATION {"citationItems":[{"id":"ITEM-1","itemData":{"DOI":"10.1002/cncr.24121","ISSN":"0008-543X (Print)","PMID":"19197972","abstract":"BACKGROUND: Osteosarcoma, which is the most common primary bone tumor, occurs most  frequently in adolescents, but there is a second incidence peak among individuals aged &gt; 60 years. Most osteosarcoma epidemiology studies have been embedded in large analyses of all bone tumors or focused on cases occurring in adolescence. Detailed descriptions of osteosarcoma incidence and survival with direct comparisons among patients of all ages and ethnicities are not available. METHODS: Frequency, incidence, and survival rates for 3482 patients with osteosarcoma from the National Cancer Institute's population-based Surveillance, Epidemiology, and End Results (SEER) Program between 1973 and 2004 were investigated by age (ages 0-24 years, 25-59 years, and 60 to &gt; or = 85 years), race, sex, pathology subtype, stage, and anatomic site. RESULTS: There were large differences in incidence and survival rates by age. There was a high percentage of osteosarcoma with Paget disease and osteosarcoma as a second or later cancer among the elderly. There was a high percentage of osteosarcoma among patients with Paget disease and osteosarcoma as a second or later cancer among the elderly. Tumor site differences among age groups were noted. Survival rates varied by anatomic site and disease stage and did not improve significantly from 1984 to 2004. CONCLUSIONS: This comprehensive, population-based description of osteosarcoma, identified important differences in incidence, survival, pathologic subtype, and anatomic site among age groups, and quantified the impact of osteosarcoma in patients with Paget disease or as a second cancer on incidence and mortality rates. These findings may have implications in understanding osteosarcoma biology and epidemiology.","author":[{"dropping-particle":"","family":"Mirabello","given":"Lisa","non-dropping-particle":"","parse-names":false,"suffix":""},{"dropping-particle":"","family":"Troisi","given":"Rebecca J","non-dropping-particle":"","parse-names":false,"suffix":""},{"dropping-particle":"","family":"Savage","given":"Sharon A","non-dropping-particle":"","parse-names":false,"suffix":""}],"container-title":"Cancer","id":"ITEM-1","issue":"7","issued":{"date-parts":[["2009","4"]]},"language":"eng","page":"1531-1543","title":"Osteosarcoma incidence and survival rates from 1973 to 2004: data from the  Surveillance, Epidemiology, and End Results Program.","type":"article-journal","volume":"115"},"uris":["http://www.mendeley.com/documents/?uuid=f9504fe8-a77b-4797-82e1-10438de9c0d8"]}],"mendeley":{"formattedCitation":"(3)","plainTextFormattedCitation":"(3)","previouslyFormattedCitation":"(3)"},"properties":{"noteIndex":0},"schema":"https://github.com/citation-style-language/schema/raw/master/csl-citation.json"}</w:instrText>
      </w:r>
      <w:r w:rsidR="008077AD" w:rsidRPr="005B5460">
        <w:rPr>
          <w:rFonts w:ascii="Times New Roman" w:hAnsi="Times New Roman" w:cs="Times New Roman"/>
        </w:rPr>
        <w:fldChar w:fldCharType="separate"/>
      </w:r>
      <w:r w:rsidR="008077AD" w:rsidRPr="005B5460">
        <w:rPr>
          <w:rFonts w:ascii="Times New Roman" w:hAnsi="Times New Roman" w:cs="Times New Roman"/>
          <w:noProof/>
        </w:rPr>
        <w:t>(3)</w:t>
      </w:r>
      <w:r w:rsidR="008077AD" w:rsidRPr="005B5460">
        <w:rPr>
          <w:rFonts w:ascii="Times New Roman" w:hAnsi="Times New Roman" w:cs="Times New Roman"/>
        </w:rPr>
        <w:fldChar w:fldCharType="end"/>
      </w:r>
      <w:r w:rsidR="00097897" w:rsidRPr="005B5460">
        <w:rPr>
          <w:rFonts w:ascii="Times New Roman" w:hAnsi="Times New Roman" w:cs="Times New Roman"/>
        </w:rPr>
        <w:t xml:space="preserve">. Osteogenic sarcoma arises in the metaphyseal end plates of the long bones in the extremities; two-thirds of cases affect the lower extremities, with the femur being the most common location (42%), followed by the tibia (19%) </w:t>
      </w:r>
      <w:r w:rsidR="008077AD" w:rsidRPr="005B5460">
        <w:rPr>
          <w:rFonts w:ascii="Times New Roman" w:hAnsi="Times New Roman" w:cs="Times New Roman"/>
        </w:rPr>
        <w:fldChar w:fldCharType="begin" w:fldLock="1"/>
      </w:r>
      <w:r w:rsidR="00F306EA" w:rsidRPr="005B5460">
        <w:rPr>
          <w:rFonts w:ascii="Times New Roman" w:hAnsi="Times New Roman" w:cs="Times New Roman"/>
        </w:rPr>
        <w:instrText>ADDIN CSL_CITATION {"citationItems":[{"id":"ITEM-1","itemData":{"DOI":"10.1002/cncr.24121","ISSN":"0008-543X (Print)","PMID":"19197972","abstract":"BACKGROUND: Osteosarcoma, which is the most common primary bone tumor, occurs most  frequently in adolescents, but there is a second incidence peak among individuals aged &gt; 60 years. Most osteosarcoma epidemiology studies have been embedded in large analyses of all bone tumors or focused on cases occurring in adolescence. Detailed descriptions of osteosarcoma incidence and survival with direct comparisons among patients of all ages and ethnicities are not available. METHODS: Frequency, incidence, and survival rates for 3482 patients with osteosarcoma from the National Cancer Institute's population-based Surveillance, Epidemiology, and End Results (SEER) Program between 1973 and 2004 were investigated by age (ages 0-24 years, 25-59 years, and 60 to &gt; or = 85 years), race, sex, pathology subtype, stage, and anatomic site. RESULTS: There were large differences in incidence and survival rates by age. There was a high percentage of osteosarcoma with Paget disease and osteosarcoma as a second or later cancer among the elderly. There was a high percentage of osteosarcoma among patients with Paget disease and osteosarcoma as a second or later cancer among the elderly. Tumor site differences among age groups were noted. Survival rates varied by anatomic site and disease stage and did not improve significantly from 1984 to 2004. CONCLUSIONS: This comprehensive, population-based description of osteosarcoma, identified important differences in incidence, survival, pathologic subtype, and anatomic site among age groups, and quantified the impact of osteosarcoma in patients with Paget disease or as a second cancer on incidence and mortality rates. These findings may have implications in understanding osteosarcoma biology and epidemiology.","author":[{"dropping-particle":"","family":"Mirabello","given":"Lisa","non-dropping-particle":"","parse-names":false,"suffix":""},{"dropping-particle":"","family":"Troisi","given":"Rebecca J","non-dropping-particle":"","parse-names":false,"suffix":""},{"dropping-particle":"","family":"Savage","given":"Sharon A","non-dropping-particle":"","parse-names":false,"suffix":""}],"container-title":"Cancer","id":"ITEM-1","issue":"7","issued":{"date-parts":[["2009","4"]]},"language":"eng","page":"1531-1543","title":"Osteosarcoma incidence and survival rates from 1973 to 2004: data from the  Surveillance, Epidemiology, and End Results Program.","type":"article-journal","volume":"115"},"uris":["http://www.mendeley.com/documents/?uuid=f9504fe8-a77b-4797-82e1-10438de9c0d8"]},{"id":"ITEM-2","itemData":{"DOI":"10.1007/s10552-015-0607-3","ISSN":"1573-7225 (Electronic)","PMID":"26054913","abstract":"PURPOSE: To better understand the relevance of environmental factors to the changing  patterns of bone cancer subtypes, we examine the incidence of osteosarcoma (OS), Ewing sarcoma (ES), and chondrosarcoma (CS) using data from cancer incidence in five continents. METHODS: Age-specific and age-standardized incidence rates (ASRs) per 100,000 person-years were computed and stratified by country (n = 43), subtype, and sex during 2003-2007. Temporal patterns of ASRs were examined during 1988-2007 (12 countries). Age-period-cohort models were fitted for the USA and UK by subtype. RESULTS: For most countries, OS represented 20-40 % of all bone cancers, ES &lt; 20 %, while CS proportions varied more considerably. Overall ASRs of bone cancers were 0.8-1.2/100,000 in men and 0.5-1.0 in women (0.20-0.35/100,000 for OS and 0.10-0.30/100,000 for CS in both men and women, and &lt;0.10-0.25/100,000 in men and 0.05-0.25/100,000 in women for ES). The age-specific incidence rates revealed a bimodal peak of OS, one peak of ES in childhood, and a more heterogeneous pattern for CS. The overall bone cancer incidence trends are generally flat, but more heterogeneous for ES and CS. A declining OS incidence was observed in the UK and USA (men), an increase in CS in the UK and USA (female), and an apparent increase in ES, followed by a leveling off in successive US and UK cohorts. CONCLUSION: Monitoring bone cancer incidence trends with data assembled from a geographically broader range of registries may generate hypotheses about additional risk factors and ensure that high-risk populations are not overlooked in cancer control efforts.","author":[{"dropping-particle":"","family":"Valery","given":"Patricia C","non-dropping-particle":"","parse-names":false,"suffix":""},{"dropping-particle":"","family":"Laversanne","given":"Mathieu","non-dropping-particle":"","parse-names":false,"suffix":""},{"dropping-particle":"","family":"Bray","given":"Freddie","non-dropping-particle":"","parse-names":false,"suffix":""}],"container-title":"Cancer causes &amp; control : CCC","id":"ITEM-2","issue":"8","issued":{"date-parts":[["2015","8"]]},"language":"eng","page":"1127-1139","publisher-place":"Netherlands","title":"Bone cancer incidence by morphological subtype: a global assessment.","type":"article-journal","volume":"26"},"uris":["http://www.mendeley.com/documents/?uuid=3b857980-e130-4a56-80fc-dc5f2d5e1749"]},{"id":"ITEM-3","itemData":{"DOI":"https://doi.org/10.1007/978-1-4419-0284-9","author":[{"dropping-particle":"","family":"Jaffe","given":"Norman","non-dropping-particle":"","parse-names":false,"suffix":""},{"dropping-particle":"","family":"Bruland","given":"Oyvind","non-dropping-particle":"","parse-names":false,"suffix":""},{"dropping-particle":"","family":"Bielack","given":"Stefan","non-dropping-particle":"","parse-names":false,"suffix":""}],"id":"ITEM-3","issued":{"date-parts":[["2010"]]},"title":"Pediatric and Adolescent Osteosarcoma","type":"book"},"uris":["http://www.mendeley.com/documents/?uuid=a1bf9ea2-995f-4fa6-a2cc-65c9d7acb87c"]}],"mendeley":{"formattedCitation":"(3–5)","plainTextFormattedCitation":"(3–5)","previouslyFormattedCitation":"(3–5)"},"properties":{"noteIndex":0},"schema":"https://github.com/citation-style-language/schema/raw/master/csl-citation.json"}</w:instrText>
      </w:r>
      <w:r w:rsidR="008077AD" w:rsidRPr="005B5460">
        <w:rPr>
          <w:rFonts w:ascii="Times New Roman" w:hAnsi="Times New Roman" w:cs="Times New Roman"/>
        </w:rPr>
        <w:fldChar w:fldCharType="separate"/>
      </w:r>
      <w:r w:rsidR="008077AD" w:rsidRPr="005B5460">
        <w:rPr>
          <w:rFonts w:ascii="Times New Roman" w:hAnsi="Times New Roman" w:cs="Times New Roman"/>
          <w:noProof/>
        </w:rPr>
        <w:t>(3–5)</w:t>
      </w:r>
      <w:r w:rsidR="008077AD" w:rsidRPr="005B5460">
        <w:rPr>
          <w:rFonts w:ascii="Times New Roman" w:hAnsi="Times New Roman" w:cs="Times New Roman"/>
        </w:rPr>
        <w:fldChar w:fldCharType="end"/>
      </w:r>
      <w:r w:rsidR="00097897" w:rsidRPr="005B5460">
        <w:rPr>
          <w:rFonts w:ascii="Times New Roman" w:hAnsi="Times New Roman" w:cs="Times New Roman"/>
        </w:rPr>
        <w:t xml:space="preserve">. Surgical management is standard care for sarcoma </w:t>
      </w:r>
      <w:r w:rsidR="00F15E6A" w:rsidRPr="005B5460">
        <w:rPr>
          <w:rFonts w:ascii="Times New Roman" w:hAnsi="Times New Roman" w:cs="Times New Roman"/>
        </w:rPr>
        <w:t xml:space="preserve">with </w:t>
      </w:r>
      <w:r w:rsidR="00097897" w:rsidRPr="005B5460">
        <w:rPr>
          <w:rFonts w:ascii="Times New Roman" w:hAnsi="Times New Roman" w:cs="Times New Roman"/>
        </w:rPr>
        <w:t>amputation and disarticulation historically recognised as the main surgical options</w:t>
      </w:r>
      <w:r w:rsidR="00D44F1D" w:rsidRPr="005B5460">
        <w:rPr>
          <w:rFonts w:ascii="Times New Roman" w:hAnsi="Times New Roman" w:cs="Times New Roman"/>
        </w:rPr>
        <w:t>.</w:t>
      </w:r>
      <w:r w:rsidR="00097897" w:rsidRPr="005B5460">
        <w:rPr>
          <w:rFonts w:ascii="Times New Roman" w:hAnsi="Times New Roman" w:cs="Times New Roman"/>
        </w:rPr>
        <w:t xml:space="preserve"> </w:t>
      </w:r>
      <w:r w:rsidR="00D44F1D" w:rsidRPr="005B5460">
        <w:rPr>
          <w:rFonts w:ascii="Times New Roman" w:hAnsi="Times New Roman" w:cs="Times New Roman"/>
        </w:rPr>
        <w:t>H</w:t>
      </w:r>
      <w:r w:rsidR="00097897" w:rsidRPr="005B5460">
        <w:rPr>
          <w:rFonts w:ascii="Times New Roman" w:hAnsi="Times New Roman" w:cs="Times New Roman"/>
        </w:rPr>
        <w:t>owever</w:t>
      </w:r>
      <w:r w:rsidR="003D6D3A" w:rsidRPr="005B5460">
        <w:rPr>
          <w:rFonts w:ascii="Times New Roman" w:hAnsi="Times New Roman" w:cs="Times New Roman"/>
        </w:rPr>
        <w:t>,</w:t>
      </w:r>
      <w:r w:rsidR="00D14BC2" w:rsidRPr="005B5460">
        <w:rPr>
          <w:rFonts w:ascii="Times New Roman" w:hAnsi="Times New Roman" w:cs="Times New Roman"/>
        </w:rPr>
        <w:t xml:space="preserve"> due to </w:t>
      </w:r>
      <w:r w:rsidR="00097897" w:rsidRPr="005B5460">
        <w:rPr>
          <w:rFonts w:ascii="Times New Roman" w:hAnsi="Times New Roman" w:cs="Times New Roman"/>
        </w:rPr>
        <w:t>medical advancements</w:t>
      </w:r>
      <w:r w:rsidR="00D44F1D" w:rsidRPr="005B5460">
        <w:rPr>
          <w:rFonts w:ascii="Times New Roman" w:hAnsi="Times New Roman" w:cs="Times New Roman"/>
        </w:rPr>
        <w:t xml:space="preserve"> </w:t>
      </w:r>
      <w:r w:rsidR="00BC2514" w:rsidRPr="005B5460">
        <w:rPr>
          <w:rFonts w:ascii="Times New Roman" w:hAnsi="Times New Roman" w:cs="Times New Roman"/>
        </w:rPr>
        <w:t>in</w:t>
      </w:r>
      <w:r w:rsidR="00097897" w:rsidRPr="005B5460">
        <w:rPr>
          <w:rFonts w:ascii="Times New Roman" w:hAnsi="Times New Roman" w:cs="Times New Roman"/>
        </w:rPr>
        <w:t xml:space="preserve"> imaging techniques, chemotherapy and radiation, surgical intervention</w:t>
      </w:r>
      <w:r w:rsidR="00BC2514" w:rsidRPr="005B5460">
        <w:rPr>
          <w:rFonts w:ascii="Times New Roman" w:hAnsi="Times New Roman" w:cs="Times New Roman"/>
        </w:rPr>
        <w:t>s</w:t>
      </w:r>
      <w:r w:rsidR="00097897" w:rsidRPr="005B5460">
        <w:rPr>
          <w:rFonts w:ascii="Times New Roman" w:hAnsi="Times New Roman" w:cs="Times New Roman"/>
        </w:rPr>
        <w:t xml:space="preserve"> ha</w:t>
      </w:r>
      <w:r w:rsidR="00BC2514" w:rsidRPr="005B5460">
        <w:rPr>
          <w:rFonts w:ascii="Times New Roman" w:hAnsi="Times New Roman" w:cs="Times New Roman"/>
        </w:rPr>
        <w:t>ve</w:t>
      </w:r>
      <w:r w:rsidR="00097897" w:rsidRPr="005B5460">
        <w:rPr>
          <w:rFonts w:ascii="Times New Roman" w:hAnsi="Times New Roman" w:cs="Times New Roman"/>
        </w:rPr>
        <w:t xml:space="preserve"> shifted from ablative surger</w:t>
      </w:r>
      <w:r w:rsidR="00BC2514" w:rsidRPr="005B5460">
        <w:rPr>
          <w:rFonts w:ascii="Times New Roman" w:hAnsi="Times New Roman" w:cs="Times New Roman"/>
        </w:rPr>
        <w:t>y</w:t>
      </w:r>
      <w:r w:rsidR="00097897" w:rsidRPr="005B5460">
        <w:rPr>
          <w:rFonts w:ascii="Times New Roman" w:hAnsi="Times New Roman" w:cs="Times New Roman"/>
        </w:rPr>
        <w:t xml:space="preserve"> </w:t>
      </w:r>
      <w:r w:rsidR="00BC2514" w:rsidRPr="005B5460">
        <w:rPr>
          <w:rFonts w:ascii="Times New Roman" w:hAnsi="Times New Roman" w:cs="Times New Roman"/>
        </w:rPr>
        <w:t>(</w:t>
      </w:r>
      <w:r w:rsidR="00097897" w:rsidRPr="005B5460">
        <w:rPr>
          <w:rFonts w:ascii="Times New Roman" w:hAnsi="Times New Roman" w:cs="Times New Roman"/>
        </w:rPr>
        <w:t>such as amputation</w:t>
      </w:r>
      <w:r w:rsidR="00BC2514" w:rsidRPr="005B5460">
        <w:rPr>
          <w:rFonts w:ascii="Times New Roman" w:hAnsi="Times New Roman" w:cs="Times New Roman"/>
        </w:rPr>
        <w:t>)</w:t>
      </w:r>
      <w:r w:rsidR="00097897" w:rsidRPr="005B5460">
        <w:rPr>
          <w:rFonts w:ascii="Times New Roman" w:hAnsi="Times New Roman" w:cs="Times New Roman"/>
        </w:rPr>
        <w:t xml:space="preserve"> to limb salvage or sparing techniques </w:t>
      </w:r>
      <w:r w:rsidR="00F306EA" w:rsidRPr="005B5460">
        <w:rPr>
          <w:rFonts w:ascii="Times New Roman" w:hAnsi="Times New Roman" w:cs="Times New Roman"/>
        </w:rPr>
        <w:fldChar w:fldCharType="begin" w:fldLock="1"/>
      </w:r>
      <w:r w:rsidR="00DB7AFD" w:rsidRPr="005B5460">
        <w:rPr>
          <w:rFonts w:ascii="Times New Roman" w:hAnsi="Times New Roman" w:cs="Times New Roman"/>
        </w:rPr>
        <w:instrText>ADDIN CSL_CITATION {"citationItems":[{"id":"ITEM-1","itemData":{"ISSN":"0003-4932","abstract":"The results of surgical treatment of 297 soft tissue sarcomas arising in the lower extremity were critically examined. En bloc wide soft part resection (158 cases) yielded five and ten year survival rates of 63% and 50%. Amputation or major disarticulation (139 cases) gave corresponding survival rates of 45% and 29%. The most frequent cause of treatment failure was distant metastases, commonly in the lungs. The tissue type of sarcoma, histologic grade of malignancy, and tumor size appear to be important determinants of survival irrespective of the type of surgical treatment. Local recurrence of sarcoma occurred in 18% of the cases, more commonly after soft part resections than amputations. The proximity of a sarcoma to major vessels, bone or joint tends to compromise the margins of a wide soft part resection, thus increasing the risk of local recurrence. In appropriate cases, the scope of soft part resection can be extended by en bloc excision of the femoral vessels, with the hope of improving local control of sarcoma. Amputation should be resorted to if an adequate margin of resection cannot otherwise be obtained. This decision must be weighed against the high frequency of distant metastases in this disease. Postoperative adjuvant chemotherapy and immunotherapy offer prospects of prevention of this tragic outcome.\n© Lippincott-Raven Publishers.","author":[{"dropping-particle":"","family":"SHIU","given":"M A N H","non-dropping-particle":"","parse-names":false,"suffix":""},{"dropping-particle":"","family":"HAJDU","given":"STEVEN I","non-dropping-particle":"","parse-names":false,"suffix":""},{"dropping-particle":"","family":"FORTNER","given":"JOSEPH G","non-dropping-particle":"","parse-names":false,"suffix":""}],"container-title":"Annals of Surgery","id":"ITEM-1","issue":"5","issued":{"date-parts":[["1975"]]},"title":"Surgical Treatment of 297 Soft Tissue Sarcomas of the Lower Extremity","type":"article-journal","volume":"182"},"uris":["http://www.mendeley.com/documents/?uuid=440db00f-1baf-4a01-a8a9-8532f6d0bbd6"]},{"id":"ITEM-2","itemData":{"DOI":"https://doi.org/10.1016/S1470-2045(03)01113-6","author":[{"dropping-particle":"","family":"Clarke","given":"Matthew","non-dropping-particle":"","parse-names":false,"suffix":""},{"dropping-particle":"","family":"Thomas","given":"J Meirion","non-dropping-particle":"","parse-names":false,"suffix":""}],"container-title":"The Lancet Oncology","id":"ITEM-2","issue":"6","issued":{"date-parts":[["2003"]]},"page":"335-342","title":"Amputation for soft-tissue sarcoma","type":"article-journal","volume":"4"},"uris":["http://www.mendeley.com/documents/?uuid=1c5d72b4-bc16-47bd-834b-7d1062f793bd"]},{"id":"ITEM-3","itemData":{"DOI":"10.1007/s00264-006-0192-x","ISSN":"0341-2695","abstract":"Osteosarcoma, the most common type of primary malignant tumour that develops in bone, can be classified into several different sub-types. While the majority of osteosarcomas are highly malignant, there are some low-grade variants. Since the introduction of chemotherapy into the multi-modal treatment regimen of high-grade osteosarcoma, its prognosis has impressively improved, with long-term survival being achieved in two-thirds of all patients. This review summarises current chemotherapeutic treatment strategies in classical osteosarcoma and also addresses the indication for chemotherapy in more unusual types and variants. It emphasises the need for treatment in specialised centres and within prospective, multi-institutional trials, amongst which EURAMOS1 and EURO-B.O.S.S are currently active in many European countries.","author":[{"dropping-particle":"","family":"Carrle","given":"Dorothe","non-dropping-particle":"","parse-names":false,"suffix":""},{"dropping-particle":"","family":"Bielack","given":"Stefan S","non-dropping-particle":"","parse-names":false,"suffix":""}],"container-title":"International orthopaedics","edition":"2006/08/03","id":"ITEM-3","issue":"6","issued":{"date-parts":[["2006","12"]]},"language":"eng","page":"445-451","publisher":"Springer-Verlag","title":"Current strategies of chemotherapy in osteosarcoma","type":"article-journal","volume":"30"},"uris":["http://www.mendeley.com/documents/?uuid=9646fd35-0b95-4765-97a2-7b49cd1ec37b"]},{"id":"ITEM-4","itemData":{"DOI":"10.1016/j.ijrobp.2006.11.035","ISSN":"0360-3016 (Print)","PMID":"17394945","abstract":"PURPOSE: Positive margins (PM) remain after surgery in some soft-tissue sarcoma  (STS) patients. We investigated the efficacy of radiation therapy (RT) in STS patients with PM. METHODS AND MATERIALS: A retrospective chart review was performed on 154 patients with STS at various anatomic sites with PM, defined as tumor on ink, who underwent RT with curative intent between 1970 and 2001. Local control (LC), disease-free survival (DFS), and overall survival (OS) rates were evaluated by univariate (log-rank) and multivariate analysis of prognostic and treatment factors. RESULTS: At 5 years, actuarial LC, DFS, and OS rates were: 76%, 46.7%, and 65.2%, respectively. LC was highest with extremity lesions (p &lt; 0.01), radiation dose &gt;64 Gy (p &lt; 0.05), microscopically (vs. grossly visible) positive margin (p = 0.03), and superficial lesions (p = 0.05). Patients receiving &gt;64 Gy had higher 5-year LC, DFS, and OS rates of 85%, 52.1%, and 67.8% vs. 66.1%, 41.8%, and 62.9% if &lt; or =64 Gy, p &lt; 0.04. OS was worse in patients with G2/G3 tumors with local failure (LF), p &lt; 0.001. Other known prognostic factors, including grade, stage, size, and age (&gt;50), also significantly influenced OS. By multivariate analysis, the best predictors of LC were site (extremity vs. other), p &lt; 0.01 and dose (&gt;64 vs. &lt; or =64 Gy), p &lt; 0.05; the best predictors for OS were size, p &lt; 0.001, gross vs. microscopic PM, p &lt; 0.05, and LF, p &lt; 0.01. CONCLUSION: Local control is achieved in most PM STS patients undergoing RT. Doses &gt;64 Gy, superficial location, and extremity site are associated with improved LC. OS is worse in patients with tumors with lesions &gt;5 cm, grossly positive margins, and after local failure.","author":[{"dropping-particle":"","family":"Delaney","given":"Thomas F","non-dropping-particle":"","parse-names":false,"suffix":""},{"dropping-particle":"","family":"Kepka","given":"Lucyna","non-dropping-particle":"","parse-names":false,"suffix":""},{"dropping-particle":"","family":"Goldberg","given":"Saveli I","non-dropping-particle":"","parse-names":false,"suffix":""},{"dropping-particle":"","family":"Hornicek","given":"Francis J","non-dropping-particle":"","parse-names":false,"suffix":""},{"dropping-particle":"","family":"Gebhardt","given":"Mark C","non-dropping-particle":"","parse-names":false,"suffix":""},{"dropping-particle":"","family":"Yoon","given":"Sam S","non-dropping-particle":"","parse-names":false,"suffix":""},{"dropping-particle":"","family":"Springfield","given":"Dempsey S","non-dropping-particle":"","parse-names":false,"suffix":""},{"dropping-particle":"","family":"Raskin","given":"Kevin A","non-dropping-particle":"","parse-names":false,"suffix":""},{"dropping-particle":"","family":"Harmon","given":"David C","non-dropping-particle":"","parse-names":false,"suffix":""},{"dropping-particle":"","family":"Kirsch","given":"David G","non-dropping-particle":"","parse-names":false,"suffix":""},{"dropping-particle":"","family":"Mankin","given":"Henry J","non-dropping-particle":"","parse-names":false,"suffix":""},{"dropping-particle":"","family":"Rosenberg","given":"Andrew E","non-dropping-particle":"","parse-names":false,"suffix":""},{"dropping-particle":"","family":"Nielsen","given":"G Petur","non-dropping-particle":"","parse-names":false,"suffix":""},{"dropping-particle":"","family":"Suit","given":"Herman D","non-dropping-particle":"","parse-names":false,"suffix":""}],"container-title":"International journal of radiation oncology, biology, physics","id":"ITEM-4","issue":"5","issued":{"date-parts":[["2007","4"]]},"language":"eng","page":"1460-1469","publisher-place":"United States","title":"Radiation therapy for control of soft-tissue sarcomas resected with positive  margins.","type":"article-journal","volume":"67"},"uris":["http://www.mendeley.com/documents/?uuid=3d2b6ea9-c939-4543-8df4-7ca608ac48dc"]}],"mendeley":{"formattedCitation":"(6–9)","plainTextFormattedCitation":"(6–9)","previouslyFormattedCitation":"(6–9)"},"properties":{"noteIndex":0},"schema":"https://github.com/citation-style-language/schema/raw/master/csl-citation.json"}</w:instrText>
      </w:r>
      <w:r w:rsidR="00F306EA" w:rsidRPr="005B5460">
        <w:rPr>
          <w:rFonts w:ascii="Times New Roman" w:hAnsi="Times New Roman" w:cs="Times New Roman"/>
        </w:rPr>
        <w:fldChar w:fldCharType="separate"/>
      </w:r>
      <w:r w:rsidR="00F306EA" w:rsidRPr="005B5460">
        <w:rPr>
          <w:rFonts w:ascii="Times New Roman" w:hAnsi="Times New Roman" w:cs="Times New Roman"/>
          <w:noProof/>
        </w:rPr>
        <w:t>(6–9)</w:t>
      </w:r>
      <w:r w:rsidR="00F306EA" w:rsidRPr="005B5460">
        <w:rPr>
          <w:rFonts w:ascii="Times New Roman" w:hAnsi="Times New Roman" w:cs="Times New Roman"/>
        </w:rPr>
        <w:fldChar w:fldCharType="end"/>
      </w:r>
      <w:r w:rsidR="00097897" w:rsidRPr="005B5460">
        <w:rPr>
          <w:rFonts w:ascii="Times New Roman" w:hAnsi="Times New Roman" w:cs="Times New Roman"/>
        </w:rPr>
        <w:t xml:space="preserve">. </w:t>
      </w:r>
      <w:r w:rsidR="00DF7BD2" w:rsidRPr="005B5460">
        <w:rPr>
          <w:rFonts w:ascii="Times New Roman" w:hAnsi="Times New Roman" w:cs="Times New Roman"/>
        </w:rPr>
        <w:t>L</w:t>
      </w:r>
      <w:r w:rsidR="00097897" w:rsidRPr="005B5460">
        <w:rPr>
          <w:rFonts w:ascii="Times New Roman" w:hAnsi="Times New Roman" w:cs="Times New Roman"/>
        </w:rPr>
        <w:t xml:space="preserve">imb salvage surgery (LSS) is </w:t>
      </w:r>
      <w:r w:rsidR="004E6088" w:rsidRPr="005B5460">
        <w:rPr>
          <w:rFonts w:ascii="Times New Roman" w:hAnsi="Times New Roman" w:cs="Times New Roman"/>
        </w:rPr>
        <w:t xml:space="preserve">one such technique and is recommend by </w:t>
      </w:r>
      <w:proofErr w:type="spellStart"/>
      <w:r w:rsidR="00034E97" w:rsidRPr="005B5460">
        <w:rPr>
          <w:rFonts w:ascii="Times New Roman" w:hAnsi="Times New Roman" w:cs="Times New Roman"/>
        </w:rPr>
        <w:t>Steinau</w:t>
      </w:r>
      <w:proofErr w:type="spellEnd"/>
      <w:r w:rsidR="00034E97" w:rsidRPr="005B5460">
        <w:rPr>
          <w:rFonts w:ascii="Times New Roman" w:hAnsi="Times New Roman" w:cs="Times New Roman"/>
        </w:rPr>
        <w:t xml:space="preserve"> and colleagues </w:t>
      </w:r>
      <w:r w:rsidR="00911C67" w:rsidRPr="005B5460">
        <w:rPr>
          <w:rFonts w:ascii="Times New Roman" w:hAnsi="Times New Roman" w:cs="Times New Roman"/>
        </w:rPr>
        <w:fldChar w:fldCharType="begin" w:fldLock="1"/>
      </w:r>
      <w:r w:rsidR="00B12794" w:rsidRPr="005B5460">
        <w:rPr>
          <w:rFonts w:ascii="Times New Roman" w:hAnsi="Times New Roman" w:cs="Times New Roman"/>
        </w:rPr>
        <w:instrText>ADDIN CSL_CITATION {"citationItems":[{"id":"ITEM-1","itemData":{"DOI":"10.1055/s-0030-1253240","ISSN":"1536-0067 (Electronic)","PMID":"21286302","abstract":"Limb-sparing resection and reconstruction has become the treatment of choice in  extremity malignancies, as amputation does not provide better long-term survival rates or functional advantages. R0 resection, the removal of the tumor in sano, remains the prerequisite and most important oncologic parameter to avoid local recurrence. Successful treatment requires the combination of surgical eradication and the patient's specific functional and aesthetic rehabilitation. Our clinical rationale resulting from more than 2000 cases will be demonstrated. The problematic aspects of different tumor entities and the locoregional clearance of lymphatic pathways will be discussed. Differential diagnosis and multimodality treatment in high-volume tumor centers is likely to achieve superior oncologic statistics. Long-term survivors after microsurgical reconstructions and possible secondary malignancies will be addressed.","author":[{"dropping-particle":"","family":"Steinau","given":"Hans-Ulrich","non-dropping-particle":"","parse-names":false,"suffix":""},{"dropping-particle":"","family":"Daigeler","given":"Adrien","non-dropping-particle":"","parse-names":false,"suffix":""},{"dropping-particle":"","family":"Langer","given":"Stefan","non-dropping-particle":"","parse-names":false,"suffix":""},{"dropping-particle":"","family":"Steinsträsser","given":"Lars","non-dropping-particle":"","parse-names":false,"suffix":""},{"dropping-particle":"","family":"Hauser","given":"Jörg","non-dropping-particle":"","parse-names":false,"suffix":""},{"dropping-particle":"","family":"Goertz","given":"Ole","non-dropping-particle":"","parse-names":false,"suffix":""},{"dropping-particle":"","family":"Lehnhardt","given":"Markus","non-dropping-particle":"","parse-names":false,"suffix":""}],"container-title":"Seminars in plastic surgery","id":"ITEM-1","issue":"1","issued":{"date-parts":[["2010","2"]]},"language":"eng","page":"18-33","title":"Limb salvage in malignant tumors.","type":"article-journal","volume":"24"},"uris":["http://www.mendeley.com/documents/?uuid=ce991d7b-5b8d-4c95-b63f-45c09aa0f045"]}],"mendeley":{"formattedCitation":"(10)","plainTextFormattedCitation":"(10)","previouslyFormattedCitation":"(10)"},"properties":{"noteIndex":0},"schema":"https://github.com/citation-style-language/schema/raw/master/csl-citation.json"}</w:instrText>
      </w:r>
      <w:r w:rsidR="00911C67" w:rsidRPr="005B5460">
        <w:rPr>
          <w:rFonts w:ascii="Times New Roman" w:hAnsi="Times New Roman" w:cs="Times New Roman"/>
        </w:rPr>
        <w:fldChar w:fldCharType="separate"/>
      </w:r>
      <w:r w:rsidR="00911C67" w:rsidRPr="005B5460">
        <w:rPr>
          <w:rFonts w:ascii="Times New Roman" w:hAnsi="Times New Roman" w:cs="Times New Roman"/>
          <w:noProof/>
        </w:rPr>
        <w:t>(10)</w:t>
      </w:r>
      <w:r w:rsidR="00911C67" w:rsidRPr="005B5460">
        <w:rPr>
          <w:rFonts w:ascii="Times New Roman" w:hAnsi="Times New Roman" w:cs="Times New Roman"/>
        </w:rPr>
        <w:fldChar w:fldCharType="end"/>
      </w:r>
      <w:r w:rsidR="000E006F" w:rsidRPr="005B5460">
        <w:rPr>
          <w:rFonts w:ascii="Times New Roman" w:hAnsi="Times New Roman" w:cs="Times New Roman"/>
        </w:rPr>
        <w:t xml:space="preserve"> </w:t>
      </w:r>
      <w:r w:rsidR="00034E97" w:rsidRPr="005B5460">
        <w:rPr>
          <w:rFonts w:ascii="Times New Roman" w:hAnsi="Times New Roman" w:cs="Times New Roman"/>
        </w:rPr>
        <w:t xml:space="preserve">for </w:t>
      </w:r>
      <w:r w:rsidR="00097897" w:rsidRPr="005B5460">
        <w:rPr>
          <w:rFonts w:ascii="Times New Roman" w:hAnsi="Times New Roman" w:cs="Times New Roman"/>
        </w:rPr>
        <w:t>the treat</w:t>
      </w:r>
      <w:r w:rsidR="00DF7BD2" w:rsidRPr="005B5460">
        <w:rPr>
          <w:rFonts w:ascii="Times New Roman" w:hAnsi="Times New Roman" w:cs="Times New Roman"/>
        </w:rPr>
        <w:t>ment of</w:t>
      </w:r>
      <w:r w:rsidR="00097897" w:rsidRPr="005B5460">
        <w:rPr>
          <w:rFonts w:ascii="Times New Roman" w:hAnsi="Times New Roman" w:cs="Times New Roman"/>
        </w:rPr>
        <w:t xml:space="preserve"> sarcoma </w:t>
      </w:r>
      <w:r w:rsidR="000E006F" w:rsidRPr="005B5460">
        <w:rPr>
          <w:rFonts w:ascii="Times New Roman" w:hAnsi="Times New Roman" w:cs="Times New Roman"/>
        </w:rPr>
        <w:t>when</w:t>
      </w:r>
      <w:r w:rsidR="00D44F1D" w:rsidRPr="005B5460">
        <w:rPr>
          <w:rFonts w:ascii="Times New Roman" w:hAnsi="Times New Roman" w:cs="Times New Roman"/>
        </w:rPr>
        <w:t xml:space="preserve"> used </w:t>
      </w:r>
      <w:r w:rsidR="00097897" w:rsidRPr="005B5460">
        <w:rPr>
          <w:rFonts w:ascii="Times New Roman" w:hAnsi="Times New Roman" w:cs="Times New Roman"/>
        </w:rPr>
        <w:t>to locally control the disease</w:t>
      </w:r>
      <w:r w:rsidR="00D44F1D" w:rsidRPr="005B5460">
        <w:rPr>
          <w:rFonts w:ascii="Times New Roman" w:hAnsi="Times New Roman" w:cs="Times New Roman"/>
        </w:rPr>
        <w:t>,</w:t>
      </w:r>
      <w:r w:rsidR="00097897" w:rsidRPr="005B5460">
        <w:rPr>
          <w:rFonts w:ascii="Times New Roman" w:hAnsi="Times New Roman" w:cs="Times New Roman"/>
        </w:rPr>
        <w:t xml:space="preserve"> preser</w:t>
      </w:r>
      <w:r w:rsidR="00D44F1D" w:rsidRPr="005B5460">
        <w:rPr>
          <w:rFonts w:ascii="Times New Roman" w:hAnsi="Times New Roman" w:cs="Times New Roman"/>
        </w:rPr>
        <w:t>ving</w:t>
      </w:r>
      <w:r w:rsidR="00097897" w:rsidRPr="005B5460">
        <w:rPr>
          <w:rFonts w:ascii="Times New Roman" w:hAnsi="Times New Roman" w:cs="Times New Roman"/>
        </w:rPr>
        <w:t xml:space="preserve"> u</w:t>
      </w:r>
      <w:r w:rsidR="00D44F1D" w:rsidRPr="005B5460">
        <w:rPr>
          <w:rFonts w:ascii="Times New Roman" w:hAnsi="Times New Roman" w:cs="Times New Roman"/>
        </w:rPr>
        <w:t>naffected</w:t>
      </w:r>
      <w:r w:rsidR="00097897" w:rsidRPr="005B5460">
        <w:rPr>
          <w:rFonts w:ascii="Times New Roman" w:hAnsi="Times New Roman" w:cs="Times New Roman"/>
        </w:rPr>
        <w:t xml:space="preserve"> tissue to maintain or restore limb function. </w:t>
      </w:r>
      <w:r w:rsidR="00D44F1D" w:rsidRPr="005B5460">
        <w:rPr>
          <w:rFonts w:ascii="Times New Roman" w:hAnsi="Times New Roman" w:cs="Times New Roman"/>
        </w:rPr>
        <w:t>From a medical viewpoint,</w:t>
      </w:r>
      <w:r w:rsidR="00097897" w:rsidRPr="005B5460">
        <w:rPr>
          <w:rFonts w:ascii="Times New Roman" w:hAnsi="Times New Roman" w:cs="Times New Roman"/>
        </w:rPr>
        <w:t xml:space="preserve"> success rate</w:t>
      </w:r>
      <w:r w:rsidR="00D44F1D" w:rsidRPr="005B5460">
        <w:rPr>
          <w:rFonts w:ascii="Times New Roman" w:hAnsi="Times New Roman" w:cs="Times New Roman"/>
        </w:rPr>
        <w:t>s</w:t>
      </w:r>
      <w:r w:rsidR="00097897" w:rsidRPr="005B5460">
        <w:rPr>
          <w:rFonts w:ascii="Times New Roman" w:hAnsi="Times New Roman" w:cs="Times New Roman"/>
        </w:rPr>
        <w:t xml:space="preserve"> for LSS </w:t>
      </w:r>
      <w:r w:rsidR="00D14BC2" w:rsidRPr="005B5460">
        <w:rPr>
          <w:rFonts w:ascii="Times New Roman" w:hAnsi="Times New Roman" w:cs="Times New Roman"/>
        </w:rPr>
        <w:t xml:space="preserve">are </w:t>
      </w:r>
      <w:r w:rsidR="00097897" w:rsidRPr="005B5460">
        <w:rPr>
          <w:rFonts w:ascii="Times New Roman" w:hAnsi="Times New Roman" w:cs="Times New Roman"/>
        </w:rPr>
        <w:t xml:space="preserve">considered high based on </w:t>
      </w:r>
      <w:r w:rsidR="00D44F1D" w:rsidRPr="005B5460">
        <w:rPr>
          <w:rFonts w:ascii="Times New Roman" w:hAnsi="Times New Roman" w:cs="Times New Roman"/>
        </w:rPr>
        <w:t>a</w:t>
      </w:r>
      <w:r w:rsidR="00097897" w:rsidRPr="005B5460">
        <w:rPr>
          <w:rFonts w:ascii="Times New Roman" w:hAnsi="Times New Roman" w:cs="Times New Roman"/>
        </w:rPr>
        <w:t xml:space="preserve"> 70% 5-year survival rate of non-metastatic sarcoma patients and the local control of tumours</w:t>
      </w:r>
      <w:r w:rsidR="00D44F1D" w:rsidRPr="005B5460">
        <w:rPr>
          <w:rFonts w:ascii="Times New Roman" w:hAnsi="Times New Roman" w:cs="Times New Roman"/>
        </w:rPr>
        <w:t xml:space="preserve">. </w:t>
      </w:r>
      <w:r w:rsidR="00277225" w:rsidRPr="005B5460">
        <w:rPr>
          <w:rFonts w:ascii="Times New Roman" w:hAnsi="Times New Roman" w:cs="Times New Roman"/>
        </w:rPr>
        <w:t>S</w:t>
      </w:r>
      <w:r w:rsidR="00097897" w:rsidRPr="005B5460">
        <w:rPr>
          <w:rFonts w:ascii="Times New Roman" w:hAnsi="Times New Roman" w:cs="Times New Roman"/>
        </w:rPr>
        <w:t xml:space="preserve">everal factors play important roles in the decision-making phase, </w:t>
      </w:r>
      <w:r w:rsidR="00277225" w:rsidRPr="005B5460">
        <w:rPr>
          <w:rFonts w:ascii="Times New Roman" w:hAnsi="Times New Roman" w:cs="Times New Roman"/>
        </w:rPr>
        <w:t>including the</w:t>
      </w:r>
      <w:r w:rsidR="00097897" w:rsidRPr="005B5460">
        <w:rPr>
          <w:rFonts w:ascii="Times New Roman" w:hAnsi="Times New Roman" w:cs="Times New Roman"/>
        </w:rPr>
        <w:t xml:space="preserve"> age</w:t>
      </w:r>
      <w:r w:rsidR="00277225" w:rsidRPr="005B5460">
        <w:rPr>
          <w:rFonts w:ascii="Times New Roman" w:hAnsi="Times New Roman" w:cs="Times New Roman"/>
        </w:rPr>
        <w:t xml:space="preserve"> of the patient</w:t>
      </w:r>
      <w:r w:rsidR="00097897" w:rsidRPr="005B5460">
        <w:rPr>
          <w:rFonts w:ascii="Times New Roman" w:hAnsi="Times New Roman" w:cs="Times New Roman"/>
        </w:rPr>
        <w:t>, skeletal maturity, response to treatment, tumour size and extent</w:t>
      </w:r>
      <w:r w:rsidR="00277225" w:rsidRPr="005B5460">
        <w:rPr>
          <w:rFonts w:ascii="Times New Roman" w:hAnsi="Times New Roman" w:cs="Times New Roman"/>
        </w:rPr>
        <w:t>, which</w:t>
      </w:r>
      <w:r w:rsidR="00097897" w:rsidRPr="005B5460">
        <w:rPr>
          <w:rFonts w:ascii="Times New Roman" w:hAnsi="Times New Roman" w:cs="Times New Roman"/>
        </w:rPr>
        <w:t xml:space="preserve"> are </w:t>
      </w:r>
      <w:r w:rsidR="00277225" w:rsidRPr="005B5460">
        <w:rPr>
          <w:rFonts w:ascii="Times New Roman" w:hAnsi="Times New Roman" w:cs="Times New Roman"/>
        </w:rPr>
        <w:t xml:space="preserve">reportedly </w:t>
      </w:r>
      <w:r w:rsidR="00097897" w:rsidRPr="005B5460">
        <w:rPr>
          <w:rFonts w:ascii="Times New Roman" w:hAnsi="Times New Roman" w:cs="Times New Roman"/>
        </w:rPr>
        <w:t xml:space="preserve">correlated to surgical success and outcomes </w:t>
      </w:r>
      <w:r w:rsidR="00B12794" w:rsidRPr="005B5460">
        <w:rPr>
          <w:rFonts w:ascii="Times New Roman" w:hAnsi="Times New Roman" w:cs="Times New Roman"/>
        </w:rPr>
        <w:fldChar w:fldCharType="begin" w:fldLock="1"/>
      </w:r>
      <w:r w:rsidR="004841AD" w:rsidRPr="005B5460">
        <w:rPr>
          <w:rFonts w:ascii="Times New Roman" w:hAnsi="Times New Roman" w:cs="Times New Roman"/>
        </w:rPr>
        <w:instrText>ADDIN CSL_CITATION {"citationItems":[{"id":"ITEM-1","itemData":{"DOI":"10.1200/JCO.2002.20.3.776","ISSN":"0732-183X","abstract":"PURPOSE: To define prognostic factors for response and long-term outcome for a wide spectrum of osteosarcomas, extending well beyond those of the typical young patient with seemingly localized extremity disease. PATIENTS AND METHODS: A total of 1,702 consecutive newly diagnosed patients with high-grade osteosarcoma of the trunk or limbs registered into the neoadjuvant studies of the Cooperative Osteosarcoma Study Group before July 1998 were entered into an analysis of demographic, tumor-related, and treatment-related variables, response, and survival. The intended therapeutic strategy included preoperative and postoperative chemotherapy with multiple agents as well as surgery of all operable lesions. RESULTS: Axial tumor site, male sex, and a long history of symptoms were associated with poor response to chemotherapy in univariate and multivariate analysis. Actuarial 10-year overall and event-free survival rates were 59.8% and 48.9%. Among the variables assessable at diagnosis, patient age (actuarial 10-year survival ≥ 40, 41.6%; &lt; 40, 60.2%; P = .012), tumor site (axial, 29.2%; limb, 61.7%; P &lt; .0001), and primary metastases (yes, 26.7%; no, 64.4%; P &lt; .0001), and for extremity osteosarcomas, also size (≥ one third, 52.5%; &lt; one third, 66.7%; P &lt; .0001) and location within the limb (proximal, 49.3%; other, 63.9%; P &lt; .0001), had significant influence on outcome. Two additional important prognostic factors were treatment related: response to chemotherapy (poor, 47.2%; good, 73.4%; P &lt; .0001) and the extent of surgery (incomplete, 14.6%; macroscopically complete, 64.8%; P &lt; .0001). All factors except age maintained their significance in multivariate testing, with surgical remission and histologic response emerging as the key prognostic factors. CONCLUSION: Tumor site and size, primary metastases, response to chemotherapy, and surgical remission are of independent prognostic value in osteosarcoma.","author":[{"dropping-particle":"","family":"Bielack","given":"Stefan S","non-dropping-particle":"","parse-names":false,"suffix":""},{"dropping-particle":"","family":"Kempf-Bielack","given":"Beate","non-dropping-particle":"","parse-names":false,"suffix":""},{"dropping-particle":"","family":"Delling","given":"Günter","non-dropping-particle":"","parse-names":false,"suffix":""},{"dropping-particle":"","family":"Exner","given":"G Ulrich","non-dropping-particle":"","parse-names":false,"suffix":""},{"dropping-particle":"","family":"Flege","given":"Silke","non-dropping-particle":"","parse-names":false,"suffix":""},{"dropping-particle":"","family":"Helmke","given":"Knut","non-dropping-particle":"","parse-names":false,"suffix":""},{"dropping-particle":"","family":"Kotz","given":"Rainer","non-dropping-particle":"","parse-names":false,"suffix":""},{"dropping-particle":"","family":"Salzer-Kuntschik","given":"Mechthild","non-dropping-particle":"","parse-names":false,"suffix":""},{"dropping-particle":"","family":"Werner","given":"Matthias","non-dropping-particle":"","parse-names":false,"suffix":""},{"dropping-particle":"","family":"Winkelmann","given":"Winfried","non-dropping-particle":"","parse-names":false,"suffix":""},{"dropping-particle":"","family":"Zoubek","given":"Andreas","non-dropping-particle":"","parse-names":false,"suffix":""},{"dropping-particle":"","family":"Jürgens","given":"Heribert","non-dropping-particle":"","parse-names":false,"suffix":""},{"dropping-particle":"","family":"Winkler","given":"Kurt","non-dropping-particle":"","parse-names":false,"suffix":""}],"container-title":"Journal of Clinical Oncology","id":"ITEM-1","issue":"3","issued":{"date-parts":[["2002","2","1"]]},"note":"doi: 10.1200/JCO.2002.20.3.776","page":"776-790","publisher":"American Society of Clinical Oncology","title":"Prognostic Factors in High-Grade Osteosarcoma of the Extremities or Trunk: An Analysis of 1,702 Patients Treated on Neoadjuvant Cooperative Osteosarcoma Study Group Protocols","type":"article-journal","volume":"20"},"uris":["http://www.mendeley.com/documents/?uuid=a4c1809f-2d6d-49a1-974f-03a84397b809"]},{"id":"ITEM-2","itemData":{"DOI":"10.1016/j.ctrv.2013.11.006","ISSN":"1532-1967 (Electronic)","PMID":"24345772","abstract":"Long-term outcome for patients with high-grade osteosarcoma has improved with the  addition of systemic chemotherapy, but subsequent progress has been less marked. Modern, multiagent, dose-intensive chemotherapy in conjunction with surgery achieves a 5-year event-free survival of 60-70% in extremity localized, non-metastatic disease. A major, as yet unsolved, problem is the poor prognosis for metastatic relapse or recurrence, and for patients with axial disease. This article reviews the current state of the art of systemic osteosarcoma therapy by focusing on the experiences of cooperative osteosarcoma groups. Also, we shed light on questions and challenges posed by the aggressiveness of the tumor, and we consider potential future directions that may be critical to progress in the prognosis of high-grade osteosarcoma.","author":[{"dropping-particle":"","family":"Luetke","given":"Anja","non-dropping-particle":"","parse-names":false,"suffix":""},{"dropping-particle":"","family":"Meyers","given":"Paul A","non-dropping-particle":"","parse-names":false,"suffix":""},{"dropping-particle":"","family":"Lewis","given":"Ian","non-dropping-particle":"","parse-names":false,"suffix":""},{"dropping-particle":"","family":"Juergens","given":"Heribert","non-dropping-particle":"","parse-names":false,"suffix":""}],"container-title":"Cancer treatment reviews","id":"ITEM-2","issue":"4","issued":{"date-parts":[["2014","5"]]},"language":"eng","page":"523-532","publisher-place":"Netherlands","title":"Osteosarcoma treatment - where do we stand? A state of the art review.","type":"article-journal","volume":"40"},"uris":["http://www.mendeley.com/documents/?uuid=d69f007f-65b8-4994-9866-d36843019356"]}],"mendeley":{"formattedCitation":"(11,12)","plainTextFormattedCitation":"(11,12)","previouslyFormattedCitation":"(11,12)"},"properties":{"noteIndex":0},"schema":"https://github.com/citation-style-language/schema/raw/master/csl-citation.json"}</w:instrText>
      </w:r>
      <w:r w:rsidR="00B12794" w:rsidRPr="005B5460">
        <w:rPr>
          <w:rFonts w:ascii="Times New Roman" w:hAnsi="Times New Roman" w:cs="Times New Roman"/>
        </w:rPr>
        <w:fldChar w:fldCharType="separate"/>
      </w:r>
      <w:r w:rsidR="00B12794" w:rsidRPr="005B5460">
        <w:rPr>
          <w:rFonts w:ascii="Times New Roman" w:hAnsi="Times New Roman" w:cs="Times New Roman"/>
          <w:noProof/>
        </w:rPr>
        <w:t>(11,12)</w:t>
      </w:r>
      <w:r w:rsidR="00B12794" w:rsidRPr="005B5460">
        <w:rPr>
          <w:rFonts w:ascii="Times New Roman" w:hAnsi="Times New Roman" w:cs="Times New Roman"/>
        </w:rPr>
        <w:fldChar w:fldCharType="end"/>
      </w:r>
      <w:r w:rsidR="00097897" w:rsidRPr="005B5460">
        <w:rPr>
          <w:rFonts w:ascii="Times New Roman" w:hAnsi="Times New Roman" w:cs="Times New Roman"/>
        </w:rPr>
        <w:t xml:space="preserve">. </w:t>
      </w:r>
      <w:r w:rsidR="008F50A4" w:rsidRPr="005B5460">
        <w:rPr>
          <w:rFonts w:ascii="Times New Roman" w:hAnsi="Times New Roman" w:cs="Times New Roman"/>
        </w:rPr>
        <w:t>While surgical outcomes and survival rates are important oncological outcomes to report, other outcomes are also likely to be important to the patient beyond survival and into recovery.</w:t>
      </w:r>
    </w:p>
    <w:p w14:paraId="4F98772F" w14:textId="46E77B91" w:rsidR="008B28F5" w:rsidRPr="005B5460" w:rsidRDefault="00097897" w:rsidP="00097897">
      <w:pPr>
        <w:spacing w:line="480" w:lineRule="auto"/>
        <w:rPr>
          <w:rFonts w:ascii="Times New Roman" w:hAnsi="Times New Roman" w:cs="Times New Roman"/>
        </w:rPr>
      </w:pPr>
      <w:r w:rsidRPr="005B5460">
        <w:rPr>
          <w:rFonts w:ascii="Times New Roman" w:hAnsi="Times New Roman" w:cs="Times New Roman"/>
        </w:rPr>
        <w:t>LSS procedures can vary based on patient needs</w:t>
      </w:r>
      <w:r w:rsidR="009E0F8E" w:rsidRPr="005B5460">
        <w:rPr>
          <w:rFonts w:ascii="Times New Roman" w:hAnsi="Times New Roman" w:cs="Times New Roman"/>
        </w:rPr>
        <w:t xml:space="preserve">, however generally </w:t>
      </w:r>
      <w:r w:rsidRPr="005B5460">
        <w:rPr>
          <w:rFonts w:ascii="Times New Roman" w:hAnsi="Times New Roman" w:cs="Times New Roman"/>
        </w:rPr>
        <w:t>surgery occurs via a wide</w:t>
      </w:r>
      <w:r w:rsidR="009E0F8E" w:rsidRPr="005B5460">
        <w:rPr>
          <w:rFonts w:ascii="Times New Roman" w:hAnsi="Times New Roman" w:cs="Times New Roman"/>
        </w:rPr>
        <w:t>,</w:t>
      </w:r>
      <w:r w:rsidRPr="005B5460">
        <w:rPr>
          <w:rFonts w:ascii="Times New Roman" w:hAnsi="Times New Roman" w:cs="Times New Roman"/>
        </w:rPr>
        <w:t xml:space="preserve"> local excision of the tumour and can involve autologous grafts</w:t>
      </w:r>
      <w:r w:rsidR="009E0F8E" w:rsidRPr="005B5460">
        <w:rPr>
          <w:rFonts w:ascii="Times New Roman" w:hAnsi="Times New Roman" w:cs="Times New Roman"/>
        </w:rPr>
        <w:t xml:space="preserve">, </w:t>
      </w:r>
      <w:r w:rsidRPr="005B5460">
        <w:rPr>
          <w:rFonts w:ascii="Times New Roman" w:hAnsi="Times New Roman" w:cs="Times New Roman"/>
        </w:rPr>
        <w:t xml:space="preserve">endoprostheses with metal </w:t>
      </w:r>
      <w:r w:rsidRPr="005B5460">
        <w:rPr>
          <w:rFonts w:ascii="Times New Roman" w:hAnsi="Times New Roman" w:cs="Times New Roman"/>
        </w:rPr>
        <w:lastRenderedPageBreak/>
        <w:t xml:space="preserve">implants, or a combination of both </w:t>
      </w:r>
      <w:r w:rsidR="004841AD" w:rsidRPr="005B5460">
        <w:rPr>
          <w:rFonts w:ascii="Times New Roman" w:hAnsi="Times New Roman" w:cs="Times New Roman"/>
        </w:rPr>
        <w:fldChar w:fldCharType="begin" w:fldLock="1"/>
      </w:r>
      <w:r w:rsidR="00F47BA6" w:rsidRPr="005B5460">
        <w:rPr>
          <w:rFonts w:ascii="Times New Roman" w:hAnsi="Times New Roman" w:cs="Times New Roman"/>
        </w:rPr>
        <w:instrText>ADDIN CSL_CITATION {"citationItems":[{"id":"ITEM-1","itemData":{"DOI":"10.1159/000477251","ISSN":"2296-5270","abstract":"&lt;b&gt;&lt;i&gt;Background:&lt;/i&gt;&lt;/b&gt; We aimed to explore the clinical effects and prognosis of different surgical methods in upper tibia osteosarcoma. &lt;b&gt;&lt;i&gt;Methods:&lt;/i&gt;&lt;/b&gt; Among 112 patients with proximal upper tibia osteosarcoma, 40 patients were treated with amputation, 20 patients were treated with massive osteoarticular allograft, and the remaining 52 cases were treated with tumor resection and artificial joint replacement. &lt;b&gt;&lt;i&gt;Results:&lt;/i&gt;&lt;/b&gt; Recurrence was observed in 2 cases (5%) in the amputation group, in 6 cases (30%) in the massive osteoarticular allograft group, and in 6 cases (12%) in the tumor resection and artificial joint replacement group (P = 0.021). The lung metastasis rates were 40% in the amputation group, 40% in the massive osteoarticular allograft group, and 38% in the tumor resection and artificial joint replacement group (P = 0.986). The survival rates at 1, 3, and 5 years were 95%, 75%, and 45%, respectively, in the amputation group, 95%, 75%, and 35%, respectively, in the massive osteoarticular allograft group, and 92.3%, 78.8%, and 53.8%, respectively, in the tumor resection and artificial joint replacement group (P &gt; 0.05). &lt;b&gt;&lt;i&gt;Conclusions:&lt;/i&gt;&lt;/b&gt; The selection of the optimal surgical method for upper tibia osteosarcoma should be made according to the individual circumstances of the patient. Our study has significance for reducing the incidence of surgical complications and improving the quality of postoperative life.","author":[{"dropping-particle":"","family":"Zhang","given":"Y","non-dropping-particle":"","parse-names":false,"suffix":""},{"dropping-particle":"","family":"He","given":"Z","non-dropping-particle":"","parse-names":false,"suffix":""},{"dropping-particle":"","family":"Li","given":"Y","non-dropping-particle":"","parse-names":false,"suffix":""},{"dropping-particle":"","family":"Yang","given":"Y","non-dropping-particle":"","parse-names":false,"suffix":""},{"dropping-particle":"","family":"Shi","given":"J","non-dropping-particle":"","parse-names":false,"suffix":""},{"dropping-particle":"","family":"Liu","given":"X","non-dropping-particle":"","parse-names":false,"suffix":""},{"dropping-particle":"","family":"Yuan","given":"T","non-dropping-particle":"","parse-names":false,"suffix":""},{"dropping-particle":"","family":"Xia","given":"J","non-dropping-particle":"","parse-names":false,"suffix":""},{"dropping-particle":"","family":"Li","given":"D","non-dropping-particle":"","parse-names":false,"suffix":""},{"dropping-particle":"","family":"Zhang","given":"J","non-dropping-particle":"","parse-names":false,"suffix":""},{"dropping-particle":"","family":"Yang","given":"Z","non-dropping-particle":"","parse-names":false,"suffix":""}],"container-title":"Oncology Research and Treatment","id":"ITEM-1","issue":"9","issued":{"date-parts":[["2017"]]},"page":"528-532","title":"Selection of Surgical Methods in the Treatment of Upper Tibia Osteosarcoma and Prognostic Analysis","type":"article-journal","volume":"40"},"uris":["http://www.mendeley.com/documents/?uuid=17dc0c54-0ce8-42f8-9e04-ced320a9190c"]},{"id":"ITEM-2","itemData":{"DOI":"10.1097/01.blo.0000127132.12576.05","ISSN":"0009-921X (Print)","PMID":"15123953","abstract":"Reconstruction after resections for high-grade sarcomas about the knee in children  and adolescents is a challenging problem because of the large soft tissue and skeletal defects, the effects of adjuvant therapy, and the potential for long-term use of the limb. One hundred sixteen patients, all 18 years or younger, with osteosarcoma or Ewing's sarcoma located between the middle femur and middle tibia, were treated with chemotherapy, resection, and allograft reconstruction. One hundred three patients with osteosarcoma and 13 patients with Ewing's sarcoma had 105 Stage II and 11 Stage III tumors. There were 72 osteoarticular grafts (39 femur, 33 tibia), 28 intercalary grafts (19 femur), seven allograft-prosthetic composites (all femur,) and nine allograft-arthrodeses (seven femur, two tibia). At latest followup, 49% of all of the allograft reconstructions were rated good or excellent, 14% were rated as fair, and 37% were failures. Sixteen percent had an infection develop. Twenty-seven percent of patients had a fracture, 34% had a nonunion, and 14 patients eventually required amputation. Reconstruction of large bone defects about the knee in young patients who are being treated with chemotherapy is difficult. Although complications significantly affect outcome, allografts are a viable option for reconstruction in children with high-grade sarcomas about the knee.","author":[{"dropping-particle":"","family":"Brigman","given":"Brian E","non-dropping-particle":"","parse-names":false,"suffix":""},{"dropping-particle":"","family":"Hornicek","given":"Francis J","non-dropping-particle":"","parse-names":false,"suffix":""},{"dropping-particle":"","family":"Gebhardt","given":"Mark C","non-dropping-particle":"","parse-names":false,"suffix":""},{"dropping-particle":"","family":"Mankin","given":"Henry J","non-dropping-particle":"","parse-names":false,"suffix":""}],"container-title":"Clinical orthopaedics and related research","id":"ITEM-2","issue":"421","issued":{"date-parts":[["2004","4"]]},"language":"eng","page":"232-239","publisher-place":"United States","title":"Allografts about the Knee in Young Patients with High-Grade Sarcoma.","type":"article-journal"},"uris":["http://www.mendeley.com/documents/?uuid=8ac91bd1-da2c-458b-a7c4-142fbfee4344"]}],"mendeley":{"formattedCitation":"(13,14)","plainTextFormattedCitation":"(13,14)","previouslyFormattedCitation":"(13,14)"},"properties":{"noteIndex":0},"schema":"https://github.com/citation-style-language/schema/raw/master/csl-citation.json"}</w:instrText>
      </w:r>
      <w:r w:rsidR="004841AD" w:rsidRPr="005B5460">
        <w:rPr>
          <w:rFonts w:ascii="Times New Roman" w:hAnsi="Times New Roman" w:cs="Times New Roman"/>
        </w:rPr>
        <w:fldChar w:fldCharType="separate"/>
      </w:r>
      <w:r w:rsidR="004841AD" w:rsidRPr="005B5460">
        <w:rPr>
          <w:rFonts w:ascii="Times New Roman" w:hAnsi="Times New Roman" w:cs="Times New Roman"/>
          <w:noProof/>
        </w:rPr>
        <w:t>(13,14)</w:t>
      </w:r>
      <w:r w:rsidR="004841AD" w:rsidRPr="005B5460">
        <w:rPr>
          <w:rFonts w:ascii="Times New Roman" w:hAnsi="Times New Roman" w:cs="Times New Roman"/>
        </w:rPr>
        <w:fldChar w:fldCharType="end"/>
      </w:r>
      <w:r w:rsidRPr="005B5460">
        <w:rPr>
          <w:rFonts w:ascii="Times New Roman" w:hAnsi="Times New Roman" w:cs="Times New Roman"/>
        </w:rPr>
        <w:t xml:space="preserve">. The knee joint is the most common location for lower extremity sarcoma involving the distal femur and proximal tibia. Due to the </w:t>
      </w:r>
      <w:r w:rsidR="009E0F8E" w:rsidRPr="005B5460">
        <w:rPr>
          <w:rFonts w:ascii="Times New Roman" w:hAnsi="Times New Roman" w:cs="Times New Roman"/>
        </w:rPr>
        <w:t>functional movement</w:t>
      </w:r>
      <w:r w:rsidR="00B920D8" w:rsidRPr="005B5460">
        <w:rPr>
          <w:rFonts w:ascii="Times New Roman" w:hAnsi="Times New Roman" w:cs="Times New Roman"/>
        </w:rPr>
        <w:t xml:space="preserve">, </w:t>
      </w:r>
      <w:r w:rsidR="00575BD2" w:rsidRPr="005B5460">
        <w:rPr>
          <w:rFonts w:ascii="Times New Roman" w:hAnsi="Times New Roman" w:cs="Times New Roman"/>
        </w:rPr>
        <w:t xml:space="preserve">complexity of the </w:t>
      </w:r>
      <w:r w:rsidRPr="005B5460">
        <w:rPr>
          <w:rFonts w:ascii="Times New Roman" w:hAnsi="Times New Roman" w:cs="Times New Roman"/>
        </w:rPr>
        <w:t xml:space="preserve">knee joint </w:t>
      </w:r>
      <w:r w:rsidR="00575BD2" w:rsidRPr="005B5460">
        <w:rPr>
          <w:rFonts w:ascii="Times New Roman" w:hAnsi="Times New Roman" w:cs="Times New Roman"/>
        </w:rPr>
        <w:t>anatom</w:t>
      </w:r>
      <w:r w:rsidR="00B920D8" w:rsidRPr="005B5460">
        <w:rPr>
          <w:rFonts w:ascii="Times New Roman" w:hAnsi="Times New Roman" w:cs="Times New Roman"/>
        </w:rPr>
        <w:t xml:space="preserve">y </w:t>
      </w:r>
      <w:r w:rsidRPr="005B5460">
        <w:rPr>
          <w:rFonts w:ascii="Times New Roman" w:hAnsi="Times New Roman" w:cs="Times New Roman"/>
        </w:rPr>
        <w:t xml:space="preserve">and </w:t>
      </w:r>
      <w:r w:rsidR="00B920D8" w:rsidRPr="005B5460">
        <w:rPr>
          <w:rFonts w:ascii="Times New Roman" w:hAnsi="Times New Roman" w:cs="Times New Roman"/>
        </w:rPr>
        <w:t xml:space="preserve">the requirement for </w:t>
      </w:r>
      <w:r w:rsidRPr="005B5460">
        <w:rPr>
          <w:rFonts w:ascii="Times New Roman" w:hAnsi="Times New Roman" w:cs="Times New Roman"/>
        </w:rPr>
        <w:t xml:space="preserve">weight bearing, the knee is considered a challenging site for successfully restoring function and minimising impairment. Surgical procedures involving the knee </w:t>
      </w:r>
      <w:r w:rsidR="00362CFF" w:rsidRPr="005B5460">
        <w:rPr>
          <w:rFonts w:ascii="Times New Roman" w:hAnsi="Times New Roman" w:cs="Times New Roman"/>
        </w:rPr>
        <w:t>can be</w:t>
      </w:r>
      <w:r w:rsidRPr="005B5460">
        <w:rPr>
          <w:rFonts w:ascii="Times New Roman" w:hAnsi="Times New Roman" w:cs="Times New Roman"/>
        </w:rPr>
        <w:t xml:space="preserve"> accomplished </w:t>
      </w:r>
      <w:r w:rsidR="009F7641" w:rsidRPr="005B5460">
        <w:rPr>
          <w:rFonts w:ascii="Times New Roman" w:hAnsi="Times New Roman" w:cs="Times New Roman"/>
        </w:rPr>
        <w:t>using</w:t>
      </w:r>
      <w:r w:rsidRPr="005B5460">
        <w:rPr>
          <w:rFonts w:ascii="Times New Roman" w:hAnsi="Times New Roman" w:cs="Times New Roman"/>
        </w:rPr>
        <w:t xml:space="preserve"> an intra-articular </w:t>
      </w:r>
      <w:r w:rsidR="009F7641" w:rsidRPr="005B5460">
        <w:rPr>
          <w:rFonts w:ascii="Times New Roman" w:hAnsi="Times New Roman" w:cs="Times New Roman"/>
        </w:rPr>
        <w:t>technique</w:t>
      </w:r>
      <w:r w:rsidRPr="005B5460">
        <w:rPr>
          <w:rFonts w:ascii="Times New Roman" w:hAnsi="Times New Roman" w:cs="Times New Roman"/>
        </w:rPr>
        <w:t xml:space="preserve"> if the tumour size is under control; however, if the tumour has spread to adjacent tissue, then extra-articular resection </w:t>
      </w:r>
      <w:r w:rsidR="00060AB2" w:rsidRPr="005B5460">
        <w:rPr>
          <w:rFonts w:ascii="Times New Roman" w:hAnsi="Times New Roman" w:cs="Times New Roman"/>
        </w:rPr>
        <w:t>may be</w:t>
      </w:r>
      <w:r w:rsidRPr="005B5460">
        <w:rPr>
          <w:rFonts w:ascii="Times New Roman" w:hAnsi="Times New Roman" w:cs="Times New Roman"/>
        </w:rPr>
        <w:t xml:space="preserve"> required to maintain metastasis-free tissue </w:t>
      </w:r>
      <w:r w:rsidR="00F47BA6" w:rsidRPr="005B5460">
        <w:rPr>
          <w:rFonts w:ascii="Times New Roman" w:hAnsi="Times New Roman" w:cs="Times New Roman"/>
        </w:rPr>
        <w:fldChar w:fldCharType="begin" w:fldLock="1"/>
      </w:r>
      <w:r w:rsidR="008B4348" w:rsidRPr="005B5460">
        <w:rPr>
          <w:rFonts w:ascii="Times New Roman" w:hAnsi="Times New Roman" w:cs="Times New Roman"/>
        </w:rPr>
        <w:instrText>ADDIN CSL_CITATION {"citationItems":[{"id":"ITEM-1","itemData":{"DOI":"10.1159/000477251","ISSN":"2296-5270","abstract":"&lt;b&gt;&lt;i&gt;Background:&lt;/i&gt;&lt;/b&gt; We aimed to explore the clinical effects and prognosis of different surgical methods in upper tibia osteosarcoma. &lt;b&gt;&lt;i&gt;Methods:&lt;/i&gt;&lt;/b&gt; Among 112 patients with proximal upper tibia osteosarcoma, 40 patients were treated with amputation, 20 patients were treated with massive osteoarticular allograft, and the remaining 52 cases were treated with tumor resection and artificial joint replacement. &lt;b&gt;&lt;i&gt;Results:&lt;/i&gt;&lt;/b&gt; Recurrence was observed in 2 cases (5%) in the amputation group, in 6 cases (30%) in the massive osteoarticular allograft group, and in 6 cases (12%) in the tumor resection and artificial joint replacement group (P = 0.021). The lung metastasis rates were 40% in the amputation group, 40% in the massive osteoarticular allograft group, and 38% in the tumor resection and artificial joint replacement group (P = 0.986). The survival rates at 1, 3, and 5 years were 95%, 75%, and 45%, respectively, in the amputation group, 95%, 75%, and 35%, respectively, in the massive osteoarticular allograft group, and 92.3%, 78.8%, and 53.8%, respectively, in the tumor resection and artificial joint replacement group (P &gt; 0.05). &lt;b&gt;&lt;i&gt;Conclusions:&lt;/i&gt;&lt;/b&gt; The selection of the optimal surgical method for upper tibia osteosarcoma should be made according to the individual circumstances of the patient. Our study has significance for reducing the incidence of surgical complications and improving the quality of postoperative life.","author":[{"dropping-particle":"","family":"Zhang","given":"Y","non-dropping-particle":"","parse-names":false,"suffix":""},{"dropping-particle":"","family":"He","given":"Z","non-dropping-particle":"","parse-names":false,"suffix":""},{"dropping-particle":"","family":"Li","given":"Y","non-dropping-particle":"","parse-names":false,"suffix":""},{"dropping-particle":"","family":"Yang","given":"Y","non-dropping-particle":"","parse-names":false,"suffix":""},{"dropping-particle":"","family":"Shi","given":"J","non-dropping-particle":"","parse-names":false,"suffix":""},{"dropping-particle":"","family":"Liu","given":"X","non-dropping-particle":"","parse-names":false,"suffix":""},{"dropping-particle":"","family":"Yuan","given":"T","non-dropping-particle":"","parse-names":false,"suffix":""},{"dropping-particle":"","family":"Xia","given":"J","non-dropping-particle":"","parse-names":false,"suffix":""},{"dropping-particle":"","family":"Li","given":"D","non-dropping-particle":"","parse-names":false,"suffix":""},{"dropping-particle":"","family":"Zhang","given":"J","non-dropping-particle":"","parse-names":false,"suffix":""},{"dropping-particle":"","family":"Yang","given":"Z","non-dropping-particle":"","parse-names":false,"suffix":""}],"container-title":"Oncology Research and Treatment","id":"ITEM-1","issue":"9","issued":{"date-parts":[["2017"]]},"page":"528-532","title":"Selection of Surgical Methods in the Treatment of Upper Tibia Osteosarcoma and Prognostic Analysis","type":"article-journal","volume":"40"},"uris":["http://www.mendeley.com/documents/?uuid=17dc0c54-0ce8-42f8-9e04-ced320a9190c"]},{"id":"ITEM-2","itemData":{"DOI":"10.1007/s00402-010-1158-4","ISSN":"1434-3916 (Electronic)","PMID":"20690025","abstract":"BACKGROUND: Limb-salvage surgery remains current best practice for management of  soft tissue and bony sarcomas about the knee, with the range of reconstructive options all providing reassuring levels of long-term survival and function. There is no current consensus as to the best method of reconstruction of the extensor mechanism of the knee (quadriceps-patellar complex), with a wide variety of options proposed. The techniques described in the literature include prosthetic reconstruction, soft tissue reconstruction (comprising reconstruction with pedicled muscle flaps or autogenous tendon grafts), and bony reconstructions (including vascularised fibula flaps). An evidence-based literature review assessing the available reconstructive options has not been undertaken. METHODS: A thorough literature review was undertaken, evaluating the current evidence regarding the use of surgical techniques for reconstruction of the extensor mechanism of the knee following oncologic resection. The literature identified was critically evaluated based on the current Oxford Centre for Evidence-Based Medicine definitions. RESULTS: There are no randomised trials in the literature in this setting, and thus no level 1 or level 2A studies to support any given technique. As such, there are many favourable techniques for reconstruction that have been well described and have some evidence base to support their use. Overall, there is a trend towards improved outcomes with biological reconstructive options, with lower reported levels of failure, infection and amputation. Despite this, no single technique has adequately proven to be superior. CONCLUSION: Given the proposed difficulties in randomising patients, good evidence for the optimal reconstructive choices may be hard to establish.","author":[{"dropping-particle":"","family":"Ek","given":"Edmund W","non-dropping-particle":"","parse-names":false,"suffix":""},{"dropping-particle":"","family":"Rozen","given":"Warren M","non-dropping-particle":"","parse-names":false,"suffix":""},{"dropping-particle":"","family":"Ek","given":"Eugene T","non-dropping-particle":"","parse-names":false,"suffix":""},{"dropping-particle":"","family":"Rudiger","given":"Hannes A","non-dropping-particle":"","parse-names":false,"suffix":""}],"container-title":"Archives of orthopaedic and trauma surgery","id":"ITEM-2","issue":"4","issued":{"date-parts":[["2011","4"]]},"language":"eng","page":"487-495","publisher-place":"Germany","title":"Surgical options for reconstruction of the extensor mechanism of the knee after  limb-sparing sarcoma surgery: an evidence-based review.","type":"article-journal","volume":"131"},"uris":["http://www.mendeley.com/documents/?uuid=5fdba36f-802c-47c1-8cd9-543811b5c963"]},{"id":"ITEM-3","itemData":{"DOI":"10.1007/s11999-013-2851-8","ISSN":"1528-1132 (Electronic)","PMID":"23423620","abstract":"BACKGROUND: Reconstruction of the extensor mechanism after resection of the proximal  tibia is challenging, and several methods are available. A medial gastrocnemius flap commonly is used, although it may be associated with an extensor lag. This problem also is encountered, although perhaps to a lesser extent, with other techniques for reconstruction of the extensor apparatus. It is not known how such lag develops with time and how it correlates with functional outcome. QUESTIONS/PURPOSES: We therefore (1) assessed patellar height with time, (2) correlated patellar height with function using the Musculoskeletal Tumor Society (MSTS) score, and (3) correlated patellar height with range of motion (ROM) after medial gastrocnemius flap reconstruction. METHODS: Sixteen patients underwent tumor endoprosthesis implantation and extensor apparatus reconstruction between 1997 and 2009 using a medial gastrocnemius flap after sarcoma resection of the proximal tibia. These patients represented 100% of the population for whom we performed extensor mechanism reconstructions during that time. The minimum followup was 2 years (mean, 5 years; range, 2-11 years). Fourteen patients were alive at the time of this study. We used the Blackburne-Peel Index to follow patellar height radiographically with time. Functional outcomes were assessed retrospectively using the MSTS, and ROM was evaluated through active extensor lag and flexion. RESULTS: Eleven patients had patella alta develop, whereby the maximal patellar height was reached after a mean of 2 years and then stabilized. More normal patellar height was associated with better functional scores, a smaller extensor lag, but less flexion; the mean extensor lag (and flexion) of patients with patella alta was 17° (and 94°) compared with only 4° (and 77°) without. CONCLUSIONS: In our patients patella alta evolved during the first 2 postoperative years. Patella alta is associated with extensor lag, greater flexion, and worse MSTS scores. Surgical fixation of the patellar tendon more distally to its anatomic position or strict postoperative bracing may be advisable. LEVEL OF EVIDENCE: Level IV, clinical cohort study. See the Guidelines for Authors for a complete description of levels of evidence.","author":[{"dropping-particle":"","family":"Jentzsch","given":"Thorsten","non-dropping-particle":"","parse-names":false,"suffix":""},{"dropping-particle":"","family":"Erschbamer","given":"Matthias","non-dropping-particle":"","parse-names":false,"suffix":""},{"dropping-particle":"","family":"Seeli","given":"Franziska","non-dropping-particle":"","parse-names":false,"suffix":""},{"dropping-particle":"","family":"Fuchs","given":"Bruno","non-dropping-particle":"","parse-names":false,"suffix":""}],"container-title":"Clinical orthopaedics and related research","id":"ITEM-3","issue":"7","issued":{"date-parts":[["2013","7"]]},"language":"eng","page":"2333-2339","title":"Extensor function after medial gastrocnemius flap reconstruction of the proximal  tibia.","type":"article-journal","volume":"471"},"uris":["http://www.mendeley.com/documents/?uuid=044dec12-886d-459e-97b0-3774092905f9"]}],"mendeley":{"formattedCitation":"(13,15,16)","plainTextFormattedCitation":"(13,15,16)","previouslyFormattedCitation":"(13,15,16)"},"properties":{"noteIndex":0},"schema":"https://github.com/citation-style-language/schema/raw/master/csl-citation.json"}</w:instrText>
      </w:r>
      <w:r w:rsidR="00F47BA6" w:rsidRPr="005B5460">
        <w:rPr>
          <w:rFonts w:ascii="Times New Roman" w:hAnsi="Times New Roman" w:cs="Times New Roman"/>
        </w:rPr>
        <w:fldChar w:fldCharType="separate"/>
      </w:r>
      <w:r w:rsidR="00F47BA6" w:rsidRPr="005B5460">
        <w:rPr>
          <w:rFonts w:ascii="Times New Roman" w:hAnsi="Times New Roman" w:cs="Times New Roman"/>
          <w:noProof/>
        </w:rPr>
        <w:t>(13,15,16)</w:t>
      </w:r>
      <w:r w:rsidR="00F47BA6" w:rsidRPr="005B5460">
        <w:rPr>
          <w:rFonts w:ascii="Times New Roman" w:hAnsi="Times New Roman" w:cs="Times New Roman"/>
        </w:rPr>
        <w:fldChar w:fldCharType="end"/>
      </w:r>
      <w:r w:rsidRPr="005B5460">
        <w:rPr>
          <w:rFonts w:ascii="Times New Roman" w:hAnsi="Times New Roman" w:cs="Times New Roman"/>
        </w:rPr>
        <w:t xml:space="preserve">. </w:t>
      </w:r>
    </w:p>
    <w:p w14:paraId="3127ECBC" w14:textId="2C7EE6D0" w:rsidR="00097897" w:rsidRPr="005B5460" w:rsidRDefault="00AB75A6" w:rsidP="001E509A">
      <w:pPr>
        <w:spacing w:line="480" w:lineRule="auto"/>
        <w:rPr>
          <w:rFonts w:ascii="Times New Roman" w:hAnsi="Times New Roman" w:cs="Times New Roman"/>
        </w:rPr>
      </w:pPr>
      <w:r w:rsidRPr="005B5460">
        <w:rPr>
          <w:rFonts w:ascii="Times New Roman" w:hAnsi="Times New Roman" w:cs="Times New Roman"/>
        </w:rPr>
        <w:t>F</w:t>
      </w:r>
      <w:r w:rsidR="00097897" w:rsidRPr="005B5460">
        <w:rPr>
          <w:rFonts w:ascii="Times New Roman" w:hAnsi="Times New Roman" w:cs="Times New Roman"/>
        </w:rPr>
        <w:t xml:space="preserve">unctional </w:t>
      </w:r>
      <w:r w:rsidR="009E0F8E" w:rsidRPr="005B5460">
        <w:rPr>
          <w:rFonts w:ascii="Times New Roman" w:hAnsi="Times New Roman" w:cs="Times New Roman"/>
        </w:rPr>
        <w:t xml:space="preserve">and Quality of Life (QoL) </w:t>
      </w:r>
      <w:r w:rsidR="00097897" w:rsidRPr="005B5460">
        <w:rPr>
          <w:rFonts w:ascii="Times New Roman" w:hAnsi="Times New Roman" w:cs="Times New Roman"/>
        </w:rPr>
        <w:t xml:space="preserve">outcomes </w:t>
      </w:r>
      <w:r w:rsidRPr="005B5460">
        <w:rPr>
          <w:rFonts w:ascii="Times New Roman" w:hAnsi="Times New Roman" w:cs="Times New Roman"/>
        </w:rPr>
        <w:t xml:space="preserve">are crucial in any </w:t>
      </w:r>
      <w:r w:rsidR="00097897" w:rsidRPr="005B5460">
        <w:rPr>
          <w:rFonts w:ascii="Times New Roman" w:hAnsi="Times New Roman" w:cs="Times New Roman"/>
        </w:rPr>
        <w:t xml:space="preserve">surgical technique </w:t>
      </w:r>
      <w:r w:rsidRPr="005B5460">
        <w:rPr>
          <w:rFonts w:ascii="Times New Roman" w:hAnsi="Times New Roman" w:cs="Times New Roman"/>
        </w:rPr>
        <w:t>performed to</w:t>
      </w:r>
      <w:r w:rsidR="00097897" w:rsidRPr="005B5460">
        <w:rPr>
          <w:rFonts w:ascii="Times New Roman" w:hAnsi="Times New Roman" w:cs="Times New Roman"/>
        </w:rPr>
        <w:t xml:space="preserve"> patients with </w:t>
      </w:r>
      <w:r w:rsidR="00AF065F" w:rsidRPr="005B5460">
        <w:rPr>
          <w:rFonts w:ascii="Times New Roman" w:hAnsi="Times New Roman" w:cs="Times New Roman"/>
        </w:rPr>
        <w:t>s</w:t>
      </w:r>
      <w:r w:rsidR="00FF1875" w:rsidRPr="005B5460">
        <w:rPr>
          <w:rFonts w:ascii="Times New Roman" w:hAnsi="Times New Roman" w:cs="Times New Roman"/>
        </w:rPr>
        <w:t>arcoma</w:t>
      </w:r>
      <w:r w:rsidR="002C4467" w:rsidRPr="005B5460">
        <w:rPr>
          <w:rFonts w:ascii="Times New Roman" w:hAnsi="Times New Roman" w:cs="Times New Roman"/>
        </w:rPr>
        <w:t xml:space="preserve"> </w:t>
      </w:r>
      <w:r w:rsidR="008B4348" w:rsidRPr="005B5460">
        <w:rPr>
          <w:rFonts w:ascii="Times New Roman" w:hAnsi="Times New Roman" w:cs="Times New Roman"/>
        </w:rPr>
        <w:fldChar w:fldCharType="begin" w:fldLock="1"/>
      </w:r>
      <w:r w:rsidR="00D34C8F" w:rsidRPr="005B5460">
        <w:rPr>
          <w:rFonts w:ascii="Times New Roman" w:hAnsi="Times New Roman" w:cs="Times New Roman"/>
        </w:rPr>
        <w:instrText>ADDIN CSL_CITATION {"citationItems":[{"id":"ITEM-1","itemData":{"DOI":"10.1002/jso.24618","ISSN":"1096-9098 (Electronic)","PMID":"28384378","abstract":"BACKGROUND AND OBJECTIVES: In a previous conducted study functional outcome of young  patients with bone sarcoma located around the knee was longitudinally evaluated during the first 2 years postoperatively. Functional outcome improved significantly over the first 2 years. The purpose of this descriptive study was to evaluate the functional outcome of these patients at long-term follow-up of 7 years. METHODS: Functional outcome was assessed with the TESS, MSTS, Baecke questionnaire, and three functional performance tests: time up and down stairs (TUDS), various walking activities (VWA), and the 6-min walking test (6MWT). Linear Mixed Model has been employed for the repeated measurements. RESULTS: Twenty patients of the original study (n = 44) participated in the current study. Fifteen limb-salvage and five ablative surgery patients, median follow-up 7.4 years (6.8-8.0) (CI 95%), mean age 22.3 years (18.2-31.6). Between 2 and 7 years after surgery, 8 limb-salvage patients (53%) encountered surgery related complications. Questionnaires and functional performance tests showed no significant difference in functional outcome between 2 years and 7 years after surgery (P &lt; 0.05). CONCLUSIONS: Between 2 years and follow-up at average 7 years after surgery no further improvements were noticed at young patients with a bone sarcoma located around the knee.","author":[{"dropping-particle":"","family":"Egmond-van Dam","given":"Janneke C","non-dropping-particle":"van","parse-names":false,"suffix":""},{"dropping-particle":"","family":"Bekkering","given":"W Peter","non-dropping-particle":"","parse-names":false,"suffix":""},{"dropping-particle":"","family":"Bramer","given":"Jos A M","non-dropping-particle":"","parse-names":false,"suffix":""},{"dropping-particle":"","family":"Beishuizen","given":"Auke","non-dropping-particle":"","parse-names":false,"suffix":""},{"dropping-particle":"","family":"Fiocco","given":"Marta","non-dropping-particle":"","parse-names":false,"suffix":""},{"dropping-particle":"","family":"Dijkstra","given":"P D Sander","non-dropping-particle":"","parse-names":false,"suffix":""}],"container-title":"Journal of surgical oncology","id":"ITEM-1","issue":"8","issued":{"date-parts":[["2017","6"]]},"language":"eng","page":"1028-1032","title":"Functional outcome after surgery in patients with bone sarcoma around the knee;  results from a long-term prospective study.","type":"article-journal","volume":"115"},"uris":["http://www.mendeley.com/documents/?uuid=d0dd1dc4-c702-4d78-bb3f-fc5899a688ed"]}],"mendeley":{"formattedCitation":"(17)","plainTextFormattedCitation":"(17)","previouslyFormattedCitation":"(17)"},"properties":{"noteIndex":0},"schema":"https://github.com/citation-style-language/schema/raw/master/csl-citation.json"}</w:instrText>
      </w:r>
      <w:r w:rsidR="008B4348" w:rsidRPr="005B5460">
        <w:rPr>
          <w:rFonts w:ascii="Times New Roman" w:hAnsi="Times New Roman" w:cs="Times New Roman"/>
        </w:rPr>
        <w:fldChar w:fldCharType="separate"/>
      </w:r>
      <w:r w:rsidR="008B4348" w:rsidRPr="005B5460">
        <w:rPr>
          <w:rFonts w:ascii="Times New Roman" w:hAnsi="Times New Roman" w:cs="Times New Roman"/>
          <w:noProof/>
        </w:rPr>
        <w:t>(17)</w:t>
      </w:r>
      <w:r w:rsidR="008B4348" w:rsidRPr="005B5460">
        <w:rPr>
          <w:rFonts w:ascii="Times New Roman" w:hAnsi="Times New Roman" w:cs="Times New Roman"/>
        </w:rPr>
        <w:fldChar w:fldCharType="end"/>
      </w:r>
      <w:r w:rsidRPr="005B5460">
        <w:rPr>
          <w:rFonts w:ascii="Times New Roman" w:hAnsi="Times New Roman" w:cs="Times New Roman"/>
        </w:rPr>
        <w:t xml:space="preserve">. These </w:t>
      </w:r>
      <w:r w:rsidR="00EB08BA" w:rsidRPr="005B5460">
        <w:rPr>
          <w:rFonts w:ascii="Times New Roman" w:hAnsi="Times New Roman" w:cs="Times New Roman"/>
        </w:rPr>
        <w:t xml:space="preserve">non-oncological </w:t>
      </w:r>
      <w:r w:rsidR="001E56E6" w:rsidRPr="005B5460">
        <w:rPr>
          <w:rFonts w:ascii="Times New Roman" w:hAnsi="Times New Roman" w:cs="Times New Roman"/>
        </w:rPr>
        <w:t>factors</w:t>
      </w:r>
      <w:r w:rsidRPr="005B5460">
        <w:rPr>
          <w:rFonts w:ascii="Times New Roman" w:hAnsi="Times New Roman" w:cs="Times New Roman"/>
        </w:rPr>
        <w:t xml:space="preserve"> can be assessed </w:t>
      </w:r>
      <w:r w:rsidR="002C4467" w:rsidRPr="005B5460">
        <w:rPr>
          <w:rFonts w:ascii="Times New Roman" w:hAnsi="Times New Roman" w:cs="Times New Roman"/>
        </w:rPr>
        <w:t xml:space="preserve">by using </w:t>
      </w:r>
      <w:r w:rsidR="00365F52" w:rsidRPr="005B5460">
        <w:rPr>
          <w:rFonts w:ascii="Times New Roman" w:hAnsi="Times New Roman" w:cs="Times New Roman"/>
        </w:rPr>
        <w:t xml:space="preserve">variant subjective and objective outcome measures in order to provide evidence of success </w:t>
      </w:r>
      <w:r w:rsidR="003D5D16" w:rsidRPr="005B5460">
        <w:rPr>
          <w:rFonts w:ascii="Times New Roman" w:hAnsi="Times New Roman" w:cs="Times New Roman"/>
        </w:rPr>
        <w:t xml:space="preserve">levels </w:t>
      </w:r>
      <w:r w:rsidR="00365F52" w:rsidRPr="005B5460">
        <w:rPr>
          <w:rFonts w:ascii="Times New Roman" w:hAnsi="Times New Roman" w:cs="Times New Roman"/>
        </w:rPr>
        <w:t xml:space="preserve">and </w:t>
      </w:r>
      <w:r w:rsidR="003D5D16" w:rsidRPr="005B5460">
        <w:rPr>
          <w:rFonts w:ascii="Times New Roman" w:hAnsi="Times New Roman" w:cs="Times New Roman"/>
        </w:rPr>
        <w:t xml:space="preserve">associated </w:t>
      </w:r>
      <w:r w:rsidR="00365F52" w:rsidRPr="005B5460">
        <w:rPr>
          <w:rFonts w:ascii="Times New Roman" w:hAnsi="Times New Roman" w:cs="Times New Roman"/>
        </w:rPr>
        <w:t xml:space="preserve">complications of a surgical intervention and its correlation with function and quality of life afterward </w:t>
      </w:r>
      <w:r w:rsidR="00D34C8F" w:rsidRPr="005B5460">
        <w:rPr>
          <w:rFonts w:ascii="Times New Roman" w:hAnsi="Times New Roman" w:cs="Times New Roman"/>
        </w:rPr>
        <w:fldChar w:fldCharType="begin" w:fldLock="1"/>
      </w:r>
      <w:r w:rsidR="006F1431" w:rsidRPr="005B5460">
        <w:rPr>
          <w:rFonts w:ascii="Times New Roman" w:hAnsi="Times New Roman" w:cs="Times New Roman"/>
        </w:rPr>
        <w:instrText>ADDIN CSL_CITATION {"citationItems":[{"id":"ITEM-1","itemData":{"DOI":"10.3892/etm.2014.1744","ISSN":"1792-0981","abstract":"In this study, the effects of surgical removal of malignant metaphyseal bone tumors with epiphysis preservation and knee arthroplasty were analyzed. A total of 15 patients with malignant metaphyseal bone tumors were investigated. Six of these patients underwent epiphyseal preservation surgery with preoperative physeal distraction, termed the physeal distraction (PD) group. Nine patients underwent resection of the knee joint, combined with metal prosthesis transfer, termed the knee arthroplasty (KA) group. Tumor control, limb length discrepancy, range of movement (ROM) of the knee and functional outcome of lower limb [Musculoskeletal Tumor Society (MSTS) score and the Toronto extremity salvage score (TESS)] were assessed for these two groups. All 15 patients were followed-up after the surgery. One patient in the PD group was found to have lung tumor metastasis; however, no local tumor recurrence was found. In the KA group, local tumor recurrence was found in one patient, and lung metastases were observed in two cases postoperatively. The limb length discrepancy in patients of the PD group was 2.58±0.27 cm, which was significantly less compared with that in patients in the KA group (4.01±0.13 cm; P&lt;0.05). In addition, the lower limb knee ROM in patients in the PD group was 127.70±14.63°, which was increased compared to that in patients in the KA group (105.70±15.48°; P&lt;0.05). The mean MSTS score was 86.67% with a mean TESS of 82.33% in patients from the PD group, which showed no significant difference compared with the respective scores for patients in the KA group (P&gt;0.05). Therefore, epiphyseal sparing limb-saving surgeries should be considered for the treatment of malignant metaphyseal bone tumors in children, when certain indications are satisfied.","author":[{"dropping-particle":"","family":"Zhang","given":"Peng","non-dropping-particle":"","parse-names":false,"suffix":""},{"dropping-particle":"","family":"Feng","given":"Feifei","non-dropping-particle":"","parse-names":false,"suffix":""},{"dropping-particle":"","family":"Cai","given":"Qiqing","non-dropping-particle":"","parse-names":false,"suffix":""},{"dropping-particle":"","family":"Yao","given":"Weitao","non-dropping-particle":"","parse-names":false,"suffix":""},{"dropping-particle":"","family":"Gao","given":"Songtao","non-dropping-particle":"","parse-names":false,"suffix":""},{"dropping-particle":"","family":"Wang","given":"Jiaqiang","non-dropping-particle":"","parse-names":false,"suffix":""},{"dropping-particle":"","family":"Wang","given":"Xin","non-dropping-particle":"","parse-names":false,"suffix":""}],"container-title":"Experimental and therapeutic medicine","edition":"2014/05/28","id":"ITEM-1","issue":"2","issued":{"date-parts":[["2014","8"]]},"language":"eng","page":"567-572","publisher":"D.A. Spandidos","title":"Effects of metaphyseal bone tumor removal with preservation of the epiphysis and knee arthroplasty","type":"article-journal","volume":"8"},"uris":["http://www.mendeley.com/documents/?uuid=d539b6a2-627a-467e-86c8-4c9e75ef76c0"]}],"mendeley":{"formattedCitation":"(18)","plainTextFormattedCitation":"(18)","previouslyFormattedCitation":"(18)"},"properties":{"noteIndex":0},"schema":"https://github.com/citation-style-language/schema/raw/master/csl-citation.json"}</w:instrText>
      </w:r>
      <w:r w:rsidR="00D34C8F" w:rsidRPr="005B5460">
        <w:rPr>
          <w:rFonts w:ascii="Times New Roman" w:hAnsi="Times New Roman" w:cs="Times New Roman"/>
        </w:rPr>
        <w:fldChar w:fldCharType="separate"/>
      </w:r>
      <w:r w:rsidR="00D34C8F" w:rsidRPr="005B5460">
        <w:rPr>
          <w:rFonts w:ascii="Times New Roman" w:hAnsi="Times New Roman" w:cs="Times New Roman"/>
          <w:noProof/>
        </w:rPr>
        <w:t>(18)</w:t>
      </w:r>
      <w:r w:rsidR="00D34C8F" w:rsidRPr="005B5460">
        <w:rPr>
          <w:rFonts w:ascii="Times New Roman" w:hAnsi="Times New Roman" w:cs="Times New Roman"/>
        </w:rPr>
        <w:fldChar w:fldCharType="end"/>
      </w:r>
      <w:r w:rsidR="00365F52" w:rsidRPr="005B5460">
        <w:rPr>
          <w:rFonts w:ascii="Times New Roman" w:hAnsi="Times New Roman" w:cs="Times New Roman"/>
        </w:rPr>
        <w:t xml:space="preserve">. </w:t>
      </w:r>
      <w:r w:rsidR="000832D8" w:rsidRPr="005B5460">
        <w:rPr>
          <w:rFonts w:ascii="Times New Roman" w:hAnsi="Times New Roman" w:cs="Times New Roman"/>
        </w:rPr>
        <w:t xml:space="preserve">Some </w:t>
      </w:r>
      <w:r w:rsidR="001E509A" w:rsidRPr="005B5460">
        <w:rPr>
          <w:rFonts w:ascii="Times New Roman" w:hAnsi="Times New Roman" w:cs="Times New Roman"/>
        </w:rPr>
        <w:t>papers had</w:t>
      </w:r>
      <w:r w:rsidR="000832D8" w:rsidRPr="005B5460">
        <w:rPr>
          <w:rFonts w:ascii="Times New Roman" w:hAnsi="Times New Roman" w:cs="Times New Roman"/>
        </w:rPr>
        <w:t xml:space="preserve"> conducted meta-analysis and systematic review of these aspects with sarcoma patients in general </w:t>
      </w:r>
      <w:r w:rsidR="006F1431" w:rsidRPr="005B5460">
        <w:rPr>
          <w:rFonts w:ascii="Times New Roman" w:hAnsi="Times New Roman" w:cs="Times New Roman"/>
        </w:rPr>
        <w:fldChar w:fldCharType="begin" w:fldLock="1"/>
      </w:r>
      <w:r w:rsidR="004D153C" w:rsidRPr="005B5460">
        <w:rPr>
          <w:rFonts w:ascii="Times New Roman" w:hAnsi="Times New Roman" w:cs="Times New Roman"/>
        </w:rPr>
        <w:instrText>ADDIN CSL_CITATION {"citationItems":[{"id":"ITEM-1","itemData":{"DOI":"10.1007/s11999-012-2271-1","ISSN":"1528-1132 (Electronic)","PMID":"22302658","abstract":"INTRODUCTION: Patients with aggressive lower extremity musculoskeletal tumors may be  candidates for either above-knee amputation or limb-salvage surgery. However, the subjective and objective benefits of limb-salvage surgery compared with amputation are not fully clear. QUESTIONS/PURPOSES: We therefore compared functional status and quality of life for patients treated with above-knee amputation versus limb-salvage surgery. METHODS: We reviewed 20 of 51 patients aged 15 years and older treated with above-knee amputation or limb-salvage surgery for aggressive musculoskeletal tumors around the knee between 1994 and 2004 as a retrospective cohort study. At last followup we obtained the Physiological Cost Index, the Reintegration to Normal Living Index, SF-36, and the Toronto Extremity Salvage Score questionnaires. The minimum followup was 12 months (median, 56 months; range, 12-108 months). RESULTS: Compared with patients having above-knee amputation, patients undergoing limb-salvage surgery had superior Physiological Cost Index scores and Reintegration to Normal Living Index. The Toronto Extremity Salvage scores and SF-36 scores were similar in the two groups. CONCLUSION: These data suggest that limb-salvage surgery offers better gait efficiency and return to normal living compared with above-knee amputation, but does not improve the patient's perception of quality of life.","author":[{"dropping-particle":"","family":"Malek","given":"Farbod","non-dropping-particle":"","parse-names":false,"suffix":""},{"dropping-particle":"","family":"Somerson","given":"Jeremy S","non-dropping-particle":"","parse-names":false,"suffix":""},{"dropping-particle":"","family":"Mitchel","given":"Shannon","non-dropping-particle":"","parse-names":false,"suffix":""},{"dropping-particle":"","family":"Williams","given":"Ronald P","non-dropping-particle":"","parse-names":false,"suffix":""}],"container-title":"Clinical orthopaedics and related research","id":"ITEM-1","issue":"7","issued":{"date-parts":[["2012","7"]]},"language":"eng","page":"2000-2006","title":"Does limb-salvage surgery offer patients better quality of life and functional  capacity than amputation?","type":"article-journal","volume":"470"},"uris":["http://www.mendeley.com/documents/?uuid=b18c2b7e-1ca3-4eef-8e44-d2b03c031b23"]},{"id":"ITEM-2","itemData":{"DOI":"10.1016/j.knee.2009.02.006","ISSN":"1873-5800 (Electronic)","PMID":"19269182","abstract":"Bone sarcomas are the fourth most common cancer in individuals under 25 years. Limb  salvage procedures are popular for the treatment of osteosarcomas as they have functional and physiological benefits over traditional amputative procedures. The objective of this study was to apply disease specific measures to a group of intra-articular knee osteosarcoma patients and to evaluate structural and treatment variables predictive of the functional outcome scores. Twenty patients (10 female, 10 male) treated with tumour resection and endoprosthetic knee arthroplasty took part in the study. The Musculoskeletal Tumour Society (MSTS) rating scale and the Toronto Extremity Salvage Score (TESS) were used to assess impairment and disability respectively. Impairment was recorded as 83% and disability was recorded as 86% suggesting moderate to high function following limb salvage surgery. Task difficulty was shown to increase for activities requiring large knee flexion angles, presumably due to increased patellofemoral forces. Bivariate correlations revealed that loss of quadriceps musculature, knee extension strength and knee flexion range of motion were parameters moderately associated with the assessment instruments. ANOVA revealed no significant differences in impairment (P=0.962) or disability (P=0.411) between the differing types of prostheses. In conclusion clinicians and therapists should emphasise restoration of post-surgical range of motion and strength in order to enhance functional recovery.","author":[{"dropping-particle":"","family":"Carty","given":"Christopher P","non-dropping-particle":"","parse-names":false,"suffix":""},{"dropping-particle":"","family":"Dickinson","given":"Ian C","non-dropping-particle":"","parse-names":false,"suffix":""},{"dropping-particle":"","family":"Watts","given":"Mark C","non-dropping-particle":"","parse-names":false,"suffix":""},{"dropping-particle":"","family":"Crawford","given":"Ross W","non-dropping-particle":"","parse-names":false,"suffix":""},{"dropping-particle":"","family":"Steadman","given":"Peter","non-dropping-particle":"","parse-names":false,"suffix":""}],"container-title":"The Knee","id":"ITEM-2","issue":"5","issued":{"date-parts":[["2009","10"]]},"language":"eng","page":"405-408","publisher-place":"Netherlands","title":"Impairment and disability following limb salvage procedures for bone sarcoma.","type":"article-journal","volume":"16"},"uris":["http://www.mendeley.com/documents/?uuid=f0acb2b8-fdb8-4093-97e7-40e9515dd570"]},{"id":"ITEM-3","itemData":{"DOI":"10.1002/jso.21828","ISSN":"1096-9098 (Electronic)","PMID":"21337557","abstract":"BACKGROUND: Aim of our study was to compare functional ability and physical activity  in children and young adults who underwent surgery for a malignant bone tumor that was located around the knee. METHODS: This cross-sectional study included 82 patients aged 8-25 years with a follow-up of 1-5 years. The functional ability and the amount of physical activity were evaluated by means of questionnaires and objective instruments. RESULTS: Thirty nine patients underwent limb-salvage surgery (24 allograft and 15 endoprosthesis) and 43 underwent ablative surgery (27 amputations and 16 rotationplasty). Patients in the limb-salvage group were significantly older at the time of surgery than patients in the ablative group (mean age 15.2 years vs. 13.2 years, P = 0.03). Apart from significantly better scores for the timed up and down stairs and various walking activities in the limb-salvage group as compared to the ablative surgery group, no significant differences were seen for any of the outcome measures. CONCLUSIONS: One to 5 years after limb-salvage and ablative surgery due to a malignant bone tumor children and young adults do, apart from a few activities involving walking and climbing stairs, not differ with respect to overall functional ability and physical activity.","author":[{"dropping-particle":"","family":"Bekkering","given":"W Peter","non-dropping-particle":"","parse-names":false,"suffix":""},{"dropping-particle":"","family":"Vliet Vlieland","given":"Theodora P M","non-dropping-particle":"","parse-names":false,"suffix":""},{"dropping-particle":"","family":"Koopman","given":"Hendrik M","non-dropping-particle":"","parse-names":false,"suffix":""},{"dropping-particle":"","family":"Schaap","given":"Gerard R","non-dropping-particle":"","parse-names":false,"suffix":""},{"dropping-particle":"","family":"Bart Schreuder","given":"H W","non-dropping-particle":"","parse-names":false,"suffix":""},{"dropping-particle":"","family":"Beishuizen","given":"Auke","non-dropping-particle":"","parse-names":false,"suffix":""},{"dropping-particle":"","family":"Jutte","given":"Paul C","non-dropping-particle":"","parse-names":false,"suffix":""},{"dropping-particle":"","family":"Hoogerbrugge","given":"Peter M","non-dropping-particle":"","parse-names":false,"suffix":""},{"dropping-particle":"","family":"Anninga","given":"Jacob K","non-dropping-particle":"","parse-names":false,"suffix":""},{"dropping-particle":"","family":"Nelissen","given":"Rob G H H","non-dropping-particle":"","parse-names":false,"suffix":""},{"dropping-particle":"","family":"Taminiau","given":"Antonie H M","non-dropping-particle":"","parse-names":false,"suffix":""}],"container-title":"Journal of surgical oncology","id":"ITEM-3","issue":"3","issued":{"date-parts":[["2011","3"]]},"language":"eng","page":"276-282","publisher-place":"United States","title":"Functional ability and physical activity in children and young adults after  limb-salvage or ablative surgery for lower extremity bone tumors.","type":"article-journal","volume":"103"},"uris":["http://www.mendeley.com/documents/?uuid=46086f6e-f63d-4ad9-82d8-9ecafd272161"]}],"mendeley":{"formattedCitation":"(19–21)","plainTextFormattedCitation":"(19–21)","previouslyFormattedCitation":"(19–21)"},"properties":{"noteIndex":0},"schema":"https://github.com/citation-style-language/schema/raw/master/csl-citation.json"}</w:instrText>
      </w:r>
      <w:r w:rsidR="006F1431" w:rsidRPr="005B5460">
        <w:rPr>
          <w:rFonts w:ascii="Times New Roman" w:hAnsi="Times New Roman" w:cs="Times New Roman"/>
        </w:rPr>
        <w:fldChar w:fldCharType="separate"/>
      </w:r>
      <w:r w:rsidR="006F1431" w:rsidRPr="005B5460">
        <w:rPr>
          <w:rFonts w:ascii="Times New Roman" w:hAnsi="Times New Roman" w:cs="Times New Roman"/>
          <w:noProof/>
        </w:rPr>
        <w:t>(19–21)</w:t>
      </w:r>
      <w:r w:rsidR="006F1431" w:rsidRPr="005B5460">
        <w:rPr>
          <w:rFonts w:ascii="Times New Roman" w:hAnsi="Times New Roman" w:cs="Times New Roman"/>
        </w:rPr>
        <w:fldChar w:fldCharType="end"/>
      </w:r>
      <w:r w:rsidR="000832D8" w:rsidRPr="005B5460">
        <w:rPr>
          <w:rFonts w:ascii="Times New Roman" w:hAnsi="Times New Roman" w:cs="Times New Roman"/>
        </w:rPr>
        <w:t xml:space="preserve">. </w:t>
      </w:r>
      <w:r w:rsidR="00DB1993" w:rsidRPr="005B5460">
        <w:rPr>
          <w:rFonts w:ascii="Times New Roman" w:hAnsi="Times New Roman" w:cs="Times New Roman"/>
        </w:rPr>
        <w:t>H</w:t>
      </w:r>
      <w:r w:rsidR="00097897" w:rsidRPr="005B5460">
        <w:rPr>
          <w:rFonts w:ascii="Times New Roman" w:hAnsi="Times New Roman" w:cs="Times New Roman"/>
        </w:rPr>
        <w:t xml:space="preserve">owever, no review of these </w:t>
      </w:r>
      <w:r w:rsidR="00EB08BA" w:rsidRPr="005B5460">
        <w:rPr>
          <w:rFonts w:ascii="Times New Roman" w:hAnsi="Times New Roman" w:cs="Times New Roman"/>
        </w:rPr>
        <w:t xml:space="preserve">non-oncological </w:t>
      </w:r>
      <w:r w:rsidR="00097897" w:rsidRPr="005B5460">
        <w:rPr>
          <w:rFonts w:ascii="Times New Roman" w:hAnsi="Times New Roman" w:cs="Times New Roman"/>
        </w:rPr>
        <w:t>outcomes has been conducted</w:t>
      </w:r>
      <w:r w:rsidR="009E0F8E" w:rsidRPr="005B5460">
        <w:rPr>
          <w:rFonts w:ascii="Times New Roman" w:hAnsi="Times New Roman" w:cs="Times New Roman"/>
        </w:rPr>
        <w:t xml:space="preserve"> </w:t>
      </w:r>
      <w:r w:rsidR="009632A1" w:rsidRPr="005B5460">
        <w:rPr>
          <w:rFonts w:ascii="Times New Roman" w:hAnsi="Times New Roman" w:cs="Times New Roman"/>
        </w:rPr>
        <w:t xml:space="preserve">specifically to </w:t>
      </w:r>
      <w:r w:rsidR="003D5D16" w:rsidRPr="005B5460">
        <w:rPr>
          <w:rFonts w:ascii="Times New Roman" w:hAnsi="Times New Roman" w:cs="Times New Roman"/>
        </w:rPr>
        <w:t xml:space="preserve">limb salvage surgery as a treatment of </w:t>
      </w:r>
      <w:r w:rsidR="009632A1" w:rsidRPr="005B5460">
        <w:rPr>
          <w:rFonts w:ascii="Times New Roman" w:hAnsi="Times New Roman" w:cs="Times New Roman"/>
        </w:rPr>
        <w:t xml:space="preserve">sarcoma around the knee in order </w:t>
      </w:r>
      <w:r w:rsidR="009E0F8E" w:rsidRPr="005B5460">
        <w:rPr>
          <w:rFonts w:ascii="Times New Roman" w:hAnsi="Times New Roman" w:cs="Times New Roman"/>
        </w:rPr>
        <w:t>to synthesise this evidence to help support and inform clinical decision-making</w:t>
      </w:r>
      <w:r w:rsidR="00097897" w:rsidRPr="005B5460">
        <w:rPr>
          <w:rFonts w:ascii="Times New Roman" w:hAnsi="Times New Roman" w:cs="Times New Roman"/>
        </w:rPr>
        <w:t xml:space="preserve">. Therefore, </w:t>
      </w:r>
      <w:r w:rsidR="001843C3" w:rsidRPr="005B5460">
        <w:rPr>
          <w:rFonts w:ascii="Times New Roman" w:hAnsi="Times New Roman" w:cs="Times New Roman"/>
        </w:rPr>
        <w:t xml:space="preserve">the aim of </w:t>
      </w:r>
      <w:r w:rsidR="00097897" w:rsidRPr="005B5460">
        <w:rPr>
          <w:rFonts w:ascii="Times New Roman" w:hAnsi="Times New Roman" w:cs="Times New Roman"/>
        </w:rPr>
        <w:t xml:space="preserve">this </w:t>
      </w:r>
      <w:r w:rsidR="004B163C" w:rsidRPr="005B5460">
        <w:rPr>
          <w:rFonts w:ascii="Times New Roman" w:hAnsi="Times New Roman" w:cs="Times New Roman"/>
        </w:rPr>
        <w:t xml:space="preserve">scoping </w:t>
      </w:r>
      <w:r w:rsidR="00097897" w:rsidRPr="005B5460">
        <w:rPr>
          <w:rFonts w:ascii="Times New Roman" w:hAnsi="Times New Roman" w:cs="Times New Roman"/>
        </w:rPr>
        <w:t xml:space="preserve">review </w:t>
      </w:r>
      <w:r w:rsidR="001843C3" w:rsidRPr="005B5460">
        <w:rPr>
          <w:rFonts w:ascii="Times New Roman" w:hAnsi="Times New Roman" w:cs="Times New Roman"/>
        </w:rPr>
        <w:t xml:space="preserve">is </w:t>
      </w:r>
      <w:r w:rsidR="00097897" w:rsidRPr="005B5460">
        <w:rPr>
          <w:rFonts w:ascii="Times New Roman" w:hAnsi="Times New Roman" w:cs="Times New Roman"/>
        </w:rPr>
        <w:t xml:space="preserve">to identify and </w:t>
      </w:r>
      <w:r w:rsidR="00857CFD" w:rsidRPr="005B5460">
        <w:rPr>
          <w:rFonts w:ascii="Times New Roman" w:hAnsi="Times New Roman" w:cs="Times New Roman"/>
        </w:rPr>
        <w:t xml:space="preserve">synthesise </w:t>
      </w:r>
      <w:r w:rsidR="00B050D4" w:rsidRPr="005B5460">
        <w:rPr>
          <w:rFonts w:ascii="Times New Roman" w:hAnsi="Times New Roman" w:cs="Times New Roman"/>
        </w:rPr>
        <w:t>knowledge on</w:t>
      </w:r>
      <w:r w:rsidR="00857CFD" w:rsidRPr="005B5460">
        <w:rPr>
          <w:rFonts w:ascii="Times New Roman" w:hAnsi="Times New Roman" w:cs="Times New Roman"/>
        </w:rPr>
        <w:t xml:space="preserve"> </w:t>
      </w:r>
      <w:r w:rsidR="00097897" w:rsidRPr="005B5460">
        <w:rPr>
          <w:rFonts w:ascii="Times New Roman" w:hAnsi="Times New Roman" w:cs="Times New Roman"/>
        </w:rPr>
        <w:t>non-oncological outcomes</w:t>
      </w:r>
      <w:r w:rsidR="00B050D4" w:rsidRPr="005B5460">
        <w:rPr>
          <w:rFonts w:ascii="Times New Roman" w:hAnsi="Times New Roman" w:cs="Times New Roman"/>
        </w:rPr>
        <w:t xml:space="preserve"> associated with</w:t>
      </w:r>
      <w:r w:rsidR="009E0F8E" w:rsidRPr="005B5460">
        <w:rPr>
          <w:rFonts w:ascii="Times New Roman" w:hAnsi="Times New Roman" w:cs="Times New Roman"/>
        </w:rPr>
        <w:t xml:space="preserve"> LSS </w:t>
      </w:r>
      <w:r w:rsidR="00097897" w:rsidRPr="005B5460">
        <w:rPr>
          <w:rFonts w:ascii="Times New Roman" w:hAnsi="Times New Roman" w:cs="Times New Roman"/>
        </w:rPr>
        <w:t xml:space="preserve">in </w:t>
      </w:r>
      <w:r w:rsidR="009E0F8E" w:rsidRPr="005B5460">
        <w:rPr>
          <w:rFonts w:ascii="Times New Roman" w:hAnsi="Times New Roman" w:cs="Times New Roman"/>
        </w:rPr>
        <w:t>patients</w:t>
      </w:r>
      <w:r w:rsidR="00097897" w:rsidRPr="005B5460">
        <w:rPr>
          <w:rFonts w:ascii="Times New Roman" w:hAnsi="Times New Roman" w:cs="Times New Roman"/>
        </w:rPr>
        <w:t xml:space="preserve"> </w:t>
      </w:r>
      <w:r w:rsidR="009F7641" w:rsidRPr="005B5460">
        <w:rPr>
          <w:rFonts w:ascii="Times New Roman" w:hAnsi="Times New Roman" w:cs="Times New Roman"/>
        </w:rPr>
        <w:t xml:space="preserve">with sarcoma </w:t>
      </w:r>
      <w:r w:rsidR="00097897" w:rsidRPr="005B5460">
        <w:rPr>
          <w:rFonts w:ascii="Times New Roman" w:hAnsi="Times New Roman" w:cs="Times New Roman"/>
        </w:rPr>
        <w:t xml:space="preserve">around the knee. </w:t>
      </w:r>
      <w:r w:rsidR="004B163C" w:rsidRPr="005B5460">
        <w:rPr>
          <w:rFonts w:ascii="Times New Roman" w:hAnsi="Times New Roman" w:cs="Times New Roman"/>
        </w:rPr>
        <w:t>The outcome of this scoping review will summarise and synthesise the evidence</w:t>
      </w:r>
      <w:r w:rsidR="002A5BB6" w:rsidRPr="005B5460">
        <w:rPr>
          <w:rFonts w:ascii="Times New Roman" w:hAnsi="Times New Roman" w:cs="Times New Roman"/>
        </w:rPr>
        <w:t xml:space="preserve"> with the aim of informing clinical decision making and identifying future research priorities. </w:t>
      </w:r>
    </w:p>
    <w:p w14:paraId="70C0C951" w14:textId="77777777" w:rsidR="009F7641" w:rsidRPr="005B5460" w:rsidRDefault="009F7641" w:rsidP="009F7641">
      <w:pPr>
        <w:spacing w:line="480" w:lineRule="auto"/>
        <w:rPr>
          <w:rFonts w:ascii="Times New Roman" w:hAnsi="Times New Roman" w:cs="Times New Roman"/>
          <w:b/>
          <w:bCs/>
          <w:sz w:val="24"/>
          <w:szCs w:val="24"/>
        </w:rPr>
      </w:pPr>
      <w:r w:rsidRPr="005B5460">
        <w:rPr>
          <w:rFonts w:ascii="Times New Roman" w:hAnsi="Times New Roman" w:cs="Times New Roman"/>
          <w:b/>
          <w:bCs/>
          <w:sz w:val="24"/>
          <w:szCs w:val="24"/>
        </w:rPr>
        <w:t>Methods</w:t>
      </w:r>
    </w:p>
    <w:p w14:paraId="2EF825EF" w14:textId="510B3613" w:rsidR="009F7641" w:rsidRPr="005B5460" w:rsidRDefault="009F7641" w:rsidP="009F7641">
      <w:pPr>
        <w:spacing w:line="480" w:lineRule="auto"/>
        <w:rPr>
          <w:rFonts w:ascii="Times New Roman" w:hAnsi="Times New Roman" w:cs="Times New Roman"/>
        </w:rPr>
      </w:pPr>
      <w:r w:rsidRPr="005B5460">
        <w:rPr>
          <w:rFonts w:ascii="Times New Roman" w:hAnsi="Times New Roman" w:cs="Times New Roman"/>
        </w:rPr>
        <w:t xml:space="preserve">There is a </w:t>
      </w:r>
      <w:r w:rsidR="00DC6E3B" w:rsidRPr="005B5460">
        <w:rPr>
          <w:rFonts w:ascii="Times New Roman" w:hAnsi="Times New Roman" w:cs="Times New Roman"/>
        </w:rPr>
        <w:t>requirement</w:t>
      </w:r>
      <w:r w:rsidRPr="005B5460">
        <w:rPr>
          <w:rFonts w:ascii="Times New Roman" w:hAnsi="Times New Roman" w:cs="Times New Roman"/>
        </w:rPr>
        <w:t xml:space="preserve"> to develop comprehensive, evidence-based guid</w:t>
      </w:r>
      <w:r w:rsidR="00DC6E3B" w:rsidRPr="005B5460">
        <w:rPr>
          <w:rFonts w:ascii="Times New Roman" w:hAnsi="Times New Roman" w:cs="Times New Roman"/>
        </w:rPr>
        <w:t>ance</w:t>
      </w:r>
      <w:r w:rsidRPr="005B5460">
        <w:rPr>
          <w:rFonts w:ascii="Times New Roman" w:hAnsi="Times New Roman" w:cs="Times New Roman"/>
        </w:rPr>
        <w:t xml:space="preserve"> to </w:t>
      </w:r>
      <w:r w:rsidR="00DC6E3B" w:rsidRPr="005B5460">
        <w:rPr>
          <w:rFonts w:ascii="Times New Roman" w:hAnsi="Times New Roman" w:cs="Times New Roman"/>
        </w:rPr>
        <w:t>support and inform</w:t>
      </w:r>
      <w:r w:rsidRPr="005B5460">
        <w:rPr>
          <w:rFonts w:ascii="Times New Roman" w:hAnsi="Times New Roman" w:cs="Times New Roman"/>
        </w:rPr>
        <w:t xml:space="preserve"> healthcare providers </w:t>
      </w:r>
      <w:r w:rsidR="00DC6E3B" w:rsidRPr="005B5460">
        <w:rPr>
          <w:rFonts w:ascii="Times New Roman" w:hAnsi="Times New Roman" w:cs="Times New Roman"/>
        </w:rPr>
        <w:t>with</w:t>
      </w:r>
      <w:r w:rsidRPr="005B5460">
        <w:rPr>
          <w:rFonts w:ascii="Times New Roman" w:hAnsi="Times New Roman" w:cs="Times New Roman"/>
        </w:rPr>
        <w:t xml:space="preserve"> </w:t>
      </w:r>
      <w:r w:rsidR="00DC6E3B" w:rsidRPr="005B5460">
        <w:rPr>
          <w:rFonts w:ascii="Times New Roman" w:hAnsi="Times New Roman" w:cs="Times New Roman"/>
        </w:rPr>
        <w:t>clinical decision-making</w:t>
      </w:r>
      <w:r w:rsidRPr="005B5460">
        <w:rPr>
          <w:rFonts w:ascii="Times New Roman" w:hAnsi="Times New Roman" w:cs="Times New Roman"/>
        </w:rPr>
        <w:t xml:space="preserve"> </w:t>
      </w:r>
      <w:r w:rsidR="004D153C" w:rsidRPr="005B5460">
        <w:rPr>
          <w:rFonts w:ascii="Times New Roman" w:hAnsi="Times New Roman" w:cs="Times New Roman"/>
        </w:rPr>
        <w:fldChar w:fldCharType="begin" w:fldLock="1"/>
      </w:r>
      <w:r w:rsidR="004D75AB" w:rsidRPr="005B5460">
        <w:rPr>
          <w:rFonts w:ascii="Times New Roman" w:hAnsi="Times New Roman" w:cs="Times New Roman"/>
        </w:rPr>
        <w:instrText>ADDIN CSL_CITATION {"citationItems":[{"id":"ITEM-1","itemData":{"DOI":"10.1111/j.1741-6787.2005.00032.x","ISSN":"1545-102X (Print)","PMID":"17040536","author":[{"dropping-particle":"","family":"Fineout-Overholt","given":"Ellen","non-dropping-particle":"","parse-names":false,"suffix":""},{"dropping-particle":"","family":"Johnston","given":"Linda","non-dropping-particle":"","parse-names":false,"suffix":""}],"container-title":"Worldviews on evidence-based nursing","id":"ITEM-1","issue":"3","issued":{"date-parts":[["2005"]]},"language":"eng","page":"157-160","publisher-place":"United States","title":"Teaching EBP: asking searchable, answerable clinical questions.","type":"article-journal","volume":"2"},"uris":["http://www.mendeley.com/documents/?uuid=b39d2f37-3019-4557-8c35-bb7f58ac2db6"]}],"mendeley":{"formattedCitation":"(22)","plainTextFormattedCitation":"(22)","previouslyFormattedCitation":"(22)"},"properties":{"noteIndex":0},"schema":"https://github.com/citation-style-language/schema/raw/master/csl-citation.json"}</w:instrText>
      </w:r>
      <w:r w:rsidR="004D153C" w:rsidRPr="005B5460">
        <w:rPr>
          <w:rFonts w:ascii="Times New Roman" w:hAnsi="Times New Roman" w:cs="Times New Roman"/>
        </w:rPr>
        <w:fldChar w:fldCharType="separate"/>
      </w:r>
      <w:r w:rsidR="004D153C" w:rsidRPr="005B5460">
        <w:rPr>
          <w:rFonts w:ascii="Times New Roman" w:hAnsi="Times New Roman" w:cs="Times New Roman"/>
          <w:noProof/>
        </w:rPr>
        <w:t>(22)</w:t>
      </w:r>
      <w:r w:rsidR="004D153C" w:rsidRPr="005B5460">
        <w:rPr>
          <w:rFonts w:ascii="Times New Roman" w:hAnsi="Times New Roman" w:cs="Times New Roman"/>
        </w:rPr>
        <w:fldChar w:fldCharType="end"/>
      </w:r>
      <w:r w:rsidRPr="005B5460">
        <w:rPr>
          <w:rFonts w:ascii="Times New Roman" w:hAnsi="Times New Roman" w:cs="Times New Roman"/>
        </w:rPr>
        <w:t xml:space="preserve">. </w:t>
      </w:r>
      <w:r w:rsidR="00B73CB8" w:rsidRPr="005B5460">
        <w:rPr>
          <w:rFonts w:ascii="Times New Roman" w:hAnsi="Times New Roman" w:cs="Times New Roman"/>
        </w:rPr>
        <w:t xml:space="preserve">While traditionally scoping reviews </w:t>
      </w:r>
      <w:r w:rsidR="00897A73" w:rsidRPr="005B5460">
        <w:rPr>
          <w:rFonts w:ascii="Times New Roman" w:hAnsi="Times New Roman" w:cs="Times New Roman"/>
        </w:rPr>
        <w:t xml:space="preserve">were defined by the absence of </w:t>
      </w:r>
      <w:r w:rsidR="00AA273D" w:rsidRPr="005B5460">
        <w:rPr>
          <w:rFonts w:ascii="Times New Roman" w:hAnsi="Times New Roman" w:cs="Times New Roman"/>
        </w:rPr>
        <w:t xml:space="preserve">an </w:t>
      </w:r>
      <w:r w:rsidR="00403756" w:rsidRPr="005B5460">
        <w:rPr>
          <w:rFonts w:ascii="Times New Roman" w:hAnsi="Times New Roman" w:cs="Times New Roman"/>
        </w:rPr>
        <w:t>assessment</w:t>
      </w:r>
      <w:r w:rsidR="00AA273D" w:rsidRPr="005B5460">
        <w:rPr>
          <w:rFonts w:ascii="Times New Roman" w:hAnsi="Times New Roman" w:cs="Times New Roman"/>
        </w:rPr>
        <w:t xml:space="preserve"> of quality</w:t>
      </w:r>
      <w:r w:rsidR="00403756" w:rsidRPr="005B5460">
        <w:rPr>
          <w:rFonts w:ascii="Times New Roman" w:hAnsi="Times New Roman" w:cs="Times New Roman"/>
        </w:rPr>
        <w:t xml:space="preserve">, </w:t>
      </w:r>
      <w:r w:rsidR="00C27596" w:rsidRPr="005B5460">
        <w:rPr>
          <w:rFonts w:ascii="Times New Roman" w:hAnsi="Times New Roman" w:cs="Times New Roman"/>
        </w:rPr>
        <w:t>more recent methodological work in this area</w:t>
      </w:r>
      <w:r w:rsidR="00AA273D" w:rsidRPr="005B5460">
        <w:rPr>
          <w:rFonts w:ascii="Times New Roman" w:hAnsi="Times New Roman" w:cs="Times New Roman"/>
        </w:rPr>
        <w:t xml:space="preserve">, extending the original framework of </w:t>
      </w:r>
      <w:r w:rsidR="00D2520D" w:rsidRPr="005B5460">
        <w:rPr>
          <w:rFonts w:ascii="Times New Roman" w:hAnsi="Times New Roman" w:cs="Times New Roman"/>
        </w:rPr>
        <w:t xml:space="preserve">Arksey &amp; O’Malley </w:t>
      </w:r>
      <w:r w:rsidR="004D75AB" w:rsidRPr="005B5460">
        <w:rPr>
          <w:rFonts w:ascii="Times New Roman" w:hAnsi="Times New Roman" w:cs="Times New Roman"/>
        </w:rPr>
        <w:fldChar w:fldCharType="begin" w:fldLock="1"/>
      </w:r>
      <w:r w:rsidR="00726445" w:rsidRPr="005B5460">
        <w:rPr>
          <w:rFonts w:ascii="Times New Roman" w:hAnsi="Times New Roman" w:cs="Times New Roman"/>
        </w:rPr>
        <w:instrText>ADDIN CSL_CITATION {"citationItems":[{"id":"ITEM-1","itemData":{"DOI":"10.1080/1364557032000119616","ISSN":"1364-5579","abstract":"This paper focuses on scoping studies, an approach to reviewing the literature which to date has received little attention in the research methods literature. We distinguish between different types of scoping studies and indicate where these stand in relation to full systematic reviews. We outline a framework for conducting a scoping study based on our recent experiences of reviewing the literature on services for carers for people with mental health problems. Where appropriate, our approach to scoping the field is contrasted with the procedures followed in systematic reviews. We emphasize how including a consultation exercise in this sort of study may enhance the results, making them more useful to policy makers, practitioners and service users. Finally, we consider the advantages and limitations of the approach and suggest that a wider debate is called for about the role of the scoping study in relation to other types of literature reviews.","author":[{"dropping-particle":"","family":"Arksey","given":"Hilary","non-dropping-particle":"","parse-names":false,"suffix":""},{"dropping-particle":"","family":"O'Malley","given":"Lisa","non-dropping-particle":"","parse-names":false,"suffix":""}],"container-title":"International Journal of Social Research Methodology","id":"ITEM-1","issue":"1","issued":{"date-parts":[["2005","2","1"]]},"note":"doi: 10.1080/1364557032000119616","page":"19-32","publisher":"Routledge","title":"Scoping studies: towards a methodological framework","type":"article-journal","volume":"8"},"uris":["http://www.mendeley.com/documents/?uuid=73a5df73-e7f3-4f21-b699-e70687741455"]}],"mendeley":{"formattedCitation":"(23)","plainTextFormattedCitation":"(23)","previouslyFormattedCitation":"(23)"},"properties":{"noteIndex":0},"schema":"https://github.com/citation-style-language/schema/raw/master/csl-citation.json"}</w:instrText>
      </w:r>
      <w:r w:rsidR="004D75AB" w:rsidRPr="005B5460">
        <w:rPr>
          <w:rFonts w:ascii="Times New Roman" w:hAnsi="Times New Roman" w:cs="Times New Roman"/>
        </w:rPr>
        <w:fldChar w:fldCharType="separate"/>
      </w:r>
      <w:r w:rsidR="004D75AB" w:rsidRPr="005B5460">
        <w:rPr>
          <w:rFonts w:ascii="Times New Roman" w:hAnsi="Times New Roman" w:cs="Times New Roman"/>
          <w:noProof/>
        </w:rPr>
        <w:t>(23)</w:t>
      </w:r>
      <w:r w:rsidR="004D75AB" w:rsidRPr="005B5460">
        <w:rPr>
          <w:rFonts w:ascii="Times New Roman" w:hAnsi="Times New Roman" w:cs="Times New Roman"/>
        </w:rPr>
        <w:fldChar w:fldCharType="end"/>
      </w:r>
      <w:r w:rsidR="00C27596" w:rsidRPr="005B5460">
        <w:rPr>
          <w:rFonts w:ascii="Times New Roman" w:hAnsi="Times New Roman" w:cs="Times New Roman"/>
        </w:rPr>
        <w:t xml:space="preserve"> has seen the inclusion </w:t>
      </w:r>
      <w:r w:rsidR="00EB5223" w:rsidRPr="005B5460">
        <w:rPr>
          <w:rFonts w:ascii="Times New Roman" w:hAnsi="Times New Roman" w:cs="Times New Roman"/>
        </w:rPr>
        <w:t>in scoping reviews</w:t>
      </w:r>
      <w:r w:rsidR="00D2520D" w:rsidRPr="005B5460">
        <w:rPr>
          <w:rFonts w:ascii="Times New Roman" w:hAnsi="Times New Roman" w:cs="Times New Roman"/>
        </w:rPr>
        <w:t xml:space="preserve"> as essential for </w:t>
      </w:r>
      <w:r w:rsidR="00C651D3" w:rsidRPr="005B5460">
        <w:rPr>
          <w:rFonts w:ascii="Times New Roman" w:hAnsi="Times New Roman" w:cs="Times New Roman"/>
        </w:rPr>
        <w:t xml:space="preserve">providing ‘research that in itself can be </w:t>
      </w:r>
      <w:r w:rsidR="00C651D3" w:rsidRPr="005B5460">
        <w:rPr>
          <w:rFonts w:ascii="Times New Roman" w:hAnsi="Times New Roman" w:cs="Times New Roman"/>
        </w:rPr>
        <w:lastRenderedPageBreak/>
        <w:t xml:space="preserve">disseminated to others in a way that is useful for practice or policymaking and for future researchers.’ </w:t>
      </w:r>
      <w:r w:rsidR="00726445" w:rsidRPr="005B5460">
        <w:rPr>
          <w:rFonts w:ascii="Times New Roman" w:hAnsi="Times New Roman" w:cs="Times New Roman"/>
        </w:rPr>
        <w:fldChar w:fldCharType="begin" w:fldLock="1"/>
      </w:r>
      <w:r w:rsidR="00FC4635" w:rsidRPr="005B5460">
        <w:rPr>
          <w:rFonts w:ascii="Times New Roman" w:hAnsi="Times New Roman" w:cs="Times New Roman"/>
        </w:rPr>
        <w:instrText>ADDIN CSL_CITATION {"citationItems":[{"id":"ITEM-1","itemData":{"DOI":"10.1186/1471-2288-13-48","ISSN":"1471-2288","abstract":"Scoping studies are increasingly common for broadly searching the literature on a specific topic, yet researchers lack an agreed-upon definition of and framework for the methodology. In 2005, Arksey and O’Malley offered a methodological framework for conducting scoping studies. In their subsequent work, Levac et al. responded to Arksey and O’Malley’s call for advances to their framework. Our paper builds on this collective work to further enhance the methodology.","author":[{"dropping-particle":"","family":"Daudt","given":"Helena M L","non-dropping-particle":"","parse-names":false,"suffix":""},{"dropping-particle":"","family":"Mossel","given":"Catherine","non-dropping-particle":"van","parse-names":false,"suffix":""},{"dropping-particle":"","family":"Scott","given":"Samantha J","non-dropping-particle":"","parse-names":false,"suffix":""}],"container-title":"BMC Medical Research Methodology","id":"ITEM-1","issue":"1","issued":{"date-parts":[["2013"]]},"page":"48","title":"Enhancing the scoping study methodology: a large, inter-professional team’s experience with Arksey and O’Malley’s framework","type":"article-journal","volume":"13"},"uris":["http://www.mendeley.com/documents/?uuid=454724c8-059d-4752-a71c-2c5f18c88d4f"]},{"id":"ITEM-2","itemData":{"DOI":"10.1016/j.jclinepi.2014.03.013","ISSN":"1878-5921 (Electronic)","PMID":"25034198","abstract":"OBJECTIVES: The scoping review has become increasingly popular as a form of  knowledge synthesis. However, a lack of consensus on scoping review terminology, definition, methodology, and reporting limits the potential of this form of synthesis. In this article, we propose recommendations to further advance the field of scoping review methodology. STUDY DESIGN AND SETTING: We summarize current understanding of scoping review publication rates, terms, definitions, and methods. We propose three recommendations for clarity in term, definition and methodology. RESULTS: We recommend adopting the terms \"scoping review\" or \"scoping study\" and the use of a proposed definition. Until such time as further guidance is developed, we recommend the use of the methodological steps outlined in the Arksey and O'Malley framework and further enhanced by Levac et al. The development of reporting guidance for the conduct and reporting of scoping reviews is underway. CONCLUSION: Consistency in the proposed domains and methodologies of scoping reviews, along with the development of reporting guidance, will facilitate methodological advancement, reduce confusion, facilitate collaboration and improve knowledge translation of scoping review findings.","author":[{"dropping-particle":"","family":"Colquhoun","given":"Heather L","non-dropping-particle":"","parse-names":false,"suffix":""},{"dropping-particle":"","family":"Levac","given":"Danielle","non-dropping-particle":"","parse-names":false,"suffix":""},{"dropping-particle":"","family":"O'Brien","given":"Kelly K","non-dropping-particle":"","parse-names":false,"suffix":""},{"dropping-particle":"","family":"Straus","given":"Sharon","non-dropping-particle":"","parse-names":false,"suffix":""},{"dropping-particle":"","family":"Tricco","given":"Andrea C","non-dropping-particle":"","parse-names":false,"suffix":""},{"dropping-particle":"","family":"Perrier","given":"Laure","non-dropping-particle":"","parse-names":false,"suffix":""},{"dropping-particle":"","family":"Kastner","given":"Monika","non-dropping-particle":"","parse-names":false,"suffix":""},{"dropping-particle":"","family":"Moher","given":"David","non-dropping-particle":"","parse-names":false,"suffix":""}],"container-title":"Journal of clinical epidemiology","id":"ITEM-2","issue":"12","issued":{"date-parts":[["2014","12"]]},"language":"eng","page":"1291-1294","publisher-place":"United States","title":"Scoping reviews: time for clarity in definition, methods, and reporting.","type":"article-journal","volume":"67"},"uris":["http://www.mendeley.com/documents/?uuid=93bf48e5-54db-419b-afc0-75498ae243b7"]}],"mendeley":{"formattedCitation":"(24,25)","plainTextFormattedCitation":"(24,25)","previouslyFormattedCitation":"(24,25)"},"properties":{"noteIndex":0},"schema":"https://github.com/citation-style-language/schema/raw/master/csl-citation.json"}</w:instrText>
      </w:r>
      <w:r w:rsidR="00726445" w:rsidRPr="005B5460">
        <w:rPr>
          <w:rFonts w:ascii="Times New Roman" w:hAnsi="Times New Roman" w:cs="Times New Roman"/>
        </w:rPr>
        <w:fldChar w:fldCharType="separate"/>
      </w:r>
      <w:r w:rsidR="00726445" w:rsidRPr="005B5460">
        <w:rPr>
          <w:rFonts w:ascii="Times New Roman" w:hAnsi="Times New Roman" w:cs="Times New Roman"/>
          <w:noProof/>
        </w:rPr>
        <w:t>(24,25)</w:t>
      </w:r>
      <w:r w:rsidR="00726445" w:rsidRPr="005B5460">
        <w:rPr>
          <w:rFonts w:ascii="Times New Roman" w:hAnsi="Times New Roman" w:cs="Times New Roman"/>
        </w:rPr>
        <w:fldChar w:fldCharType="end"/>
      </w:r>
      <w:r w:rsidR="005F54F1" w:rsidRPr="005B5460">
        <w:rPr>
          <w:rFonts w:ascii="Times New Roman" w:hAnsi="Times New Roman" w:cs="Times New Roman"/>
        </w:rPr>
        <w:t>.</w:t>
      </w:r>
      <w:r w:rsidR="00BB1E86" w:rsidRPr="005B5460">
        <w:rPr>
          <w:rFonts w:ascii="Times New Roman" w:hAnsi="Times New Roman" w:cs="Times New Roman"/>
        </w:rPr>
        <w:t xml:space="preserve"> As the principle of this review is to provide implications for practice</w:t>
      </w:r>
      <w:r w:rsidR="00615A7F" w:rsidRPr="005B5460">
        <w:rPr>
          <w:rFonts w:ascii="Times New Roman" w:hAnsi="Times New Roman" w:cs="Times New Roman"/>
        </w:rPr>
        <w:t>, specifically rehabilitation</w:t>
      </w:r>
      <w:r w:rsidR="009A7271" w:rsidRPr="005B5460">
        <w:rPr>
          <w:rFonts w:ascii="Times New Roman" w:hAnsi="Times New Roman" w:cs="Times New Roman"/>
        </w:rPr>
        <w:t xml:space="preserve"> where there is limited clinical guidance</w:t>
      </w:r>
      <w:r w:rsidR="00615A7F" w:rsidRPr="005B5460">
        <w:rPr>
          <w:rFonts w:ascii="Times New Roman" w:hAnsi="Times New Roman" w:cs="Times New Roman"/>
        </w:rPr>
        <w:t xml:space="preserve">, </w:t>
      </w:r>
      <w:r w:rsidR="0006155D" w:rsidRPr="005B5460">
        <w:rPr>
          <w:rFonts w:ascii="Times New Roman" w:hAnsi="Times New Roman" w:cs="Times New Roman"/>
        </w:rPr>
        <w:t>a quality assessment is also included.</w:t>
      </w:r>
      <w:r w:rsidR="00EB5223" w:rsidRPr="005B5460">
        <w:rPr>
          <w:rFonts w:ascii="Times New Roman" w:hAnsi="Times New Roman" w:cs="Times New Roman"/>
        </w:rPr>
        <w:t xml:space="preserve"> </w:t>
      </w:r>
      <w:r w:rsidRPr="005B5460">
        <w:rPr>
          <w:rFonts w:ascii="Times New Roman" w:hAnsi="Times New Roman" w:cs="Times New Roman"/>
        </w:rPr>
        <w:t>In t</w:t>
      </w:r>
      <w:r w:rsidR="00DC6E3B" w:rsidRPr="005B5460">
        <w:rPr>
          <w:rFonts w:ascii="Times New Roman" w:hAnsi="Times New Roman" w:cs="Times New Roman"/>
        </w:rPr>
        <w:t>his</w:t>
      </w:r>
      <w:r w:rsidRPr="005B5460">
        <w:rPr>
          <w:rFonts w:ascii="Times New Roman" w:hAnsi="Times New Roman" w:cs="Times New Roman"/>
        </w:rPr>
        <w:t xml:space="preserve"> review, the principles and approach</w:t>
      </w:r>
      <w:r w:rsidR="00DC6E3B" w:rsidRPr="005B5460">
        <w:rPr>
          <w:rFonts w:ascii="Times New Roman" w:hAnsi="Times New Roman" w:cs="Times New Roman"/>
        </w:rPr>
        <w:t>es</w:t>
      </w:r>
      <w:r w:rsidRPr="005B5460">
        <w:rPr>
          <w:rFonts w:ascii="Times New Roman" w:hAnsi="Times New Roman" w:cs="Times New Roman"/>
        </w:rPr>
        <w:t xml:space="preserve"> suggested by Booth et al </w:t>
      </w:r>
      <w:r w:rsidR="00FC4635" w:rsidRPr="005B5460">
        <w:rPr>
          <w:rFonts w:ascii="Times New Roman" w:hAnsi="Times New Roman" w:cs="Times New Roman"/>
        </w:rPr>
        <w:fldChar w:fldCharType="begin" w:fldLock="1"/>
      </w:r>
      <w:r w:rsidR="005F3E74" w:rsidRPr="005B5460">
        <w:rPr>
          <w:rFonts w:ascii="Times New Roman" w:hAnsi="Times New Roman" w:cs="Times New Roman"/>
        </w:rPr>
        <w:instrText>ADDIN CSL_CITATION {"citationItems":[{"id":"ITEM-1","itemData":{"ISBN":"9781473912465","author":[{"dropping-particle":"","family":"Booth","given":"Andrew","non-dropping-particle":"","parse-names":false,"suffix":""},{"dropping-particle":"","family":"Sutton","given":"Anthea","non-dropping-particle":"","parse-names":false,"suffix":""},{"dropping-particle":"","family":"Papaioannou","given":"Diana","non-dropping-particle":"","parse-names":false,"suffix":""}],"edition":"2nd","id":"ITEM-1","issued":{"date-parts":[["2016"]]},"publisher":"SAGE Publications Inc","publisher-place":"LA, USA","title":"Systematic approaches to a successful literature review","type":"book"},"uris":["http://www.mendeley.com/documents/?uuid=fa8282d2-d75d-4915-b8c1-52c7191f865f"]}],"mendeley":{"formattedCitation":"(26)","plainTextFormattedCitation":"(26)","previouslyFormattedCitation":"(26)"},"properties":{"noteIndex":0},"schema":"https://github.com/citation-style-language/schema/raw/master/csl-citation.json"}</w:instrText>
      </w:r>
      <w:r w:rsidR="00FC4635" w:rsidRPr="005B5460">
        <w:rPr>
          <w:rFonts w:ascii="Times New Roman" w:hAnsi="Times New Roman" w:cs="Times New Roman"/>
        </w:rPr>
        <w:fldChar w:fldCharType="separate"/>
      </w:r>
      <w:r w:rsidR="00FC4635" w:rsidRPr="005B5460">
        <w:rPr>
          <w:rFonts w:ascii="Times New Roman" w:hAnsi="Times New Roman" w:cs="Times New Roman"/>
          <w:noProof/>
        </w:rPr>
        <w:t>(26)</w:t>
      </w:r>
      <w:r w:rsidR="00FC4635" w:rsidRPr="005B5460">
        <w:rPr>
          <w:rFonts w:ascii="Times New Roman" w:hAnsi="Times New Roman" w:cs="Times New Roman"/>
        </w:rPr>
        <w:fldChar w:fldCharType="end"/>
      </w:r>
      <w:r w:rsidRPr="005B5460">
        <w:rPr>
          <w:rFonts w:ascii="Times New Roman" w:hAnsi="Times New Roman" w:cs="Times New Roman"/>
        </w:rPr>
        <w:t xml:space="preserve"> were applied to </w:t>
      </w:r>
      <w:r w:rsidR="00DC6E3B" w:rsidRPr="005B5460">
        <w:rPr>
          <w:rFonts w:ascii="Times New Roman" w:hAnsi="Times New Roman" w:cs="Times New Roman"/>
        </w:rPr>
        <w:t>identify</w:t>
      </w:r>
      <w:r w:rsidRPr="005B5460">
        <w:rPr>
          <w:rFonts w:ascii="Times New Roman" w:hAnsi="Times New Roman" w:cs="Times New Roman"/>
        </w:rPr>
        <w:t xml:space="preserve"> reliable studies and to synthesise </w:t>
      </w:r>
      <w:r w:rsidR="00DC6E3B" w:rsidRPr="005B5460">
        <w:rPr>
          <w:rFonts w:ascii="Times New Roman" w:hAnsi="Times New Roman" w:cs="Times New Roman"/>
        </w:rPr>
        <w:t>those results</w:t>
      </w:r>
      <w:r w:rsidRPr="005B5460">
        <w:rPr>
          <w:rFonts w:ascii="Times New Roman" w:hAnsi="Times New Roman" w:cs="Times New Roman"/>
        </w:rPr>
        <w:t xml:space="preserve"> in a rigorous way. This approach applies a detailed search question and strategy, clear inclusion and exclusion criteria, and explicit criteria for assessing the validity of the eligible studies based on the scope of the review </w:t>
      </w:r>
      <w:r w:rsidR="005F3E74" w:rsidRPr="005B5460">
        <w:rPr>
          <w:rFonts w:ascii="Times New Roman" w:hAnsi="Times New Roman" w:cs="Times New Roman"/>
        </w:rPr>
        <w:fldChar w:fldCharType="begin" w:fldLock="1"/>
      </w:r>
      <w:r w:rsidR="003B0EB3" w:rsidRPr="005B5460">
        <w:rPr>
          <w:rFonts w:ascii="Times New Roman" w:hAnsi="Times New Roman" w:cs="Times New Roman"/>
        </w:rPr>
        <w:instrText>ADDIN CSL_CITATION {"citationItems":[{"id":"ITEM-1","itemData":{"DOI":"10.7748/nr2000.04.7.3.40.c6120","author":[{"dropping-particle":"","family":"Hek","given":"G","non-dropping-particle":"","parse-names":false,"suffix":""}],"container-title":"Nurse Researcher","id":"ITEM-1","issue":"3","issued":{"date-parts":[["2000"]]},"page":"40-57","title":"Systematically searching and reviewing literature","type":"article-journal","volume":"7"},"uris":["http://www.mendeley.com/documents/?uuid=fe14309c-29d5-43b8-8b98-440dc29590d7"]}],"mendeley":{"formattedCitation":"(27)","plainTextFormattedCitation":"(27)","previouslyFormattedCitation":"(27)"},"properties":{"noteIndex":0},"schema":"https://github.com/citation-style-language/schema/raw/master/csl-citation.json"}</w:instrText>
      </w:r>
      <w:r w:rsidR="005F3E74" w:rsidRPr="005B5460">
        <w:rPr>
          <w:rFonts w:ascii="Times New Roman" w:hAnsi="Times New Roman" w:cs="Times New Roman"/>
        </w:rPr>
        <w:fldChar w:fldCharType="separate"/>
      </w:r>
      <w:r w:rsidR="005F3E74" w:rsidRPr="005B5460">
        <w:rPr>
          <w:rFonts w:ascii="Times New Roman" w:hAnsi="Times New Roman" w:cs="Times New Roman"/>
          <w:noProof/>
        </w:rPr>
        <w:t>(27)</w:t>
      </w:r>
      <w:r w:rsidR="005F3E74" w:rsidRPr="005B5460">
        <w:rPr>
          <w:rFonts w:ascii="Times New Roman" w:hAnsi="Times New Roman" w:cs="Times New Roman"/>
        </w:rPr>
        <w:fldChar w:fldCharType="end"/>
      </w:r>
      <w:r w:rsidRPr="005B5460">
        <w:rPr>
          <w:rFonts w:ascii="Times New Roman" w:hAnsi="Times New Roman" w:cs="Times New Roman"/>
        </w:rPr>
        <w:t xml:space="preserve">. </w:t>
      </w:r>
    </w:p>
    <w:p w14:paraId="5FE64C17" w14:textId="45491BA8" w:rsidR="009F7641" w:rsidRPr="005B5460" w:rsidRDefault="004B3EAD" w:rsidP="009F7641">
      <w:pPr>
        <w:spacing w:line="480" w:lineRule="auto"/>
        <w:rPr>
          <w:rFonts w:ascii="Times New Roman" w:hAnsi="Times New Roman" w:cs="Times New Roman"/>
        </w:rPr>
      </w:pPr>
      <w:r w:rsidRPr="005B5460">
        <w:rPr>
          <w:rFonts w:ascii="Times New Roman" w:hAnsi="Times New Roman" w:cs="Times New Roman"/>
        </w:rPr>
        <w:t xml:space="preserve">The following is aligned to </w:t>
      </w:r>
      <w:r w:rsidR="00861B9D" w:rsidRPr="005B5460">
        <w:rPr>
          <w:rFonts w:ascii="Times New Roman" w:hAnsi="Times New Roman" w:cs="Times New Roman"/>
        </w:rPr>
        <w:t xml:space="preserve">Arksey &amp; O’Malley’s framework for scoping reviews: </w:t>
      </w:r>
      <w:r w:rsidR="007A5E54" w:rsidRPr="005B5460">
        <w:rPr>
          <w:rFonts w:ascii="Times New Roman" w:hAnsi="Times New Roman" w:cs="Times New Roman"/>
        </w:rPr>
        <w:t>i</w:t>
      </w:r>
      <w:r w:rsidR="002545D6" w:rsidRPr="005B5460">
        <w:rPr>
          <w:rFonts w:ascii="Times New Roman" w:hAnsi="Times New Roman" w:cs="Times New Roman"/>
        </w:rPr>
        <w:t>dentifying the research question</w:t>
      </w:r>
      <w:r w:rsidR="00494753" w:rsidRPr="005B5460">
        <w:rPr>
          <w:rFonts w:ascii="Times New Roman" w:hAnsi="Times New Roman" w:cs="Times New Roman"/>
        </w:rPr>
        <w:t xml:space="preserve"> </w:t>
      </w:r>
      <w:r w:rsidR="00494753" w:rsidRPr="005B5460">
        <w:rPr>
          <w:rFonts w:ascii="Times New Roman" w:hAnsi="Times New Roman" w:cs="Times New Roman"/>
        </w:rPr>
        <w:fldChar w:fldCharType="begin" w:fldLock="1"/>
      </w:r>
      <w:r w:rsidR="00494753" w:rsidRPr="005B5460">
        <w:rPr>
          <w:rFonts w:ascii="Times New Roman" w:hAnsi="Times New Roman" w:cs="Times New Roman"/>
        </w:rPr>
        <w:instrText>ADDIN CSL_CITATION {"citationItems":[{"id":"ITEM-1","itemData":{"DOI":"10.1080/1364557032000119616","ISSN":"1364-5579","abstract":"This paper focuses on scoping studies, an approach to reviewing the literature which to date has received little attention in the research methods literature. We distinguish between different types of scoping studies and indicate where these stand in relation to full systematic reviews. We outline a framework for conducting a scoping study based on our recent experiences of reviewing the literature on services for carers for people with mental health problems. Where appropriate, our approach to scoping the field is contrasted with the procedures followed in systematic reviews. We emphasize how including a consultation exercise in this sort of study may enhance the results, making them more useful to policy makers, practitioners and service users. Finally, we consider the advantages and limitations of the approach and suggest that a wider debate is called for about the role of the scoping study in relation to other types of literature reviews.","author":[{"dropping-particle":"","family":"Arksey","given":"Hilary","non-dropping-particle":"","parse-names":false,"suffix":""},{"dropping-particle":"","family":"O'Malley","given":"Lisa","non-dropping-particle":"","parse-names":false,"suffix":""}],"container-title":"International Journal of Social Research Methodology","id":"ITEM-1","issue":"1","issued":{"date-parts":[["2005","2","1"]]},"note":"doi: 10.1080/1364557032000119616","page":"19-32","publisher":"Routledge","title":"Scoping studies: towards a methodological framework","type":"article-journal","volume":"8"},"uris":["http://www.mendeley.com/documents/?uuid=73a5df73-e7f3-4f21-b699-e70687741455"]}],"mendeley":{"formattedCitation":"(23)","plainTextFormattedCitation":"(23)","previouslyFormattedCitation":"(23)"},"properties":{"noteIndex":0},"schema":"https://github.com/citation-style-language/schema/raw/master/csl-citation.json"}</w:instrText>
      </w:r>
      <w:r w:rsidR="00494753" w:rsidRPr="005B5460">
        <w:rPr>
          <w:rFonts w:ascii="Times New Roman" w:hAnsi="Times New Roman" w:cs="Times New Roman"/>
        </w:rPr>
        <w:fldChar w:fldCharType="separate"/>
      </w:r>
      <w:r w:rsidR="00494753" w:rsidRPr="005B5460">
        <w:rPr>
          <w:rFonts w:ascii="Times New Roman" w:hAnsi="Times New Roman" w:cs="Times New Roman"/>
          <w:noProof/>
        </w:rPr>
        <w:t>(23)</w:t>
      </w:r>
      <w:r w:rsidR="00494753" w:rsidRPr="005B5460">
        <w:rPr>
          <w:rFonts w:ascii="Times New Roman" w:hAnsi="Times New Roman" w:cs="Times New Roman"/>
        </w:rPr>
        <w:fldChar w:fldCharType="end"/>
      </w:r>
      <w:r w:rsidR="002545D6" w:rsidRPr="005B5460">
        <w:rPr>
          <w:rFonts w:ascii="Times New Roman" w:hAnsi="Times New Roman" w:cs="Times New Roman"/>
        </w:rPr>
        <w:t xml:space="preserve">. </w:t>
      </w:r>
      <w:r w:rsidR="009F7641" w:rsidRPr="005B5460">
        <w:rPr>
          <w:rFonts w:ascii="Times New Roman" w:hAnsi="Times New Roman" w:cs="Times New Roman"/>
        </w:rPr>
        <w:t xml:space="preserve">The research question </w:t>
      </w:r>
      <w:r w:rsidR="0081009E" w:rsidRPr="005B5460">
        <w:rPr>
          <w:rFonts w:ascii="Times New Roman" w:hAnsi="Times New Roman" w:cs="Times New Roman"/>
        </w:rPr>
        <w:t>underpinning</w:t>
      </w:r>
      <w:r w:rsidR="009F7641" w:rsidRPr="005B5460">
        <w:rPr>
          <w:rFonts w:ascii="Times New Roman" w:hAnsi="Times New Roman" w:cs="Times New Roman"/>
        </w:rPr>
        <w:t xml:space="preserve"> this review was developed with the PICO </w:t>
      </w:r>
      <w:r w:rsidR="0081009E" w:rsidRPr="005B5460">
        <w:rPr>
          <w:rFonts w:ascii="Times New Roman" w:hAnsi="Times New Roman" w:cs="Times New Roman"/>
        </w:rPr>
        <w:t>table</w:t>
      </w:r>
      <w:r w:rsidR="009F7641" w:rsidRPr="005B5460">
        <w:rPr>
          <w:rFonts w:ascii="Times New Roman" w:hAnsi="Times New Roman" w:cs="Times New Roman"/>
        </w:rPr>
        <w:t xml:space="preserve"> (</w:t>
      </w:r>
      <w:r w:rsidR="006E7682" w:rsidRPr="005B5460">
        <w:rPr>
          <w:rFonts w:ascii="Times New Roman" w:hAnsi="Times New Roman" w:cs="Times New Roman"/>
        </w:rPr>
        <w:t>t</w:t>
      </w:r>
      <w:r w:rsidR="009F7641" w:rsidRPr="005B5460">
        <w:rPr>
          <w:rFonts w:ascii="Times New Roman" w:hAnsi="Times New Roman" w:cs="Times New Roman"/>
        </w:rPr>
        <w:t>able 1) and defined as “</w:t>
      </w:r>
      <w:r w:rsidR="009F7641" w:rsidRPr="005B5460">
        <w:rPr>
          <w:rFonts w:ascii="Times New Roman" w:hAnsi="Times New Roman" w:cs="Times New Roman"/>
          <w:i/>
          <w:iCs/>
        </w:rPr>
        <w:t xml:space="preserve">What are the non-oncological outcomes </w:t>
      </w:r>
      <w:r w:rsidR="00DD220C" w:rsidRPr="005B5460">
        <w:rPr>
          <w:rFonts w:ascii="Times New Roman" w:hAnsi="Times New Roman" w:cs="Times New Roman"/>
          <w:i/>
          <w:iCs/>
        </w:rPr>
        <w:t>following LSS of</w:t>
      </w:r>
      <w:r w:rsidR="009F7641" w:rsidRPr="005B5460">
        <w:rPr>
          <w:rFonts w:ascii="Times New Roman" w:hAnsi="Times New Roman" w:cs="Times New Roman"/>
          <w:i/>
          <w:iCs/>
        </w:rPr>
        <w:t xml:space="preserve"> </w:t>
      </w:r>
      <w:r w:rsidR="00DD220C" w:rsidRPr="005B5460">
        <w:rPr>
          <w:rFonts w:ascii="Times New Roman" w:hAnsi="Times New Roman" w:cs="Times New Roman"/>
          <w:i/>
          <w:iCs/>
        </w:rPr>
        <w:t>patients</w:t>
      </w:r>
      <w:r w:rsidR="009F7641" w:rsidRPr="005B5460">
        <w:rPr>
          <w:rFonts w:ascii="Times New Roman" w:hAnsi="Times New Roman" w:cs="Times New Roman"/>
          <w:i/>
          <w:iCs/>
        </w:rPr>
        <w:t xml:space="preserve"> with </w:t>
      </w:r>
      <w:r w:rsidR="00DD220C" w:rsidRPr="005B5460">
        <w:rPr>
          <w:rFonts w:ascii="Times New Roman" w:hAnsi="Times New Roman" w:cs="Times New Roman"/>
          <w:i/>
          <w:iCs/>
        </w:rPr>
        <w:t>sarcoma</w:t>
      </w:r>
      <w:r w:rsidR="009F7641" w:rsidRPr="005B5460">
        <w:rPr>
          <w:rFonts w:ascii="Times New Roman" w:hAnsi="Times New Roman" w:cs="Times New Roman"/>
          <w:i/>
          <w:iCs/>
        </w:rPr>
        <w:t xml:space="preserve"> around the knee</w:t>
      </w:r>
      <w:r w:rsidR="009F7641" w:rsidRPr="005B5460">
        <w:rPr>
          <w:rFonts w:ascii="Times New Roman" w:hAnsi="Times New Roman" w:cs="Times New Roman"/>
        </w:rPr>
        <w:t>?”.</w:t>
      </w:r>
      <w:r w:rsidR="0081009E" w:rsidRPr="005B5460">
        <w:rPr>
          <w:rFonts w:ascii="Times New Roman" w:hAnsi="Times New Roman" w:cs="Times New Roman"/>
        </w:rPr>
        <w:t xml:space="preserve"> Further, the PICO table was used to determine appropriate inclusion and exclusion criteria</w:t>
      </w:r>
      <w:r w:rsidR="00DD220C" w:rsidRPr="005B5460">
        <w:rPr>
          <w:rFonts w:ascii="Times New Roman" w:hAnsi="Times New Roman" w:cs="Times New Roman"/>
        </w:rPr>
        <w:t xml:space="preserve"> for the search strategy</w:t>
      </w:r>
      <w:r w:rsidR="00873635" w:rsidRPr="005B5460">
        <w:rPr>
          <w:rFonts w:ascii="Times New Roman" w:hAnsi="Times New Roman" w:cs="Times New Roman"/>
        </w:rPr>
        <w:t xml:space="preserve"> </w:t>
      </w:r>
      <w:r w:rsidR="003B0EB3" w:rsidRPr="005B5460">
        <w:rPr>
          <w:rFonts w:ascii="Times New Roman" w:hAnsi="Times New Roman" w:cs="Times New Roman"/>
        </w:rPr>
        <w:fldChar w:fldCharType="begin" w:fldLock="1"/>
      </w:r>
      <w:r w:rsidR="00494753" w:rsidRPr="005B5460">
        <w:rPr>
          <w:rFonts w:ascii="Times New Roman" w:hAnsi="Times New Roman" w:cs="Times New Roman"/>
        </w:rPr>
        <w:instrText>ADDIN CSL_CITATION {"citationItems":[{"id":"ITEM-1","itemData":{"author":[{"dropping-particle":"","family":"Boland","given":"Angela","non-dropping-particle":"","parse-names":false,"suffix":""},{"dropping-particle":"","family":"Cherry","given":"Gemma","non-dropping-particle":"","parse-names":false,"suffix":""},{"dropping-particle":"","family":"Dickson","given":"Rumona","non-dropping-particle":"","parse-names":false,"suffix":""}],"edition":"2nd","id":"ITEM-1","issued":{"date-parts":[["2017"]]},"publisher":"SAGE Publications Ltd","publisher-place":"London, UK","title":"Doing a systematic review","type":"book"},"uris":["http://www.mendeley.com/documents/?uuid=a5b4c391-5f0a-43c5-a153-95a2dcd25cbb"]}],"mendeley":{"formattedCitation":"(28)","plainTextFormattedCitation":"(28)","previouslyFormattedCitation":"(28)"},"properties":{"noteIndex":0},"schema":"https://github.com/citation-style-language/schema/raw/master/csl-citation.json"}</w:instrText>
      </w:r>
      <w:r w:rsidR="003B0EB3" w:rsidRPr="005B5460">
        <w:rPr>
          <w:rFonts w:ascii="Times New Roman" w:hAnsi="Times New Roman" w:cs="Times New Roman"/>
        </w:rPr>
        <w:fldChar w:fldCharType="separate"/>
      </w:r>
      <w:r w:rsidR="003B0EB3" w:rsidRPr="005B5460">
        <w:rPr>
          <w:rFonts w:ascii="Times New Roman" w:hAnsi="Times New Roman" w:cs="Times New Roman"/>
          <w:noProof/>
        </w:rPr>
        <w:t>(28)</w:t>
      </w:r>
      <w:r w:rsidR="003B0EB3" w:rsidRPr="005B5460">
        <w:rPr>
          <w:rFonts w:ascii="Times New Roman" w:hAnsi="Times New Roman" w:cs="Times New Roman"/>
        </w:rPr>
        <w:fldChar w:fldCharType="end"/>
      </w:r>
      <w:r w:rsidR="002545D6" w:rsidRPr="005B5460">
        <w:rPr>
          <w:rFonts w:ascii="Times New Roman" w:hAnsi="Times New Roman" w:cs="Times New Roman"/>
        </w:rPr>
        <w:t xml:space="preserve">, and this </w:t>
      </w:r>
      <w:r w:rsidR="00454C92" w:rsidRPr="005B5460">
        <w:rPr>
          <w:rFonts w:ascii="Times New Roman" w:hAnsi="Times New Roman" w:cs="Times New Roman"/>
        </w:rPr>
        <w:t>refers to Arksey &amp; O’Malley’s framework for scoping reviews</w:t>
      </w:r>
      <w:r w:rsidR="00494753" w:rsidRPr="005B5460">
        <w:rPr>
          <w:rFonts w:ascii="Times New Roman" w:hAnsi="Times New Roman" w:cs="Times New Roman"/>
        </w:rPr>
        <w:t xml:space="preserve"> </w:t>
      </w:r>
      <w:r w:rsidR="00494753" w:rsidRPr="005B5460">
        <w:rPr>
          <w:rFonts w:ascii="Times New Roman" w:hAnsi="Times New Roman" w:cs="Times New Roman"/>
        </w:rPr>
        <w:fldChar w:fldCharType="begin" w:fldLock="1"/>
      </w:r>
      <w:r w:rsidR="00494753" w:rsidRPr="005B5460">
        <w:rPr>
          <w:rFonts w:ascii="Times New Roman" w:hAnsi="Times New Roman" w:cs="Times New Roman"/>
        </w:rPr>
        <w:instrText>ADDIN CSL_CITATION {"citationItems":[{"id":"ITEM-1","itemData":{"DOI":"10.1080/1364557032000119616","ISSN":"1364-5579","abstract":"This paper focuses on scoping studies, an approach to reviewing the literature which to date has received little attention in the research methods literature. We distinguish between different types of scoping studies and indicate where these stand in relation to full systematic reviews. We outline a framework for conducting a scoping study based on our recent experiences of reviewing the literature on services for carers for people with mental health problems. Where appropriate, our approach to scoping the field is contrasted with the procedures followed in systematic reviews. We emphasize how including a consultation exercise in this sort of study may enhance the results, making them more useful to policy makers, practitioners and service users. Finally, we consider the advantages and limitations of the approach and suggest that a wider debate is called for about the role of the scoping study in relation to other types of literature reviews.","author":[{"dropping-particle":"","family":"Arksey","given":"Hilary","non-dropping-particle":"","parse-names":false,"suffix":""},{"dropping-particle":"","family":"O'Malley","given":"Lisa","non-dropping-particle":"","parse-names":false,"suffix":""}],"container-title":"International Journal of Social Research Methodology","id":"ITEM-1","issue":"1","issued":{"date-parts":[["2005","2","1"]]},"note":"doi: 10.1080/1364557032000119616","page":"19-32","publisher":"Routledge","title":"Scoping studies: towards a methodological framework","type":"article-journal","volume":"8"},"uris":["http://www.mendeley.com/documents/?uuid=73a5df73-e7f3-4f21-b699-e70687741455"]}],"mendeley":{"formattedCitation":"(23)","plainTextFormattedCitation":"(23)","previouslyFormattedCitation":"(23)"},"properties":{"noteIndex":0},"schema":"https://github.com/citation-style-language/schema/raw/master/csl-citation.json"}</w:instrText>
      </w:r>
      <w:r w:rsidR="00494753" w:rsidRPr="005B5460">
        <w:rPr>
          <w:rFonts w:ascii="Times New Roman" w:hAnsi="Times New Roman" w:cs="Times New Roman"/>
        </w:rPr>
        <w:fldChar w:fldCharType="separate"/>
      </w:r>
      <w:r w:rsidR="00494753" w:rsidRPr="005B5460">
        <w:rPr>
          <w:rFonts w:ascii="Times New Roman" w:hAnsi="Times New Roman" w:cs="Times New Roman"/>
          <w:noProof/>
        </w:rPr>
        <w:t>(23)</w:t>
      </w:r>
      <w:r w:rsidR="00494753" w:rsidRPr="005B5460">
        <w:rPr>
          <w:rFonts w:ascii="Times New Roman" w:hAnsi="Times New Roman" w:cs="Times New Roman"/>
        </w:rPr>
        <w:fldChar w:fldCharType="end"/>
      </w:r>
      <w:r w:rsidR="00454C92" w:rsidRPr="005B5460">
        <w:rPr>
          <w:rFonts w:ascii="Times New Roman" w:hAnsi="Times New Roman" w:cs="Times New Roman"/>
        </w:rPr>
        <w:t xml:space="preserve">: </w:t>
      </w:r>
      <w:r w:rsidR="007A5E54" w:rsidRPr="005B5460">
        <w:rPr>
          <w:rFonts w:ascii="Times New Roman" w:hAnsi="Times New Roman" w:cs="Times New Roman"/>
        </w:rPr>
        <w:t>s</w:t>
      </w:r>
      <w:r w:rsidR="00454C92" w:rsidRPr="005B5460">
        <w:rPr>
          <w:rFonts w:ascii="Times New Roman" w:hAnsi="Times New Roman" w:cs="Times New Roman"/>
        </w:rPr>
        <w:t>tudy selection</w:t>
      </w:r>
      <w:r w:rsidR="00DE71F3" w:rsidRPr="005B5460">
        <w:rPr>
          <w:rFonts w:ascii="Times New Roman" w:hAnsi="Times New Roman" w:cs="Times New Roman"/>
        </w:rPr>
        <w:t>;</w:t>
      </w:r>
      <w:r w:rsidR="003C2D39" w:rsidRPr="005B5460">
        <w:rPr>
          <w:rFonts w:ascii="Times New Roman" w:hAnsi="Times New Roman" w:cs="Times New Roman"/>
        </w:rPr>
        <w:t xml:space="preserve"> </w:t>
      </w:r>
      <w:r w:rsidR="00DE71F3" w:rsidRPr="005B5460">
        <w:rPr>
          <w:rFonts w:ascii="Times New Roman" w:hAnsi="Times New Roman" w:cs="Times New Roman"/>
        </w:rPr>
        <w:t>s</w:t>
      </w:r>
      <w:r w:rsidR="00733D32" w:rsidRPr="005B5460">
        <w:rPr>
          <w:rFonts w:ascii="Times New Roman" w:hAnsi="Times New Roman" w:cs="Times New Roman"/>
        </w:rPr>
        <w:t>pecifically, the outcomes chosen were driven by clinical decision making and represent the Author’s experiences in managing clinical outcomes for this complex patient group.</w:t>
      </w:r>
    </w:p>
    <w:p w14:paraId="522AC2AF" w14:textId="10A59E45" w:rsidR="009F7641" w:rsidRPr="005B5460" w:rsidRDefault="009F7641" w:rsidP="009F7641">
      <w:pPr>
        <w:spacing w:line="480" w:lineRule="auto"/>
        <w:rPr>
          <w:rFonts w:ascii="Times New Roman" w:hAnsi="Times New Roman" w:cs="Times New Roman"/>
        </w:rPr>
      </w:pPr>
      <w:r w:rsidRPr="005B5460">
        <w:rPr>
          <w:rFonts w:ascii="Times New Roman" w:hAnsi="Times New Roman" w:cs="Times New Roman"/>
        </w:rPr>
        <w:t>&lt;&lt;</w:t>
      </w:r>
      <w:r w:rsidR="006E7682" w:rsidRPr="005B5460">
        <w:rPr>
          <w:rFonts w:ascii="Times New Roman" w:hAnsi="Times New Roman" w:cs="Times New Roman"/>
        </w:rPr>
        <w:t>Please i</w:t>
      </w:r>
      <w:r w:rsidRPr="005B5460">
        <w:rPr>
          <w:rFonts w:ascii="Times New Roman" w:hAnsi="Times New Roman" w:cs="Times New Roman"/>
        </w:rPr>
        <w:t xml:space="preserve">nsert </w:t>
      </w:r>
      <w:r w:rsidR="006E7682" w:rsidRPr="005B5460">
        <w:rPr>
          <w:rFonts w:ascii="Times New Roman" w:hAnsi="Times New Roman" w:cs="Times New Roman"/>
        </w:rPr>
        <w:t>t</w:t>
      </w:r>
      <w:r w:rsidRPr="005B5460">
        <w:rPr>
          <w:rFonts w:ascii="Times New Roman" w:hAnsi="Times New Roman" w:cs="Times New Roman"/>
        </w:rPr>
        <w:t>able 1</w:t>
      </w:r>
      <w:r w:rsidR="009D4CEE" w:rsidRPr="005B5460">
        <w:rPr>
          <w:rFonts w:ascii="Times New Roman" w:hAnsi="Times New Roman" w:cs="Times New Roman"/>
        </w:rPr>
        <w:t>&gt;&gt;</w:t>
      </w:r>
    </w:p>
    <w:p w14:paraId="547635E6" w14:textId="76CC30EE" w:rsidR="00853ADC" w:rsidRPr="005B5460" w:rsidRDefault="00302D10" w:rsidP="00853ADC">
      <w:pPr>
        <w:spacing w:line="480" w:lineRule="auto"/>
        <w:rPr>
          <w:rFonts w:ascii="Times New Roman" w:hAnsi="Times New Roman" w:cs="Times New Roman"/>
          <w:b/>
          <w:bCs/>
        </w:rPr>
      </w:pPr>
      <w:r w:rsidRPr="005B5460">
        <w:rPr>
          <w:rFonts w:ascii="Times New Roman" w:hAnsi="Times New Roman" w:cs="Times New Roman"/>
        </w:rPr>
        <w:t xml:space="preserve">The following refers to Arksey &amp; O’Malley’s framework for scoping reviews: </w:t>
      </w:r>
      <w:r w:rsidR="007A5E54" w:rsidRPr="005B5460">
        <w:rPr>
          <w:rFonts w:ascii="Times New Roman" w:hAnsi="Times New Roman" w:cs="Times New Roman"/>
        </w:rPr>
        <w:t>i</w:t>
      </w:r>
      <w:r w:rsidRPr="005B5460">
        <w:rPr>
          <w:rFonts w:ascii="Times New Roman" w:hAnsi="Times New Roman" w:cs="Times New Roman"/>
        </w:rPr>
        <w:t>dentifying relevant studies</w:t>
      </w:r>
      <w:r w:rsidR="00494753" w:rsidRPr="005B5460">
        <w:rPr>
          <w:rFonts w:ascii="Times New Roman" w:hAnsi="Times New Roman" w:cs="Times New Roman"/>
        </w:rPr>
        <w:t xml:space="preserve"> </w:t>
      </w:r>
      <w:r w:rsidR="00494753" w:rsidRPr="005B5460">
        <w:rPr>
          <w:rFonts w:ascii="Times New Roman" w:hAnsi="Times New Roman" w:cs="Times New Roman"/>
        </w:rPr>
        <w:fldChar w:fldCharType="begin" w:fldLock="1"/>
      </w:r>
      <w:r w:rsidR="00D25E28" w:rsidRPr="005B5460">
        <w:rPr>
          <w:rFonts w:ascii="Times New Roman" w:hAnsi="Times New Roman" w:cs="Times New Roman"/>
        </w:rPr>
        <w:instrText>ADDIN CSL_CITATION {"citationItems":[{"id":"ITEM-1","itemData":{"DOI":"10.1080/1364557032000119616","ISSN":"1364-5579","abstract":"This paper focuses on scoping studies, an approach to reviewing the literature which to date has received little attention in the research methods literature. We distinguish between different types of scoping studies and indicate where these stand in relation to full systematic reviews. We outline a framework for conducting a scoping study based on our recent experiences of reviewing the literature on services for carers for people with mental health problems. Where appropriate, our approach to scoping the field is contrasted with the procedures followed in systematic reviews. We emphasize how including a consultation exercise in this sort of study may enhance the results, making them more useful to policy makers, practitioners and service users. Finally, we consider the advantages and limitations of the approach and suggest that a wider debate is called for about the role of the scoping study in relation to other types of literature reviews.","author":[{"dropping-particle":"","family":"Arksey","given":"Hilary","non-dropping-particle":"","parse-names":false,"suffix":""},{"dropping-particle":"","family":"O'Malley","given":"Lisa","non-dropping-particle":"","parse-names":false,"suffix":""}],"container-title":"International Journal of Social Research Methodology","id":"ITEM-1","issue":"1","issued":{"date-parts":[["2005","2","1"]]},"note":"doi: 10.1080/1364557032000119616","page":"19-32","publisher":"Routledge","title":"Scoping studies: towards a methodological framework","type":"article-journal","volume":"8"},"uris":["http://www.mendeley.com/documents/?uuid=73a5df73-e7f3-4f21-b699-e70687741455"]}],"mendeley":{"formattedCitation":"(23)","plainTextFormattedCitation":"(23)","previouslyFormattedCitation":"(23)"},"properties":{"noteIndex":0},"schema":"https://github.com/citation-style-language/schema/raw/master/csl-citation.json"}</w:instrText>
      </w:r>
      <w:r w:rsidR="00494753" w:rsidRPr="005B5460">
        <w:rPr>
          <w:rFonts w:ascii="Times New Roman" w:hAnsi="Times New Roman" w:cs="Times New Roman"/>
        </w:rPr>
        <w:fldChar w:fldCharType="separate"/>
      </w:r>
      <w:r w:rsidR="00494753" w:rsidRPr="005B5460">
        <w:rPr>
          <w:rFonts w:ascii="Times New Roman" w:hAnsi="Times New Roman" w:cs="Times New Roman"/>
          <w:noProof/>
        </w:rPr>
        <w:t>(23)</w:t>
      </w:r>
      <w:r w:rsidR="00494753" w:rsidRPr="005B5460">
        <w:rPr>
          <w:rFonts w:ascii="Times New Roman" w:hAnsi="Times New Roman" w:cs="Times New Roman"/>
        </w:rPr>
        <w:fldChar w:fldCharType="end"/>
      </w:r>
      <w:r w:rsidRPr="005B5460">
        <w:rPr>
          <w:rFonts w:ascii="Times New Roman" w:hAnsi="Times New Roman" w:cs="Times New Roman"/>
        </w:rPr>
        <w:t xml:space="preserve">. </w:t>
      </w:r>
      <w:r w:rsidR="00853ADC" w:rsidRPr="005B5460">
        <w:rPr>
          <w:rFonts w:ascii="Times New Roman" w:hAnsi="Times New Roman" w:cs="Times New Roman"/>
        </w:rPr>
        <w:t xml:space="preserve">The European Society for Medical Oncology </w:t>
      </w:r>
      <w:r w:rsidR="00D25E28" w:rsidRPr="005B5460">
        <w:rPr>
          <w:rFonts w:ascii="Times New Roman" w:hAnsi="Times New Roman" w:cs="Times New Roman"/>
        </w:rPr>
        <w:fldChar w:fldCharType="begin" w:fldLock="1"/>
      </w:r>
      <w:r w:rsidR="00D62175" w:rsidRPr="005B5460">
        <w:rPr>
          <w:rFonts w:ascii="Times New Roman" w:hAnsi="Times New Roman" w:cs="Times New Roman"/>
        </w:rPr>
        <w:instrText>ADDIN CSL_CITATION {"citationItems":[{"id":"ITEM-1","itemData":{"DOI":"10.1093/annonc/mdp154","ISSN":"1569-8041 (Electronic)","PMID":"19454435","author":[{"dropping-particle":"","family":"Bielack","given":"S","non-dropping-particle":"","parse-names":false,"suffix":""},{"dropping-particle":"","family":"Carrle","given":"D","non-dropping-particle":"","parse-names":false,"suffix":""},{"dropping-particle":"","family":"Casali","given":"P G","non-dropping-particle":"","parse-names":false,"suffix":""}],"container-title":"Annals of oncology : official journal of the European Society for Medical Oncology","id":"ITEM-1","issued":{"date-parts":[["2009","5"]]},"language":"eng","page":"137-139","publisher-place":"England","title":"Osteosarcoma: ESMO clinical recommendations for diagnosis, treatment and follow-up.","type":"article-journal","volume":"20 Suppl 4"},"uris":["http://www.mendeley.com/documents/?uuid=2fdce99e-32c6-4c29-97bd-3e010474f70a"]}],"mendeley":{"formattedCitation":"(29)","plainTextFormattedCitation":"(29)","previouslyFormattedCitation":"(29)"},"properties":{"noteIndex":0},"schema":"https://github.com/citation-style-language/schema/raw/master/csl-citation.json"}</w:instrText>
      </w:r>
      <w:r w:rsidR="00D25E28" w:rsidRPr="005B5460">
        <w:rPr>
          <w:rFonts w:ascii="Times New Roman" w:hAnsi="Times New Roman" w:cs="Times New Roman"/>
        </w:rPr>
        <w:fldChar w:fldCharType="separate"/>
      </w:r>
      <w:r w:rsidR="00D25E28" w:rsidRPr="005B5460">
        <w:rPr>
          <w:rFonts w:ascii="Times New Roman" w:hAnsi="Times New Roman" w:cs="Times New Roman"/>
          <w:noProof/>
        </w:rPr>
        <w:t>(29)</w:t>
      </w:r>
      <w:r w:rsidR="00D25E28" w:rsidRPr="005B5460">
        <w:rPr>
          <w:rFonts w:ascii="Times New Roman" w:hAnsi="Times New Roman" w:cs="Times New Roman"/>
        </w:rPr>
        <w:fldChar w:fldCharType="end"/>
      </w:r>
      <w:r w:rsidR="00853ADC" w:rsidRPr="005B5460">
        <w:rPr>
          <w:rFonts w:ascii="Times New Roman" w:hAnsi="Times New Roman" w:cs="Times New Roman"/>
        </w:rPr>
        <w:t xml:space="preserve"> osteosarcoma clinical recommendations and guidelines document is recognised in the field of treating sarcoma; therefore, it was identified in this literature review as the standard of care. The guidelines were reviewed and adapted to bone and soft-tissue cancer in 2018 through a partnership between the European Reference Network for Rare Adult Solid Cancers (EURACAN) and the European Reference Network for Paediatric Oncology (</w:t>
      </w:r>
      <w:proofErr w:type="spellStart"/>
      <w:r w:rsidR="00853ADC" w:rsidRPr="005B5460">
        <w:rPr>
          <w:rFonts w:ascii="Times New Roman" w:hAnsi="Times New Roman" w:cs="Times New Roman"/>
        </w:rPr>
        <w:t>PaedCan</w:t>
      </w:r>
      <w:proofErr w:type="spellEnd"/>
      <w:r w:rsidR="00853ADC" w:rsidRPr="005B5460">
        <w:rPr>
          <w:rFonts w:ascii="Times New Roman" w:hAnsi="Times New Roman" w:cs="Times New Roman"/>
        </w:rPr>
        <w:t xml:space="preserve">) and were accepted by the American Society of Clinical Oncology (ASCO). These primary clinical guidelines influenced this </w:t>
      </w:r>
      <w:r w:rsidR="00853ADC" w:rsidRPr="005B5460">
        <w:rPr>
          <w:rFonts w:ascii="Times New Roman" w:hAnsi="Times New Roman" w:cs="Times New Roman"/>
        </w:rPr>
        <w:lastRenderedPageBreak/>
        <w:t xml:space="preserve">literature review by shaping the search strategy to focus on studies published from 2009 onward. </w:t>
      </w:r>
    </w:p>
    <w:p w14:paraId="66525C12" w14:textId="70A9CF4B" w:rsidR="007C6572" w:rsidRPr="005B5460" w:rsidRDefault="007C6572" w:rsidP="007C6572">
      <w:pPr>
        <w:spacing w:line="480" w:lineRule="auto"/>
        <w:rPr>
          <w:rFonts w:ascii="Times New Roman" w:hAnsi="Times New Roman" w:cs="Times New Roman"/>
        </w:rPr>
      </w:pPr>
      <w:r w:rsidRPr="005B5460">
        <w:rPr>
          <w:rFonts w:ascii="Times New Roman" w:hAnsi="Times New Roman" w:cs="Times New Roman"/>
        </w:rPr>
        <w:t>An initial search of</w:t>
      </w:r>
      <w:r w:rsidR="009F7641" w:rsidRPr="005B5460">
        <w:rPr>
          <w:rFonts w:ascii="Times New Roman" w:hAnsi="Times New Roman" w:cs="Times New Roman"/>
        </w:rPr>
        <w:t xml:space="preserve"> the COCHRANE database</w:t>
      </w:r>
      <w:r w:rsidRPr="005B5460">
        <w:rPr>
          <w:rFonts w:ascii="Times New Roman" w:hAnsi="Times New Roman" w:cs="Times New Roman"/>
        </w:rPr>
        <w:t xml:space="preserve"> as a specialist database for high-quality systematic reviews as recommended by </w:t>
      </w:r>
      <w:r w:rsidR="009F7641" w:rsidRPr="005B5460">
        <w:rPr>
          <w:rFonts w:ascii="Times New Roman" w:hAnsi="Times New Roman" w:cs="Times New Roman"/>
        </w:rPr>
        <w:t xml:space="preserve">Aveyard </w:t>
      </w:r>
      <w:r w:rsidR="00D62175" w:rsidRPr="005B5460">
        <w:rPr>
          <w:rFonts w:ascii="Times New Roman" w:hAnsi="Times New Roman" w:cs="Times New Roman"/>
        </w:rPr>
        <w:fldChar w:fldCharType="begin" w:fldLock="1"/>
      </w:r>
      <w:r w:rsidR="00281083" w:rsidRPr="005B5460">
        <w:rPr>
          <w:rFonts w:ascii="Times New Roman" w:hAnsi="Times New Roman" w:cs="Times New Roman"/>
        </w:rPr>
        <w:instrText>ADDIN CSL_CITATION {"citationItems":[{"id":"ITEM-1","itemData":{"DOI":"10.7748/nr.18.4.45.s2","ISSN":"1351-5578 (Print)","PMID":"27712339","abstract":"LITERATURE REVIEWS are an important preliminary step towards a research project or dissertation, as well as being an important source of information in their own right. But despite their value, literature reviews often present a major challenge to students at undergraduate and postgraduate level.","author":[{"dropping-particle":"","family":"Aveyard","given":"Helen","non-dropping-particle":"","parse-names":false,"suffix":""}],"container-title":"Nurse researcher","id":"ITEM-1","issue":"4","issued":{"date-parts":[["2011","7"]]},"language":"eng","page":"45","publisher-place":"England","title":"Doing a Literature Review in Health and Social Care: A Practical Guide","type":"article-journal","volume":"18"},"uris":["http://www.mendeley.com/documents/?uuid=60149b78-a583-48fa-b717-41fe7bd11042"]}],"mendeley":{"formattedCitation":"(30)","plainTextFormattedCitation":"(30)","previouslyFormattedCitation":"(30)"},"properties":{"noteIndex":0},"schema":"https://github.com/citation-style-language/schema/raw/master/csl-citation.json"}</w:instrText>
      </w:r>
      <w:r w:rsidR="00D62175" w:rsidRPr="005B5460">
        <w:rPr>
          <w:rFonts w:ascii="Times New Roman" w:hAnsi="Times New Roman" w:cs="Times New Roman"/>
        </w:rPr>
        <w:fldChar w:fldCharType="separate"/>
      </w:r>
      <w:r w:rsidR="00D62175" w:rsidRPr="005B5460">
        <w:rPr>
          <w:rFonts w:ascii="Times New Roman" w:hAnsi="Times New Roman" w:cs="Times New Roman"/>
          <w:noProof/>
        </w:rPr>
        <w:t>(30)</w:t>
      </w:r>
      <w:r w:rsidR="00D62175" w:rsidRPr="005B5460">
        <w:rPr>
          <w:rFonts w:ascii="Times New Roman" w:hAnsi="Times New Roman" w:cs="Times New Roman"/>
        </w:rPr>
        <w:fldChar w:fldCharType="end"/>
      </w:r>
      <w:r w:rsidRPr="005B5460">
        <w:rPr>
          <w:rFonts w:ascii="Times New Roman" w:hAnsi="Times New Roman" w:cs="Times New Roman"/>
        </w:rPr>
        <w:t>.</w:t>
      </w:r>
      <w:r w:rsidR="00756B80" w:rsidRPr="005B5460">
        <w:rPr>
          <w:rFonts w:ascii="Times New Roman" w:hAnsi="Times New Roman" w:cs="Times New Roman"/>
        </w:rPr>
        <w:t xml:space="preserve"> </w:t>
      </w:r>
      <w:r w:rsidR="009F7641" w:rsidRPr="005B5460">
        <w:rPr>
          <w:rFonts w:ascii="Times New Roman" w:hAnsi="Times New Roman" w:cs="Times New Roman"/>
        </w:rPr>
        <w:t xml:space="preserve">This step was conducted using the search terms, Boolean operators and truncations identified in </w:t>
      </w:r>
      <w:r w:rsidR="006E7682" w:rsidRPr="005B5460">
        <w:rPr>
          <w:rFonts w:ascii="Times New Roman" w:hAnsi="Times New Roman" w:cs="Times New Roman"/>
        </w:rPr>
        <w:t>t</w:t>
      </w:r>
      <w:r w:rsidR="009F7641" w:rsidRPr="005B5460">
        <w:rPr>
          <w:rFonts w:ascii="Times New Roman" w:hAnsi="Times New Roman" w:cs="Times New Roman"/>
        </w:rPr>
        <w:t xml:space="preserve">able 2, which were later used for the other databases. </w:t>
      </w:r>
      <w:r w:rsidRPr="005B5460">
        <w:rPr>
          <w:rFonts w:ascii="Times New Roman" w:hAnsi="Times New Roman" w:cs="Times New Roman"/>
        </w:rPr>
        <w:t>After no matching systematic reviews were found in the COCHRANE database, a literature search was conducted in June 2019 in three databases: MEDLINE, CINAHEL and AMED. Restrictions were applied, such as date, English language articles and full-text access; the search results are recorded in the PRISMA flowchart (</w:t>
      </w:r>
      <w:r w:rsidR="006E7682" w:rsidRPr="005B5460">
        <w:rPr>
          <w:rFonts w:ascii="Times New Roman" w:hAnsi="Times New Roman" w:cs="Times New Roman"/>
        </w:rPr>
        <w:t>f</w:t>
      </w:r>
      <w:r w:rsidRPr="005B5460">
        <w:rPr>
          <w:rFonts w:ascii="Times New Roman" w:hAnsi="Times New Roman" w:cs="Times New Roman"/>
        </w:rPr>
        <w:t xml:space="preserve">igure 1). </w:t>
      </w:r>
      <w:r w:rsidR="00853ADC" w:rsidRPr="005B5460">
        <w:rPr>
          <w:rFonts w:ascii="Times New Roman" w:hAnsi="Times New Roman" w:cs="Times New Roman"/>
        </w:rPr>
        <w:t>A total of 13</w:t>
      </w:r>
      <w:r w:rsidR="009D0EA8" w:rsidRPr="005B5460">
        <w:rPr>
          <w:rFonts w:ascii="Times New Roman" w:hAnsi="Times New Roman" w:cs="Times New Roman"/>
        </w:rPr>
        <w:t>1</w:t>
      </w:r>
      <w:r w:rsidR="00853ADC" w:rsidRPr="005B5460">
        <w:rPr>
          <w:rFonts w:ascii="Times New Roman" w:hAnsi="Times New Roman" w:cs="Times New Roman"/>
        </w:rPr>
        <w:t xml:space="preserve"> articles were returned.</w:t>
      </w:r>
    </w:p>
    <w:p w14:paraId="5A342E00" w14:textId="60E2F7FB" w:rsidR="009D4CEE" w:rsidRPr="005B5460" w:rsidRDefault="009D4CEE" w:rsidP="009F7641">
      <w:pPr>
        <w:spacing w:line="480" w:lineRule="auto"/>
        <w:rPr>
          <w:rFonts w:ascii="Times New Roman" w:hAnsi="Times New Roman" w:cs="Times New Roman"/>
        </w:rPr>
      </w:pPr>
      <w:r w:rsidRPr="005B5460">
        <w:rPr>
          <w:rFonts w:ascii="Times New Roman" w:hAnsi="Times New Roman" w:cs="Times New Roman"/>
        </w:rPr>
        <w:t>&lt;&lt;</w:t>
      </w:r>
      <w:r w:rsidR="006E7682" w:rsidRPr="005B5460">
        <w:rPr>
          <w:rFonts w:ascii="Times New Roman" w:hAnsi="Times New Roman" w:cs="Times New Roman"/>
        </w:rPr>
        <w:t>Please i</w:t>
      </w:r>
      <w:r w:rsidRPr="005B5460">
        <w:rPr>
          <w:rFonts w:ascii="Times New Roman" w:hAnsi="Times New Roman" w:cs="Times New Roman"/>
        </w:rPr>
        <w:t xml:space="preserve">nsert </w:t>
      </w:r>
      <w:r w:rsidR="006E7682" w:rsidRPr="005B5460">
        <w:rPr>
          <w:rFonts w:ascii="Times New Roman" w:hAnsi="Times New Roman" w:cs="Times New Roman"/>
        </w:rPr>
        <w:t>t</w:t>
      </w:r>
      <w:r w:rsidRPr="005B5460">
        <w:rPr>
          <w:rFonts w:ascii="Times New Roman" w:hAnsi="Times New Roman" w:cs="Times New Roman"/>
        </w:rPr>
        <w:t>able 2&gt;&gt;</w:t>
      </w:r>
    </w:p>
    <w:p w14:paraId="43E4D998" w14:textId="1D0299E1" w:rsidR="007544D4" w:rsidRPr="005B5460" w:rsidRDefault="007544D4" w:rsidP="007544D4">
      <w:pPr>
        <w:spacing w:line="480" w:lineRule="auto"/>
        <w:rPr>
          <w:rFonts w:ascii="Times New Roman" w:hAnsi="Times New Roman" w:cs="Times New Roman"/>
        </w:rPr>
      </w:pPr>
      <w:r w:rsidRPr="005B5460">
        <w:rPr>
          <w:rFonts w:ascii="Times New Roman" w:hAnsi="Times New Roman" w:cs="Times New Roman"/>
        </w:rPr>
        <w:t>&lt;&lt;</w:t>
      </w:r>
      <w:r w:rsidR="006E7682" w:rsidRPr="005B5460">
        <w:rPr>
          <w:rFonts w:ascii="Times New Roman" w:hAnsi="Times New Roman" w:cs="Times New Roman"/>
        </w:rPr>
        <w:t>Please i</w:t>
      </w:r>
      <w:r w:rsidRPr="005B5460">
        <w:rPr>
          <w:rFonts w:ascii="Times New Roman" w:hAnsi="Times New Roman" w:cs="Times New Roman"/>
        </w:rPr>
        <w:t xml:space="preserve">nsert </w:t>
      </w:r>
      <w:r w:rsidR="006E7682" w:rsidRPr="005B5460">
        <w:rPr>
          <w:rFonts w:ascii="Times New Roman" w:hAnsi="Times New Roman" w:cs="Times New Roman"/>
        </w:rPr>
        <w:t>f</w:t>
      </w:r>
      <w:r w:rsidRPr="005B5460">
        <w:rPr>
          <w:rFonts w:ascii="Times New Roman" w:hAnsi="Times New Roman" w:cs="Times New Roman"/>
        </w:rPr>
        <w:t>igure 1&gt;&gt;</w:t>
      </w:r>
    </w:p>
    <w:p w14:paraId="65BF6E9B" w14:textId="2E9B77BF" w:rsidR="009F7641" w:rsidRPr="005B5460" w:rsidRDefault="00853ADC" w:rsidP="009F7641">
      <w:pPr>
        <w:spacing w:line="480" w:lineRule="auto"/>
        <w:rPr>
          <w:rFonts w:ascii="Times New Roman" w:hAnsi="Times New Roman" w:cs="Times New Roman"/>
          <w:strike/>
        </w:rPr>
      </w:pPr>
      <w:r w:rsidRPr="005B5460">
        <w:rPr>
          <w:rFonts w:ascii="Times New Roman" w:hAnsi="Times New Roman" w:cs="Times New Roman"/>
        </w:rPr>
        <w:t>All</w:t>
      </w:r>
      <w:r w:rsidR="009F7641" w:rsidRPr="005B5460">
        <w:rPr>
          <w:rFonts w:ascii="Times New Roman" w:hAnsi="Times New Roman" w:cs="Times New Roman"/>
        </w:rPr>
        <w:t xml:space="preserve"> duplicates</w:t>
      </w:r>
      <w:r w:rsidRPr="005B5460">
        <w:rPr>
          <w:rFonts w:ascii="Times New Roman" w:hAnsi="Times New Roman" w:cs="Times New Roman"/>
        </w:rPr>
        <w:t xml:space="preserve"> were removed (N=77),</w:t>
      </w:r>
      <w:r w:rsidR="009F7641" w:rsidRPr="005B5460">
        <w:rPr>
          <w:rFonts w:ascii="Times New Roman" w:hAnsi="Times New Roman" w:cs="Times New Roman"/>
        </w:rPr>
        <w:t xml:space="preserve"> </w:t>
      </w:r>
      <w:r w:rsidRPr="005B5460">
        <w:rPr>
          <w:rFonts w:ascii="Times New Roman" w:hAnsi="Times New Roman" w:cs="Times New Roman"/>
        </w:rPr>
        <w:t>and</w:t>
      </w:r>
      <w:r w:rsidR="009F7641" w:rsidRPr="005B5460">
        <w:rPr>
          <w:rFonts w:ascii="Times New Roman" w:hAnsi="Times New Roman" w:cs="Times New Roman"/>
        </w:rPr>
        <w:t xml:space="preserve"> inclusion and exclusion criteria </w:t>
      </w:r>
      <w:r w:rsidR="008C3F86" w:rsidRPr="005B5460">
        <w:rPr>
          <w:rFonts w:ascii="Times New Roman" w:hAnsi="Times New Roman" w:cs="Times New Roman"/>
        </w:rPr>
        <w:t xml:space="preserve">in </w:t>
      </w:r>
      <w:r w:rsidR="006E7682" w:rsidRPr="005B5460">
        <w:rPr>
          <w:rFonts w:ascii="Times New Roman" w:hAnsi="Times New Roman" w:cs="Times New Roman"/>
        </w:rPr>
        <w:t>t</w:t>
      </w:r>
      <w:r w:rsidR="008C3F86" w:rsidRPr="005B5460">
        <w:rPr>
          <w:rFonts w:ascii="Times New Roman" w:hAnsi="Times New Roman" w:cs="Times New Roman"/>
        </w:rPr>
        <w:t xml:space="preserve">able 3 </w:t>
      </w:r>
      <w:r w:rsidR="009F7641" w:rsidRPr="005B5460">
        <w:rPr>
          <w:rFonts w:ascii="Times New Roman" w:hAnsi="Times New Roman" w:cs="Times New Roman"/>
        </w:rPr>
        <w:t>were applied</w:t>
      </w:r>
      <w:r w:rsidR="008C3F86" w:rsidRPr="005B5460">
        <w:rPr>
          <w:rFonts w:ascii="Times New Roman" w:hAnsi="Times New Roman" w:cs="Times New Roman"/>
        </w:rPr>
        <w:t xml:space="preserve"> on the remaining 5</w:t>
      </w:r>
      <w:r w:rsidR="009D0EA8" w:rsidRPr="005B5460">
        <w:rPr>
          <w:rFonts w:ascii="Times New Roman" w:hAnsi="Times New Roman" w:cs="Times New Roman"/>
        </w:rPr>
        <w:t>4</w:t>
      </w:r>
      <w:r w:rsidR="008C3F86" w:rsidRPr="005B5460">
        <w:rPr>
          <w:rFonts w:ascii="Times New Roman" w:hAnsi="Times New Roman" w:cs="Times New Roman"/>
        </w:rPr>
        <w:t xml:space="preserve"> articles</w:t>
      </w:r>
      <w:r w:rsidR="009F7641" w:rsidRPr="005B5460">
        <w:rPr>
          <w:rFonts w:ascii="Times New Roman" w:hAnsi="Times New Roman" w:cs="Times New Roman"/>
        </w:rPr>
        <w:t xml:space="preserve">, </w:t>
      </w:r>
      <w:r w:rsidRPr="005B5460">
        <w:rPr>
          <w:rFonts w:ascii="Times New Roman" w:hAnsi="Times New Roman" w:cs="Times New Roman"/>
        </w:rPr>
        <w:t>providing</w:t>
      </w:r>
      <w:r w:rsidR="009F7641" w:rsidRPr="005B5460">
        <w:rPr>
          <w:rFonts w:ascii="Times New Roman" w:hAnsi="Times New Roman" w:cs="Times New Roman"/>
        </w:rPr>
        <w:t xml:space="preserve"> the relevant studies. The abstracts were reviewed</w:t>
      </w:r>
      <w:r w:rsidRPr="005B5460">
        <w:rPr>
          <w:rFonts w:ascii="Times New Roman" w:hAnsi="Times New Roman" w:cs="Times New Roman"/>
        </w:rPr>
        <w:t xml:space="preserve"> by </w:t>
      </w:r>
      <w:r w:rsidR="0052631A" w:rsidRPr="005B5460">
        <w:rPr>
          <w:rFonts w:ascii="Times New Roman" w:hAnsi="Times New Roman" w:cs="Times New Roman"/>
        </w:rPr>
        <w:t>an</w:t>
      </w:r>
      <w:r w:rsidRPr="005B5460">
        <w:rPr>
          <w:rFonts w:ascii="Times New Roman" w:hAnsi="Times New Roman" w:cs="Times New Roman"/>
        </w:rPr>
        <w:t xml:space="preserve"> Author [</w:t>
      </w:r>
      <w:r w:rsidR="00CA6401" w:rsidRPr="005B5460">
        <w:rPr>
          <w:rFonts w:ascii="Times New Roman" w:hAnsi="Times New Roman" w:cs="Times New Roman"/>
        </w:rPr>
        <w:t>BLI</w:t>
      </w:r>
      <w:r w:rsidR="008E66CB" w:rsidRPr="005B5460">
        <w:rPr>
          <w:rFonts w:ascii="Times New Roman" w:hAnsi="Times New Roman" w:cs="Times New Roman"/>
        </w:rPr>
        <w:t>ND</w:t>
      </w:r>
      <w:r w:rsidRPr="005B5460">
        <w:rPr>
          <w:rFonts w:ascii="Times New Roman" w:hAnsi="Times New Roman" w:cs="Times New Roman"/>
        </w:rPr>
        <w:t>]</w:t>
      </w:r>
      <w:r w:rsidR="00547746" w:rsidRPr="005B5460">
        <w:rPr>
          <w:rFonts w:ascii="Times New Roman" w:hAnsi="Times New Roman" w:cs="Times New Roman"/>
        </w:rPr>
        <w:t>, whereupon 30 were excluded.</w:t>
      </w:r>
      <w:r w:rsidR="009F7641" w:rsidRPr="005B5460">
        <w:rPr>
          <w:rFonts w:ascii="Times New Roman" w:hAnsi="Times New Roman" w:cs="Times New Roman"/>
        </w:rPr>
        <w:t xml:space="preserve"> </w:t>
      </w:r>
      <w:r w:rsidR="00C1213D" w:rsidRPr="005B5460">
        <w:rPr>
          <w:rFonts w:ascii="Times New Roman" w:hAnsi="Times New Roman" w:cs="Times New Roman"/>
        </w:rPr>
        <w:t>Full-text versions of t</w:t>
      </w:r>
      <w:r w:rsidR="00547746" w:rsidRPr="005B5460">
        <w:rPr>
          <w:rFonts w:ascii="Times New Roman" w:hAnsi="Times New Roman" w:cs="Times New Roman"/>
        </w:rPr>
        <w:t>he remaining 2</w:t>
      </w:r>
      <w:r w:rsidR="009D0EA8" w:rsidRPr="005B5460">
        <w:rPr>
          <w:rFonts w:ascii="Times New Roman" w:hAnsi="Times New Roman" w:cs="Times New Roman"/>
        </w:rPr>
        <w:t>4</w:t>
      </w:r>
      <w:r w:rsidR="00547746" w:rsidRPr="005B5460">
        <w:rPr>
          <w:rFonts w:ascii="Times New Roman" w:hAnsi="Times New Roman" w:cs="Times New Roman"/>
        </w:rPr>
        <w:t xml:space="preserve"> </w:t>
      </w:r>
      <w:r w:rsidR="009F7641" w:rsidRPr="005B5460">
        <w:rPr>
          <w:rFonts w:ascii="Times New Roman" w:hAnsi="Times New Roman" w:cs="Times New Roman"/>
        </w:rPr>
        <w:t xml:space="preserve">articles were </w:t>
      </w:r>
      <w:r w:rsidR="008C3F86" w:rsidRPr="005B5460">
        <w:rPr>
          <w:rFonts w:ascii="Times New Roman" w:hAnsi="Times New Roman" w:cs="Times New Roman"/>
        </w:rPr>
        <w:t>re-</w:t>
      </w:r>
      <w:r w:rsidR="009F7641" w:rsidRPr="005B5460">
        <w:rPr>
          <w:rFonts w:ascii="Times New Roman" w:hAnsi="Times New Roman" w:cs="Times New Roman"/>
        </w:rPr>
        <w:t xml:space="preserve">assessed against </w:t>
      </w:r>
      <w:r w:rsidR="008C3F86" w:rsidRPr="005B5460">
        <w:rPr>
          <w:rFonts w:ascii="Times New Roman" w:hAnsi="Times New Roman" w:cs="Times New Roman"/>
        </w:rPr>
        <w:t xml:space="preserve">the </w:t>
      </w:r>
      <w:r w:rsidR="009F7641" w:rsidRPr="005B5460">
        <w:rPr>
          <w:rFonts w:ascii="Times New Roman" w:hAnsi="Times New Roman" w:cs="Times New Roman"/>
        </w:rPr>
        <w:t xml:space="preserve">inclusion/exclusion criteria. </w:t>
      </w:r>
      <w:proofErr w:type="spellStart"/>
      <w:r w:rsidR="009D0EA8" w:rsidRPr="005B5460">
        <w:rPr>
          <w:rFonts w:ascii="Times New Roman" w:hAnsi="Times New Roman" w:cs="Times New Roman"/>
        </w:rPr>
        <w:t>Twleve</w:t>
      </w:r>
      <w:proofErr w:type="spellEnd"/>
      <w:r w:rsidR="00680968" w:rsidRPr="005B5460">
        <w:rPr>
          <w:rFonts w:ascii="Times New Roman" w:hAnsi="Times New Roman" w:cs="Times New Roman"/>
        </w:rPr>
        <w:t xml:space="preserve"> a</w:t>
      </w:r>
      <w:r w:rsidR="009F7641" w:rsidRPr="005B5460">
        <w:rPr>
          <w:rFonts w:ascii="Times New Roman" w:hAnsi="Times New Roman" w:cs="Times New Roman"/>
        </w:rPr>
        <w:t xml:space="preserve">rticles were </w:t>
      </w:r>
      <w:r w:rsidR="00680968" w:rsidRPr="005B5460">
        <w:rPr>
          <w:rFonts w:ascii="Times New Roman" w:hAnsi="Times New Roman" w:cs="Times New Roman"/>
        </w:rPr>
        <w:t xml:space="preserve">finally </w:t>
      </w:r>
      <w:r w:rsidR="009F7641" w:rsidRPr="005B5460">
        <w:rPr>
          <w:rFonts w:ascii="Times New Roman" w:hAnsi="Times New Roman" w:cs="Times New Roman"/>
        </w:rPr>
        <w:t>excluded</w:t>
      </w:r>
      <w:r w:rsidR="00547746" w:rsidRPr="005B5460">
        <w:rPr>
          <w:rFonts w:ascii="Times New Roman" w:hAnsi="Times New Roman" w:cs="Times New Roman"/>
        </w:rPr>
        <w:t xml:space="preserve"> </w:t>
      </w:r>
      <w:r w:rsidR="00B34AF6" w:rsidRPr="005B5460">
        <w:rPr>
          <w:rFonts w:ascii="Times New Roman" w:hAnsi="Times New Roman" w:cs="Times New Roman"/>
        </w:rPr>
        <w:t xml:space="preserve">for three main </w:t>
      </w:r>
      <w:proofErr w:type="gramStart"/>
      <w:r w:rsidR="00B34AF6" w:rsidRPr="005B5460">
        <w:rPr>
          <w:rFonts w:ascii="Times New Roman" w:hAnsi="Times New Roman" w:cs="Times New Roman"/>
        </w:rPr>
        <w:t xml:space="preserve">reasons;  </w:t>
      </w:r>
      <w:r w:rsidR="00E31DE9" w:rsidRPr="005B5460">
        <w:rPr>
          <w:rFonts w:ascii="Times New Roman" w:hAnsi="Times New Roman" w:cs="Times New Roman"/>
        </w:rPr>
        <w:t>1</w:t>
      </w:r>
      <w:proofErr w:type="gramEnd"/>
      <w:r w:rsidR="00E31DE9" w:rsidRPr="005B5460">
        <w:rPr>
          <w:rFonts w:ascii="Times New Roman" w:hAnsi="Times New Roman" w:cs="Times New Roman"/>
        </w:rPr>
        <w:t>) i</w:t>
      </w:r>
      <w:r w:rsidR="008C3F86" w:rsidRPr="005B5460">
        <w:rPr>
          <w:rFonts w:ascii="Times New Roman" w:hAnsi="Times New Roman" w:cs="Times New Roman"/>
        </w:rPr>
        <w:t xml:space="preserve">rrelevant intervention or insufficient outcome measures, </w:t>
      </w:r>
      <w:r w:rsidR="00614188" w:rsidRPr="005B5460">
        <w:rPr>
          <w:rFonts w:ascii="Times New Roman" w:hAnsi="Times New Roman" w:cs="Times New Roman"/>
        </w:rPr>
        <w:t xml:space="preserve">and </w:t>
      </w:r>
      <w:r w:rsidR="00E31DE9" w:rsidRPr="005B5460">
        <w:rPr>
          <w:rFonts w:ascii="Times New Roman" w:hAnsi="Times New Roman" w:cs="Times New Roman"/>
        </w:rPr>
        <w:t xml:space="preserve">2) </w:t>
      </w:r>
      <w:r w:rsidR="008C3F86" w:rsidRPr="005B5460">
        <w:rPr>
          <w:rFonts w:ascii="Times New Roman" w:hAnsi="Times New Roman" w:cs="Times New Roman"/>
        </w:rPr>
        <w:t>outcome content did not match the scope of this review</w:t>
      </w:r>
      <w:r w:rsidR="00D706CE" w:rsidRPr="005B5460">
        <w:rPr>
          <w:rFonts w:ascii="Times New Roman" w:hAnsi="Times New Roman" w:cs="Times New Roman"/>
        </w:rPr>
        <w:t>.</w:t>
      </w:r>
      <w:r w:rsidR="008C3F86" w:rsidRPr="005B5460">
        <w:rPr>
          <w:rFonts w:ascii="Times New Roman" w:hAnsi="Times New Roman" w:cs="Times New Roman"/>
        </w:rPr>
        <w:t xml:space="preserve"> </w:t>
      </w:r>
    </w:p>
    <w:p w14:paraId="7D9247BA" w14:textId="2D373C2E" w:rsidR="009D4CEE" w:rsidRPr="005B5460" w:rsidRDefault="009D4CEE" w:rsidP="009F7641">
      <w:pPr>
        <w:spacing w:line="480" w:lineRule="auto"/>
        <w:rPr>
          <w:rFonts w:ascii="Times New Roman" w:hAnsi="Times New Roman" w:cs="Times New Roman"/>
        </w:rPr>
      </w:pPr>
      <w:r w:rsidRPr="005B5460">
        <w:rPr>
          <w:rFonts w:ascii="Times New Roman" w:hAnsi="Times New Roman" w:cs="Times New Roman"/>
        </w:rPr>
        <w:t>&lt;&lt;</w:t>
      </w:r>
      <w:r w:rsidR="006E7682" w:rsidRPr="005B5460">
        <w:rPr>
          <w:rFonts w:ascii="Times New Roman" w:hAnsi="Times New Roman" w:cs="Times New Roman"/>
        </w:rPr>
        <w:t>Please i</w:t>
      </w:r>
      <w:r w:rsidRPr="005B5460">
        <w:rPr>
          <w:rFonts w:ascii="Times New Roman" w:hAnsi="Times New Roman" w:cs="Times New Roman"/>
        </w:rPr>
        <w:t xml:space="preserve">nsert </w:t>
      </w:r>
      <w:r w:rsidR="006E7682" w:rsidRPr="005B5460">
        <w:rPr>
          <w:rFonts w:ascii="Times New Roman" w:hAnsi="Times New Roman" w:cs="Times New Roman"/>
        </w:rPr>
        <w:t>t</w:t>
      </w:r>
      <w:r w:rsidRPr="005B5460">
        <w:rPr>
          <w:rFonts w:ascii="Times New Roman" w:hAnsi="Times New Roman" w:cs="Times New Roman"/>
        </w:rPr>
        <w:t>able 3&gt;&gt;</w:t>
      </w:r>
    </w:p>
    <w:p w14:paraId="496094A2" w14:textId="0AA8E078" w:rsidR="009F7641" w:rsidRPr="005B5460" w:rsidRDefault="009F7641" w:rsidP="009F7641">
      <w:pPr>
        <w:spacing w:line="480" w:lineRule="auto"/>
        <w:rPr>
          <w:rFonts w:ascii="Times New Roman" w:hAnsi="Times New Roman" w:cs="Times New Roman"/>
        </w:rPr>
      </w:pPr>
      <w:r w:rsidRPr="005B5460">
        <w:rPr>
          <w:rFonts w:ascii="Times New Roman" w:hAnsi="Times New Roman" w:cs="Times New Roman"/>
        </w:rPr>
        <w:t xml:space="preserve">The remaining </w:t>
      </w:r>
      <w:r w:rsidR="009D0EA8" w:rsidRPr="005B5460">
        <w:rPr>
          <w:rFonts w:ascii="Times New Roman" w:hAnsi="Times New Roman" w:cs="Times New Roman"/>
        </w:rPr>
        <w:t>12</w:t>
      </w:r>
      <w:r w:rsidR="00246071" w:rsidRPr="005B5460">
        <w:rPr>
          <w:rFonts w:ascii="Times New Roman" w:hAnsi="Times New Roman" w:cs="Times New Roman"/>
        </w:rPr>
        <w:t xml:space="preserve"> </w:t>
      </w:r>
      <w:r w:rsidRPr="005B5460">
        <w:rPr>
          <w:rFonts w:ascii="Times New Roman" w:hAnsi="Times New Roman" w:cs="Times New Roman"/>
        </w:rPr>
        <w:t xml:space="preserve">articles were </w:t>
      </w:r>
      <w:r w:rsidR="00547746" w:rsidRPr="005B5460">
        <w:rPr>
          <w:rFonts w:ascii="Times New Roman" w:hAnsi="Times New Roman" w:cs="Times New Roman"/>
        </w:rPr>
        <w:t>included in the</w:t>
      </w:r>
      <w:r w:rsidR="006E7682" w:rsidRPr="005B5460">
        <w:rPr>
          <w:rFonts w:ascii="Times New Roman" w:hAnsi="Times New Roman" w:cs="Times New Roman"/>
        </w:rPr>
        <w:t xml:space="preserve"> </w:t>
      </w:r>
      <w:r w:rsidR="00547746" w:rsidRPr="005B5460">
        <w:rPr>
          <w:rFonts w:ascii="Times New Roman" w:hAnsi="Times New Roman" w:cs="Times New Roman"/>
        </w:rPr>
        <w:t>review</w:t>
      </w:r>
      <w:r w:rsidR="00011435" w:rsidRPr="005B5460">
        <w:rPr>
          <w:rFonts w:ascii="Times New Roman" w:hAnsi="Times New Roman" w:cs="Times New Roman"/>
        </w:rPr>
        <w:t xml:space="preserve">. </w:t>
      </w:r>
      <w:r w:rsidRPr="005B5460">
        <w:rPr>
          <w:rFonts w:ascii="Times New Roman" w:hAnsi="Times New Roman" w:cs="Times New Roman"/>
        </w:rPr>
        <w:t xml:space="preserve">The included articles were mostly observational and longitudinal studies due to the </w:t>
      </w:r>
      <w:r w:rsidR="00F84B28" w:rsidRPr="005B5460">
        <w:rPr>
          <w:rFonts w:ascii="Times New Roman" w:hAnsi="Times New Roman" w:cs="Times New Roman"/>
        </w:rPr>
        <w:t>rarity of this condition</w:t>
      </w:r>
      <w:r w:rsidRPr="005B5460">
        <w:rPr>
          <w:rFonts w:ascii="Times New Roman" w:hAnsi="Times New Roman" w:cs="Times New Roman"/>
        </w:rPr>
        <w:t xml:space="preserve">. Due to the variability of the </w:t>
      </w:r>
      <w:r w:rsidR="00624DE4" w:rsidRPr="005B5460">
        <w:rPr>
          <w:rFonts w:ascii="Times New Roman" w:hAnsi="Times New Roman" w:cs="Times New Roman"/>
        </w:rPr>
        <w:t>methods used in the included studies</w:t>
      </w:r>
      <w:r w:rsidRPr="005B5460">
        <w:rPr>
          <w:rFonts w:ascii="Times New Roman" w:hAnsi="Times New Roman" w:cs="Times New Roman"/>
        </w:rPr>
        <w:t xml:space="preserve">, </w:t>
      </w:r>
      <w:r w:rsidR="00CE7F5E" w:rsidRPr="005B5460">
        <w:rPr>
          <w:rFonts w:ascii="Times New Roman" w:hAnsi="Times New Roman" w:cs="Times New Roman"/>
        </w:rPr>
        <w:t>t</w:t>
      </w:r>
      <w:r w:rsidRPr="005B5460">
        <w:rPr>
          <w:rFonts w:ascii="Times New Roman" w:hAnsi="Times New Roman" w:cs="Times New Roman"/>
        </w:rPr>
        <w:t xml:space="preserve">he CASP tool </w:t>
      </w:r>
      <w:r w:rsidR="00011435" w:rsidRPr="005B5460">
        <w:rPr>
          <w:rFonts w:ascii="Times New Roman" w:hAnsi="Times New Roman" w:cs="Times New Roman"/>
        </w:rPr>
        <w:t xml:space="preserve">was used </w:t>
      </w:r>
      <w:r w:rsidRPr="005B5460">
        <w:rPr>
          <w:rFonts w:ascii="Times New Roman" w:hAnsi="Times New Roman" w:cs="Times New Roman"/>
        </w:rPr>
        <w:t xml:space="preserve">for cohort and case–control studies </w:t>
      </w:r>
      <w:r w:rsidR="00281083" w:rsidRPr="005B5460">
        <w:rPr>
          <w:rFonts w:ascii="Times New Roman" w:hAnsi="Times New Roman" w:cs="Times New Roman"/>
        </w:rPr>
        <w:fldChar w:fldCharType="begin" w:fldLock="1"/>
      </w:r>
      <w:r w:rsidR="00970B78" w:rsidRPr="005B5460">
        <w:rPr>
          <w:rFonts w:ascii="Times New Roman" w:hAnsi="Times New Roman" w:cs="Times New Roman"/>
        </w:rPr>
        <w:instrText>ADDIN CSL_CITATION {"citationItems":[{"id":"ITEM-1","itemData":{"id":"ITEM-1","issued":{"date-parts":[["2019"]]},"title":"CASP Checklists - CASP - critical appraisal skills programme","type":"webpage"},"uris":["http://www.mendeley.com/documents/?uuid=321e8474-da17-4437-97b9-cf2843610ad9"]}],"mendeley":{"formattedCitation":"(31)","plainTextFormattedCitation":"(31)","previouslyFormattedCitation":"(31)"},"properties":{"noteIndex":0},"schema":"https://github.com/citation-style-language/schema/raw/master/csl-citation.json"}</w:instrText>
      </w:r>
      <w:r w:rsidR="00281083" w:rsidRPr="005B5460">
        <w:rPr>
          <w:rFonts w:ascii="Times New Roman" w:hAnsi="Times New Roman" w:cs="Times New Roman"/>
        </w:rPr>
        <w:fldChar w:fldCharType="separate"/>
      </w:r>
      <w:r w:rsidR="00281083" w:rsidRPr="005B5460">
        <w:rPr>
          <w:rFonts w:ascii="Times New Roman" w:hAnsi="Times New Roman" w:cs="Times New Roman"/>
          <w:noProof/>
        </w:rPr>
        <w:t>(31)</w:t>
      </w:r>
      <w:r w:rsidR="00281083" w:rsidRPr="005B5460">
        <w:rPr>
          <w:rFonts w:ascii="Times New Roman" w:hAnsi="Times New Roman" w:cs="Times New Roman"/>
        </w:rPr>
        <w:fldChar w:fldCharType="end"/>
      </w:r>
      <w:r w:rsidRPr="005B5460">
        <w:rPr>
          <w:rFonts w:ascii="Times New Roman" w:hAnsi="Times New Roman" w:cs="Times New Roman"/>
        </w:rPr>
        <w:t xml:space="preserve"> and the JBI Critical Appraisal Checklist</w:t>
      </w:r>
      <w:r w:rsidR="00011435" w:rsidRPr="005B5460">
        <w:rPr>
          <w:rFonts w:ascii="Times New Roman" w:hAnsi="Times New Roman" w:cs="Times New Roman"/>
        </w:rPr>
        <w:t xml:space="preserve"> was used</w:t>
      </w:r>
      <w:r w:rsidRPr="005B5460">
        <w:rPr>
          <w:rFonts w:ascii="Times New Roman" w:hAnsi="Times New Roman" w:cs="Times New Roman"/>
        </w:rPr>
        <w:t xml:space="preserve"> for cross-sectional studies and case series </w:t>
      </w:r>
      <w:r w:rsidR="00970B78" w:rsidRPr="005B5460">
        <w:rPr>
          <w:rFonts w:ascii="Times New Roman" w:hAnsi="Times New Roman" w:cs="Times New Roman"/>
        </w:rPr>
        <w:fldChar w:fldCharType="begin" w:fldLock="1"/>
      </w:r>
      <w:r w:rsidR="005C12DF" w:rsidRPr="005B5460">
        <w:rPr>
          <w:rFonts w:ascii="Times New Roman" w:hAnsi="Times New Roman" w:cs="Times New Roman"/>
        </w:rPr>
        <w:instrText>ADDIN CSL_CITATION {"citationItems":[{"id":"ITEM-1","itemData":{"container-title":"Joanna Briggs Institute","id":"ITEM-1","issued":{"date-parts":[["2020"]]},"title":"Critical Appraisal Tools","type":"webpage"},"uris":["http://www.mendeley.com/documents/?uuid=b3972694-fa4f-4dbe-a132-17aa9c96a5e5"]}],"mendeley":{"formattedCitation":"(32)","plainTextFormattedCitation":"(32)","previouslyFormattedCitation":"(32)"},"properties":{"noteIndex":0},"schema":"https://github.com/citation-style-language/schema/raw/master/csl-citation.json"}</w:instrText>
      </w:r>
      <w:r w:rsidR="00970B78" w:rsidRPr="005B5460">
        <w:rPr>
          <w:rFonts w:ascii="Times New Roman" w:hAnsi="Times New Roman" w:cs="Times New Roman"/>
        </w:rPr>
        <w:fldChar w:fldCharType="separate"/>
      </w:r>
      <w:r w:rsidR="00970B78" w:rsidRPr="005B5460">
        <w:rPr>
          <w:rFonts w:ascii="Times New Roman" w:hAnsi="Times New Roman" w:cs="Times New Roman"/>
          <w:noProof/>
        </w:rPr>
        <w:t>(32)</w:t>
      </w:r>
      <w:r w:rsidR="00970B78" w:rsidRPr="005B5460">
        <w:rPr>
          <w:rFonts w:ascii="Times New Roman" w:hAnsi="Times New Roman" w:cs="Times New Roman"/>
        </w:rPr>
        <w:fldChar w:fldCharType="end"/>
      </w:r>
      <w:r w:rsidR="00011435" w:rsidRPr="005B5460">
        <w:rPr>
          <w:rFonts w:ascii="Times New Roman" w:hAnsi="Times New Roman" w:cs="Times New Roman"/>
        </w:rPr>
        <w:t xml:space="preserve">. These </w:t>
      </w:r>
      <w:r w:rsidRPr="005B5460">
        <w:rPr>
          <w:rFonts w:ascii="Times New Roman" w:hAnsi="Times New Roman" w:cs="Times New Roman"/>
        </w:rPr>
        <w:t>are valid</w:t>
      </w:r>
      <w:r w:rsidR="00011435" w:rsidRPr="005B5460">
        <w:rPr>
          <w:rFonts w:ascii="Times New Roman" w:hAnsi="Times New Roman" w:cs="Times New Roman"/>
        </w:rPr>
        <w:t>,</w:t>
      </w:r>
      <w:r w:rsidRPr="005B5460">
        <w:rPr>
          <w:rFonts w:ascii="Times New Roman" w:hAnsi="Times New Roman" w:cs="Times New Roman"/>
        </w:rPr>
        <w:t xml:space="preserve"> critical appraisal tools</w:t>
      </w:r>
      <w:r w:rsidR="00011435" w:rsidRPr="005B5460">
        <w:rPr>
          <w:rFonts w:ascii="Times New Roman" w:hAnsi="Times New Roman" w:cs="Times New Roman"/>
        </w:rPr>
        <w:t xml:space="preserve">, </w:t>
      </w:r>
      <w:r w:rsidRPr="005B5460">
        <w:rPr>
          <w:rFonts w:ascii="Times New Roman" w:hAnsi="Times New Roman" w:cs="Times New Roman"/>
        </w:rPr>
        <w:t xml:space="preserve">and are recommended by National Institute for Health and Care Excellence </w:t>
      </w:r>
      <w:r w:rsidR="005C12DF" w:rsidRPr="005B5460">
        <w:rPr>
          <w:rFonts w:ascii="Times New Roman" w:hAnsi="Times New Roman" w:cs="Times New Roman"/>
        </w:rPr>
        <w:fldChar w:fldCharType="begin" w:fldLock="1"/>
      </w:r>
      <w:r w:rsidR="007C3999" w:rsidRPr="005B5460">
        <w:rPr>
          <w:rFonts w:ascii="Times New Roman" w:hAnsi="Times New Roman" w:cs="Times New Roman"/>
        </w:rPr>
        <w:instrText>ADDIN CSL_CITATION {"citationItems":[{"id":"ITEM-1","itemData":{"URL":"https://www.nice.org.uk/process/pmg20/resources","accessed":{"date-parts":[["2020","12","15"]]},"container-title":"National Institute for Health and Care Excellence","id":"ITEM-1","issued":{"date-parts":[["2020"]]},"title":"Developing NICE Guidelines: Tools &amp; resources","type":"webpage"},"uris":["http://www.mendeley.com/documents/?uuid=49f8a204-c578-4d83-b63e-407682de292f"]}],"mendeley":{"formattedCitation":"(33)","plainTextFormattedCitation":"(33)","previouslyFormattedCitation":"(33)"},"properties":{"noteIndex":0},"schema":"https://github.com/citation-style-language/schema/raw/master/csl-citation.json"}</w:instrText>
      </w:r>
      <w:r w:rsidR="005C12DF" w:rsidRPr="005B5460">
        <w:rPr>
          <w:rFonts w:ascii="Times New Roman" w:hAnsi="Times New Roman" w:cs="Times New Roman"/>
        </w:rPr>
        <w:fldChar w:fldCharType="separate"/>
      </w:r>
      <w:r w:rsidR="005C12DF" w:rsidRPr="005B5460">
        <w:rPr>
          <w:rFonts w:ascii="Times New Roman" w:hAnsi="Times New Roman" w:cs="Times New Roman"/>
          <w:noProof/>
        </w:rPr>
        <w:t>(33)</w:t>
      </w:r>
      <w:r w:rsidR="005C12DF" w:rsidRPr="005B5460">
        <w:rPr>
          <w:rFonts w:ascii="Times New Roman" w:hAnsi="Times New Roman" w:cs="Times New Roman"/>
        </w:rPr>
        <w:fldChar w:fldCharType="end"/>
      </w:r>
      <w:r w:rsidRPr="005B5460">
        <w:rPr>
          <w:rFonts w:ascii="Times New Roman" w:hAnsi="Times New Roman" w:cs="Times New Roman"/>
        </w:rPr>
        <w:t xml:space="preserve"> and Sanderson et al</w:t>
      </w:r>
      <w:r w:rsidR="00011435" w:rsidRPr="005B5460">
        <w:rPr>
          <w:rFonts w:ascii="Times New Roman" w:hAnsi="Times New Roman" w:cs="Times New Roman"/>
        </w:rPr>
        <w:t xml:space="preserve"> </w:t>
      </w:r>
      <w:r w:rsidR="007C3999" w:rsidRPr="005B5460">
        <w:rPr>
          <w:rFonts w:ascii="Times New Roman" w:hAnsi="Times New Roman" w:cs="Times New Roman"/>
        </w:rPr>
        <w:fldChar w:fldCharType="begin" w:fldLock="1"/>
      </w:r>
      <w:r w:rsidR="00AA5D15" w:rsidRPr="005B5460">
        <w:rPr>
          <w:rFonts w:ascii="Times New Roman" w:hAnsi="Times New Roman" w:cs="Times New Roman"/>
        </w:rPr>
        <w:instrText>ADDIN CSL_CITATION {"citationItems":[{"id":"ITEM-1","itemData":{"DOI":"10.1093/ije/dym018","ISSN":"0300-5771 (Print)","PMID":"17470488","abstract":"BACKGROUND: Assessing quality and susceptibility to bias is essential when  interpreting primary research and conducting systematic reviews and meta-analyses. Tools for assessing quality in clinical trials are well-described but much less attention has been given to similar tools for observational epidemiological studies. METHODS: Tools were identified from a search of three electronic databases, bibliographies and an Internet search using Google. Two reviewers extracted data using a pre-piloted extraction form and strict inclusion criteria. Tool content was evaluated for domains potentially related to bias and was informed by the STROBE guidelines for reporting observational epidemiological studies. RESULTS: A total of 86 tools were reviewed, comprising 41 simple checklists, 12 checklists with additional summary judgements and 33 scales. The number of items ranged from 3 to 36 (mean 13.7). One-third of tools were designed for single use in a specific review and one-third for critical appraisal. Half of the tools provided development details, although most were proposed for future use in other contexts. Most tools included items for selection methods (92%), measurement of study variables (86%), design-specific sources of bias (86%), control of confounding (78%) and use of statistics (78%); only 4% addressed conflict of interest. The distribution and weighting of domains across tools was variable and inconsistent. CONCLUSION: A number of useful assessment tools have been identified by this report. Tools should be rigorously developed, evidence-based, valid, reliable and easy to use. There is a need to agree on critical elements for assessing susceptibility to bias in observational epidemiology and to develop appropriate evaluation tools.","author":[{"dropping-particle":"","family":"Sanderson","given":"Simon","non-dropping-particle":"","parse-names":false,"suffix":""},{"dropping-particle":"","family":"Tatt","given":"Iain D","non-dropping-particle":"","parse-names":false,"suffix":""},{"dropping-particle":"","family":"Higgins","given":"Julian P T","non-dropping-particle":"","parse-names":false,"suffix":""}],"container-title":"International journal of epidemiology","id":"ITEM-1","issue":"3","issued":{"date-parts":[["2007","6"]]},"language":"eng","page":"666-676","publisher-place":"England","title":"Tools for assessing quality and susceptibility to bias in observational studies in  epidemiology: a systematic review and annotated bibliography.","type":"article-journal","volume":"36"},"uris":["http://www.mendeley.com/documents/?uuid=d9c50c19-aca5-492a-b0ee-1f0c963d60b7"]}],"mendeley":{"formattedCitation":"(34)","plainTextFormattedCitation":"(34)","previouslyFormattedCitation":"(34)"},"properties":{"noteIndex":0},"schema":"https://github.com/citation-style-language/schema/raw/master/csl-citation.json"}</w:instrText>
      </w:r>
      <w:r w:rsidR="007C3999" w:rsidRPr="005B5460">
        <w:rPr>
          <w:rFonts w:ascii="Times New Roman" w:hAnsi="Times New Roman" w:cs="Times New Roman"/>
        </w:rPr>
        <w:fldChar w:fldCharType="separate"/>
      </w:r>
      <w:r w:rsidR="007C3999" w:rsidRPr="005B5460">
        <w:rPr>
          <w:rFonts w:ascii="Times New Roman" w:hAnsi="Times New Roman" w:cs="Times New Roman"/>
          <w:noProof/>
        </w:rPr>
        <w:t>(34)</w:t>
      </w:r>
      <w:r w:rsidR="007C3999" w:rsidRPr="005B5460">
        <w:rPr>
          <w:rFonts w:ascii="Times New Roman" w:hAnsi="Times New Roman" w:cs="Times New Roman"/>
        </w:rPr>
        <w:fldChar w:fldCharType="end"/>
      </w:r>
      <w:r w:rsidRPr="005B5460">
        <w:rPr>
          <w:rFonts w:ascii="Times New Roman" w:hAnsi="Times New Roman" w:cs="Times New Roman"/>
        </w:rPr>
        <w:t>.</w:t>
      </w:r>
      <w:r w:rsidR="00444DD3" w:rsidRPr="005B5460">
        <w:rPr>
          <w:rFonts w:ascii="Times New Roman" w:hAnsi="Times New Roman" w:cs="Times New Roman"/>
        </w:rPr>
        <w:t xml:space="preserve"> </w:t>
      </w:r>
    </w:p>
    <w:p w14:paraId="0459BFF5" w14:textId="77777777" w:rsidR="007E3529" w:rsidRPr="005B5460" w:rsidRDefault="007E3529" w:rsidP="007E3529">
      <w:pPr>
        <w:spacing w:line="480" w:lineRule="auto"/>
        <w:rPr>
          <w:rFonts w:ascii="Times New Roman" w:hAnsi="Times New Roman" w:cs="Times New Roman"/>
          <w:b/>
          <w:bCs/>
        </w:rPr>
      </w:pPr>
      <w:r w:rsidRPr="005B5460">
        <w:rPr>
          <w:rFonts w:ascii="Times New Roman" w:hAnsi="Times New Roman" w:cs="Times New Roman"/>
          <w:b/>
          <w:bCs/>
          <w:sz w:val="24"/>
          <w:szCs w:val="24"/>
        </w:rPr>
        <w:lastRenderedPageBreak/>
        <w:t>Results</w:t>
      </w:r>
    </w:p>
    <w:p w14:paraId="2C8E238A" w14:textId="3046A958" w:rsidR="00444DD3" w:rsidRPr="005B5460" w:rsidRDefault="00E84E15" w:rsidP="007E3529">
      <w:pPr>
        <w:spacing w:line="480" w:lineRule="auto"/>
        <w:rPr>
          <w:rFonts w:ascii="Times New Roman" w:hAnsi="Times New Roman" w:cs="Times New Roman"/>
        </w:rPr>
      </w:pPr>
      <w:r w:rsidRPr="005B5460">
        <w:rPr>
          <w:rFonts w:ascii="Times New Roman" w:hAnsi="Times New Roman" w:cs="Times New Roman"/>
        </w:rPr>
        <w:t>The results</w:t>
      </w:r>
      <w:r w:rsidR="00A10DEE" w:rsidRPr="005B5460">
        <w:rPr>
          <w:rFonts w:ascii="Times New Roman" w:hAnsi="Times New Roman" w:cs="Times New Roman"/>
        </w:rPr>
        <w:t xml:space="preserve"> presented follow Arksey &amp; O’Malley’s framework for scoping reviews: </w:t>
      </w:r>
      <w:r w:rsidR="001C6134" w:rsidRPr="005B5460">
        <w:rPr>
          <w:rFonts w:ascii="Times New Roman" w:hAnsi="Times New Roman" w:cs="Times New Roman"/>
        </w:rPr>
        <w:t>c</w:t>
      </w:r>
      <w:r w:rsidR="0080300D" w:rsidRPr="005B5460">
        <w:rPr>
          <w:rFonts w:ascii="Times New Roman" w:hAnsi="Times New Roman" w:cs="Times New Roman"/>
        </w:rPr>
        <w:t xml:space="preserve">harting the data, and are </w:t>
      </w:r>
      <w:r w:rsidR="00BD2A98" w:rsidRPr="005B5460">
        <w:rPr>
          <w:rFonts w:ascii="Times New Roman" w:hAnsi="Times New Roman" w:cs="Times New Roman"/>
        </w:rPr>
        <w:t xml:space="preserve">described below and </w:t>
      </w:r>
      <w:r w:rsidR="0080300D" w:rsidRPr="005B5460">
        <w:rPr>
          <w:rFonts w:ascii="Times New Roman" w:hAnsi="Times New Roman" w:cs="Times New Roman"/>
        </w:rPr>
        <w:t xml:space="preserve">presented in </w:t>
      </w:r>
      <w:r w:rsidR="00A10DEE" w:rsidRPr="005B5460">
        <w:rPr>
          <w:rFonts w:ascii="Times New Roman" w:hAnsi="Times New Roman" w:cs="Times New Roman"/>
        </w:rPr>
        <w:t>the format of a narrative review, recommend</w:t>
      </w:r>
      <w:r w:rsidR="0080300D" w:rsidRPr="005B5460">
        <w:rPr>
          <w:rFonts w:ascii="Times New Roman" w:hAnsi="Times New Roman" w:cs="Times New Roman"/>
        </w:rPr>
        <w:t xml:space="preserve"> by</w:t>
      </w:r>
      <w:r w:rsidR="00A64CF1">
        <w:rPr>
          <w:rFonts w:ascii="Times New Roman" w:hAnsi="Times New Roman" w:cs="Times New Roman"/>
        </w:rPr>
        <w:t xml:space="preserve"> </w:t>
      </w:r>
      <w:r w:rsidR="00A64CF1" w:rsidRPr="005B320D">
        <w:rPr>
          <w:rFonts w:ascii="Times New Roman" w:hAnsi="Times New Roman" w:cs="Times New Roman"/>
          <w:highlight w:val="yellow"/>
        </w:rPr>
        <w:t>Ark</w:t>
      </w:r>
      <w:r w:rsidR="005B320D" w:rsidRPr="005B320D">
        <w:rPr>
          <w:rFonts w:ascii="Times New Roman" w:hAnsi="Times New Roman" w:cs="Times New Roman"/>
          <w:highlight w:val="yellow"/>
        </w:rPr>
        <w:t>sey &amp; O’Malley</w:t>
      </w:r>
      <w:r w:rsidR="0080300D" w:rsidRPr="005B5460">
        <w:rPr>
          <w:rFonts w:ascii="Times New Roman" w:hAnsi="Times New Roman" w:cs="Times New Roman"/>
        </w:rPr>
        <w:t xml:space="preserve"> </w:t>
      </w:r>
      <w:r w:rsidR="00AA5D15" w:rsidRPr="005B5460">
        <w:rPr>
          <w:rFonts w:ascii="Times New Roman" w:hAnsi="Times New Roman" w:cs="Times New Roman"/>
        </w:rPr>
        <w:fldChar w:fldCharType="begin" w:fldLock="1"/>
      </w:r>
      <w:r w:rsidR="00866F66" w:rsidRPr="005B5460">
        <w:rPr>
          <w:rFonts w:ascii="Times New Roman" w:hAnsi="Times New Roman" w:cs="Times New Roman"/>
        </w:rPr>
        <w:instrText>ADDIN CSL_CITATION {"citationItems":[{"id":"ITEM-1","itemData":{"DOI":"10.1080/1364557032000119616","ISSN":"1364-5579","abstract":"This paper focuses on scoping studies, an approach to reviewing the literature which to date has received little attention in the research methods literature. We distinguish between different types of scoping studies and indicate where these stand in relation to full systematic reviews. We outline a framework for conducting a scoping study based on our recent experiences of reviewing the literature on services for carers for people with mental health problems. Where appropriate, our approach to scoping the field is contrasted with the procedures followed in systematic reviews. We emphasize how including a consultation exercise in this sort of study may enhance the results, making them more useful to policy makers, practitioners and service users. Finally, we consider the advantages and limitations of the approach and suggest that a wider debate is called for about the role of the scoping study in relation to other types of literature reviews.","author":[{"dropping-particle":"","family":"Arksey","given":"Hilary","non-dropping-particle":"","parse-names":false,"suffix":""},{"dropping-particle":"","family":"O'Malley","given":"Lisa","non-dropping-particle":"","parse-names":false,"suffix":""}],"container-title":"International Journal of Social Research Methodology","id":"ITEM-1","issue":"1","issued":{"date-parts":[["2005","2","1"]]},"note":"doi: 10.1080/1364557032000119616","page":"19-32","publisher":"Routledge","title":"Scoping studies: towards a methodological framework","type":"article-journal","volume":"8"},"uris":["http://www.mendeley.com/documents/?uuid=73a5df73-e7f3-4f21-b699-e70687741455"]}],"mendeley":{"formattedCitation":"(23)","plainTextFormattedCitation":"(23)","previouslyFormattedCitation":"(23)"},"properties":{"noteIndex":0},"schema":"https://github.com/citation-style-language/schema/raw/master/csl-citation.json"}</w:instrText>
      </w:r>
      <w:r w:rsidR="00AA5D15" w:rsidRPr="005B5460">
        <w:rPr>
          <w:rFonts w:ascii="Times New Roman" w:hAnsi="Times New Roman" w:cs="Times New Roman"/>
        </w:rPr>
        <w:fldChar w:fldCharType="separate"/>
      </w:r>
      <w:r w:rsidR="00AA5D15" w:rsidRPr="005B5460">
        <w:rPr>
          <w:rFonts w:ascii="Times New Roman" w:hAnsi="Times New Roman" w:cs="Times New Roman"/>
          <w:noProof/>
        </w:rPr>
        <w:t>(23)</w:t>
      </w:r>
      <w:r w:rsidR="00AA5D15" w:rsidRPr="005B5460">
        <w:rPr>
          <w:rFonts w:ascii="Times New Roman" w:hAnsi="Times New Roman" w:cs="Times New Roman"/>
        </w:rPr>
        <w:fldChar w:fldCharType="end"/>
      </w:r>
      <w:r w:rsidR="0068582C" w:rsidRPr="005B5460">
        <w:rPr>
          <w:rFonts w:ascii="Times New Roman" w:hAnsi="Times New Roman" w:cs="Times New Roman"/>
        </w:rPr>
        <w:t xml:space="preserve"> in order to extract contextual information</w:t>
      </w:r>
      <w:r w:rsidR="00AA5D15" w:rsidRPr="005B5460">
        <w:rPr>
          <w:rFonts w:ascii="Times New Roman" w:hAnsi="Times New Roman" w:cs="Times New Roman"/>
        </w:rPr>
        <w:t xml:space="preserve"> and add value to this under-researched area</w:t>
      </w:r>
      <w:r w:rsidR="0080300D" w:rsidRPr="005B5460">
        <w:rPr>
          <w:rFonts w:ascii="Times New Roman" w:hAnsi="Times New Roman" w:cs="Times New Roman"/>
        </w:rPr>
        <w:t xml:space="preserve">. </w:t>
      </w:r>
    </w:p>
    <w:p w14:paraId="6BD29878" w14:textId="54496C14" w:rsidR="002C694E" w:rsidRPr="005B5460" w:rsidRDefault="007E3529" w:rsidP="00075292">
      <w:pPr>
        <w:spacing w:line="480" w:lineRule="auto"/>
        <w:rPr>
          <w:rFonts w:ascii="Times New Roman" w:hAnsi="Times New Roman" w:cs="Times New Roman"/>
        </w:rPr>
      </w:pPr>
      <w:r w:rsidRPr="005B5460">
        <w:rPr>
          <w:rFonts w:ascii="Times New Roman" w:hAnsi="Times New Roman" w:cs="Times New Roman"/>
        </w:rPr>
        <w:t>Papers published</w:t>
      </w:r>
      <w:r w:rsidR="00075292" w:rsidRPr="005B5460">
        <w:rPr>
          <w:rFonts w:ascii="Times New Roman" w:hAnsi="Times New Roman" w:cs="Times New Roman"/>
        </w:rPr>
        <w:t xml:space="preserve"> between</w:t>
      </w:r>
      <w:r w:rsidRPr="005B5460">
        <w:rPr>
          <w:rFonts w:ascii="Times New Roman" w:hAnsi="Times New Roman" w:cs="Times New Roman"/>
        </w:rPr>
        <w:t xml:space="preserve"> 2009 and </w:t>
      </w:r>
      <w:r w:rsidR="005B5460" w:rsidRPr="003878BA">
        <w:rPr>
          <w:rFonts w:ascii="Times New Roman" w:hAnsi="Times New Roman" w:cs="Times New Roman"/>
          <w:highlight w:val="yellow"/>
        </w:rPr>
        <w:t>4</w:t>
      </w:r>
      <w:r w:rsidR="005B5460" w:rsidRPr="003878BA">
        <w:rPr>
          <w:rFonts w:ascii="Times New Roman" w:hAnsi="Times New Roman" w:cs="Times New Roman"/>
          <w:highlight w:val="yellow"/>
          <w:vertAlign w:val="superscript"/>
        </w:rPr>
        <w:t>th</w:t>
      </w:r>
      <w:r w:rsidR="005B5460" w:rsidRPr="003878BA">
        <w:rPr>
          <w:rFonts w:ascii="Times New Roman" w:hAnsi="Times New Roman" w:cs="Times New Roman"/>
          <w:highlight w:val="yellow"/>
        </w:rPr>
        <w:t xml:space="preserve"> September</w:t>
      </w:r>
      <w:r w:rsidR="00A90365" w:rsidRPr="003878BA">
        <w:rPr>
          <w:rFonts w:ascii="Times New Roman" w:hAnsi="Times New Roman" w:cs="Times New Roman"/>
          <w:highlight w:val="yellow"/>
        </w:rPr>
        <w:t xml:space="preserve"> 2020</w:t>
      </w:r>
      <w:r w:rsidR="00075292" w:rsidRPr="005B5460">
        <w:rPr>
          <w:rFonts w:ascii="Times New Roman" w:hAnsi="Times New Roman" w:cs="Times New Roman"/>
        </w:rPr>
        <w:t xml:space="preserve"> </w:t>
      </w:r>
      <w:r w:rsidRPr="005B5460">
        <w:rPr>
          <w:rFonts w:ascii="Times New Roman" w:hAnsi="Times New Roman" w:cs="Times New Roman"/>
        </w:rPr>
        <w:t>were considered for this literature review resulting in 1</w:t>
      </w:r>
      <w:r w:rsidR="009D0EA8" w:rsidRPr="005B5460">
        <w:rPr>
          <w:rFonts w:ascii="Times New Roman" w:hAnsi="Times New Roman" w:cs="Times New Roman"/>
        </w:rPr>
        <w:t>2</w:t>
      </w:r>
      <w:r w:rsidRPr="005B5460">
        <w:rPr>
          <w:rFonts w:ascii="Times New Roman" w:hAnsi="Times New Roman" w:cs="Times New Roman"/>
        </w:rPr>
        <w:t xml:space="preserve"> papers. A summary of the </w:t>
      </w:r>
      <w:r w:rsidR="0082162E" w:rsidRPr="005B5460">
        <w:rPr>
          <w:rFonts w:ascii="Times New Roman" w:hAnsi="Times New Roman" w:cs="Times New Roman"/>
        </w:rPr>
        <w:t xml:space="preserve">relevant </w:t>
      </w:r>
      <w:r w:rsidRPr="005B5460">
        <w:rPr>
          <w:rFonts w:ascii="Times New Roman" w:hAnsi="Times New Roman" w:cs="Times New Roman"/>
        </w:rPr>
        <w:t xml:space="preserve">papers is provided in </w:t>
      </w:r>
      <w:r w:rsidR="006E7682" w:rsidRPr="005B5460">
        <w:rPr>
          <w:rFonts w:ascii="Times New Roman" w:hAnsi="Times New Roman" w:cs="Times New Roman"/>
        </w:rPr>
        <w:t>t</w:t>
      </w:r>
      <w:r w:rsidR="00A15183" w:rsidRPr="005B5460">
        <w:rPr>
          <w:rFonts w:ascii="Times New Roman" w:hAnsi="Times New Roman" w:cs="Times New Roman"/>
        </w:rPr>
        <w:t>able 4</w:t>
      </w:r>
      <w:r w:rsidR="007E51F4" w:rsidRPr="005B5460">
        <w:rPr>
          <w:rFonts w:ascii="Times New Roman" w:hAnsi="Times New Roman" w:cs="Times New Roman"/>
        </w:rPr>
        <w:t xml:space="preserve"> and describe </w:t>
      </w:r>
      <w:r w:rsidR="00C92FA8" w:rsidRPr="005B5460">
        <w:rPr>
          <w:rFonts w:ascii="Times New Roman" w:hAnsi="Times New Roman" w:cs="Times New Roman"/>
        </w:rPr>
        <w:t xml:space="preserve">both </w:t>
      </w:r>
      <w:r w:rsidR="0005110C" w:rsidRPr="005B5460">
        <w:rPr>
          <w:rFonts w:ascii="Times New Roman" w:hAnsi="Times New Roman" w:cs="Times New Roman"/>
        </w:rPr>
        <w:t>g</w:t>
      </w:r>
      <w:r w:rsidR="00C92FA8" w:rsidRPr="005B5460">
        <w:rPr>
          <w:rFonts w:ascii="Times New Roman" w:hAnsi="Times New Roman" w:cs="Times New Roman"/>
        </w:rPr>
        <w:t xml:space="preserve">eneral information </w:t>
      </w:r>
      <w:r w:rsidR="0005110C" w:rsidRPr="005B5460">
        <w:rPr>
          <w:rFonts w:ascii="Times New Roman" w:hAnsi="Times New Roman" w:cs="Times New Roman"/>
        </w:rPr>
        <w:t xml:space="preserve">about the </w:t>
      </w:r>
      <w:r w:rsidR="005220B0" w:rsidRPr="005B5460">
        <w:rPr>
          <w:rFonts w:ascii="Times New Roman" w:hAnsi="Times New Roman" w:cs="Times New Roman"/>
        </w:rPr>
        <w:t>stu</w:t>
      </w:r>
      <w:r w:rsidR="008F44E9" w:rsidRPr="005B5460">
        <w:rPr>
          <w:rFonts w:ascii="Times New Roman" w:hAnsi="Times New Roman" w:cs="Times New Roman"/>
        </w:rPr>
        <w:t>dy and specific information to answer the research question</w:t>
      </w:r>
      <w:r w:rsidRPr="005B5460">
        <w:rPr>
          <w:rFonts w:ascii="Times New Roman" w:hAnsi="Times New Roman" w:cs="Times New Roman"/>
        </w:rPr>
        <w:t xml:space="preserve">. </w:t>
      </w:r>
      <w:r w:rsidR="009D0EA8" w:rsidRPr="005B5460">
        <w:rPr>
          <w:rFonts w:ascii="Times New Roman" w:hAnsi="Times New Roman" w:cs="Times New Roman"/>
        </w:rPr>
        <w:t>Eleven</w:t>
      </w:r>
      <w:r w:rsidRPr="005B5460">
        <w:rPr>
          <w:rFonts w:ascii="Times New Roman" w:hAnsi="Times New Roman" w:cs="Times New Roman"/>
        </w:rPr>
        <w:t xml:space="preserve"> papers were retrospective and one prospective </w:t>
      </w:r>
      <w:r w:rsidR="00866F66" w:rsidRPr="005B5460">
        <w:rPr>
          <w:rFonts w:ascii="Times New Roman" w:hAnsi="Times New Roman" w:cs="Times New Roman"/>
        </w:rPr>
        <w:fldChar w:fldCharType="begin" w:fldLock="1"/>
      </w:r>
      <w:r w:rsidR="005A4B64" w:rsidRPr="005B5460">
        <w:rPr>
          <w:rFonts w:ascii="Times New Roman" w:hAnsi="Times New Roman" w:cs="Times New Roman"/>
        </w:rPr>
        <w:instrText>ADDIN CSL_CITATION {"citationItems":[{"id":"ITEM-1","itemData":{"DOI":"10.1002/jso.24618","ISSN":"1096-9098 (Electronic)","PMID":"28384378","abstract":"BACKGROUND AND OBJECTIVES: In a previous conducted study functional outcome of young  patients with bone sarcoma located around the knee was longitudinally evaluated during the first 2 years postoperatively. Functional outcome improved significantly over the first 2 years. The purpose of this descriptive study was to evaluate the functional outcome of these patients at long-term follow-up of 7 years. METHODS: Functional outcome was assessed with the TESS, MSTS, Baecke questionnaire, and three functional performance tests: time up and down stairs (TUDS), various walking activities (VWA), and the 6-min walking test (6MWT). Linear Mixed Model has been employed for the repeated measurements. RESULTS: Twenty patients of the original study (n = 44) participated in the current study. Fifteen limb-salvage and five ablative surgery patients, median follow-up 7.4 years (6.8-8.0) (CI 95%), mean age 22.3 years (18.2-31.6). Between 2 and 7 years after surgery, 8 limb-salvage patients (53%) encountered surgery related complications. Questionnaires and functional performance tests showed no significant difference in functional outcome between 2 years and 7 years after surgery (P &lt; 0.05). CONCLUSIONS: Between 2 years and follow-up at average 7 years after surgery no further improvements were noticed at young patients with a bone sarcoma located around the knee.","author":[{"dropping-particle":"","family":"Egmond-van Dam","given":"Janneke C","non-dropping-particle":"van","parse-names":false,"suffix":""},{"dropping-particle":"","family":"Bekkering","given":"W Peter","non-dropping-particle":"","parse-names":false,"suffix":""},{"dropping-particle":"","family":"Bramer","given":"Jos A M","non-dropping-particle":"","parse-names":false,"suffix":""},{"dropping-particle":"","family":"Beishuizen","given":"Auke","non-dropping-particle":"","parse-names":false,"suffix":""},{"dropping-particle":"","family":"Fiocco","given":"Marta","non-dropping-particle":"","parse-names":false,"suffix":""},{"dropping-particle":"","family":"Dijkstra","given":"P D Sander","non-dropping-particle":"","parse-names":false,"suffix":""}],"container-title":"Journal of surgical oncology","id":"ITEM-1","issue":"8","issued":{"date-parts":[["2017","6"]]},"language":"eng","page":"1028-1032","title":"Functional outcome after surgery in patients with bone sarcoma around the knee;  results from a long-term prospective study.","type":"article-journal","volume":"115"},"uris":["http://www.mendeley.com/documents/?uuid=d0dd1dc4-c702-4d78-bb3f-fc5899a688ed"]}],"mendeley":{"formattedCitation":"(17)","plainTextFormattedCitation":"(17)","previouslyFormattedCitation":"(17)"},"properties":{"noteIndex":0},"schema":"https://github.com/citation-style-language/schema/raw/master/csl-citation.json"}</w:instrText>
      </w:r>
      <w:r w:rsidR="00866F66" w:rsidRPr="005B5460">
        <w:rPr>
          <w:rFonts w:ascii="Times New Roman" w:hAnsi="Times New Roman" w:cs="Times New Roman"/>
        </w:rPr>
        <w:fldChar w:fldCharType="separate"/>
      </w:r>
      <w:r w:rsidR="00866F66" w:rsidRPr="005B5460">
        <w:rPr>
          <w:rFonts w:ascii="Times New Roman" w:hAnsi="Times New Roman" w:cs="Times New Roman"/>
          <w:noProof/>
        </w:rPr>
        <w:t>(17)</w:t>
      </w:r>
      <w:r w:rsidR="00866F66" w:rsidRPr="005B5460">
        <w:rPr>
          <w:rFonts w:ascii="Times New Roman" w:hAnsi="Times New Roman" w:cs="Times New Roman"/>
        </w:rPr>
        <w:fldChar w:fldCharType="end"/>
      </w:r>
      <w:r w:rsidRPr="005B5460">
        <w:rPr>
          <w:rFonts w:ascii="Times New Roman" w:hAnsi="Times New Roman" w:cs="Times New Roman"/>
        </w:rPr>
        <w:t>. The 11</w:t>
      </w:r>
      <w:r w:rsidR="00870197" w:rsidRPr="005B5460">
        <w:rPr>
          <w:rFonts w:ascii="Times New Roman" w:hAnsi="Times New Roman" w:cs="Times New Roman"/>
        </w:rPr>
        <w:t xml:space="preserve"> retrospective</w:t>
      </w:r>
      <w:r w:rsidRPr="005B5460">
        <w:rPr>
          <w:rFonts w:ascii="Times New Roman" w:hAnsi="Times New Roman" w:cs="Times New Roman"/>
        </w:rPr>
        <w:t xml:space="preserve"> articles included four cohort studies </w:t>
      </w:r>
      <w:r w:rsidR="005A4B64" w:rsidRPr="005B5460">
        <w:rPr>
          <w:rFonts w:ascii="Times New Roman" w:hAnsi="Times New Roman" w:cs="Times New Roman"/>
        </w:rPr>
        <w:fldChar w:fldCharType="begin" w:fldLock="1"/>
      </w:r>
      <w:r w:rsidR="00C1784B" w:rsidRPr="005B5460">
        <w:rPr>
          <w:rFonts w:ascii="Times New Roman" w:hAnsi="Times New Roman" w:cs="Times New Roman"/>
        </w:rPr>
        <w:instrText>ADDIN CSL_CITATION {"citationItems":[{"id":"ITEM-1","itemData":{"DOI":"10.3892/etm.2014.1744","ISSN":"1792-0981","abstract":"In this study, the effects of surgical removal of malignant metaphyseal bone tumors with epiphysis preservation and knee arthroplasty were analyzed. A total of 15 patients with malignant metaphyseal bone tumors were investigated. Six of these patients underwent epiphyseal preservation surgery with preoperative physeal distraction, termed the physeal distraction (PD) group. Nine patients underwent resection of the knee joint, combined with metal prosthesis transfer, termed the knee arthroplasty (KA) group. Tumor control, limb length discrepancy, range of movement (ROM) of the knee and functional outcome of lower limb [Musculoskeletal Tumor Society (MSTS) score and the Toronto extremity salvage score (TESS)] were assessed for these two groups. All 15 patients were followed-up after the surgery. One patient in the PD group was found to have lung tumor metastasis; however, no local tumor recurrence was found. In the KA group, local tumor recurrence was found in one patient, and lung metastases were observed in two cases postoperatively. The limb length discrepancy in patients of the PD group was 2.58±0.27 cm, which was significantly less compared with that in patients in the KA group (4.01±0.13 cm; P&lt;0.05). In addition, the lower limb knee ROM in patients in the PD group was 127.70±14.63°, which was increased compared to that in patients in the KA group (105.70±15.48°; P&lt;0.05). The mean MSTS score was 86.67% with a mean TESS of 82.33% in patients from the PD group, which showed no significant difference compared with the respective scores for patients in the KA group (P&gt;0.05). Therefore, epiphyseal sparing limb-saving surgeries should be considered for the treatment of malignant metaphyseal bone tumors in children, when certain indications are satisfied.","author":[{"dropping-particle":"","family":"Zhang","given":"Peng","non-dropping-particle":"","parse-names":false,"suffix":""},{"dropping-particle":"","family":"Feng","given":"Feifei","non-dropping-particle":"","parse-names":false,"suffix":""},{"dropping-particle":"","family":"Cai","given":"Qiqing","non-dropping-particle":"","parse-names":false,"suffix":""},{"dropping-particle":"","family":"Yao","given":"Weitao","non-dropping-particle":"","parse-names":false,"suffix":""},{"dropping-particle":"","family":"Gao","given":"Songtao","non-dropping-particle":"","parse-names":false,"suffix":""},{"dropping-particle":"","family":"Wang","given":"Jiaqiang","non-dropping-particle":"","parse-names":false,"suffix":""},{"dropping-particle":"","family":"Wang","given":"Xin","non-dropping-particle":"","parse-names":false,"suffix":""}],"container-title":"Experimental and therapeutic medicine","edition":"2014/05/28","id":"ITEM-1","issue":"2","issued":{"date-parts":[["2014","8"]]},"language":"eng","page":"567-572","publisher":"D.A. Spandidos","title":"Effects of metaphyseal bone tumor removal with preservation of the epiphysis and knee arthroplasty","type":"article-journal","volume":"8"},"uris":["http://www.mendeley.com/documents/?uuid=d539b6a2-627a-467e-86c8-4c9e75ef76c0"]},{"id":"ITEM-2","itemData":{"DOI":"10.1007/s11999-012-2271-1","ISSN":"1528-1132 (Electronic)","PMID":"22302658","abstract":"INTRODUCTION: Patients with aggressive lower extremity musculoskeletal tumors may be  candidates for either above-knee amputation or limb-salvage surgery. However, the subjective and objective benefits of limb-salvage surgery compared with amputation are not fully clear. QUESTIONS/PURPOSES: We therefore compared functional status and quality of life for patients treated with above-knee amputation versus limb-salvage surgery. METHODS: We reviewed 20 of 51 patients aged 15 years and older treated with above-knee amputation or limb-salvage surgery for aggressive musculoskeletal tumors around the knee between 1994 and 2004 as a retrospective cohort study. At last followup we obtained the Physiological Cost Index, the Reintegration to Normal Living Index, SF-36, and the Toronto Extremity Salvage Score questionnaires. The minimum followup was 12 months (median, 56 months; range, 12-108 months). RESULTS: Compared with patients having above-knee amputation, patients undergoing limb-salvage surgery had superior Physiological Cost Index scores and Reintegration to Normal Living Index. The Toronto Extremity Salvage scores and SF-36 scores were similar in the two groups. CONCLUSION: These data suggest that limb-salvage surgery offers better gait efficiency and return to normal living compared with above-knee amputation, but does not improve the patient's perception of quality of life.","author":[{"dropping-particle":"","family":"Malek","given":"Farbod","non-dropping-particle":"","parse-names":false,"suffix":""},{"dropping-particle":"","family":"Somerson","given":"Jeremy S","non-dropping-particle":"","parse-names":false,"suffix":""},{"dropping-particle":"","family":"Mitchel","given":"Shannon","non-dropping-particle":"","parse-names":false,"suffix":""},{"dropping-particle":"","family":"Williams","given":"Ronald P","non-dropping-particle":"","parse-names":false,"suffix":""}],"container-title":"Clinical orthopaedics and related research","id":"ITEM-2","issue":"7","issued":{"date-parts":[["2012","7"]]},"language":"eng","page":"2000-2006","title":"Does limb-salvage surgery offer patients better quality of life and functional  capacity than amputation?","type":"article-journal","volume":"470"},"uris":["http://www.mendeley.com/documents/?uuid=b18c2b7e-1ca3-4eef-8e44-d2b03c031b23"]},{"id":"ITEM-3","itemData":{"DOI":"10.1016/j.ejso.2016.05.018","ISSN":"1532-2157 (Electronic)","PMID":"27266818","abstract":"We reviewed the oncological and functional outcomes of patients treated for a  primary sarcoma possibly involving the knee joint and present an algorithm to guide treatment. The records of 76 patients who had a primary bone or soft tissue sarcoma possibly invading the knee between 1996 and 2012 were identified. Mean age and follow-up was 32 years (9-74) and 64 months (12-195), respectively. Patients were grouped according to the resection (Intra-articular [IAR] vs. Extra-articular [EAR] vs. Amputation/rotationplasty) for survival and functional outcomes. Overall 5 and 10 year survival was 61% and 53%, respectively. No differences in survival were found between the 3 groups (p = 0.55). Sixteen patients developed local recurrence with no difference between the groups. Mean MSTS score was 24.5 (12-30). Mean flexion at final follow-up was 106° (70-130°). We conclude that EAR of the knee allows for good oncologic and functional outcomes but with an increased risk of complications compared to IAR. Intra-operative assessment of joint involvement can be done in patients where joint infiltration by the tumour is not clear to avoid an unnecessary EAR. For chondrosarcoma patients with joint involvement, an EAR should be carefully considered because they present a significantly higher local recurrence risk.","author":[{"dropping-particle":"","family":"Shahid","given":"M","non-dropping-particle":"","parse-names":false,"suffix":""},{"dropping-particle":"","family":"Albergo","given":"N","non-dropping-particle":"","parse-names":false,"suffix":""},{"dropping-particle":"","family":"Purvis","given":"T","non-dropping-particle":"","parse-names":false,"suffix":""},{"dropping-particle":"","family":"Heron","given":"K","non-dropping-particle":"","parse-names":false,"suffix":""},{"dropping-particle":"","family":"Gaston","given":"L","non-dropping-particle":"","parse-names":false,"suffix":""},{"dropping-particle":"","family":"Carter","given":"S","non-dropping-particle":"","parse-names":false,"suffix":""},{"dropping-particle":"","family":"Grimer","given":"R","non-dropping-particle":"","parse-names":false,"suffix":""},{"dropping-particle":"","family":"Jeys","given":"L","non-dropping-particle":"","parse-names":false,"suffix":""}],"container-title":"European journal of surgical oncology : the journal of the European Society of  Surgical Oncology and the British Association of Surgical Oncology","id":"ITEM-3","issue":"1","issued":{"date-parts":[["2017","1"]]},"language":"eng","page":"175-180","publisher-place":"England","title":"Management of sarcomas possibly involving the knee joint when to perform  extra-articular resection of the knee joint and is it safe?","type":"article-journal","volume":"43"},"uris":["http://www.mendeley.com/documents/?uuid=1308600d-eee4-499a-b8e8-37c6fc6e3528"]},{"id":"ITEM-4","itemData":{"ISSN":"0009-921X (Print)","PMID":"8425352","abstract":"The need for a standardized system of end result reporting of various surgical  alternatives after limb salvaging and ablative procedures for musculoskeletal tumors was clearly recognized during the first International Symposium on Limb Salvage (ISOLS) in 1981. During the ensuing four biannual symposia, there has been an ongoing developmental experience with a system extensively field tested in 1989 by the Musculoskeletal Tumor Society (MSTS). This system of functional evaluation has been adopted by the MSTS and ISOLS for their joint studies and program presentation. In brief, the system assigns numerical values (0-5) for each of six categories: pain, and function and emotional acceptance in upper and lower extremities; supports, and walking and gait in the lower extremity; and hand positioning, and dexterity and lifting ability in the upper extremity. Demographic information and a patient satisfaction component is included. A numerical score and percent rating is calculated to allow for comparison of results. The system has been field tested in 220 patients with low (+/-) interobserver variability. It was well accepted by the participants, and its usage is recommended by the MSTS to facilitate valid comparative end result studies of musculoskeletal tumor reconstructions.","author":[{"dropping-particle":"","family":"Enneking","given":"W F","non-dropping-particle":"","parse-names":false,"suffix":""},{"dropping-particle":"","family":"Dunham","given":"W","non-dropping-particle":"","parse-names":false,"suffix":""},{"dropping-particle":"","family":"Gebhardt","given":"M C","non-dropping-particle":"","parse-names":false,"suffix":""},{"dropping-particle":"","family":"Malawar","given":"M","non-dropping-particle":"","parse-names":false,"suffix":""},{"dropping-particle":"","family":"Pritchard","given":"D J","non-dropping-particle":"","parse-names":false,"suffix":""}],"container-title":"Clinical orthopaedics and related research","id":"ITEM-4","issue":"286","issued":{"date-parts":[["1993","1"]]},"language":"eng","page":"241-246","publisher-place":"United States","title":"A system for the functional evaluation of reconstructive procedures after surgical  treatment of tumors of the musculoskeletal system.","type":"article-journal"},"uris":["http://www.mendeley.com/documents/?uuid=ce276eb3-2520-4c43-b518-6a31a62a3dd4"]}],"mendeley":{"formattedCitation":"(18,19,35,36)","plainTextFormattedCitation":"(18,19,35,36)","previouslyFormattedCitation":"(18,19,35,36)"},"properties":{"noteIndex":0},"schema":"https://github.com/citation-style-language/schema/raw/master/csl-citation.json"}</w:instrText>
      </w:r>
      <w:r w:rsidR="005A4B64" w:rsidRPr="005B5460">
        <w:rPr>
          <w:rFonts w:ascii="Times New Roman" w:hAnsi="Times New Roman" w:cs="Times New Roman"/>
        </w:rPr>
        <w:fldChar w:fldCharType="separate"/>
      </w:r>
      <w:r w:rsidR="002B6144" w:rsidRPr="005B5460">
        <w:rPr>
          <w:rFonts w:ascii="Times New Roman" w:hAnsi="Times New Roman" w:cs="Times New Roman"/>
          <w:noProof/>
        </w:rPr>
        <w:t>(18,19,35,36)</w:t>
      </w:r>
      <w:r w:rsidR="005A4B64" w:rsidRPr="005B5460">
        <w:rPr>
          <w:rFonts w:ascii="Times New Roman" w:hAnsi="Times New Roman" w:cs="Times New Roman"/>
        </w:rPr>
        <w:fldChar w:fldCharType="end"/>
      </w:r>
      <w:r w:rsidRPr="005B5460">
        <w:rPr>
          <w:rFonts w:ascii="Times New Roman" w:hAnsi="Times New Roman" w:cs="Times New Roman"/>
        </w:rPr>
        <w:t xml:space="preserve">, </w:t>
      </w:r>
      <w:r w:rsidR="009D0EA8" w:rsidRPr="005B5460">
        <w:rPr>
          <w:rFonts w:ascii="Times New Roman" w:hAnsi="Times New Roman" w:cs="Times New Roman"/>
        </w:rPr>
        <w:t>two</w:t>
      </w:r>
      <w:r w:rsidRPr="005B5460">
        <w:rPr>
          <w:rFonts w:ascii="Times New Roman" w:hAnsi="Times New Roman" w:cs="Times New Roman"/>
        </w:rPr>
        <w:t xml:space="preserve"> case-control studies </w:t>
      </w:r>
      <w:r w:rsidR="00C1784B"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{"citationItems":[{"id":"ITEM-1","itemData":{"DOI":"10.1016/j.knee.2009.02.006","ISSN":"1873-5800 (Electronic)","PMID":"19269182","abstract":"Bone sarcomas are the fourth most common cancer in individuals under 25 years. Limb  salvage procedures are popular for the treatment of osteosarcomas as they have functional and physiological benefits over traditional amputative procedures. The objective of this study was to apply disease specific measures to a group of intra-articular knee osteosarcoma patients and to evaluate structural and treatment variables predictive of the functional outcome scores. Twenty patients (10 female, 10 male) treated with tumour resection and endoprosthetic knee arthroplasty took part in the study. The Musculoskeletal Tumour Society (MSTS) rating scale and the Toronto Extremity Salvage Score (TESS) were used to assess impairment and disability respectively. Impairment was recorded as 83% and disability was recorded as 86% suggesting moderate to high function following limb salvage surgery. Task difficulty was shown to increase for activities requiring large knee flexion angles, presumably due to increased patellofemoral forces. Bivariate correlations revealed that loss of quadriceps musculature, knee extension strength and knee flexion range of motion were parameters moderately associated with the assessment instruments. ANOVA revealed no significant differences in impairment (P=0.962) or disability (P=0.411) between the differing types of prostheses. In conclusion clinicians and therapists should emphasise restoration of post-surgical range of motion and strength in order to enhance functional recovery.","author":[{"dropping-particle":"","family":"Carty","given":"Christopher P","non-dropping-particle":"","parse-names":false,"suffix":""},{"dropping-particle":"","family":"Dickinson","given":"Ian C","non-dropping-particle":"","parse-names":false,"suffix":""},{"dropping-particle":"","family":"Watts","given":"Mark C","non-dropping-particle":"","parse-names":false,"suffix":""},{"dropping-particle":"","family":"Crawford","given":"Ross W","non-dropping-particle":"","parse-names":false,"suffix":""},{"dropping-particle":"","family":"Steadman","given":"Peter","non-dropping-particle":"","parse-names":false,"suffix":""}],"container-title":"The Knee","id":"ITEM-1","issue":"5","issued":{"date-parts":[["2009","10"]]},"language":"eng","page":"405-408","publisher-place":"Netherlands","title":"Impairment and disability following limb salvage procedures for bone sarcoma.","type":"article-journal","volume":"16"},"uris":["http://www.mendeley.com/documents/?uuid=f0acb2b8-fdb8-4093-97e7-40e9515dd570"]},{"id":"ITEM-2","itemData":{"DOI":"10.1007/s00167-018-5110-4","ISSN":"1433-7347 (Electronic)","PMID":"30132048","abstract":"PURPOSE: To compare the outcomes of allograft-prosthesis composite for  reconstruction after malignant tumors at the distal femur and proximal tibia. METHODS: Case-control study of 24 patients with distal femur tumor and 21 with proximal tibia tumor. Union of the allograft-host interface was assessed by the International Society of Limb Salvage criteria, and complications according Henderson. Functional outcome was evaluated by the Musculoskeletal Tumor Society (MSTS) score, Western Ontario and McMaster Universities (WOMAC) score, and pain by a visual analog scale. RESULTS: The median follow-up in the femoral group was 11.4 (range 2.3-25.0) years, and 10.1 (range 2.2-25.0) in tibial group. Incorporation of the allograft was successful in more than 90% in both groups. Tumor location was not significant predictor for allograft failure in multivariate analysis. Aseptic prosthesis loosening occurred in two patients in either group, and another patient in the tibial group had a breakage of the tibial insert. Excluding local recurrences and amputations, the prosthesis survival at 10 years was 94.1% in the femoral group, and 83.3% in the tibial group (n.s.). For the patients with preserved limb, the median MSTS score was 23.6 in the femoral group and 22.8 in tibial group (n.s.). Likewise, there were no significant differences in median WOMAC score (n.s.) or VAS pain (n.s.). CONCLUSIONS: Allograft-prosthesis composite is an effective procedure for distal femur tumors related to the graft, prosthesis survival, and functional outcomes. The results are comparable to those for proximal tibial tumors. LEVEL OF EVIDENCE: Therapeutic study, Level III.","author":[{"dropping-particle":"","family":"Puerta-GarciaSandoval","given":"Pablo","non-dropping-particle":"","parse-names":false,"suffix":""},{"dropping-particle":"","family":"Lizaur-Utrilla","given":"Alejandro","non-dropping-particle":"","parse-names":false,"suffix":""},{"dropping-particle":"","family":"Trigueros-Rentero","given":"Maria A","non-dropping-particle":"","parse-names":false,"suffix":""},{"dropping-particle":"","family":"Lopez-Prats","given":"Fernando A","non-dropping-particle":"","parse-names":false,"suffix":""}],"container-title":"Knee surgery, sports traumatology, arthroscopy : official journal of the ESSKA","id":"ITEM-2","issue":"7","issued":{"date-parts":[["2019","7"]]},"language":"eng","page":"2218-2225","publisher-place":"Germany","title":"Mid- to long-term results of allograft-prosthesis composite reconstruction after  removal of a distal femoral malignant tumor are comparable to those of the proximal tibia.","type":"article-journal","volume":"27"},"uris":["http://www.mendeley.com/documents/?uuid=621c6867-0acc-4592-b3c3-292715ef19c3"]}],"mendeley":{"formattedCitation":"(20,37)","plainTextFormattedCitation":"(20,37)","previouslyFormattedCitation":"(20,37,38)"},"properties":{"noteIndex":0},"schema":"https://github.com/citation-style-language/schema/raw/master/csl-citation.json"}</w:instrText>
      </w:r>
      <w:r w:rsidR="00C1784B" w:rsidRPr="005B5460">
        <w:rPr>
          <w:rFonts w:ascii="Times New Roman" w:hAnsi="Times New Roman" w:cs="Times New Roman"/>
        </w:rPr>
        <w:fldChar w:fldCharType="separate"/>
      </w:r>
      <w:r w:rsidR="009D0EA8" w:rsidRPr="005B5460">
        <w:rPr>
          <w:rFonts w:ascii="Times New Roman" w:hAnsi="Times New Roman" w:cs="Times New Roman"/>
          <w:noProof/>
        </w:rPr>
        <w:t>(20,37)</w:t>
      </w:r>
      <w:r w:rsidR="00C1784B" w:rsidRPr="005B5460">
        <w:rPr>
          <w:rFonts w:ascii="Times New Roman" w:hAnsi="Times New Roman" w:cs="Times New Roman"/>
        </w:rPr>
        <w:fldChar w:fldCharType="end"/>
      </w:r>
      <w:r w:rsidRPr="005B5460">
        <w:rPr>
          <w:rFonts w:ascii="Times New Roman" w:hAnsi="Times New Roman" w:cs="Times New Roman"/>
        </w:rPr>
        <w:t xml:space="preserve">, two analytical cross-sectional studies with retrospective data </w:t>
      </w:r>
      <w:r w:rsidR="00B147CE"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{"citationItems":[{"id":"ITEM-1","itemData":{"DOI":"10.1002/jso.21828","ISSN":"1096-9098 (Electronic)","PMID":"21337557","abstract":"BACKGROUND: Aim of our study was to compare functional ability and physical activity  in children and young adults who underwent surgery for a malignant bone tumor that was located around the knee. METHODS: This cross-sectional study included 82 patients aged 8-25 years with a follow-up of 1-5 years. The functional ability and the amount of physical activity were evaluated by means of questionnaires and objective instruments. RESULTS: Thirty nine patients underwent limb-salvage surgery (24 allograft and 15 endoprosthesis) and 43 underwent ablative surgery (27 amputations and 16 rotationplasty). Patients in the limb-salvage group were significantly older at the time of surgery than patients in the ablative group (mean age 15.2 years vs. 13.2 years, P = 0.03). Apart from significantly better scores for the timed up and down stairs and various walking activities in the limb-salvage group as compared to the ablative surgery group, no significant differences were seen for any of the outcome measures. CONCLUSIONS: One to 5 years after limb-salvage and ablative surgery due to a malignant bone tumor children and young adults do, apart from a few activities involving walking and climbing stairs, not differ with respect to overall functional ability and physical activity.","author":[{"dropping-particle":"","family":"Bekkering","given":"W Peter","non-dropping-particle":"","parse-names":false,"suffix":""},{"dropping-particle":"","family":"Vliet Vlieland","given":"Theodora P M","non-dropping-particle":"","parse-names":false,"suffix":""},{"dropping-particle":"","family":"Koopman","given":"Hendrik M","non-dropping-particle":"","parse-names":false,"suffix":""},{"dropping-particle":"","family":"Schaap","given":"Gerard R","non-dropping-particle":"","parse-names":false,"suffix":""},{"dropping-particle":"","family":"Bart Schreuder","given":"H W","non-dropping-particle":"","parse-names":false,"suffix":""},{"dropping-particle":"","family":"Beishuizen","given":"Auke","non-dropping-particle":"","parse-names":false,"suffix":""},{"dropping-particle":"","family":"Jutte","given":"Paul C","non-dropping-particle":"","parse-names":false,"suffix":""},{"dropping-particle":"","family":"Hoogerbrugge","given":"Peter M","non-dropping-particle":"","parse-names":false,"suffix":""},{"dropping-particle":"","family":"Anninga","given":"Jacob K","non-dropping-particle":"","parse-names":false,"suffix":""},{"dropping-particle":"","family":"Nelissen","given":"Rob G H H","non-dropping-particle":"","parse-names":false,"suffix":""},{"dropping-particle":"","family":"Taminiau","given":"Antonie H M","non-dropping-particle":"","parse-names":false,"suffix":""}],"container-title":"Journal of surgical oncology","id":"ITEM-1","issue":"3","issued":{"date-parts":[["2011","3"]]},"language":"eng","page":"276-282","publisher-place":"United States","title":"Functional ability and physical activity in children and young adults after  limb-salvage or ablative surgery for lower extremity bone tumors.","type":"article-journal","volume":"103"},"uris":["http://www.mendeley.com/documents/?uuid=46086f6e-f63d-4ad9-82d8-9ecafd272161"]},{"id":"ITEM-2","itemData":{"DOI":"10.4103/ortho.IJOrtho_188_17","ISSN":"0019-5413","abstract":"BACKGROUND: Limb salvage surgery with endoprosthesis for bone tumor around the knee is reported to have good functional and oncological outcomes. However, the functional assessment using musculoskeletal tumor society (MSTS) and Toronto extremity scoring system remains subjective. We performed gait analysis as an objective assessment of their functional outcome. MATERIALS AND METHODS: Gait analysis was performed in 20 patients with endoprosthesis replacement around the knee. The temporal parameters assessed during gait analysis were walking velocity, stride length, duration of stance, and goniometry of the knee. These parameters were compared with the functional outcome score of the MSTS. RESULTS: The mean free-paced walking velocity was 0.91 m/s (normal is 1.33 m/s), which was 68% lower than normal gait. The stride length and stance phase were shorter for the affected limb compared to normal (P &lt; 0.05). However, the gait was symmetrical with no difference in stride length (P = 0.148), velocity (P = 0.918), knee flexion (P = 0.465), and knee extension (P = 0.321) between the affected and unaffected limbs. Sixteen patients demonstrated stiff knee gait, two had a flexed knee gait, and only two patients had normal gait during the stance phase. The mean MSTS score was 21. There was significant correlation between overall MSTS scores (P = 0.023), function (P = 0.039), and walking scores (P = 0.007). CONCLUSION: Limb salvage surgery with endoprosthesis reconstruction around the knee gives good functional outcome, both objectively and subjectively, as evidenced by the symmetrical gait pattern and significant correlation with MSTS score. Despite decreased walking velocity, stride length, and stance phase of the operated limb, the patient still has a symmetrical gait.","author":[{"dropping-particle":"","family":"Singh","given":"Vivek Ajit","non-dropping-particle":"","parse-names":false,"suffix":""},{"dropping-particle":"","family":"Heng","given":"Chan Wei","non-dropping-particle":"","parse-names":false,"suffix":""},{"dropping-particle":"","family":"Yasin","given":"Nor Faissal","non-dropping-particle":"","parse-names":false,"suffix":""}],"container-title":"Indian journal of orthopaedics","id":"ITEM-2","issue":"1","issued":{"date-parts":[["2018"]]},"language":"eng","page":"65-72","publisher":"Medknow Publications &amp; Media Pvt Ltd","title":"Gait Analysis in Patients with Wide Resection and Endoprosthesis Replacement Around the Knee","type":"article-journal","volume":"52"},"uris":["http://www.mendeley.com/documents/?uuid=57636998-9e65-4246-9a8b-1ba396562085"]}],"mendeley":{"formattedCitation":"(21,38)","plainTextFormattedCitation":"(21,38)","previouslyFormattedCitation":"(21,39)"},"properties":{"noteIndex":0},"schema":"https://github.com/citation-style-language/schema/raw/master/csl-citation.json"}</w:instrText>
      </w:r>
      <w:r w:rsidR="00B147CE" w:rsidRPr="005B5460">
        <w:rPr>
          <w:rFonts w:ascii="Times New Roman" w:hAnsi="Times New Roman" w:cs="Times New Roman"/>
        </w:rPr>
        <w:fldChar w:fldCharType="separate"/>
      </w:r>
      <w:r w:rsidR="009D0EA8" w:rsidRPr="005B5460">
        <w:rPr>
          <w:rFonts w:ascii="Times New Roman" w:hAnsi="Times New Roman" w:cs="Times New Roman"/>
          <w:noProof/>
        </w:rPr>
        <w:t>(21,38)</w:t>
      </w:r>
      <w:r w:rsidR="00B147CE" w:rsidRPr="005B5460">
        <w:rPr>
          <w:rFonts w:ascii="Times New Roman" w:hAnsi="Times New Roman" w:cs="Times New Roman"/>
        </w:rPr>
        <w:fldChar w:fldCharType="end"/>
      </w:r>
      <w:r w:rsidRPr="005B5460">
        <w:rPr>
          <w:rFonts w:ascii="Times New Roman" w:hAnsi="Times New Roman" w:cs="Times New Roman"/>
        </w:rPr>
        <w:t xml:space="preserve"> and </w:t>
      </w:r>
      <w:r w:rsidR="009D0EA8" w:rsidRPr="005B5460">
        <w:rPr>
          <w:rFonts w:ascii="Times New Roman" w:hAnsi="Times New Roman" w:cs="Times New Roman"/>
        </w:rPr>
        <w:t>three</w:t>
      </w:r>
      <w:r w:rsidRPr="005B5460">
        <w:rPr>
          <w:rFonts w:ascii="Times New Roman" w:hAnsi="Times New Roman" w:cs="Times New Roman"/>
        </w:rPr>
        <w:t xml:space="preserve"> retrospective chart reviews </w:t>
      </w:r>
      <w:r w:rsidR="008E0F08"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{"citationItems":[{"id":"ITEM-1","itemData":{"DOI":"10.1007/s00264-018-3770-9","ISSN":"1432-5195 (Electronic)","PMID":"29427125","abstract":"PURPOSE: We initiated a retrospective study on the long-term survival of cemented  endoprostheses for bone tumours around the knee to answer the following questions: (1) What was the survival of these patients? (2) What was the overall survival of cemented prostheses around the knee? (3) What types of failures were observed in these reconstructions? (4) Did the survival and complications vary according to the site of the implant? (5) What was the functional result after cemented prosthesis replacement around the knee? METHODS: From January 2006 to December 2013, 108 consecutive patients with an average age of 25 years, who had mature bone development as evidenced by imaging examinations, underwent 108 cemented endoprosthetic knee replacements for osteosarcoma resection. All patients received neoadjuvant chemotherapy using a multi-drug protocol consisting of high dose methotrexate (HDMTX), doxorubicin (ADM), cisplatin (DDP) and high dose ifosfamide (HDIFO). When extensor mechanism reconstruction was required, we ran nonabsorbable sutures through designated holes in the tibial component to fix detached hamstrings and the remaining ligaments in an imbricated fashion as well as reinforced the reconstruction with a medial gastrocnemius flap. Seventy-two (72/108, 66.7%) lesions were located in the distal femur and 36 (36/108, 33.3%) lesions at the proximal tibias. Nineteen patients were staged as IIA and 89 as IIB according to the Enneking staging system. The average follow-up was 53.3 months (range 12-125 months), with a minimum oncological follow-up of one year. Survival, prosthetic failure, complications and functional outcomes were recorded and reassessed at every visit after the primary operation. RESULTS: At the final follow-up, the oncologic results showed that 33 patients died from metastases, and local recurrence occurred in ten patients. The estimated overall five-year and eight-year survival rates were 71% (95% CI: 62.4-79.65%) and 67.2% (95% CI: 58-76.4%), respectively. In this study, a total of 51 complications occurred in 45 patients, and at the end of follow-up, 59 patients had prostheses in situ. The estimated overall five-year and eight-year implant survival rates were 77.7% (95% CI: 67.9-87.5%) and 54.5% (95% CI: 31.4-77.6%), respectively, when patients who died with their original prostheses were censored. In total, 21 (21/108, 19.4%) implants failed, five due to infections (5/21), eight due to aseptic loosening (8/21), four due to local re…","author":[{"dropping-particle":"","family":"Zhang","given":"Chunlin","non-dropping-particle":"","parse-names":false,"suffix":""},{"dropping-particle":"","family":"Hu","given":"Jianping","non-dropping-particle":"","parse-names":false,"suffix":""},{"dropping-particle":"","family":"Zhu","given":"Kunpeng","non-dropping-particle":"","parse-names":false,"suffix":""},{"dropping-particle":"","family":"Cai","given":"Tao","non-dropping-particle":"","parse-names":false,"suffix":""},{"dropping-particle":"","family":"Ma","given":"Xiaolong","non-dropping-particle":"","parse-names":false,"suffix":""}],"container-title":"International orthopaedics","id":"ITEM-1","issue":"4","issued":{"date-parts":[["2018","4"]]},"language":"eng","page":"927-938","publisher-place":"Germany","title":"Survival, complications and functional outcomes of cemented megaprostheses for  high-grade osteosarcoma around the knee.","type":"article-journal","volume":"42"},"uris":["http://www.mendeley.com/documents/?uuid=dc326e07-de8f-4cdd-bd80-4a3658265e05"]},{"id":"ITEM-2","itemData":{"DOI":"10.1093/jjco/hyu093","ISSN":"1465-3621 (Electronic)","PMID":"25057091","abstract":"OBJECTIVE: Extra-articular resection is necessary to obtain a wide margin for  primary osteosarcomas invading the knee joint, and the limb is often reconstructed using a prosthesis. Here, outcomes of extra-articular and intra-articular procedures were compared. METHODS: Between 1999 and 2012, 14 patients with osteosarcoma underwent extra-articular excision (n = 6; ages 23-65 years; mean follow-up 82.8 months) or intra-articular excision (n = 8; ages 8-58 years; mean follow-up 96.4 months). In the extra-articular group, there was one Enneking Stage IIA case and five Enneking Stage IIB cases. No local recurrences were noted in either group. RESULTS: Patient outcomes were as follows (extra-articular cases vs. intra-articular cases): continuous disease-free (2 vs. 7), alive with disease (2 vs. 0) and death from disease (1 vs. 1). Average Musculoskeletal Tumor Society functional scores were 69.4% (range 63.3-83.3%) and 88.3% (range 70.0-96.7%) in the extra-articular and intra-articular groups, respectively, constituting a significant difference (P &lt; 0.05). The 5-year oncological overall survival exceeded 80% in both groups. Amputation was necessary for one patient in the extra-articular group. The 5-year event-free prosthesis survival rates in the extra-articular and intra-articular groups were 33.3 and 75.0%, respectively (P &lt; 0.05). CONCLUSION: The extra-articular excision group developed more complications than the intra-articular excision group, as a result of extensive bone and muscle excision. The limb survival rates were similar in both groups. Our results suggest that extra-articular resection was a necessary and clinically acceptable procedure.","author":[{"dropping-particle":"","family":"Ieguchi","given":"Makoto","non-dropping-particle":"","parse-names":false,"suffix":""},{"dropping-particle":"","family":"Hoshi","given":"Manabu","non-dropping-particle":"","parse-names":false,"suffix":""},{"dropping-particle":"","family":"Aono","given":"Masanari","non-dropping-particle":"","parse-names":false,"suffix":""},{"dropping-particle":"","family":"Takada","given":"Jun","non-dropping-particle":"","parse-names":false,"suffix":""},{"dropping-particle":"","family":"Ohebisu","given":"Naoto","non-dropping-particle":"","parse-names":false,"suffix":""},{"dropping-particle":"","family":"Kudawara","given":"Ikuo","non-dropping-particle":"","parse-names":false,"suffix":""},{"dropping-particle":"","family":"Nakamura","given":"Hiroaki","non-dropping-particle":"","parse-names":false,"suffix":""}],"container-title":"Japanese journal of clinical oncology","id":"ITEM-2","issue":"9","issued":{"date-parts":[["2014","9"]]},"language":"eng","page":"812-817","publisher-place":"England","title":"Knee reconstruction with endoprosthesis after extra-articular and intra-articular  resection of osteosarcoma.","type":"article-journal","volume":"44"},"uris":["http://www.mendeley.com/documents/?uuid=67433737-0661-46b4-aabd-8e287e8aefd4"]},{"id":"ITEM-3","itemData":{"DOI":"10.1016/j.ejso.2012.07.003","ISSN":"1532-2157 (Electronic)","PMID":"22809860","abstract":"AIM: Limb-salvage surgery has become the standard of care for extremity  osteosarcoma. In this study, we investigated the survival and functional outcomes of patients with osteosarcoma around the knee who were treated with limb-salvage surgery. METHODS: We retrospectively reviewed the clinical data for 120 patients with osteosarcoma around the knee who were treated with limb-salvage surgery between 1998 and 2008. The sample included 75 males and 45 females. The mean age of the patients was 18.9 years. Osteosarcoma was diagnosed in the distal femur in 78 patients and in the proximal tibia in 42 patients. Statistical analyses were conducted to process and record the patient data and analyse the surgery's efficacy, prognosis and survival rates. RESULTS: All patients were followed for 6-144 months (mean of 56.8 months). The overall 5-year survival rate was 61.8%. Lung metastasis developed in 31 patients. Local recurrence developed in 9 patients. The average Musculoskeletal Tumor Society Score (MSTS) was 25.5 points on a 30-point scale. Sixteen patients underwent prosthesis revision and twelve patients underwent amputation. The overall survivorship of the prosthesis based on Kaplan-Meier estimates was 77% at five years and 71% at ten years. There was a higher incidence of extensor lag for the patients with osteosarcoma in the proximal tibia than for those with osteosarcoma in the distal femur (P &lt; 0.01). CONCLUSIONS: Treating osteosarcoma around the knee with limb-salvage surgery can preserve most of the knee's functionality. Attention must be paid to prevent the relatively high incidence of postoperative complications.","author":[{"dropping-particle":"","family":"Tan","given":"P X","non-dropping-particle":"","parse-names":false,"suffix":""},{"dropping-particle":"","family":"Yong","given":"B C","non-dropping-particle":"","parse-names":false,"suffix":""},{"dropping-particle":"","family":"Wang","given":"J","non-dropping-particle":"","parse-names":false,"suffix":""},{"dropping-particle":"","family":"Huang","given":"G","non-dropping-particle":"","parse-names":false,"suffix":""},{"dropping-particle":"","family":"Yin","given":"J Q","non-dropping-particle":"","parse-names":false,"suffix":""},{"dropping-particle":"","family":"Zou","given":"C Y","non-dropping-particle":"","parse-names":false,"suffix":""},{"dropping-particle":"","family":"Xie","given":"X B","non-dropping-particle":"","parse-names":false,"suffix":""},{"dropping-particle":"","family":"Tang","given":"Q L","non-dropping-particle":"","parse-names":false,"suffix":""},{"dropping-particle":"","family":"Shen","given":"J N","non-dropping-particle":"","parse-names":false,"suffix":""}],"container-title":"European journal of surgical oncology : the journal of the European Society of  Surgical Oncology and the British Association of Surgical Oncology","id":"ITEM-3","issue":"12","issued":{"date-parts":[["2012","12"]]},"language":"eng","page":"1171-1177","publisher-place":"England","title":"Analysis of the efficacy and prognosis of limb-salvage surgery for osteosarcoma  around the knee.","type":"article-journal","volume":"38"},"uris":["http://www.mendeley.com/documents/?uuid=ba59065b-75e0-4ba0-9ab8-7e2c83b0d0ec"]}],"mendeley":{"formattedCitation":"(39–41)","plainTextFormattedCitation":"(39–41)","previouslyFormattedCitation":"(40–42)"},"properties":{"noteIndex":0},"schema":"https://github.com/citation-style-language/schema/raw/master/csl-citation.json"}</w:instrText>
      </w:r>
      <w:r w:rsidR="008E0F08" w:rsidRPr="005B5460">
        <w:rPr>
          <w:rFonts w:ascii="Times New Roman" w:hAnsi="Times New Roman" w:cs="Times New Roman"/>
        </w:rPr>
        <w:fldChar w:fldCharType="separate"/>
      </w:r>
      <w:r w:rsidR="009D0EA8" w:rsidRPr="005B5460">
        <w:rPr>
          <w:rFonts w:ascii="Times New Roman" w:hAnsi="Times New Roman" w:cs="Times New Roman"/>
          <w:noProof/>
        </w:rPr>
        <w:t>(39–41)</w:t>
      </w:r>
      <w:r w:rsidR="008E0F08" w:rsidRPr="005B5460">
        <w:rPr>
          <w:rFonts w:ascii="Times New Roman" w:hAnsi="Times New Roman" w:cs="Times New Roman"/>
        </w:rPr>
        <w:fldChar w:fldCharType="end"/>
      </w:r>
      <w:r w:rsidRPr="005B5460">
        <w:rPr>
          <w:rFonts w:ascii="Times New Roman" w:hAnsi="Times New Roman" w:cs="Times New Roman"/>
        </w:rPr>
        <w:t xml:space="preserve">. </w:t>
      </w:r>
    </w:p>
    <w:p w14:paraId="14E1BD3E" w14:textId="691AFC7E" w:rsidR="002C694E" w:rsidRPr="005B5460" w:rsidRDefault="002C694E" w:rsidP="00075292">
      <w:pPr>
        <w:spacing w:line="480" w:lineRule="auto"/>
        <w:rPr>
          <w:rFonts w:ascii="Times New Roman" w:hAnsi="Times New Roman" w:cs="Times New Roman"/>
        </w:rPr>
      </w:pPr>
      <w:r w:rsidRPr="005B5460">
        <w:rPr>
          <w:rFonts w:ascii="Times New Roman" w:hAnsi="Times New Roman" w:cs="Times New Roman"/>
        </w:rPr>
        <w:t>&lt;&lt;Please insert table 4&gt;&gt;</w:t>
      </w:r>
    </w:p>
    <w:p w14:paraId="2DEF69F4" w14:textId="14B851D0" w:rsidR="0069594B" w:rsidRPr="005B5460" w:rsidRDefault="007E3529" w:rsidP="00075292">
      <w:pPr>
        <w:spacing w:line="480" w:lineRule="auto"/>
        <w:rPr>
          <w:rFonts w:ascii="Times New Roman" w:hAnsi="Times New Roman" w:cs="Times New Roman"/>
        </w:rPr>
      </w:pPr>
      <w:r w:rsidRPr="005B5460">
        <w:rPr>
          <w:rFonts w:ascii="Times New Roman" w:hAnsi="Times New Roman" w:cs="Times New Roman"/>
        </w:rPr>
        <w:t>The overall study population was heterogeneous for age, stage and type of tumour, associated treatment (e.g., chemotherapy), type of endoprostheses used</w:t>
      </w:r>
      <w:r w:rsidR="0069594B" w:rsidRPr="005B5460">
        <w:rPr>
          <w:rFonts w:ascii="Times New Roman" w:hAnsi="Times New Roman" w:cs="Times New Roman"/>
        </w:rPr>
        <w:t xml:space="preserve">, </w:t>
      </w:r>
      <w:r w:rsidRPr="005B5460">
        <w:rPr>
          <w:rFonts w:ascii="Times New Roman" w:hAnsi="Times New Roman" w:cs="Times New Roman"/>
        </w:rPr>
        <w:t xml:space="preserve">surgical techniques, presence of a comparison group and the type of comparison, (ablative surgery or a healthy control group). Most studies </w:t>
      </w:r>
      <w:r w:rsidR="0069594B" w:rsidRPr="005B5460">
        <w:rPr>
          <w:rFonts w:ascii="Times New Roman" w:hAnsi="Times New Roman" w:cs="Times New Roman"/>
        </w:rPr>
        <w:t>described</w:t>
      </w:r>
      <w:r w:rsidRPr="005B5460">
        <w:rPr>
          <w:rFonts w:ascii="Times New Roman" w:hAnsi="Times New Roman" w:cs="Times New Roman"/>
        </w:rPr>
        <w:t xml:space="preserve"> age variation and two papers were dedicated to paediatrics and young adults </w:t>
      </w:r>
      <w:r w:rsidR="00965289" w:rsidRPr="005B5460">
        <w:rPr>
          <w:rFonts w:ascii="Times New Roman" w:hAnsi="Times New Roman" w:cs="Times New Roman"/>
        </w:rPr>
        <w:fldChar w:fldCharType="begin" w:fldLock="1"/>
      </w:r>
      <w:r w:rsidR="000E2BB7" w:rsidRPr="005B5460">
        <w:rPr>
          <w:rFonts w:ascii="Times New Roman" w:hAnsi="Times New Roman" w:cs="Times New Roman"/>
        </w:rPr>
        <w:instrText>ADDIN CSL_CITATION {"citationItems":[{"id":"ITEM-1","itemData":{"DOI":"10.3892/etm.2014.1744","ISSN":"1792-0981","abstract":"In this study, the effects of surgical removal of malignant metaphyseal bone tumors with epiphysis preservation and knee arthroplasty were analyzed. A total of 15 patients with malignant metaphyseal bone tumors were investigated. Six of these patients underwent epiphyseal preservation surgery with preoperative physeal distraction, termed the physeal distraction (PD) group. Nine patients underwent resection of the knee joint, combined with metal prosthesis transfer, termed the knee arthroplasty (KA) group. Tumor control, limb length discrepancy, range of movement (ROM) of the knee and functional outcome of lower limb [Musculoskeletal Tumor Society (MSTS) score and the Toronto extremity salvage score (TESS)] were assessed for these two groups. All 15 patients were followed-up after the surgery. One patient in the PD group was found to have lung tumor metastasis; however, no local tumor recurrence was found. In the KA group, local tumor recurrence was found in one patient, and lung metastases were observed in two cases postoperatively. The limb length discrepancy in patients of the PD group was 2.58±0.27 cm, which was significantly less compared with that in patients in the KA group (4.01±0.13 cm; P&lt;0.05). In addition, the lower limb knee ROM in patients in the PD group was 127.70±14.63°, which was increased compared to that in patients in the KA group (105.70±15.48°; P&lt;0.05). The mean MSTS score was 86.67% with a mean TESS of 82.33% in patients from the PD group, which showed no significant difference compared with the respective scores for patients in the KA group (P&gt;0.05). Therefore, epiphyseal sparing limb-saving surgeries should be considered for the treatment of malignant metaphyseal bone tumors in children, when certain indications are satisfied.","author":[{"dropping-particle":"","family":"Zhang","given":"Peng","non-dropping-particle":"","parse-names":false,"suffix":""},{"dropping-particle":"","family":"Feng","given":"Feifei","non-dropping-particle":"","parse-names":false,"suffix":""},{"dropping-particle":"","family":"Cai","given":"Qiqing","non-dropping-particle":"","parse-names":false,"suffix":""},{"dropping-particle":"","family":"Yao","given":"Weitao","non-dropping-particle":"","parse-names":false,"suffix":""},{"dropping-particle":"","family":"Gao","given":"Songtao","non-dropping-particle":"","parse-names":false,"suffix":""},{"dropping-particle":"","family":"Wang","given":"Jiaqiang","non-dropping-particle":"","parse-names":false,"suffix":""},{"dropping-particle":"","family":"Wang","given":"Xin","non-dropping-particle":"","parse-names":false,"suffix":""}],"container-title":"Experimental and therapeutic medicine","edition":"2014/05/28","id":"ITEM-1","issue":"2","issued":{"date-parts":[["2014","8"]]},"language":"eng","page":"567-572","publisher":"D.A. Spandidos","title":"Effects of metaphyseal bone tumor removal with preservation of the epiphysis and knee arthroplasty","type":"article-journal","volume":"8"},"uris":["http://www.mendeley.com/documents/?uuid=d539b6a2-627a-467e-86c8-4c9e75ef76c0"]},{"id":"ITEM-2","itemData":{"DOI":"10.1002/jso.21828","ISSN":"1096-9098 (Electronic)","PMID":"21337557","abstract":"BACKGROUND: Aim of our study was to compare functional ability and physical activity  in children and young adults who underwent surgery for a malignant bone tumor that was located around the knee. METHODS: This cross-sectional study included 82 patients aged 8-25 years with a follow-up of 1-5 years. The functional ability and the amount of physical activity were evaluated by means of questionnaires and objective instruments. RESULTS: Thirty nine patients underwent limb-salvage surgery (24 allograft and 15 endoprosthesis) and 43 underwent ablative surgery (27 amputations and 16 rotationplasty). Patients in the limb-salvage group were significantly older at the time of surgery than patients in the ablative group (mean age 15.2 years vs. 13.2 years, P = 0.03). Apart from significantly better scores for the timed up and down stairs and various walking activities in the limb-salvage group as compared to the ablative surgery group, no significant differences were seen for any of the outcome measures. CONCLUSIONS: One to 5 years after limb-salvage and ablative surgery due to a malignant bone tumor children and young adults do, apart from a few activities involving walking and climbing stairs, not differ with respect to overall functional ability and physical activity.","author":[{"dropping-particle":"","family":"Bekkering","given":"W Peter","non-dropping-particle":"","parse-names":false,"suffix":""},{"dropping-particle":"","family":"Vliet Vlieland","given":"Theodora P M","non-dropping-particle":"","parse-names":false,"suffix":""},{"dropping-particle":"","family":"Koopman","given":"Hendrik M","non-dropping-particle":"","parse-names":false,"suffix":""},{"dropping-particle":"","family":"Schaap","given":"Gerard R","non-dropping-particle":"","parse-names":false,"suffix":""},{"dropping-particle":"","family":"Bart Schreuder","given":"H W","non-dropping-particle":"","parse-names":false,"suffix":""},{"dropping-particle":"","family":"Beishuizen","given":"Auke","non-dropping-particle":"","parse-names":false,"suffix":""},{"dropping-particle":"","family":"Jutte","given":"Paul C","non-dropping-particle":"","parse-names":false,"suffix":""},{"dropping-particle":"","family":"Hoogerbrugge","given":"Peter M","non-dropping-particle":"","parse-names":false,"suffix":""},{"dropping-particle":"","family":"Anninga","given":"Jacob K","non-dropping-particle":"","parse-names":false,"suffix":""},{"dropping-particle":"","family":"Nelissen","given":"Rob G H H","non-dropping-particle":"","parse-names":false,"suffix":""},{"dropping-particle":"","family":"Taminiau","given":"Antonie H M","non-dropping-particle":"","parse-names":false,"suffix":""}],"container-title":"Journal of surgical oncology","id":"ITEM-2","issue":"3","issued":{"date-parts":[["2011","3"]]},"language":"eng","page":"276-282","publisher-place":"United States","title":"Functional ability and physical activity in children and young adults after  limb-salvage or ablative surgery for lower extremity bone tumors.","type":"article-journal","volume":"103"},"uris":["http://www.mendeley.com/documents/?uuid=46086f6e-f63d-4ad9-82d8-9ecafd272161"]}],"mendeley":{"formattedCitation":"(18,21)","plainTextFormattedCitation":"(18,21)","previouslyFormattedCitation":"(18,21)"},"properties":{"noteIndex":0},"schema":"https://github.com/citation-style-language/schema/raw/master/csl-citation.json"}</w:instrText>
      </w:r>
      <w:r w:rsidR="00965289" w:rsidRPr="005B5460">
        <w:rPr>
          <w:rFonts w:ascii="Times New Roman" w:hAnsi="Times New Roman" w:cs="Times New Roman"/>
        </w:rPr>
        <w:fldChar w:fldCharType="separate"/>
      </w:r>
      <w:r w:rsidR="00965289" w:rsidRPr="005B5460">
        <w:rPr>
          <w:rFonts w:ascii="Times New Roman" w:hAnsi="Times New Roman" w:cs="Times New Roman"/>
          <w:noProof/>
        </w:rPr>
        <w:t>(18,21)</w:t>
      </w:r>
      <w:r w:rsidR="00965289" w:rsidRPr="005B5460">
        <w:rPr>
          <w:rFonts w:ascii="Times New Roman" w:hAnsi="Times New Roman" w:cs="Times New Roman"/>
        </w:rPr>
        <w:fldChar w:fldCharType="end"/>
      </w:r>
      <w:r w:rsidRPr="005B5460">
        <w:rPr>
          <w:rFonts w:ascii="Times New Roman" w:hAnsi="Times New Roman" w:cs="Times New Roman"/>
        </w:rPr>
        <w:t xml:space="preserve">. </w:t>
      </w:r>
    </w:p>
    <w:p w14:paraId="0CCABBD9" w14:textId="3FCA1B7C" w:rsidR="006110D8" w:rsidRPr="005B5460" w:rsidRDefault="007E3529" w:rsidP="007E3529">
      <w:pPr>
        <w:spacing w:line="480" w:lineRule="auto"/>
        <w:rPr>
          <w:rFonts w:ascii="Times New Roman" w:hAnsi="Times New Roman" w:cs="Times New Roman"/>
        </w:rPr>
      </w:pPr>
      <w:r w:rsidRPr="005B5460">
        <w:rPr>
          <w:rFonts w:ascii="Times New Roman" w:hAnsi="Times New Roman" w:cs="Times New Roman"/>
        </w:rPr>
        <w:t>The study location varied</w:t>
      </w:r>
      <w:r w:rsidR="0069594B" w:rsidRPr="005B5460">
        <w:rPr>
          <w:rFonts w:ascii="Times New Roman" w:hAnsi="Times New Roman" w:cs="Times New Roman"/>
        </w:rPr>
        <w:t>;</w:t>
      </w:r>
      <w:r w:rsidRPr="005B5460">
        <w:rPr>
          <w:rFonts w:ascii="Times New Roman" w:hAnsi="Times New Roman" w:cs="Times New Roman"/>
        </w:rPr>
        <w:t xml:space="preserve"> five studies </w:t>
      </w:r>
      <w:r w:rsidR="0069594B" w:rsidRPr="005B5460">
        <w:rPr>
          <w:rFonts w:ascii="Times New Roman" w:hAnsi="Times New Roman" w:cs="Times New Roman"/>
        </w:rPr>
        <w:t xml:space="preserve">were </w:t>
      </w:r>
      <w:r w:rsidR="00B66B3A" w:rsidRPr="005B5460">
        <w:rPr>
          <w:rFonts w:ascii="Times New Roman" w:hAnsi="Times New Roman" w:cs="Times New Roman"/>
        </w:rPr>
        <w:t xml:space="preserve">from Asia; </w:t>
      </w:r>
      <w:r w:rsidRPr="005B5460">
        <w:rPr>
          <w:rFonts w:ascii="Times New Roman" w:hAnsi="Times New Roman" w:cs="Times New Roman"/>
        </w:rPr>
        <w:t>China</w:t>
      </w:r>
      <w:r w:rsidR="00B66B3A" w:rsidRPr="005B5460">
        <w:rPr>
          <w:rFonts w:ascii="Times New Roman" w:hAnsi="Times New Roman" w:cs="Times New Roman"/>
        </w:rPr>
        <w:t xml:space="preserve"> </w:t>
      </w:r>
      <w:r w:rsidR="000E2BB7"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{"citationItems":[{"id":"ITEM-1","itemData":{"DOI":"10.3892/etm.2014.1744","ISSN":"1792-0981","abstract":"In this study, the effects of surgical removal of malignant metaphyseal bone tumors with epiphysis preservation and knee arthroplasty were analyzed. A total of 15 patients with malignant metaphyseal bone tumors were investigated. Six of these patients underwent epiphyseal preservation surgery with preoperative physeal distraction, termed the physeal distraction (PD) group. Nine patients underwent resection of the knee joint, combined with metal prosthesis transfer, termed the knee arthroplasty (KA) group. Tumor control, limb length discrepancy, range of movement (ROM) of the knee and functional outcome of lower limb [Musculoskeletal Tumor Society (MSTS) score and the Toronto extremity salvage score (TESS)] were assessed for these two groups. All 15 patients were followed-up after the surgery. One patient in the PD group was found to have lung tumor metastasis; however, no local tumor recurrence was found. In the KA group, local tumor recurrence was found in one patient, and lung metastases were observed in two cases postoperatively. The limb length discrepancy in patients of the PD group was 2.58±0.27 cm, which was significantly less compared with that in patients in the KA group (4.01±0.13 cm; P&lt;0.05). In addition, the lower limb knee ROM in patients in the PD group was 127.70±14.63°, which was increased compared to that in patients in the KA group (105.70±15.48°; P&lt;0.05). The mean MSTS score was 86.67% with a mean TESS of 82.33% in patients from the PD group, which showed no significant difference compared with the respective scores for patients in the KA group (P&gt;0.05). Therefore, epiphyseal sparing limb-saving surgeries should be considered for the treatment of malignant metaphyseal bone tumors in children, when certain indications are satisfied.","author":[{"dropping-particle":"","family":"Zhang","given":"Peng","non-dropping-particle":"","parse-names":false,"suffix":""},{"dropping-particle":"","family":"Feng","given":"Feifei","non-dropping-particle":"","parse-names":false,"suffix":""},{"dropping-particle":"","family":"Cai","given":"Qiqing","non-dropping-particle":"","parse-names":false,"suffix":""},{"dropping-particle":"","family":"Yao","given":"Weitao","non-dropping-particle":"","parse-names":false,"suffix":""},{"dropping-particle":"","family":"Gao","given":"Songtao","non-dropping-particle":"","parse-names":false,"suffix":""},{"dropping-particle":"","family":"Wang","given":"Jiaqiang","non-dropping-particle":"","parse-names":false,"suffix":""},{"dropping-particle":"","family":"Wang","given":"Xin","non-dropping-particle":"","parse-names":false,"suffix":""}],"container-title":"Experimental and therapeutic medicine","edition":"2014/05/28","id":"ITEM-1","issue":"2","issued":{"date-parts":[["2014","8"]]},"language":"eng","page":"567-572","publisher":"D.A. Spandidos","title":"Effects of metaphyseal bone tumor removal with preservation of the epiphysis and knee arthroplasty","type":"article-journal","volume":"8"},"uris":["http://www.mendeley.com/documents/?uuid=d539b6a2-627a-467e-86c8-4c9e75ef76c0"]},{"id":"ITEM-2","itemData":{"DOI":"10.1007/s00264-018-3770-9","ISSN":"1432-5195 (Electronic)","PMID":"29427125","abstract":"PURPOSE: We initiated a retrospective study on the long-term survival of cemented  endoprostheses for bone tumours around the knee to answer the following questions: (1) What was the survival of these patients? (2) What was the overall survival of cemented prostheses around the knee? (3) What types of failures were observed in these reconstructions? (4) Did the survival and complications vary according to the site of the implant? (5) What was the functional result after cemented prosthesis replacement around the knee? METHODS: From January 2006 to December 2013, 108 consecutive patients with an average age of 25 years, who had mature bone development as evidenced by imaging examinations, underwent 108 cemented endoprosthetic knee replacements for osteosarcoma resection. All patients received neoadjuvant chemotherapy using a multi-drug protocol consisting of high dose methotrexate (HDMTX), doxorubicin (ADM), cisplatin (DDP) and high dose ifosfamide (HDIFO). When extensor mechanism reconstruction was required, we ran nonabsorbable sutures through designated holes in the tibial component to fix detached hamstrings and the remaining ligaments in an imbricated fashion as well as reinforced the reconstruction with a medial gastrocnemius flap. Seventy-two (72/108, 66.7%) lesions were located in the distal femur and 36 (36/108, 33.3%) lesions at the proximal tibias. Nineteen patients were staged as IIA and 89 as IIB according to the Enneking staging system. The average follow-up was 53.3 months (range 12-125 months), with a minimum oncological follow-up of one year. Survival, prosthetic failure, complications and functional outcomes were recorded and reassessed at every visit after the primary operation. RESULTS: At the final follow-up, the oncologic results showed that 33 patients died from metastases, and local recurrence occurred in ten patients. The estimated overall five-year and eight-year survival rates were 71% (95% CI: 62.4-79.65%) and 67.2% (95% CI: 58-76.4%), respectively. In this study, a total of 51 complications occurred in 45 patients, and at the end of follow-up, 59 patients had prostheses in situ. The estimated overall five-year and eight-year implant survival rates were 77.7% (95% CI: 67.9-87.5%) and 54.5% (95% CI: 31.4-77.6%), respectively, when patients who died with their original prostheses were censored. In total, 21 (21/108, 19.4%) implants failed, five due to infections (5/21), eight due to aseptic loosening (8/21), four due to local re…","author":[{"dropping-particle":"","family":"Zhang","given":"Chunlin","non-dropping-particle":"","parse-names":false,"suffix":""},{"dropping-particle":"","family":"Hu","given":"Jianping","non-dropping-particle":"","parse-names":false,"suffix":""},{"dropping-particle":"","family":"Zhu","given":"Kunpeng","non-dropping-particle":"","parse-names":false,"suffix":""},{"dropping-particle":"","family":"Cai","given":"Tao","non-dropping-particle":"","parse-names":false,"suffix":""},{"dropping-particle":"","family":"Ma","given":"Xiaolong","non-dropping-particle":"","parse-names":false,"suffix":""}],"container-title":"International orthopaedics","id":"ITEM-2","issue":"4","issued":{"date-parts":[["2018","4"]]},"language":"eng","page":"927-938","publisher-place":"Germany","title":"Survival, complications and functional outcomes of cemented megaprostheses for  high-grade osteosarcoma around the knee.","type":"article-journal","volume":"42"},"uris":["http://www.mendeley.com/documents/?uuid=dc326e07-de8f-4cdd-bd80-4a3658265e05"]},{"id":"ITEM-3","itemData":{"DOI":"10.1016/j.ejso.2012.07.003","ISSN":"1532-2157 (Electronic)","PMID":"22809860","abstract":"AIM: Limb-salvage surgery has become the standard of care for extremity  osteosarcoma. In this study, we investigated the survival and functional outcomes of patients with osteosarcoma around the knee who were treated with limb-salvage surgery. METHODS: We retrospectively reviewed the clinical data for 120 patients with osteosarcoma around the knee who were treated with limb-salvage surgery between 1998 and 2008. The sample included 75 males and 45 females. The mean age of the patients was 18.9 years. Osteosarcoma was diagnosed in the distal femur in 78 patients and in the proximal tibia in 42 patients. Statistical analyses were conducted to process and record the patient data and analyse the surgery's efficacy, prognosis and survival rates. RESULTS: All patients were followed for 6-144 months (mean of 56.8 months). The overall 5-year survival rate was 61.8%. Lung metastasis developed in 31 patients. Local recurrence developed in 9 patients. The average Musculoskeletal Tumor Society Score (MSTS) was 25.5 points on a 30-point scale. Sixteen patients underwent prosthesis revision and twelve patients underwent amputation. The overall survivorship of the prosthesis based on Kaplan-Meier estimates was 77% at five years and 71% at ten years. There was a higher incidence of extensor lag for the patients with osteosarcoma in the proximal tibia than for those with osteosarcoma in the distal femur (P &lt; 0.01). CONCLUSIONS: Treating osteosarcoma around the knee with limb-salvage surgery can preserve most of the knee's functionality. Attention must be paid to prevent the relatively high incidence of postoperative complications.","author":[{"dropping-particle":"","family":"Tan","given":"P X","non-dropping-particle":"","parse-names":false,"suffix":""},{"dropping-particle":"","family":"Yong","given":"B C","non-dropping-particle":"","parse-names":false,"suffix":""},{"dropping-particle":"","family":"Wang","given":"J","non-dropping-particle":"","parse-names":false,"suffix":""},{"dropping-particle":"","family":"Huang","given":"G","non-dropping-particle":"","parse-names":false,"suffix":""},{"dropping-particle":"","family":"Yin","given":"J Q","non-dropping-particle":"","parse-names":false,"suffix":""},{"dropping-particle":"","family":"Zou","given":"C Y","non-dropping-particle":"","parse-names":false,"suffix":""},{"dropping-particle":"","family":"Xie","given":"X B","non-dropping-particle":"","parse-names":false,"suffix":""},{"dropping-particle":"","family":"Tang","given":"Q L","non-dropping-particle":"","parse-names":false,"suffix":""},{"dropping-particle":"","family":"Shen","given":"J N","non-dropping-particle":"","parse-names":false,"suffix":""}],"container-title":"European journal of surgical oncology : the journal of the European Society of  Surgical Oncology and the British Association of Surgical Oncology","id":"ITEM-3","issue":"12","issued":{"date-parts":[["2012","12"]]},"language":"eng","page":"1171-1177","publisher-place":"England","title":"Analysis of the efficacy and prognosis of limb-salvage surgery for osteosarcoma  around the knee.","type":"article-journal","volume":"38"},"uris":["http://www.mendeley.com/documents/?uuid=ba59065b-75e0-4ba0-9ab8-7e2c83b0d0ec"]}],"mendeley":{"formattedCitation":"(18,39,41)","plainTextFormattedCitation":"(18,39,41)","previouslyFormattedCitation":"(18,40,42)"},"properties":{"noteIndex":0},"schema":"https://github.com/citation-style-language/schema/raw/master/csl-citation.json"}</w:instrText>
      </w:r>
      <w:r w:rsidR="000E2BB7" w:rsidRPr="005B5460">
        <w:rPr>
          <w:rFonts w:ascii="Times New Roman" w:hAnsi="Times New Roman" w:cs="Times New Roman"/>
        </w:rPr>
        <w:fldChar w:fldCharType="separate"/>
      </w:r>
      <w:r w:rsidR="009D0EA8" w:rsidRPr="005B5460">
        <w:rPr>
          <w:rFonts w:ascii="Times New Roman" w:hAnsi="Times New Roman" w:cs="Times New Roman"/>
          <w:noProof/>
        </w:rPr>
        <w:t>(18,39,41)</w:t>
      </w:r>
      <w:r w:rsidR="000E2BB7" w:rsidRPr="005B5460">
        <w:rPr>
          <w:rFonts w:ascii="Times New Roman" w:hAnsi="Times New Roman" w:cs="Times New Roman"/>
        </w:rPr>
        <w:fldChar w:fldCharType="end"/>
      </w:r>
      <w:r w:rsidRPr="005B5460">
        <w:rPr>
          <w:rFonts w:ascii="Times New Roman" w:hAnsi="Times New Roman" w:cs="Times New Roman"/>
        </w:rPr>
        <w:t xml:space="preserve">, Japan </w:t>
      </w:r>
      <w:r w:rsidR="007C7119"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{"citationItems":[{"id":"ITEM-1","itemData":{"DOI":"10.1093/jjco/hyu093","ISSN":"1465-3621 (Electronic)","PMID":"25057091","abstract":"OBJECTIVE: Extra-articular resection is necessary to obtain a wide margin for  primary osteosarcomas invading the knee joint, and the limb is often reconstructed using a prosthesis. Here, outcomes of extra-articular and intra-articular procedures were compared. METHODS: Between 1999 and 2012, 14 patients with osteosarcoma underwent extra-articular excision (n = 6; ages 23-65 years; mean follow-up 82.8 months) or intra-articular excision (n = 8; ages 8-58 years; mean follow-up 96.4 months). In the extra-articular group, there was one Enneking Stage IIA case and five Enneking Stage IIB cases. No local recurrences were noted in either group. RESULTS: Patient outcomes were as follows (extra-articular cases vs. intra-articular cases): continuous disease-free (2 vs. 7), alive with disease (2 vs. 0) and death from disease (1 vs. 1). Average Musculoskeletal Tumor Society functional scores were 69.4% (range 63.3-83.3%) and 88.3% (range 70.0-96.7%) in the extra-articular and intra-articular groups, respectively, constituting a significant difference (P &lt; 0.05). The 5-year oncological overall survival exceeded 80% in both groups. Amputation was necessary for one patient in the extra-articular group. The 5-year event-free prosthesis survival rates in the extra-articular and intra-articular groups were 33.3 and 75.0%, respectively (P &lt; 0.05). CONCLUSION: The extra-articular excision group developed more complications than the intra-articular excision group, as a result of extensive bone and muscle excision. The limb survival rates were similar in both groups. Our results suggest that extra-articular resection was a necessary and clinically acceptable procedure.","author":[{"dropping-particle":"","family":"Ieguchi","given":"Makoto","non-dropping-particle":"","parse-names":false,"suffix":""},{"dropping-particle":"","family":"Hoshi","given":"Manabu","non-dropping-particle":"","parse-names":false,"suffix":""},{"dropping-particle":"","family":"Aono","given":"Masanari","non-dropping-particle":"","parse-names":false,"suffix":""},{"dropping-particle":"","family":"Takada","given":"Jun","non-dropping-particle":"","parse-names":false,"suffix":""},{"dropping-particle":"","family":"Ohebisu","given":"Naoto","non-dropping-particle":"","parse-names":false,"suffix":""},{"dropping-particle":"","family":"Kudawara","given":"Ikuo","non-dropping-particle":"","parse-names":false,"suffix":""},{"dropping-particle":"","family":"Nakamura","given":"Hiroaki","non-dropping-particle":"","parse-names":false,"suffix":""}],"container-title":"Japanese journal of clinical oncology","id":"ITEM-1","issue":"9","issued":{"date-parts":[["2014","9"]]},"language":"eng","page":"812-817","publisher-place":"England","title":"Knee reconstruction with endoprosthesis after extra-articular and intra-articular  resection of osteosarcoma.","type":"article-journal","volume":"44"},"uris":["http://www.mendeley.com/documents/?uuid=67433737-0661-46b4-aabd-8e287e8aefd4"]}],"mendeley":{"formattedCitation":"(40)","plainTextFormattedCitation":"(40)","previouslyFormattedCitation":"(41)"},"properties":{"noteIndex":0},"schema":"https://github.com/citation-style-language/schema/raw/master/csl-citation.json"}</w:instrText>
      </w:r>
      <w:r w:rsidR="007C7119" w:rsidRPr="005B5460">
        <w:rPr>
          <w:rFonts w:ascii="Times New Roman" w:hAnsi="Times New Roman" w:cs="Times New Roman"/>
        </w:rPr>
        <w:fldChar w:fldCharType="separate"/>
      </w:r>
      <w:r w:rsidR="009D0EA8" w:rsidRPr="005B5460">
        <w:rPr>
          <w:rFonts w:ascii="Times New Roman" w:hAnsi="Times New Roman" w:cs="Times New Roman"/>
          <w:noProof/>
        </w:rPr>
        <w:t>(40)</w:t>
      </w:r>
      <w:r w:rsidR="007C7119" w:rsidRPr="005B5460">
        <w:rPr>
          <w:rFonts w:ascii="Times New Roman" w:hAnsi="Times New Roman" w:cs="Times New Roman"/>
        </w:rPr>
        <w:fldChar w:fldCharType="end"/>
      </w:r>
      <w:r w:rsidR="00B66B3A" w:rsidRPr="005B5460">
        <w:rPr>
          <w:rFonts w:ascii="Times New Roman" w:hAnsi="Times New Roman" w:cs="Times New Roman"/>
        </w:rPr>
        <w:t xml:space="preserve"> </w:t>
      </w:r>
      <w:r w:rsidRPr="005B5460">
        <w:rPr>
          <w:rFonts w:ascii="Times New Roman" w:hAnsi="Times New Roman" w:cs="Times New Roman"/>
        </w:rPr>
        <w:t>and Malaysia</w:t>
      </w:r>
      <w:r w:rsidR="00B66B3A" w:rsidRPr="005B5460">
        <w:rPr>
          <w:rFonts w:ascii="Times New Roman" w:hAnsi="Times New Roman" w:cs="Times New Roman"/>
        </w:rPr>
        <w:t xml:space="preserve"> </w:t>
      </w:r>
      <w:r w:rsidR="00C51EC8"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{"citationItems":[{"id":"ITEM-1","itemData":{"DOI":"10.4103/ortho.IJOrtho_188_17","ISSN":"0019-5413","abstract":"BACKGROUND: Limb salvage surgery with endoprosthesis for bone tumor around the knee is reported to have good functional and oncological outcomes. However, the functional assessment using musculoskeletal tumor society (MSTS) and Toronto extremity scoring system remains subjective. We performed gait analysis as an objective assessment of their functional outcome. MATERIALS AND METHODS: Gait analysis was performed in 20 patients with endoprosthesis replacement around the knee. The temporal parameters assessed during gait analysis were walking velocity, stride length, duration of stance, and goniometry of the knee. These parameters were compared with the functional outcome score of the MSTS. RESULTS: The mean free-paced walking velocity was 0.91 m/s (normal is 1.33 m/s), which was 68% lower than normal gait. The stride length and stance phase were shorter for the affected limb compared to normal (P &lt; 0.05). However, the gait was symmetrical with no difference in stride length (P = 0.148), velocity (P = 0.918), knee flexion (P = 0.465), and knee extension (P = 0.321) between the affected and unaffected limbs. Sixteen patients demonstrated stiff knee gait, two had a flexed knee gait, and only two patients had normal gait during the stance phase. The mean MSTS score was 21. There was significant correlation between overall MSTS scores (P = 0.023), function (P = 0.039), and walking scores (P = 0.007). CONCLUSION: Limb salvage surgery with endoprosthesis reconstruction around the knee gives good functional outcome, both objectively and subjectively, as evidenced by the symmetrical gait pattern and significant correlation with MSTS score. Despite decreased walking velocity, stride length, and stance phase of the operated limb, the patient still has a symmetrical gait.","author":[{"dropping-particle":"","family":"Singh","given":"Vivek Ajit","non-dropping-particle":"","parse-names":false,"suffix":""},{"dropping-particle":"","family":"Heng","given":"Chan Wei","non-dropping-particle":"","parse-names":false,"suffix":""},{"dropping-particle":"","family":"Yasin","given":"Nor Faissal","non-dropping-particle":"","parse-names":false,"suffix":""}],"container-title":"Indian journal of orthopaedics","id":"ITEM-1","issue":"1","issued":{"date-parts":[["2018"]]},"language":"eng","page":"65-72","publisher":"Medknow Publications &amp; Media Pvt Ltd","title":"Gait Analysis in Patients with Wide Resection and Endoprosthesis Replacement Around the Knee","type":"article-journal","volume":"52"},"uris":["http://www.mendeley.com/documents/?uuid=57636998-9e65-4246-9a8b-1ba396562085"]}],"mendeley":{"formattedCitation":"(38)","plainTextFormattedCitation":"(38)","previouslyFormattedCitation":"(39)"},"properties":{"noteIndex":0},"schema":"https://github.com/citation-style-language/schema/raw/master/csl-citation.json"}</w:instrText>
      </w:r>
      <w:r w:rsidR="00C51EC8" w:rsidRPr="005B5460">
        <w:rPr>
          <w:rFonts w:ascii="Times New Roman" w:hAnsi="Times New Roman" w:cs="Times New Roman"/>
        </w:rPr>
        <w:fldChar w:fldCharType="separate"/>
      </w:r>
      <w:r w:rsidR="009D0EA8" w:rsidRPr="005B5460">
        <w:rPr>
          <w:rFonts w:ascii="Times New Roman" w:hAnsi="Times New Roman" w:cs="Times New Roman"/>
          <w:noProof/>
        </w:rPr>
        <w:t>(38)</w:t>
      </w:r>
      <w:r w:rsidR="00C51EC8" w:rsidRPr="005B5460">
        <w:rPr>
          <w:rFonts w:ascii="Times New Roman" w:hAnsi="Times New Roman" w:cs="Times New Roman"/>
        </w:rPr>
        <w:fldChar w:fldCharType="end"/>
      </w:r>
      <w:r w:rsidRPr="005B5460">
        <w:rPr>
          <w:rFonts w:ascii="Times New Roman" w:hAnsi="Times New Roman" w:cs="Times New Roman"/>
        </w:rPr>
        <w:t xml:space="preserve"> and five from Europe</w:t>
      </w:r>
      <w:r w:rsidR="00474F9A" w:rsidRPr="005B5460">
        <w:rPr>
          <w:rFonts w:ascii="Times New Roman" w:hAnsi="Times New Roman" w:cs="Times New Roman"/>
        </w:rPr>
        <w:t xml:space="preserve">; </w:t>
      </w:r>
      <w:r w:rsidRPr="005B5460">
        <w:rPr>
          <w:rFonts w:ascii="Times New Roman" w:hAnsi="Times New Roman" w:cs="Times New Roman"/>
        </w:rPr>
        <w:t>Netherlands</w:t>
      </w:r>
      <w:r w:rsidR="00474F9A" w:rsidRPr="005B5460">
        <w:rPr>
          <w:rFonts w:ascii="Times New Roman" w:hAnsi="Times New Roman" w:cs="Times New Roman"/>
        </w:rPr>
        <w:t xml:space="preserve"> </w:t>
      </w:r>
      <w:r w:rsidR="00964E8B" w:rsidRPr="005B5460">
        <w:rPr>
          <w:rFonts w:ascii="Times New Roman" w:hAnsi="Times New Roman" w:cs="Times New Roman"/>
        </w:rPr>
        <w:fldChar w:fldCharType="begin" w:fldLock="1"/>
      </w:r>
      <w:r w:rsidR="003849C2" w:rsidRPr="005B5460">
        <w:rPr>
          <w:rFonts w:ascii="Times New Roman" w:hAnsi="Times New Roman" w:cs="Times New Roman"/>
        </w:rPr>
        <w:instrText>ADDIN CSL_CITATION {"citationItems":[{"id":"ITEM-1","itemData":{"DOI":"10.1002/jso.24618","ISSN":"1096-9098 (Electronic)","PMID":"28384378","abstract":"BACKGROUND AND OBJECTIVES: In a previous conducted study functional outcome of young  patients with bone sarcoma located around the knee was longitudinally evaluated during the first 2 years postoperatively. Functional outcome improved significantly over the first 2 years. The purpose of this descriptive study was to evaluate the functional outcome of these patients at long-term follow-up of 7 years. METHODS: Functional outcome was assessed with the TESS, MSTS, Baecke questionnaire, and three functional performance tests: time up and down stairs (TUDS), various walking activities (VWA), and the 6-min walking test (6MWT). Linear Mixed Model has been employed for the repeated measurements. RESULTS: Twenty patients of the original study (n = 44) participated in the current study. Fifteen limb-salvage and five ablative surgery patients, median follow-up 7.4 years (6.8-8.0) (CI 95%), mean age 22.3 years (18.2-31.6). Between 2 and 7 years after surgery, 8 limb-salvage patients (53%) encountered surgery related complications. Questionnaires and functional performance tests showed no significant difference in functional outcome between 2 years and 7 years after surgery (P &lt; 0.05). CONCLUSIONS: Between 2 years and follow-up at average 7 years after surgery no further improvements were noticed at young patients with a bone sarcoma located around the knee.","author":[{"dropping-particle":"","family":"Egmond-van Dam","given":"Janneke C","non-dropping-particle":"van","parse-names":false,"suffix":""},{"dropping-particle":"","family":"Bekkering","given":"W Peter","non-dropping-particle":"","parse-names":false,"suffix":""},{"dropping-particle":"","family":"Bramer","given":"Jos A M","non-dropping-particle":"","parse-names":false,"suffix":""},{"dropping-particle":"","family":"Beishuizen","given":"Auke","non-dropping-particle":"","parse-names":false,"suffix":""},{"dropping-particle":"","family":"Fiocco","given":"Marta","non-dropping-particle":"","parse-names":false,"suffix":""},{"dropping-particle":"","family":"Dijkstra","given":"P D Sander","non-dropping-particle":"","parse-names":false,"suffix":""}],"container-title":"Journal of surgical oncology","id":"ITEM-1","issue":"8","issued":{"date-parts":[["2017","6"]]},"language":"eng","page":"1028-1032","title":"Functional outcome after surgery in patients with bone sarcoma around the knee;  results from a long-term prospective study.","type":"article-journal","volume":"115"},"uris":["http://www.mendeley.com/documents/?uuid=d0dd1dc4-c702-4d78-bb3f-fc5899a688ed"]},{"id":"ITEM-2","itemData":{"DOI":"10.1002/jso.21828","ISSN":"1096-9098 (Electronic)","PMID":"21337557","abstract":"BACKGROUND: Aim of our study was to compare functional ability and physical activity  in children and young adults who underwent surgery for a malignant bone tumor that was located around the knee. METHODS: This cross-sectional study included 82 patients aged 8-25 years with a follow-up of 1-5 years. The functional ability and the amount of physical activity were evaluated by means of questionnaires and objective instruments. RESULTS: Thirty nine patients underwent limb-salvage surgery (24 allograft and 15 endoprosthesis) and 43 underwent ablative surgery (27 amputations and 16 rotationplasty). Patients in the limb-salvage group were significantly older at the time of surgery than patients in the ablative group (mean age 15.2 years vs. 13.2 years, P = 0.03). Apart from significantly better scores for the timed up and down stairs and various walking activities in the limb-salvage group as compared to the ablative surgery group, no significant differences were seen for any of the outcome measures. CONCLUSIONS: One to 5 years after limb-salvage and ablative surgery due to a malignant bone tumor children and young adults do, apart from a few activities involving walking and climbing stairs, not differ with respect to overall functional ability and physical activity.","author":[{"dropping-particle":"","family":"Bekkering","given":"W Peter","non-dropping-particle":"","parse-names":false,"suffix":""},{"dropping-particle":"","family":"Vliet Vlieland","given":"Theodora P M","non-dropping-particle":"","parse-names":false,"suffix":""},{"dropping-particle":"","family":"Koopman","given":"Hendrik M","non-dropping-particle":"","parse-names":false,"suffix":""},{"dropping-particle":"","family":"Schaap","given":"Gerard R","non-dropping-particle":"","parse-names":false,"suffix":""},{"dropping-particle":"","family":"Bart Schreuder","given":"H W","non-dropping-particle":"","parse-names":false,"suffix":""},{"dropping-particle":"","family":"Beishuizen","given":"Auke","non-dropping-particle":"","parse-names":false,"suffix":""},{"dropping-particle":"","family":"Jutte","given":"Paul C","non-dropping-particle":"","parse-names":false,"suffix":""},{"dropping-particle":"","family":"Hoogerbrugge","given":"Peter M","non-dropping-particle":"","parse-names":false,"suffix":""},{"dropping-particle":"","family":"Anninga","given":"Jacob K","non-dropping-particle":"","parse-names":false,"suffix":""},{"dropping-particle":"","family":"Nelissen","given":"Rob G H H","non-dropping-particle":"","parse-names":false,"suffix":""},{"dropping-particle":"","family":"Taminiau","given":"Antonie H M","non-dropping-particle":"","parse-names":false,"suffix":""}],"container-title":"Journal of surgical oncology","id":"ITEM-2","issue":"3","issued":{"date-parts":[["2011","3"]]},"language":"eng","page":"276-282","publisher-place":"United States","title":"Functional ability and physical activity in children and young adults after  limb-salvage or ablative surgery for lower extremity bone tumors.","type":"article-journal","volume":"103"},"uris":["http://www.mendeley.com/documents/?uuid=46086f6e-f63d-4ad9-82d8-9ecafd272161"]}],"mendeley":{"formattedCitation":"(17,21)","plainTextFormattedCitation":"(17,21)","previouslyFormattedCitation":"(17,21)"},"properties":{"noteIndex":0},"schema":"https://github.com/citation-style-language/schema/raw/master/csl-citation.json"}</w:instrText>
      </w:r>
      <w:r w:rsidR="00964E8B" w:rsidRPr="005B5460">
        <w:rPr>
          <w:rFonts w:ascii="Times New Roman" w:hAnsi="Times New Roman" w:cs="Times New Roman"/>
        </w:rPr>
        <w:fldChar w:fldCharType="separate"/>
      </w:r>
      <w:r w:rsidR="00964E8B" w:rsidRPr="005B5460">
        <w:rPr>
          <w:rFonts w:ascii="Times New Roman" w:hAnsi="Times New Roman" w:cs="Times New Roman"/>
          <w:noProof/>
        </w:rPr>
        <w:t>(17,21)</w:t>
      </w:r>
      <w:r w:rsidR="00964E8B" w:rsidRPr="005B5460">
        <w:rPr>
          <w:rFonts w:ascii="Times New Roman" w:hAnsi="Times New Roman" w:cs="Times New Roman"/>
        </w:rPr>
        <w:fldChar w:fldCharType="end"/>
      </w:r>
      <w:r w:rsidRPr="005B5460">
        <w:rPr>
          <w:rFonts w:ascii="Times New Roman" w:hAnsi="Times New Roman" w:cs="Times New Roman"/>
        </w:rPr>
        <w:t>, United Kingdom</w:t>
      </w:r>
      <w:r w:rsidR="00474F9A" w:rsidRPr="005B5460">
        <w:rPr>
          <w:rFonts w:ascii="Times New Roman" w:hAnsi="Times New Roman" w:cs="Times New Roman"/>
        </w:rPr>
        <w:t xml:space="preserve"> </w:t>
      </w:r>
      <w:r w:rsidR="003849C2" w:rsidRPr="005B5460">
        <w:rPr>
          <w:rFonts w:ascii="Times New Roman" w:hAnsi="Times New Roman" w:cs="Times New Roman"/>
        </w:rPr>
        <w:fldChar w:fldCharType="begin" w:fldLock="1"/>
      </w:r>
      <w:r w:rsidR="00AF33F6" w:rsidRPr="005B5460">
        <w:rPr>
          <w:rFonts w:ascii="Times New Roman" w:hAnsi="Times New Roman" w:cs="Times New Roman"/>
        </w:rPr>
        <w:instrText>ADDIN CSL_CITATION {"citationItems":[{"id":"ITEM-1","itemData":{"DOI":"10.1016/j.ejso.2016.05.018","ISSN":"1532-2157 (Electronic)","PMID":"27266818","abstract":"We reviewed the oncological and functional outcomes of patients treated for a  primary sarcoma possibly involving the knee joint and present an algorithm to guide treatment. The records of 76 patients who had a primary bone or soft tissue sarcoma possibly invading the knee between 1996 and 2012 were identified. Mean age and follow-up was 32 years (9-74) and 64 months (12-195), respectively. Patients were grouped according to the resection (Intra-articular [IAR] vs. Extra-articular [EAR] vs. Amputation/rotationplasty) for survival and functional outcomes. Overall 5 and 10 year survival was 61% and 53%, respectively. No differences in survival were found between the 3 groups (p = 0.55). Sixteen patients developed local recurrence with no difference between the groups. Mean MSTS score was 24.5 (12-30). Mean flexion at final follow-up was 106° (70-130°). We conclude that EAR of the knee allows for good oncologic and functional outcomes but with an increased risk of complications compared to IAR. Intra-operative assessment of joint involvement can be done in patients where joint infiltration by the tumour is not clear to avoid an unnecessary EAR. For chondrosarcoma patients with joint involvement, an EAR should be carefully considered because they present a significantly higher local recurrence risk.","author":[{"dropping-particle":"","family":"Shahid","given":"M","non-dropping-particle":"","parse-names":false,"suffix":""},{"dropping-particle":"","family":"Albergo","given":"N","non-dropping-particle":"","parse-names":false,"suffix":""},{"dropping-particle":"","family":"Purvis","given":"T","non-dropping-particle":"","parse-names":false,"suffix":""},{"dropping-particle":"","family":"Heron","given":"K","non-dropping-particle":"","parse-names":false,"suffix":""},{"dropping-particle":"","family":"Gaston","given":"L","non-dropping-particle":"","parse-names":false,"suffix":""},{"dropping-particle":"","family":"Carter","given":"S","non-dropping-particle":"","parse-names":false,"suffix":""},{"dropping-particle":"","family":"Grimer","given":"R","non-dropping-particle":"","parse-names":false,"suffix":""},{"dropping-particle":"","family":"Jeys","given":"L","non-dropping-particle":"","parse-names":false,"suffix":""}],"container-title":"European journal of surgical oncology : the journal of the European Society of  Surgical Oncology and the British Association of Surgical Oncology","id":"ITEM-1","issue":"1","issued":{"date-parts":[["2017","1"]]},"language":"eng","page":"175-180","publisher-place":"England","title":"Management of sarcomas possibly involving the knee joint when to perform  extra-articular resection of the knee joint and is it safe?","type":"article-journal","volume":"43"},"uris":["http://www.mendeley.com/documents/?uuid=1308600d-eee4-499a-b8e8-37c6fc6e3528"]}],"mendeley":{"formattedCitation":"(35)","plainTextFormattedCitation":"(35)","previouslyFormattedCitation":"(35)"},"properties":{"noteIndex":0},"schema":"https://github.com/citation-style-language/schema/raw/master/csl-citation.json"}</w:instrText>
      </w:r>
      <w:r w:rsidR="003849C2" w:rsidRPr="005B5460">
        <w:rPr>
          <w:rFonts w:ascii="Times New Roman" w:hAnsi="Times New Roman" w:cs="Times New Roman"/>
        </w:rPr>
        <w:fldChar w:fldCharType="separate"/>
      </w:r>
      <w:r w:rsidR="003849C2" w:rsidRPr="005B5460">
        <w:rPr>
          <w:rFonts w:ascii="Times New Roman" w:hAnsi="Times New Roman" w:cs="Times New Roman"/>
          <w:noProof/>
        </w:rPr>
        <w:t>(35)</w:t>
      </w:r>
      <w:r w:rsidR="003849C2" w:rsidRPr="005B5460">
        <w:rPr>
          <w:rFonts w:ascii="Times New Roman" w:hAnsi="Times New Roman" w:cs="Times New Roman"/>
        </w:rPr>
        <w:fldChar w:fldCharType="end"/>
      </w:r>
      <w:r w:rsidRPr="005B5460">
        <w:rPr>
          <w:rFonts w:ascii="Times New Roman" w:hAnsi="Times New Roman" w:cs="Times New Roman"/>
        </w:rPr>
        <w:t>, Germany</w:t>
      </w:r>
      <w:r w:rsidR="00474F9A" w:rsidRPr="005B5460">
        <w:rPr>
          <w:rFonts w:ascii="Times New Roman" w:hAnsi="Times New Roman" w:cs="Times New Roman"/>
        </w:rPr>
        <w:t xml:space="preserve"> </w:t>
      </w:r>
      <w:r w:rsidR="00AF33F6"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{"citationItems":[{"id":"ITEM-1","itemData":{"DOI":"10.1302/0301-620X.95B10.31740","ISSN":"2049-4408 (Electronic)","PMID":"24078544","abstract":"We evaluated the clinical results and complications after extra-articular resection  of the distal femur and/or proximal tibia and reconstruction with a tumour endoprosthesis (MUTARS) in 59 patients (mean age 33 years (11 to 74)) with malignant bone or soft-tissue tumours. According to a Kaplan-Meier analysis, limb survival was 76% (95% confidence interval (CI) 64.1 to 88.5) after a mean follow-up of 4.7 years (one month to 17 years). Peri-prosthetic infection was the most common indication for subsequent amputation (eight patients). Survival of the prosthesis without revision was 48% (95% CI 34.8 to 62.0) at two years and 25% (95% CI 11.1 to 39.9) at five years post-operatively. Failure of the prosthesis was due to deep infection in 22 patients (37%), aseptic loosening in ten patients (17%), and peri-prosthetic fracture in six patients (10%). Wear of the bearings made a minor revision necessary in 12 patients (20%). The mean Musculoskeletal Tumor Society score was 23 (10 to 29). An extensor lag &gt; 10° was noted in ten patients (17%). These results suggest that limb salvage after extra-articular resection with a tumour prosthesis can achieve good functional results in most patients, although the rates of complications and subsequent amputation are higher than in patients treated with intra-articular resection.","author":[{"dropping-particle":"","family":"Hardes","given":"J","non-dropping-particle":"","parse-names":false,"suffix":""},{"dropping-particle":"","family":"Henrichs","given":"M P","non-dropping-particle":"","parse-names":false,"suffix":""},{"dropping-particle":"","family":"Gosheger","given":"G","non-dropping-particle":"","parse-names":false,"suffix":""},{"dropping-particle":"","family":"Gebert","given":"C","non-dropping-particle":"","parse-names":false,"suffix":""},{"dropping-particle":"","family":"Höll","given":"S","non-dropping-particle":"","parse-names":false,"suffix":""},{"dropping-particle":"","family":"Dieckmann","given":"R","non-dropping-particle":"","parse-names":false,"suffix":""},{"dropping-particle":"","family":"Hauschild","given":"G","non-dropping-particle":"","parse-names":false,"suffix":""},{"dropping-particle":"","family":"Streitbürger","given":"A","non-dropping-particle":"","parse-names":false,"suffix":""}],"container-title":"The bone &amp; joint journal","id":"ITEM-1","issue":"10","issued":{"date-parts":[["2013","10"]]},"language":"eng","page":"1425-1431","publisher-place":"England","title":"Endoprosthetic replacement after extra-articular resection of bone and soft-tissue  tumours around the knee.","type":"article-journal","volume":"95-B"},"uris":["http://www.mendeley.com/documents/?uuid=910cd0ad-117c-448d-8ff7-d41f29f39e12"]}],"mendeley":{"formattedCitation":"(42)","plainTextFormattedCitation":"(42)","previouslyFormattedCitation":"(43)"},"properties":{"noteIndex":0},"schema":"https://github.com/citation-style-language/schema/raw/master/csl-citation.json"}</w:instrText>
      </w:r>
      <w:r w:rsidR="00AF33F6" w:rsidRPr="005B5460">
        <w:rPr>
          <w:rFonts w:ascii="Times New Roman" w:hAnsi="Times New Roman" w:cs="Times New Roman"/>
        </w:rPr>
        <w:fldChar w:fldCharType="separate"/>
      </w:r>
      <w:r w:rsidR="009D0EA8" w:rsidRPr="005B5460">
        <w:rPr>
          <w:rFonts w:ascii="Times New Roman" w:hAnsi="Times New Roman" w:cs="Times New Roman"/>
          <w:noProof/>
        </w:rPr>
        <w:t>(42)</w:t>
      </w:r>
      <w:r w:rsidR="00AF33F6" w:rsidRPr="005B5460">
        <w:rPr>
          <w:rFonts w:ascii="Times New Roman" w:hAnsi="Times New Roman" w:cs="Times New Roman"/>
        </w:rPr>
        <w:fldChar w:fldCharType="end"/>
      </w:r>
      <w:r w:rsidRPr="005B5460">
        <w:rPr>
          <w:rFonts w:ascii="Times New Roman" w:hAnsi="Times New Roman" w:cs="Times New Roman"/>
        </w:rPr>
        <w:t xml:space="preserve"> and Spain</w:t>
      </w:r>
      <w:r w:rsidR="00474F9A" w:rsidRPr="005B5460">
        <w:rPr>
          <w:rFonts w:ascii="Times New Roman" w:hAnsi="Times New Roman" w:cs="Times New Roman"/>
        </w:rPr>
        <w:t xml:space="preserve"> </w:t>
      </w:r>
      <w:r w:rsidR="00AF33F6" w:rsidRPr="005B5460">
        <w:rPr>
          <w:rFonts w:ascii="Times New Roman" w:hAnsi="Times New Roman" w:cs="Times New Roman"/>
        </w:rPr>
        <w:fldChar w:fldCharType="begin" w:fldLock="1"/>
      </w:r>
      <w:r w:rsidR="0050600F" w:rsidRPr="005B5460">
        <w:rPr>
          <w:rFonts w:ascii="Times New Roman" w:hAnsi="Times New Roman" w:cs="Times New Roman"/>
        </w:rPr>
        <w:instrText>ADDIN CSL_CITATION {"citationItems":[{"id":"ITEM-1","itemData":{"DOI":"10.1007/s00167-018-5110-4","ISSN":"1433-7347 (Electronic)","PMID":"30132048","abstract":"PURPOSE: To compare the outcomes of allograft-prosthesis composite for  reconstruction after malignant tumors at the distal femur and proximal tibia. METHODS: Case-control study of 24 patients with distal femur tumor and 21 with proximal tibia tumor. Union of the allograft-host interface was assessed by the International Society of Limb Salvage criteria, and complications according Henderson. Functional outcome was evaluated by the Musculoskeletal Tumor Society (MSTS) score, Western Ontario and McMaster Universities (WOMAC) score, and pain by a visual analog scale. RESULTS: The median follow-up in the femoral group was 11.4 (range 2.3-25.0) years, and 10.1 (range 2.2-25.0) in tibial group. Incorporation of the allograft was successful in more than 90% in both groups. Tumor location was not significant predictor for allograft failure in multivariate analysis. Aseptic prosthesis loosening occurred in two patients in either group, and another patient in the tibial group had a breakage of the tibial insert. Excluding local recurrences and amputations, the prosthesis survival at 10 years was 94.1% in the femoral group, and 83.3% in the tibial group (n.s.). For the patients with preserved limb, the median MSTS score was 23.6 in the femoral group and 22.8 in tibial group (n.s.). Likewise, there were no significant differences in median WOMAC score (n.s.) or VAS pain (n.s.). CONCLUSIONS: Allograft-prosthesis composite is an effective procedure for distal femur tumors related to the graft, prosthesis survival, and functional outcomes. The results are comparable to those for proximal tibial tumors. LEVEL OF EVIDENCE: Therapeutic study, Level III.","author":[{"dropping-particle":"","family":"Puerta-GarciaSandoval","given":"Pablo","non-dropping-particle":"","parse-names":false,"suffix":""},{"dropping-particle":"","family":"Lizaur-Utrilla","given":"Alejandro","non-dropping-particle":"","parse-names":false,"suffix":""},{"dropping-particle":"","family":"Trigueros-Rentero","given":"Maria A","non-dropping-particle":"","parse-names":false,"suffix":""},{"dropping-particle":"","family":"Lopez-Prats","given":"Fernando A","non-dropping-particle":"","parse-names":false,"suffix":""}],"container-title":"Knee surgery, sports traumatology, arthroscopy : official journal of the ESSKA","id":"ITEM-1","issue":"7","issued":{"date-parts":[["2019","7"]]},"language":"eng","page":"2218-2225","publisher-place":"Germany","title":"Mid- to long-term results of allograft-prosthesis composite reconstruction after  removal of a distal femoral malignant tumor are comparable to those of the proximal tibia.","type":"article-journal","volume":"27"},"uris":["http://www.mendeley.com/documents/?uuid=621c6867-0acc-4592-b3c3-292715ef19c3"]}],"mendeley":{"formattedCitation":"(37)","plainTextFormattedCitation":"(37)","previouslyFormattedCitation":"(37)"},"properties":{"noteIndex":0},"schema":"https://github.com/citation-style-language/schema/raw/master/csl-citation.json"}</w:instrText>
      </w:r>
      <w:r w:rsidR="00AF33F6" w:rsidRPr="005B5460">
        <w:rPr>
          <w:rFonts w:ascii="Times New Roman" w:hAnsi="Times New Roman" w:cs="Times New Roman"/>
        </w:rPr>
        <w:fldChar w:fldCharType="separate"/>
      </w:r>
      <w:r w:rsidR="00AF33F6" w:rsidRPr="005B5460">
        <w:rPr>
          <w:rFonts w:ascii="Times New Roman" w:hAnsi="Times New Roman" w:cs="Times New Roman"/>
          <w:noProof/>
        </w:rPr>
        <w:t>(37)</w:t>
      </w:r>
      <w:r w:rsidR="00AF33F6" w:rsidRPr="005B5460">
        <w:rPr>
          <w:rFonts w:ascii="Times New Roman" w:hAnsi="Times New Roman" w:cs="Times New Roman"/>
        </w:rPr>
        <w:fldChar w:fldCharType="end"/>
      </w:r>
      <w:r w:rsidRPr="005B5460">
        <w:rPr>
          <w:rFonts w:ascii="Times New Roman" w:hAnsi="Times New Roman" w:cs="Times New Roman"/>
        </w:rPr>
        <w:t>. The remaining papers were from the United States</w:t>
      </w:r>
      <w:r w:rsidR="00474F9A" w:rsidRPr="005B5460">
        <w:rPr>
          <w:rFonts w:ascii="Times New Roman" w:hAnsi="Times New Roman" w:cs="Times New Roman"/>
        </w:rPr>
        <w:t xml:space="preserve"> </w:t>
      </w:r>
      <w:r w:rsidR="0050600F" w:rsidRPr="005B5460">
        <w:rPr>
          <w:rFonts w:ascii="Times New Roman" w:hAnsi="Times New Roman" w:cs="Times New Roman"/>
        </w:rPr>
        <w:fldChar w:fldCharType="begin" w:fldLock="1"/>
      </w:r>
      <w:r w:rsidR="0050600F" w:rsidRPr="005B5460">
        <w:rPr>
          <w:rFonts w:ascii="Times New Roman" w:hAnsi="Times New Roman" w:cs="Times New Roman"/>
        </w:rPr>
        <w:instrText>ADDIN CSL_CITATION {"citationItems":[{"id":"ITEM-1","itemData":{"DOI":"10.1007/s11999-012-2271-1","ISSN":"1528-1132 (Electronic)","PMID":"22302658","abstract":"INTRODUCTION: Patients with aggressive lower extremity musculoskeletal tumors may be  candidates for either above-knee amputation or limb-salvage surgery. However, the subjective and objective benefits of limb-salvage surgery compared with amputation are not fully clear. QUESTIONS/PURPOSES: We therefore compared functional status and quality of life for patients treated with above-knee amputation versus limb-salvage surgery. METHODS: We reviewed 20 of 51 patients aged 15 years and older treated with above-knee amputation or limb-salvage surgery for aggressive musculoskeletal tumors around the knee between 1994 and 2004 as a retrospective cohort study. At last followup we obtained the Physiological Cost Index, the Reintegration to Normal Living Index, SF-36, and the Toronto Extremity Salvage Score questionnaires. The minimum followup was 12 months (median, 56 months; range, 12-108 months). RESULTS: Compared with patients having above-knee amputation, patients undergoing limb-salvage surgery had superior Physiological Cost Index scores and Reintegration to Normal Living Index. The Toronto Extremity Salvage scores and SF-36 scores were similar in the two groups. CONCLUSION: These data suggest that limb-salvage surgery offers better gait efficiency and return to normal living compared with above-knee amputation, but does not improve the patient's perception of quality of life.","author":[{"dropping-particle":"","family":"Malek","given":"Farbod","non-dropping-particle":"","parse-names":false,"suffix":""},{"dropping-particle":"","family":"Somerson","given":"Jeremy S","non-dropping-particle":"","parse-names":false,"suffix":""},{"dropping-particle":"","family":"Mitchel","given":"Shannon","non-dropping-particle":"","parse-names":false,"suffix":""},{"dropping-particle":"","family":"Williams","given":"Ronald P","non-dropping-particle":"","parse-names":false,"suffix":""}],"container-title":"Clinical orthopaedics and related research","id":"ITEM-1","issue":"7","issued":{"date-parts":[["2012","7"]]},"language":"eng","page":"2000-2006","title":"Does limb-salvage surgery offer patients better quality of life and functional  capacity than amputation?","type":"article-journal","volume":"470"},"uris":["http://www.mendeley.com/documents/?uuid=b18c2b7e-1ca3-4eef-8e44-d2b03c031b23"]}],"mendeley":{"formattedCitation":"(19)","plainTextFormattedCitation":"(19)","previouslyFormattedCitation":"(19)"},"properties":{"noteIndex":0},"schema":"https://github.com/citation-style-language/schema/raw/master/csl-citation.json"}</w:instrText>
      </w:r>
      <w:r w:rsidR="0050600F" w:rsidRPr="005B5460">
        <w:rPr>
          <w:rFonts w:ascii="Times New Roman" w:hAnsi="Times New Roman" w:cs="Times New Roman"/>
        </w:rPr>
        <w:fldChar w:fldCharType="separate"/>
      </w:r>
      <w:r w:rsidR="0050600F" w:rsidRPr="005B5460">
        <w:rPr>
          <w:rFonts w:ascii="Times New Roman" w:hAnsi="Times New Roman" w:cs="Times New Roman"/>
          <w:noProof/>
        </w:rPr>
        <w:t>(19)</w:t>
      </w:r>
      <w:r w:rsidR="0050600F" w:rsidRPr="005B5460">
        <w:rPr>
          <w:rFonts w:ascii="Times New Roman" w:hAnsi="Times New Roman" w:cs="Times New Roman"/>
        </w:rPr>
        <w:fldChar w:fldCharType="end"/>
      </w:r>
      <w:r w:rsidRPr="005B5460">
        <w:rPr>
          <w:rFonts w:ascii="Times New Roman" w:hAnsi="Times New Roman" w:cs="Times New Roman"/>
        </w:rPr>
        <w:t xml:space="preserve"> and Australia</w:t>
      </w:r>
      <w:r w:rsidR="00474F9A" w:rsidRPr="005B5460">
        <w:rPr>
          <w:rFonts w:ascii="Times New Roman" w:hAnsi="Times New Roman" w:cs="Times New Roman"/>
        </w:rPr>
        <w:t xml:space="preserve"> </w:t>
      </w:r>
      <w:r w:rsidR="0050600F"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{"citationItems":[{"id":"ITEM-1","itemData":{"DOI":"10.1016/j.knee.2009.02.006","ISSN":"1873-5800 (Electronic)","PMID":"19269182","abstract":"Bone sarcomas are the fourth most common cancer in individuals under 25 years. Limb  salvage procedures are popular for the treatment of osteosarcomas as they have functional and physiological benefits over traditional amputative procedures. The objective of this study was to apply disease specific measures to a group of intra-articular knee osteosarcoma patients and to evaluate structural and treatment variables predictive of the functional outcome scores. Twenty patients (10 female, 10 male) treated with tumour resection and endoprosthetic knee arthroplasty took part in the study. The Musculoskeletal Tumour Society (MSTS) rating scale and the Toronto Extremity Salvage Score (TESS) were used to assess impairment and disability respectively. Impairment was recorded as 83% and disability was recorded as 86% suggesting moderate to high function following limb salvage surgery. Task difficulty was shown to increase for activities requiring large knee flexion angles, presumably due to increased patellofemoral forces. Bivariate correlations revealed that loss of quadriceps musculature, knee extension strength and knee flexion range of motion were parameters moderately associated with the assessment instruments. ANOVA revealed no significant differences in impairment (P=0.962) or disability (P=0.411) between the differing types of prostheses. In conclusion clinicians and therapists should emphasise restoration of post-surgical range of motion and strength in order to enhance functional recovery.","author":[{"dropping-particle":"","family":"Carty","given":"Christopher P","non-dropping-particle":"","parse-names":false,"suffix":""},{"dropping-particle":"","family":"Dickinson","given":"Ian C","non-dropping-particle":"","parse-names":false,"suffix":""},{"dropping-particle":"","family":"Watts","given":"Mark C","non-dropping-particle":"","parse-names":false,"suffix":""},{"dropping-particle":"","family":"Crawford","given":"Ross W","non-dropping-particle":"","parse-names":false,"suffix":""},{"dropping-particle":"","family":"Steadman","given":"Peter","non-dropping-particle":"","parse-names":false,"suffix":""}],"container-title":"The Knee","id":"ITEM-1","issue":"5","issued":{"date-parts":[["2009","10"]]},"language":"eng","page":"405-408","publisher-place":"Netherlands","title":"Impairment and disability following limb salvage procedures for bone sarcoma.","type":"article-journal","volume":"16"},"uris":["http://www.mendeley.com/documents/?uuid=f0acb2b8-fdb8-4093-97e7-40e9515dd570"]},{"id":"ITEM-2","itemData":{"DOI":"10.1016/j.jelekin.2009.06.001","ISSN":"1873-5711 (Electronic)","PMID":"19560372","abstract":"Bone sarcomas are the fourth most common cancer in individuals under 25 years of  age. Limb salvage procedures have become increasingly popular for the treatment of osteosarcomas as they have functional and physiological benefits over traditional amputative procedures. The purpose of this study was to assess locomotor patterns post lower limb salvage surgery via electromyographic and energetic measurement techniques on a group of intra-articular knee osteosarcoma patients greater than one year post surgery. A retrospective outcome study was undertaken on 20 limb salvage patients (10 female, 10 male) recruited from the Queensland Bone Tumour Registry. Results showed prolonged activation of rectus femoris and prolonged co-contraction of the rectus femoris and hamstring muscles (p&gt;0.05) in the affected limb of the limb salvage group compared to a control group. Prolonged rectus femoris activation and co-contraction was also evident in the unaffected lower limb suggesting alterations in gait programming within higher neuronal centres. The results are important for the development of rehabilitation programs as they suggest an overall reprogramming of the gait pattern, thereby limiting the impact of conventional strength and stretching interventions.","author":[{"dropping-particle":"","family":"Carty","given":"Christopher P","non-dropping-particle":"","parse-names":false,"suffix":""},{"dropping-particle":"","family":"Bennett","given":"Michael B","non-dropping-particle":"","parse-names":false,"suffix":""},{"dropping-particle":"","family":"Dickinson","given":"Ian C","non-dropping-particle":"","parse-names":false,"suffix":""},{"dropping-particle":"","family":"Steadman","given":"Peter","non-dropping-particle":"","parse-names":false,"suffix":""}],"container-title":"Journal of electromyography and kinesiology : official journal of the International  Society of Electrophysiological Kinesiology","id":"ITEM-2","issue":"3","issued":{"date-parts":[["2010","6"]]},"language":"eng","page":"502-507","publisher-place":"England","title":"Electromyographic assessment of Gait function following limb salvage procedures for  bone sarcoma.","type":"article-journal","volume":"20"},"uris":["http://www.mendeley.com/documents/?uuid=57551b0b-a7d3-40bc-afbc-aaa68c704341"]}],"mendeley":{"formattedCitation":"(20,43)","plainTextFormattedCitation":"(20,43)","previouslyFormattedCitation":"(20,38)"},"properties":{"noteIndex":0},"schema":"https://github.com/citation-style-language/schema/raw/master/csl-citation.json"}</w:instrText>
      </w:r>
      <w:r w:rsidR="0050600F" w:rsidRPr="005B5460">
        <w:rPr>
          <w:rFonts w:ascii="Times New Roman" w:hAnsi="Times New Roman" w:cs="Times New Roman"/>
        </w:rPr>
        <w:fldChar w:fldCharType="separate"/>
      </w:r>
      <w:r w:rsidR="009D0EA8" w:rsidRPr="005B5460">
        <w:rPr>
          <w:rFonts w:ascii="Times New Roman" w:hAnsi="Times New Roman" w:cs="Times New Roman"/>
          <w:noProof/>
        </w:rPr>
        <w:t>(20,43)</w:t>
      </w:r>
      <w:r w:rsidR="0050600F" w:rsidRPr="005B5460">
        <w:rPr>
          <w:rFonts w:ascii="Times New Roman" w:hAnsi="Times New Roman" w:cs="Times New Roman"/>
        </w:rPr>
        <w:fldChar w:fldCharType="end"/>
      </w:r>
      <w:r w:rsidRPr="005B5460">
        <w:rPr>
          <w:rFonts w:ascii="Times New Roman" w:hAnsi="Times New Roman" w:cs="Times New Roman"/>
        </w:rPr>
        <w:t>. Most of the papers clearly addressed compliance with ethical standards of research</w:t>
      </w:r>
      <w:r w:rsidR="001D7488" w:rsidRPr="005B5460">
        <w:rPr>
          <w:rFonts w:ascii="Times New Roman" w:hAnsi="Times New Roman" w:cs="Times New Roman"/>
        </w:rPr>
        <w:t xml:space="preserve"> and i</w:t>
      </w:r>
      <w:r w:rsidRPr="005B5460">
        <w:rPr>
          <w:rFonts w:ascii="Times New Roman" w:hAnsi="Times New Roman" w:cs="Times New Roman"/>
        </w:rPr>
        <w:t xml:space="preserve">nformed consent was obtained in all studies when needed. However, </w:t>
      </w:r>
      <w:r w:rsidR="005F4DC8" w:rsidRPr="005B5460">
        <w:rPr>
          <w:rFonts w:ascii="Times New Roman" w:hAnsi="Times New Roman" w:cs="Times New Roman"/>
        </w:rPr>
        <w:t>four</w:t>
      </w:r>
      <w:r w:rsidRPr="005B5460">
        <w:rPr>
          <w:rFonts w:ascii="Times New Roman" w:hAnsi="Times New Roman" w:cs="Times New Roman"/>
        </w:rPr>
        <w:t xml:space="preserve"> papers </w:t>
      </w:r>
      <w:r w:rsidR="00F638FA"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{"citationItems":[{"id":"ITEM-1","itemData":{"DOI":"10.1016/j.knee.2009.02.006","ISSN":"1873-5800 (Electronic)","PMID":"19269182","abstract":"Bone sarcomas are the fourth most common cancer in individuals under 25 years. Limb  salvage procedures are popular for the treatment of osteosarcomas as they have functional and physiological benefits over traditional amputative procedures. The objective of this study was to apply disease specific measures to a group of intra-articular knee osteosarcoma patients and to evaluate structural and treatment variables predictive of the functional outcome scores. Twenty patients (10 female, 10 male) treated with tumour resection and endoprosthetic knee arthroplasty took part in the study. The Musculoskeletal Tumour Society (MSTS) rating scale and the Toronto Extremity Salvage Score (TESS) were used to assess impairment and disability respectively. Impairment was recorded as 83% and disability was recorded as 86% suggesting moderate to high function following limb salvage surgery. Task difficulty was shown to increase for activities requiring large knee flexion angles, presumably due to increased patellofemoral forces. Bivariate correlations revealed that loss of quadriceps musculature, knee extension strength and knee flexion range of motion were parameters moderately associated with the assessment instruments. ANOVA revealed no significant differences in impairment (P=0.962) or disability (P=0.411) between the differing types of prostheses. In conclusion clinicians and therapists should emphasise restoration of post-surgical range of motion and strength in order to enhance functional recovery.","author":[{"dropping-particle":"","family":"Carty","given":"Christopher P","non-dropping-particle":"","parse-names":false,"suffix":""},{"dropping-particle":"","family":"Dickinson","given":"Ian C","non-dropping-particle":"","parse-names":false,"suffix":""},{"dropping-particle":"","family":"Watts","given":"Mark C","non-dropping-particle":"","parse-names":false,"suffix":""},{"dropping-particle":"","family":"Crawford","given":"Ross W","non-dropping-particle":"","parse-names":false,"suffix":""},{"dropping-particle":"","family":"Steadman","given":"Peter","non-dropping-particle":"","parse-names":false,"suffix":""}],"container-title":"The Knee","id":"ITEM-1","issue":"5","issued":{"date-parts":[["2009","10"]]},"language":"eng","page":"405-408","publisher-place":"Netherlands","title":"Impairment and disability following limb salvage procedures for bone sarcoma.","type":"article-journal","volume":"16"},"uris":["http://www.mendeley.com/documents/?uuid=f0acb2b8-fdb8-4093-97e7-40e9515dd570"]},{"id":"ITEM-2","itemData":{"DOI":"10.1016/j.ejso.2016.05.018","ISSN":"1532-2157 (Electronic)","PMID":"27266818","abstract":"We reviewed the oncological and functional outcomes of patients treated for a  primary sarcoma possibly involving the knee joint and present an algorithm to guide treatment. The records of 76 patients who had a primary bone or soft tissue sarcoma possibly invading the knee between 1996 and 2012 were identified. Mean age and follow-up was 32 years (9-74) and 64 months (12-195), respectively. Patients were grouped according to the resection (Intra-articular [IAR] vs. Extra-articular [EAR] vs. Amputation/rotationplasty) for survival and functional outcomes. Overall 5 and 10 year survival was 61% and 53%, respectively. No differences in survival were found between the 3 groups (p = 0.55). Sixteen patients developed local recurrence with no difference between the groups. Mean MSTS score was 24.5 (12-30). Mean flexion at final follow-up was 106° (70-130°). We conclude that EAR of the knee allows for good oncologic and functional outcomes but with an increased risk of complications compared to IAR. Intra-operative assessment of joint involvement can be done in patients where joint infiltration by the tumour is not clear to avoid an unnecessary EAR. For chondrosarcoma patients with joint involvement, an EAR should be carefully considered because they present a significantly higher local recurrence risk.","author":[{"dropping-particle":"","family":"Shahid","given":"M","non-dropping-particle":"","parse-names":false,"suffix":""},{"dropping-particle":"","family":"Albergo","given":"N","non-dropping-particle":"","parse-names":false,"suffix":""},{"dropping-particle":"","family":"Purvis","given":"T","non-dropping-particle":"","parse-names":false,"suffix":""},{"dropping-particle":"","family":"Heron","given":"K","non-dropping-particle":"","parse-names":false,"suffix":""},{"dropping-particle":"","family":"Gaston","given":"L","non-dropping-particle":"","parse-names":false,"suffix":""},{"dropping-particle":"","family":"Carter","given":"S","non-dropping-particle":"","parse-names":false,"suffix":""},{"dropping-particle":"","family":"Grimer","given":"R","non-dropping-particle":"","parse-names":false,"suffix":""},{"dropping-particle":"","family":"Jeys","given":"L","non-dropping-particle":"","parse-names":false,"suffix":""}],"container-title":"European journal of surgical oncology : the journal of the European Society of  Surgical Oncology and the British Association of Surgical Oncology","id":"ITEM-2","issue":"1","issued":{"date-parts":[["2017","1"]]},"language":"eng","page":"175-180","publisher-place":"England","title":"Management of sarcomas possibly involving the knee joint when to perform  extra-articular resection of the knee joint and is it safe?","type":"article-journal","volume":"43"},"uris":["http://www.mendeley.com/documents/?uuid=1308600d-eee4-499a-b8e8-37c6fc6e3528"]},{"id":"ITEM-3","itemData":{"DOI":"10.1302/0301-620X.95B10.31740","ISSN":"2049-4408 (Electronic)","PMID":"24078544","abstract":"We evaluated the clinical results and complications after extra-articular resection  of the distal femur and/or proximal tibia and reconstruction with a tumour endoprosthesis (MUTARS) in 59 patients (mean age 33 years (11 to 74)) with malignant bone or soft-tissue tumours. According to a Kaplan-Meier analysis, limb survival was 76% (95% confidence interval (CI) 64.1 to 88.5) after a mean follow-up of 4.7 years (one month to 17 years). Peri-prosthetic infection was the most common indication for subsequent amputation (eight patients). Survival of the prosthesis without revision was 48% (95% CI 34.8 to 62.0) at two years and 25% (95% CI 11.1 to 39.9) at five years post-operatively. Failure of the prosthesis was due to deep infection in 22 patients (37%), aseptic loosening in ten patients (17%), and peri-prosthetic fracture in six patients (10%). Wear of the bearings made a minor revision necessary in 12 patients (20%). The mean Musculoskeletal Tumor Society score was 23 (10 to 29). An extensor lag &gt; 10° was noted in ten patients (17%). These results suggest that limb salvage after extra-articular resection with a tumour prosthesis can achieve good functional results in most patients, although the rates of complications and subsequent amputation are higher than in patients treated with intra-articular resection.","author":[{"dropping-particle":"","family":"Hardes","given":"J","non-dropping-particle":"","parse-names":false,"suffix":""},{"dropping-particle":"","family":"Henrichs","given":"M P","non-dropping-particle":"","parse-names":false,"suffix":""},{"dropping-particle":"","family":"Gosheger","given":"G","non-dropping-particle":"","parse-names":false,"suffix":""},{"dropping-particle":"","family":"Gebert","given":"C","non-dropping-particle":"","parse-names":false,"suffix":""},{"dropping-particle":"","family":"Höll","given":"S","non-dropping-particle":"","parse-names":false,"suffix":""},{"dropping-particle":"","family":"Dieckmann","given":"R","non-dropping-particle":"","parse-names":false,"suffix":""},{"dropping-particle":"","family":"Hauschild","given":"G","non-dropping-particle":"","parse-names":false,"suffix":""},{"dropping-particle":"","family":"Streitbürger","given":"A","non-dropping-particle":"","parse-names":false,"suffix":""}],"container-title":"The bone &amp; joint journal","id":"ITEM-3","issue":"10","issued":{"date-parts":[["2013","10"]]},"language":"eng","page":"1425-1431","publisher-place":"England","title":"Endoprosthetic replacement after extra-articular resection of bone and soft-tissue  tumours around the knee.","type":"article-journal","volume":"95-B"},"uris":["http://www.mendeley.com/documents/?uuid=910cd0ad-117c-448d-8ff7-d41f29f39e12"]},{"id":"ITEM-4","itemData":{"DOI":"10.1016/j.jelekin.2009.06.001","ISSN":"1873-5711 (Electronic)","PMID":"19560372","abstract":"Bone sarcomas are the fourth most common cancer in individuals under 25 years of  age. Limb salvage procedures have become increasingly popular for the treatment of osteosarcomas as they have functional and physiological benefits over traditional amputative procedures. The purpose of this study was to assess locomotor patterns post lower limb salvage surgery via electromyographic and energetic measurement techniques on a group of intra-articular knee osteosarcoma patients greater than one year post surgery. A retrospective outcome study was undertaken on 20 limb salvage patients (10 female, 10 male) recruited from the Queensland Bone Tumour Registry. Results showed prolonged activation of rectus femoris and prolonged co-contraction of the rectus femoris and hamstring muscles (p&gt;0.05) in the affected limb of the limb salvage group compared to a control group. Prolonged rectus femoris activation and co-contraction was also evident in the unaffected lower limb suggesting alterations in gait programming within higher neuronal centres. The results are important for the development of rehabilitation programs as they suggest an overall reprogramming of the gait pattern, thereby limiting the impact of conventional strength and stretching interventions.","author":[{"dropping-particle":"","family":"Carty","given":"Christopher P","non-dropping-particle":"","parse-names":false,"suffix":""},{"dropping-particle":"","family":"Bennett","given":"Michael B","non-dropping-particle":"","parse-names":false,"suffix":""},{"dropping-particle":"","family":"Dickinson","given":"Ian C","non-dropping-particle":"","parse-names":false,"suffix":""},{"dropping-particle":"","family":"Steadman","given":"Peter","non-dropping-particle":"","parse-names":false,"suffix":""}],"container-title":"Journal of electromyography and kinesiology : official journal of the International  Society of Electrophysiological Kinesiology","id":"ITEM-4","issue":"3","issued":{"date-parts":[["2010","6"]]},"language":"eng","page":"502-507","publisher-place":"England","title":"Electromyographic assessment of Gait function following limb salvage procedures for  bone sarcoma.","type":"article-journal","volume":"20"},"uris":["http://www.mendeley.com/documents/?uuid=57551b0b-a7d3-40bc-afbc-aaa68c704341"]}],"mendeley":{"formattedCitation":"(20,35,42,43)","plainTextFormattedCitation":"(20,35,42,43)","previouslyFormattedCitation":"(20,35,38,43)"},"properties":{"noteIndex":0},"schema":"https://github.com/citation-style-language/schema/raw/master/csl-citation.json"}</w:instrText>
      </w:r>
      <w:r w:rsidR="00F638FA" w:rsidRPr="005B5460">
        <w:rPr>
          <w:rFonts w:ascii="Times New Roman" w:hAnsi="Times New Roman" w:cs="Times New Roman"/>
        </w:rPr>
        <w:fldChar w:fldCharType="separate"/>
      </w:r>
      <w:r w:rsidR="009D0EA8" w:rsidRPr="005B5460">
        <w:rPr>
          <w:rFonts w:ascii="Times New Roman" w:hAnsi="Times New Roman" w:cs="Times New Roman"/>
          <w:noProof/>
        </w:rPr>
        <w:t>(20,35,42,43)</w:t>
      </w:r>
      <w:r w:rsidR="00F638FA" w:rsidRPr="005B5460">
        <w:rPr>
          <w:rFonts w:ascii="Times New Roman" w:hAnsi="Times New Roman" w:cs="Times New Roman"/>
        </w:rPr>
        <w:fldChar w:fldCharType="end"/>
      </w:r>
      <w:r w:rsidRPr="005B5460">
        <w:rPr>
          <w:rFonts w:ascii="Times New Roman" w:hAnsi="Times New Roman" w:cs="Times New Roman"/>
        </w:rPr>
        <w:t xml:space="preserve"> did not state whether ethical approval was obtained prior to conducting the research and </w:t>
      </w:r>
      <w:r w:rsidRPr="005B5460">
        <w:rPr>
          <w:rFonts w:ascii="Times New Roman" w:hAnsi="Times New Roman" w:cs="Times New Roman"/>
        </w:rPr>
        <w:lastRenderedPageBreak/>
        <w:t>accessing patient data</w:t>
      </w:r>
      <w:r w:rsidR="0069594B" w:rsidRPr="005B5460">
        <w:rPr>
          <w:rFonts w:ascii="Times New Roman" w:hAnsi="Times New Roman" w:cs="Times New Roman"/>
        </w:rPr>
        <w:t xml:space="preserve">, thus were not aligned to the </w:t>
      </w:r>
      <w:r w:rsidR="006110D8" w:rsidRPr="005B5460">
        <w:rPr>
          <w:rFonts w:ascii="Times New Roman" w:hAnsi="Times New Roman" w:cs="Times New Roman"/>
        </w:rPr>
        <w:t xml:space="preserve">World Medical Association Declaration of Helsinki </w:t>
      </w:r>
      <w:r w:rsidR="00110710" w:rsidRPr="005B5460">
        <w:rPr>
          <w:rFonts w:ascii="Times New Roman" w:hAnsi="Times New Roman" w:cs="Times New Roman"/>
        </w:rPr>
        <w:fldChar w:fldCharType="begin" w:fldLock="1"/>
      </w:r>
      <w:r w:rsidR="005F4DC8" w:rsidRPr="005B5460">
        <w:rPr>
          <w:rFonts w:ascii="Times New Roman" w:hAnsi="Times New Roman" w:cs="Times New Roman"/>
        </w:rPr>
        <w:instrText>ADDIN CSL_CITATION {"citationItems":[{"id":"ITEM-1","itemData":{"container-title":"World Medical Association","id":"ITEM-1","issued":{"date-parts":[["2018"]]},"title":"Declaration of Helsinki - ethical principles for medical research involving human subjects","type":"webpage"},"uris":["http://www.mendeley.com/documents/?uuid=c3cd475d-1b7a-4a31-9c4d-c774f6a887ff"]}],"mendeley":{"formattedCitation":"(44)","plainTextFormattedCitation":"(44)","previouslyFormattedCitation":"(44)"},"properties":{"noteIndex":0},"schema":"https://github.com/citation-style-language/schema/raw/master/csl-citation.json"}</w:instrText>
      </w:r>
      <w:r w:rsidR="00110710" w:rsidRPr="005B5460">
        <w:rPr>
          <w:rFonts w:ascii="Times New Roman" w:hAnsi="Times New Roman" w:cs="Times New Roman"/>
        </w:rPr>
        <w:fldChar w:fldCharType="separate"/>
      </w:r>
      <w:r w:rsidR="005F4DC8" w:rsidRPr="005B5460">
        <w:rPr>
          <w:rFonts w:ascii="Times New Roman" w:hAnsi="Times New Roman" w:cs="Times New Roman"/>
          <w:noProof/>
        </w:rPr>
        <w:t>(44)</w:t>
      </w:r>
      <w:r w:rsidR="00110710" w:rsidRPr="005B5460">
        <w:rPr>
          <w:rFonts w:ascii="Times New Roman" w:hAnsi="Times New Roman" w:cs="Times New Roman"/>
        </w:rPr>
        <w:fldChar w:fldCharType="end"/>
      </w:r>
      <w:r w:rsidR="006110D8" w:rsidRPr="005B5460">
        <w:rPr>
          <w:rFonts w:ascii="Times New Roman" w:hAnsi="Times New Roman" w:cs="Times New Roman"/>
        </w:rPr>
        <w:t xml:space="preserve"> for medical research involving human subjects</w:t>
      </w:r>
      <w:r w:rsidRPr="005B5460">
        <w:rPr>
          <w:rFonts w:ascii="Times New Roman" w:hAnsi="Times New Roman" w:cs="Times New Roman"/>
        </w:rPr>
        <w:t xml:space="preserve">. </w:t>
      </w:r>
    </w:p>
    <w:p w14:paraId="00512D76" w14:textId="59A0205F" w:rsidR="007E3529" w:rsidRPr="005B5460" w:rsidRDefault="00916189" w:rsidP="007E3529">
      <w:pPr>
        <w:spacing w:line="480" w:lineRule="auto"/>
        <w:rPr>
          <w:rFonts w:ascii="Times New Roman" w:hAnsi="Times New Roman" w:cs="Times New Roman"/>
        </w:rPr>
      </w:pPr>
      <w:r w:rsidRPr="005B5460">
        <w:rPr>
          <w:rFonts w:ascii="Times New Roman" w:hAnsi="Times New Roman" w:cs="Times New Roman"/>
        </w:rPr>
        <w:t>For transparency and ease of comparison,</w:t>
      </w:r>
      <w:r w:rsidR="00810B30" w:rsidRPr="005B5460">
        <w:rPr>
          <w:rFonts w:ascii="Times New Roman" w:hAnsi="Times New Roman" w:cs="Times New Roman"/>
        </w:rPr>
        <w:t xml:space="preserve"> </w:t>
      </w:r>
      <w:r w:rsidR="00A96B84" w:rsidRPr="005B5460">
        <w:rPr>
          <w:rFonts w:ascii="Times New Roman" w:hAnsi="Times New Roman" w:cs="Times New Roman"/>
        </w:rPr>
        <w:t>T</w:t>
      </w:r>
      <w:r w:rsidR="00810B30" w:rsidRPr="005B5460">
        <w:rPr>
          <w:rFonts w:ascii="Times New Roman" w:hAnsi="Times New Roman" w:cs="Times New Roman"/>
        </w:rPr>
        <w:t xml:space="preserve">able 5 </w:t>
      </w:r>
      <w:r w:rsidR="00692DC4" w:rsidRPr="005B5460">
        <w:rPr>
          <w:rFonts w:ascii="Times New Roman" w:hAnsi="Times New Roman" w:cs="Times New Roman"/>
        </w:rPr>
        <w:t>summarises each paper with respect to the thematic content therein.</w:t>
      </w:r>
      <w:r w:rsidR="007E3529" w:rsidRPr="005B5460">
        <w:rPr>
          <w:rFonts w:ascii="Times New Roman" w:hAnsi="Times New Roman" w:cs="Times New Roman"/>
        </w:rPr>
        <w:t xml:space="preserve"> </w:t>
      </w:r>
      <w:r w:rsidR="00B41F24" w:rsidRPr="005B5460">
        <w:rPr>
          <w:rFonts w:ascii="Times New Roman" w:hAnsi="Times New Roman" w:cs="Times New Roman"/>
        </w:rPr>
        <w:t>Th</w:t>
      </w:r>
      <w:r w:rsidR="004A50C4" w:rsidRPr="005B5460">
        <w:rPr>
          <w:rFonts w:ascii="Times New Roman" w:hAnsi="Times New Roman" w:cs="Times New Roman"/>
        </w:rPr>
        <w:t xml:space="preserve">e following thematic process follows Arksey &amp; O’Malley’s framework for scoping reviews: </w:t>
      </w:r>
      <w:r w:rsidR="00F20066" w:rsidRPr="005B5460">
        <w:rPr>
          <w:rFonts w:ascii="Times New Roman" w:hAnsi="Times New Roman" w:cs="Times New Roman"/>
        </w:rPr>
        <w:t>Collating, summarising and reporting</w:t>
      </w:r>
      <w:r w:rsidR="006647A2" w:rsidRPr="005B5460">
        <w:rPr>
          <w:rFonts w:ascii="Times New Roman" w:hAnsi="Times New Roman" w:cs="Times New Roman"/>
        </w:rPr>
        <w:t xml:space="preserve"> the results</w:t>
      </w:r>
      <w:r w:rsidR="00110710" w:rsidRPr="005B5460">
        <w:rPr>
          <w:rFonts w:ascii="Times New Roman" w:hAnsi="Times New Roman" w:cs="Times New Roman"/>
        </w:rPr>
        <w:t xml:space="preserve"> </w:t>
      </w:r>
      <w:r w:rsidR="00110710" w:rsidRPr="005B5460">
        <w:rPr>
          <w:rFonts w:ascii="Times New Roman" w:hAnsi="Times New Roman" w:cs="Times New Roman"/>
        </w:rPr>
        <w:fldChar w:fldCharType="begin" w:fldLock="1"/>
      </w:r>
      <w:r w:rsidR="009C1CBA" w:rsidRPr="005B5460">
        <w:rPr>
          <w:rFonts w:ascii="Times New Roman" w:hAnsi="Times New Roman" w:cs="Times New Roman"/>
        </w:rPr>
        <w:instrText>ADDIN CSL_CITATION {"citationItems":[{"id":"ITEM-1","itemData":{"DOI":"10.1080/1364557032000119616","ISSN":"1364-5579","abstract":"This paper focuses on scoping studies, an approach to reviewing the literature which to date has received little attention in the research methods literature. We distinguish between different types of scoping studies and indicate where these stand in relation to full systematic reviews. We outline a framework for conducting a scoping study based on our recent experiences of reviewing the literature on services for carers for people with mental health problems. Where appropriate, our approach to scoping the field is contrasted with the procedures followed in systematic reviews. We emphasize how including a consultation exercise in this sort of study may enhance the results, making them more useful to policy makers, practitioners and service users. Finally, we consider the advantages and limitations of the approach and suggest that a wider debate is called for about the role of the scoping study in relation to other types of literature reviews.","author":[{"dropping-particle":"","family":"Arksey","given":"Hilary","non-dropping-particle":"","parse-names":false,"suffix":""},{"dropping-particle":"","family":"O'Malley","given":"Lisa","non-dropping-particle":"","parse-names":false,"suffix":""}],"container-title":"International Journal of Social Research Methodology","id":"ITEM-1","issue":"1","issued":{"date-parts":[["2005","2","1"]]},"note":"doi: 10.1080/1364557032000119616","page":"19-32","publisher":"Routledge","title":"Scoping studies: towards a methodological framework","type":"article-journal","volume":"8"},"uris":["http://www.mendeley.com/documents/?uuid=73a5df73-e7f3-4f21-b699-e70687741455"]}],"mendeley":{"formattedCitation":"(23)","plainTextFormattedCitation":"(23)","previouslyFormattedCitation":"(23)"},"properties":{"noteIndex":0},"schema":"https://github.com/citation-style-language/schema/raw/master/csl-citation.json"}</w:instrText>
      </w:r>
      <w:r w:rsidR="00110710" w:rsidRPr="005B5460">
        <w:rPr>
          <w:rFonts w:ascii="Times New Roman" w:hAnsi="Times New Roman" w:cs="Times New Roman"/>
        </w:rPr>
        <w:fldChar w:fldCharType="separate"/>
      </w:r>
      <w:r w:rsidR="00110710" w:rsidRPr="005B5460">
        <w:rPr>
          <w:rFonts w:ascii="Times New Roman" w:hAnsi="Times New Roman" w:cs="Times New Roman"/>
          <w:noProof/>
        </w:rPr>
        <w:t>(23)</w:t>
      </w:r>
      <w:r w:rsidR="00110710" w:rsidRPr="005B5460">
        <w:rPr>
          <w:rFonts w:ascii="Times New Roman" w:hAnsi="Times New Roman" w:cs="Times New Roman"/>
        </w:rPr>
        <w:fldChar w:fldCharType="end"/>
      </w:r>
      <w:r w:rsidR="006647A2" w:rsidRPr="005B5460">
        <w:rPr>
          <w:rFonts w:ascii="Times New Roman" w:hAnsi="Times New Roman" w:cs="Times New Roman"/>
        </w:rPr>
        <w:t>.</w:t>
      </w:r>
      <w:r w:rsidR="00930279" w:rsidRPr="005B5460">
        <w:rPr>
          <w:rFonts w:ascii="Times New Roman" w:hAnsi="Times New Roman" w:cs="Times New Roman"/>
        </w:rPr>
        <w:t xml:space="preserve"> were considered to be the most relevant to the research question. Themes were chosen that were considered most relevant to the research question.</w:t>
      </w:r>
    </w:p>
    <w:p w14:paraId="3018CF9B" w14:textId="41B1DE79" w:rsidR="008F1CFE" w:rsidRPr="005B5460" w:rsidRDefault="008F1CFE" w:rsidP="007E3529">
      <w:pPr>
        <w:spacing w:line="480" w:lineRule="auto"/>
        <w:rPr>
          <w:rFonts w:ascii="Times New Roman" w:hAnsi="Times New Roman" w:cs="Times New Roman"/>
        </w:rPr>
      </w:pPr>
      <w:r w:rsidRPr="005B5460">
        <w:rPr>
          <w:rFonts w:ascii="Times New Roman" w:hAnsi="Times New Roman" w:cs="Times New Roman"/>
        </w:rPr>
        <w:t>&lt;&lt;Please insert table 5&gt;&gt;</w:t>
      </w:r>
    </w:p>
    <w:p w14:paraId="4549BF64" w14:textId="60052AF0" w:rsidR="007E3529" w:rsidRPr="005B5460" w:rsidRDefault="009A01B1" w:rsidP="007E3529">
      <w:pPr>
        <w:spacing w:line="480" w:lineRule="auto"/>
        <w:rPr>
          <w:rFonts w:ascii="Times New Roman" w:hAnsi="Times New Roman" w:cs="Times New Roman"/>
          <w:i/>
          <w:iCs/>
        </w:rPr>
      </w:pPr>
      <w:r w:rsidRPr="005B5460">
        <w:rPr>
          <w:rFonts w:ascii="Times New Roman" w:hAnsi="Times New Roman" w:cs="Times New Roman"/>
          <w:i/>
          <w:iCs/>
        </w:rPr>
        <w:t>Phys</w:t>
      </w:r>
      <w:r w:rsidR="008C7752" w:rsidRPr="005B5460">
        <w:rPr>
          <w:rFonts w:ascii="Times New Roman" w:hAnsi="Times New Roman" w:cs="Times New Roman"/>
          <w:i/>
          <w:iCs/>
        </w:rPr>
        <w:t>i</w:t>
      </w:r>
      <w:r w:rsidRPr="005B5460">
        <w:rPr>
          <w:rFonts w:ascii="Times New Roman" w:hAnsi="Times New Roman" w:cs="Times New Roman"/>
          <w:i/>
          <w:iCs/>
        </w:rPr>
        <w:t>cal Function</w:t>
      </w:r>
    </w:p>
    <w:p w14:paraId="394040A8" w14:textId="761928FE" w:rsidR="007E3529" w:rsidRPr="005B5460" w:rsidRDefault="007E3529" w:rsidP="00714A4B">
      <w:pPr>
        <w:spacing w:line="480" w:lineRule="auto"/>
        <w:rPr>
          <w:rFonts w:ascii="Times New Roman" w:hAnsi="Times New Roman" w:cs="Times New Roman"/>
        </w:rPr>
      </w:pPr>
      <w:r w:rsidRPr="005B5460">
        <w:rPr>
          <w:rFonts w:ascii="Times New Roman" w:hAnsi="Times New Roman" w:cs="Times New Roman"/>
        </w:rPr>
        <w:t xml:space="preserve">Functional outcomes were measured in all of the included papers </w:t>
      </w:r>
      <w:r w:rsidR="005177FE" w:rsidRPr="005B5460">
        <w:rPr>
          <w:rFonts w:ascii="Times New Roman" w:hAnsi="Times New Roman" w:cs="Times New Roman"/>
        </w:rPr>
        <w:t>using</w:t>
      </w:r>
      <w:r w:rsidRPr="005B5460">
        <w:rPr>
          <w:rFonts w:ascii="Times New Roman" w:hAnsi="Times New Roman" w:cs="Times New Roman"/>
        </w:rPr>
        <w:t xml:space="preserve"> various outcome measures and scores. </w:t>
      </w:r>
      <w:r w:rsidR="009E4D56" w:rsidRPr="005B5460">
        <w:rPr>
          <w:rFonts w:ascii="Times New Roman" w:hAnsi="Times New Roman" w:cs="Times New Roman"/>
        </w:rPr>
        <w:t xml:space="preserve">The outcomes measured were physical function, </w:t>
      </w:r>
      <w:r w:rsidR="00143095" w:rsidRPr="005B5460">
        <w:rPr>
          <w:rFonts w:ascii="Times New Roman" w:hAnsi="Times New Roman" w:cs="Times New Roman"/>
        </w:rPr>
        <w:t>walking distance, walking speed and functional mobility</w:t>
      </w:r>
      <w:r w:rsidR="008536AD" w:rsidRPr="005B5460">
        <w:rPr>
          <w:rFonts w:ascii="Times New Roman" w:hAnsi="Times New Roman" w:cs="Times New Roman"/>
        </w:rPr>
        <w:t>,</w:t>
      </w:r>
      <w:r w:rsidR="00143095" w:rsidRPr="005B5460">
        <w:rPr>
          <w:rFonts w:ascii="Times New Roman" w:hAnsi="Times New Roman" w:cs="Times New Roman"/>
        </w:rPr>
        <w:t xml:space="preserve"> utilising both disease</w:t>
      </w:r>
      <w:r w:rsidR="00A82CAF" w:rsidRPr="005B5460">
        <w:rPr>
          <w:rFonts w:ascii="Times New Roman" w:hAnsi="Times New Roman" w:cs="Times New Roman"/>
        </w:rPr>
        <w:t>-</w:t>
      </w:r>
      <w:r w:rsidR="00143095" w:rsidRPr="005B5460">
        <w:rPr>
          <w:rFonts w:ascii="Times New Roman" w:hAnsi="Times New Roman" w:cs="Times New Roman"/>
        </w:rPr>
        <w:t xml:space="preserve">specific and generic outcome measures.  </w:t>
      </w:r>
      <w:r w:rsidRPr="005B5460">
        <w:rPr>
          <w:rFonts w:ascii="Times New Roman" w:hAnsi="Times New Roman" w:cs="Times New Roman"/>
        </w:rPr>
        <w:t xml:space="preserve">Three papers used objective measures alongside a subjective measure, and these studies were the most focused on functional outcomes due to their use of multiple measures </w:t>
      </w:r>
      <w:r w:rsidR="009C1CBA" w:rsidRPr="005B5460">
        <w:rPr>
          <w:rFonts w:ascii="Times New Roman" w:hAnsi="Times New Roman" w:cs="Times New Roman"/>
        </w:rPr>
        <w:fldChar w:fldCharType="begin" w:fldLock="1"/>
      </w:r>
      <w:r w:rsidR="00102581" w:rsidRPr="005B5460">
        <w:rPr>
          <w:rFonts w:ascii="Times New Roman" w:hAnsi="Times New Roman" w:cs="Times New Roman"/>
        </w:rPr>
        <w:instrText>ADDIN CSL_CITATION {"citationItems":[{"id":"ITEM-1","itemData":{"DOI":"10.1002/jso.24618","ISSN":"1096-9098 (Electronic)","PMID":"28384378","abstract":"BACKGROUND AND OBJECTIVES: In a previous conducted study functional outcome of young  patients with bone sarcoma located around the knee was longitudinally evaluated during the first 2 years postoperatively. Functional outcome improved significantly over the first 2 years. The purpose of this descriptive study was to evaluate the functional outcome of these patients at long-term follow-up of 7 years. METHODS: Functional outcome was assessed with the TESS, MSTS, Baecke questionnaire, and three functional performance tests: time up and down stairs (TUDS), various walking activities (VWA), and the 6-min walking test (6MWT). Linear Mixed Model has been employed for the repeated measurements. RESULTS: Twenty patients of the original study (n = 44) participated in the current study. Fifteen limb-salvage and five ablative surgery patients, median follow-up 7.4 years (6.8-8.0) (CI 95%), mean age 22.3 years (18.2-31.6). Between 2 and 7 years after surgery, 8 limb-salvage patients (53%) encountered surgery related complications. Questionnaires and functional performance tests showed no significant difference in functional outcome between 2 years and 7 years after surgery (P &lt; 0.05). CONCLUSIONS: Between 2 years and follow-up at average 7 years after surgery no further improvements were noticed at young patients with a bone sarcoma located around the knee.","author":[{"dropping-particle":"","family":"Egmond-van Dam","given":"Janneke C","non-dropping-particle":"van","parse-names":false,"suffix":""},{"dropping-particle":"","family":"Bekkering","given":"W Peter","non-dropping-particle":"","parse-names":false,"suffix":""},{"dropping-particle":"","family":"Bramer","given":"Jos A M","non-dropping-particle":"","parse-names":false,"suffix":""},{"dropping-particle":"","family":"Beishuizen","given":"Auke","non-dropping-particle":"","parse-names":false,"suffix":""},{"dropping-particle":"","family":"Fiocco","given":"Marta","non-dropping-particle":"","parse-names":false,"suffix":""},{"dropping-particle":"","family":"Dijkstra","given":"P D Sander","non-dropping-particle":"","parse-names":false,"suffix":""}],"container-title":"Journal of surgical oncology","id":"ITEM-1","issue":"8","issued":{"date-parts":[["2017","6"]]},"language":"eng","page":"1028-1032","title":"Functional outcome after surgery in patients with bone sarcoma around the knee;  results from a long-term prospective study.","type":"article-journal","volume":"115"},"uris":["http://www.mendeley.com/documents/?uuid=d0dd1dc4-c702-4d78-bb3f-fc5899a688ed"]},{"id":"ITEM-2","itemData":{"DOI":"10.1007/s11999-012-2271-1","ISSN":"1528-1132 (Electronic)","PMID":"22302658","abstract":"INTRODUCTION: Patients with aggressive lower extremity musculoskeletal tumors may be  candidates for either above-knee amputation or limb-salvage surgery. However, the subjective and objective benefits of limb-salvage surgery compared with amputation are not fully clear. QUESTIONS/PURPOSES: We therefore compared functional status and quality of life for patients treated with above-knee amputation versus limb-salvage surgery. METHODS: We reviewed 20 of 51 patients aged 15 years and older treated with above-knee amputation or limb-salvage surgery for aggressive musculoskeletal tumors around the knee between 1994 and 2004 as a retrospective cohort study. At last followup we obtained the Physiological Cost Index, the Reintegration to Normal Living Index, SF-36, and the Toronto Extremity Salvage Score questionnaires. The minimum followup was 12 months (median, 56 months; range, 12-108 months). RESULTS: Compared with patients having above-knee amputation, patients undergoing limb-salvage surgery had superior Physiological Cost Index scores and Reintegration to Normal Living Index. The Toronto Extremity Salvage scores and SF-36 scores were similar in the two groups. CONCLUSION: These data suggest that limb-salvage surgery offers better gait efficiency and return to normal living compared with above-knee amputation, but does not improve the patient's perception of quality of life.","author":[{"dropping-particle":"","family":"Malek","given":"Farbod","non-dropping-particle":"","parse-names":false,"suffix":""},{"dropping-particle":"","family":"Somerson","given":"Jeremy S","non-dropping-particle":"","parse-names":false,"suffix":""},{"dropping-particle":"","family":"Mitchel","given":"Shannon","non-dropping-particle":"","parse-names":false,"suffix":""},{"dropping-particle":"","family":"Williams","given":"Ronald P","non-dropping-particle":"","parse-names":false,"suffix":""}],"container-title":"Clinical orthopaedics and related research","id":"ITEM-2","issue":"7","issued":{"date-parts":[["2012","7"]]},"language":"eng","page":"2000-2006","title":"Does limb-salvage surgery offer patients better quality of life and functional  capacity than amputation?","type":"article-journal","volume":"470"},"uris":["http://www.mendeley.com/documents/?uuid=b18c2b7e-1ca3-4eef-8e44-d2b03c031b23"]},{"id":"ITEM-3","itemData":{"DOI":"10.1002/jso.21828","ISSN":"1096-9098 (Electronic)","PMID":"21337557","abstract":"BACKGROUND: Aim of our study was to compare functional ability and physical activity  in children and young adults who underwent surgery for a malignant bone tumor that was located around the knee. METHODS: This cross-sectional study included 82 patients aged 8-25 years with a follow-up of 1-5 years. The functional ability and the amount of physical activity were evaluated by means of questionnaires and objective instruments. RESULTS: Thirty nine patients underwent limb-salvage surgery (24 allograft and 15 endoprosthesis) and 43 underwent ablative surgery (27 amputations and 16 rotationplasty). Patients in the limb-salvage group were significantly older at the time of surgery than patients in the ablative group (mean age 15.2 years vs. 13.2 years, P = 0.03). Apart from significantly better scores for the timed up and down stairs and various walking activities in the limb-salvage group as compared to the ablative surgery group, no significant differences were seen for any of the outcome measures. CONCLUSIONS: One to 5 years after limb-salvage and ablative surgery due to a malignant bone tumor children and young adults do, apart from a few activities involving walking and climbing stairs, not differ with respect to overall functional ability and physical activity.","author":[{"dropping-particle":"","family":"Bekkering","given":"W Peter","non-dropping-particle":"","parse-names":false,"suffix":""},{"dropping-particle":"","family":"Vliet Vlieland","given":"Theodora P M","non-dropping-particle":"","parse-names":false,"suffix":""},{"dropping-particle":"","family":"Koopman","given":"Hendrik M","non-dropping-particle":"","parse-names":false,"suffix":""},{"dropping-particle":"","family":"Schaap","given":"Gerard R","non-dropping-particle":"","parse-names":false,"suffix":""},{"dropping-particle":"","family":"Bart Schreuder","given":"H W","non-dropping-particle":"","parse-names":false,"suffix":""},{"dropping-particle":"","family":"Beishuizen","given":"Auke","non-dropping-particle":"","parse-names":false,"suffix":""},{"dropping-particle":"","family":"Jutte","given":"Paul C","non-dropping-particle":"","parse-names":false,"suffix":""},{"dropping-particle":"","family":"Hoogerbrugge","given":"Peter M","non-dropping-particle":"","parse-names":false,"suffix":""},{"dropping-particle":"","family":"Anninga","given":"Jacob K","non-dropping-particle":"","parse-names":false,"suffix":""},{"dropping-particle":"","family":"Nelissen","given":"Rob G H H","non-dropping-particle":"","parse-names":false,"suffix":""},{"dropping-particle":"","family":"Taminiau","given":"Antonie H M","non-dropping-particle":"","parse-names":false,"suffix":""}],"container-title":"Journal of surgical oncology","id":"ITEM-3","issue":"3","issued":{"date-parts":[["2011","3"]]},"language":"eng","page":"276-282","publisher-place":"United States","title":"Functional ability and physical activity in children and young adults after  limb-salvage or ablative surgery for lower extremity bone tumors.","type":"article-journal","volume":"103"},"uris":["http://www.mendeley.com/documents/?uuid=46086f6e-f63d-4ad9-82d8-9ecafd272161"]}],"mendeley":{"formattedCitation":"(17,19,21)","plainTextFormattedCitation":"(17,19,21)","previouslyFormattedCitation":"(17,19,21)"},"properties":{"noteIndex":0},"schema":"https://github.com/citation-style-language/schema/raw/master/csl-citation.json"}</w:instrText>
      </w:r>
      <w:r w:rsidR="009C1CBA" w:rsidRPr="005B5460">
        <w:rPr>
          <w:rFonts w:ascii="Times New Roman" w:hAnsi="Times New Roman" w:cs="Times New Roman"/>
        </w:rPr>
        <w:fldChar w:fldCharType="separate"/>
      </w:r>
      <w:r w:rsidR="009C1CBA" w:rsidRPr="005B5460">
        <w:rPr>
          <w:rFonts w:ascii="Times New Roman" w:hAnsi="Times New Roman" w:cs="Times New Roman"/>
          <w:noProof/>
        </w:rPr>
        <w:t>(17,19,21)</w:t>
      </w:r>
      <w:r w:rsidR="009C1CBA" w:rsidRPr="005B5460">
        <w:rPr>
          <w:rFonts w:ascii="Times New Roman" w:hAnsi="Times New Roman" w:cs="Times New Roman"/>
        </w:rPr>
        <w:fldChar w:fldCharType="end"/>
      </w:r>
      <w:r w:rsidRPr="005B5460">
        <w:rPr>
          <w:rFonts w:ascii="Times New Roman" w:hAnsi="Times New Roman" w:cs="Times New Roman"/>
        </w:rPr>
        <w:t xml:space="preserve">. </w:t>
      </w:r>
      <w:r w:rsidR="00D12B05" w:rsidRPr="005B5460">
        <w:rPr>
          <w:rFonts w:ascii="Times New Roman" w:hAnsi="Times New Roman" w:cs="Times New Roman"/>
        </w:rPr>
        <w:t xml:space="preserve">However, it is important to stipulate that </w:t>
      </w:r>
      <w:r w:rsidR="00BE710F" w:rsidRPr="005B5460">
        <w:rPr>
          <w:rFonts w:ascii="Times New Roman" w:hAnsi="Times New Roman" w:cs="Times New Roman"/>
        </w:rPr>
        <w:t xml:space="preserve">none of the functional measures </w:t>
      </w:r>
      <w:r w:rsidR="004023D4" w:rsidRPr="005B5460">
        <w:rPr>
          <w:rFonts w:ascii="Times New Roman" w:hAnsi="Times New Roman" w:cs="Times New Roman"/>
        </w:rPr>
        <w:t xml:space="preserve">take into account the patient’s perspective. </w:t>
      </w:r>
      <w:r w:rsidR="00DA0D9A" w:rsidRPr="005B5460">
        <w:rPr>
          <w:rFonts w:ascii="Times New Roman" w:hAnsi="Times New Roman" w:cs="Times New Roman"/>
        </w:rPr>
        <w:t xml:space="preserve">Further </w:t>
      </w:r>
      <w:r w:rsidR="009F38C6" w:rsidRPr="005B5460">
        <w:rPr>
          <w:rFonts w:ascii="Times New Roman" w:hAnsi="Times New Roman" w:cs="Times New Roman"/>
        </w:rPr>
        <w:t xml:space="preserve">information on the discrepancy between patient- and clinician-reported </w:t>
      </w:r>
      <w:r w:rsidR="0038124F" w:rsidRPr="005B5460">
        <w:rPr>
          <w:rFonts w:ascii="Times New Roman" w:hAnsi="Times New Roman" w:cs="Times New Roman"/>
        </w:rPr>
        <w:t xml:space="preserve">function in </w:t>
      </w:r>
      <w:r w:rsidR="003503BA" w:rsidRPr="005B5460">
        <w:rPr>
          <w:rFonts w:ascii="Times New Roman" w:hAnsi="Times New Roman" w:cs="Times New Roman"/>
        </w:rPr>
        <w:t xml:space="preserve">this population </w:t>
      </w:r>
      <w:r w:rsidR="00AA0B16" w:rsidRPr="005B5460">
        <w:rPr>
          <w:rFonts w:ascii="Times New Roman" w:hAnsi="Times New Roman" w:cs="Times New Roman"/>
        </w:rPr>
        <w:t xml:space="preserve">is reported </w:t>
      </w:r>
      <w:r w:rsidR="003503BA" w:rsidRPr="005B5460">
        <w:rPr>
          <w:rFonts w:ascii="Times New Roman" w:hAnsi="Times New Roman" w:cs="Times New Roman"/>
        </w:rPr>
        <w:t xml:space="preserve">in </w:t>
      </w:r>
      <w:r w:rsidR="004023D4" w:rsidRPr="005B5460">
        <w:rPr>
          <w:rFonts w:ascii="Times New Roman" w:hAnsi="Times New Roman" w:cs="Times New Roman"/>
        </w:rPr>
        <w:t xml:space="preserve">Janssen et al </w:t>
      </w:r>
      <w:r w:rsidR="00102581" w:rsidRPr="005B5460">
        <w:rPr>
          <w:rFonts w:ascii="Times New Roman" w:hAnsi="Times New Roman" w:cs="Times New Roman"/>
        </w:rPr>
        <w:fldChar w:fldCharType="begin" w:fldLock="1"/>
      </w:r>
      <w:r w:rsidR="005F4DC8" w:rsidRPr="005B5460">
        <w:rPr>
          <w:rFonts w:ascii="Times New Roman" w:hAnsi="Times New Roman" w:cs="Times New Roman"/>
        </w:rPr>
        <w:instrText>ADDIN CSL_CITATION {"citationItems":[{"id":"ITEM-1","itemData":{"DOI":"10.1155/2016/1014248","ISSN":"1357-714X (Print)","PMID":"27725792","abstract":"Background. The Musculoskeletal Tumor Society (MSTS) scoring system measures  function and is commonly used but criticized because it was developed to be completed by the clinician and not by the patient. We therefore evaluated if there is a difference between patient and clinician reported function using the MSTS score. Methods. 128 patients with bone metastasis of the lower (n = 100) and upper (n = 28) extremity completed the MSTS score. The MSTS score consists of six domains, scored on a 0 to 5 scale and transformed into an overall score ranging from 0 to 100% with a higher score indicating better function. The MSTS score was also derived from clinicians' reports in the medical record. Results. The median age was 63 years (interquartile range [IQR]: 55-71) and the study included 74 (58%) women. We found that the clinicians' MSTS score (median: 65, IQR: 49-83) overestimated the function as compared to the patient perceived score (median: 57, IQR: 40-70) by 8 points (p &lt; 0.001). Conclusion. Clinician reports overestimate function as compared to the patient perceived score. This is important for acknowledging when informing patients about the expected outcome of treatment and for understanding patients' perceptions.","author":[{"dropping-particle":"","family":"Janssen","given":"Stein J","non-dropping-particle":"","parse-names":false,"suffix":""},{"dropping-particle":"","family":"Rein","given":"Eva A J","non-dropping-particle":"van","parse-names":false,"suffix":""},{"dropping-particle":"","family":"Paulino Pereira","given":"Nuno Rui","non-dropping-particle":"","parse-names":false,"suffix":""},{"dropping-particle":"","family":"Raskin","given":"Kevin A","non-dropping-particle":"","parse-names":false,"suffix":""},{"dropping-particle":"","family":"Ferrone","given":"Marco L","non-dropping-particle":"","parse-names":false,"suffix":""},{"dropping-particle":"","family":"Hornicek","given":"Francis J","non-dropping-particle":"","parse-names":false,"suffix":""},{"dropping-particle":"","family":"Lozano-Calderon","given":"Santiago A","non-dropping-particle":"","parse-names":false,"suffix":""},{"dropping-particle":"","family":"Schwab","given":"Joseph H","non-dropping-particle":"","parse-names":false,"suffix":""}],"container-title":"Sarcoma","id":"ITEM-1","issued":{"date-parts":[["2016"]]},"language":"eng","page":"1014248","title":"The Discrepancy between Patient and Clinician Reported Function in Extremity Bone  Metastases.","type":"article-journal","volume":"2016"},"uris":["http://www.mendeley.com/documents/?uuid=1cb9fed5-c9e9-4a04-9cbc-0f61dfd4037e"]}],"mendeley":{"formattedCitation":"(45)","plainTextFormattedCitation":"(45)","previouslyFormattedCitation":"(45)"},"properties":{"noteIndex":0},"schema":"https://github.com/citation-style-language/schema/raw/master/csl-citation.json"}</w:instrText>
      </w:r>
      <w:r w:rsidR="00102581" w:rsidRPr="005B5460">
        <w:rPr>
          <w:rFonts w:ascii="Times New Roman" w:hAnsi="Times New Roman" w:cs="Times New Roman"/>
        </w:rPr>
        <w:fldChar w:fldCharType="separate"/>
      </w:r>
      <w:r w:rsidR="005F4DC8" w:rsidRPr="005B5460">
        <w:rPr>
          <w:rFonts w:ascii="Times New Roman" w:hAnsi="Times New Roman" w:cs="Times New Roman"/>
          <w:noProof/>
        </w:rPr>
        <w:t>(45)</w:t>
      </w:r>
      <w:r w:rsidR="00102581" w:rsidRPr="005B5460">
        <w:rPr>
          <w:rFonts w:ascii="Times New Roman" w:hAnsi="Times New Roman" w:cs="Times New Roman"/>
        </w:rPr>
        <w:fldChar w:fldCharType="end"/>
      </w:r>
      <w:r w:rsidR="003503BA" w:rsidRPr="005B5460">
        <w:rPr>
          <w:rFonts w:ascii="Times New Roman" w:hAnsi="Times New Roman" w:cs="Times New Roman"/>
        </w:rPr>
        <w:t xml:space="preserve">. </w:t>
      </w:r>
      <w:r w:rsidRPr="005B5460">
        <w:rPr>
          <w:rFonts w:ascii="Times New Roman" w:hAnsi="Times New Roman" w:cs="Times New Roman"/>
        </w:rPr>
        <w:t xml:space="preserve">The remaining studies relied on a subjective measure for the functional outcome. The overall </w:t>
      </w:r>
      <w:r w:rsidR="00BB020D" w:rsidRPr="005B5460">
        <w:rPr>
          <w:rFonts w:ascii="Times New Roman" w:hAnsi="Times New Roman" w:cs="Times New Roman"/>
        </w:rPr>
        <w:t xml:space="preserve">Musculoskeletal Tumour Society scoring system (MSTS) </w:t>
      </w:r>
      <w:r w:rsidRPr="005B5460">
        <w:rPr>
          <w:rFonts w:ascii="Times New Roman" w:hAnsi="Times New Roman" w:cs="Times New Roman"/>
        </w:rPr>
        <w:t xml:space="preserve">mean scores in all 10 papers </w:t>
      </w:r>
      <w:r w:rsidR="009E71C1" w:rsidRPr="005B5460">
        <w:rPr>
          <w:rFonts w:ascii="Times New Roman" w:hAnsi="Times New Roman" w:cs="Times New Roman"/>
        </w:rPr>
        <w:t xml:space="preserve">was </w:t>
      </w:r>
      <w:r w:rsidR="00714A4B" w:rsidRPr="005B5460">
        <w:rPr>
          <w:rFonts w:ascii="Times New Roman" w:hAnsi="Times New Roman" w:cs="Times New Roman"/>
        </w:rPr>
        <w:t xml:space="preserve">23.9, </w:t>
      </w:r>
      <w:r w:rsidRPr="005B5460">
        <w:rPr>
          <w:rFonts w:ascii="Times New Roman" w:hAnsi="Times New Roman" w:cs="Times New Roman"/>
        </w:rPr>
        <w:t>indicat</w:t>
      </w:r>
      <w:r w:rsidR="009E71C1" w:rsidRPr="005B5460">
        <w:rPr>
          <w:rFonts w:ascii="Times New Roman" w:hAnsi="Times New Roman" w:cs="Times New Roman"/>
        </w:rPr>
        <w:t>ing</w:t>
      </w:r>
      <w:r w:rsidRPr="005B5460">
        <w:rPr>
          <w:rFonts w:ascii="Times New Roman" w:hAnsi="Times New Roman" w:cs="Times New Roman"/>
        </w:rPr>
        <w:t xml:space="preserve"> good and excellent functional </w:t>
      </w:r>
      <w:r w:rsidR="009E71C1" w:rsidRPr="005B5460">
        <w:rPr>
          <w:rFonts w:ascii="Times New Roman" w:hAnsi="Times New Roman" w:cs="Times New Roman"/>
        </w:rPr>
        <w:t>ability</w:t>
      </w:r>
      <w:r w:rsidRPr="005B5460">
        <w:rPr>
          <w:rFonts w:ascii="Times New Roman" w:hAnsi="Times New Roman" w:cs="Times New Roman"/>
        </w:rPr>
        <w:t xml:space="preserve"> </w:t>
      </w:r>
      <w:r w:rsidR="009E71C1" w:rsidRPr="005B5460">
        <w:rPr>
          <w:rFonts w:ascii="Times New Roman" w:hAnsi="Times New Roman" w:cs="Times New Roman"/>
        </w:rPr>
        <w:t xml:space="preserve">following </w:t>
      </w:r>
      <w:r w:rsidRPr="005B5460">
        <w:rPr>
          <w:rFonts w:ascii="Times New Roman" w:hAnsi="Times New Roman" w:cs="Times New Roman"/>
        </w:rPr>
        <w:t xml:space="preserve">LSS. The location of the resected tumour was associated with the MSTS score in three studies </w:t>
      </w:r>
      <w:r w:rsidR="000500A4"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{"citationItems":[{"id":"ITEM-1","itemData":{"DOI":"10.1007/s00167-018-5110-4","ISSN":"1433-7347 (Electronic)","PMID":"30132048","abstract":"PURPOSE: To compare the outcomes of allograft-prosthesis composite for  reconstruction after malignant tumors at the distal femur and proximal tibia. METHODS: Case-control study of 24 patients with distal femur tumor and 21 with proximal tibia tumor. Union of the allograft-host interface was assessed by the International Society of Limb Salvage criteria, and complications according Henderson. Functional outcome was evaluated by the Musculoskeletal Tumor Society (MSTS) score, Western Ontario and McMaster Universities (WOMAC) score, and pain by a visual analog scale. RESULTS: The median follow-up in the femoral group was 11.4 (range 2.3-25.0) years, and 10.1 (range 2.2-25.0) in tibial group. Incorporation of the allograft was successful in more than 90% in both groups. Tumor location was not significant predictor for allograft failure in multivariate analysis. Aseptic prosthesis loosening occurred in two patients in either group, and another patient in the tibial group had a breakage of the tibial insert. Excluding local recurrences and amputations, the prosthesis survival at 10 years was 94.1% in the femoral group, and 83.3% in the tibial group (n.s.). For the patients with preserved limb, the median MSTS score was 23.6 in the femoral group and 22.8 in tibial group (n.s.). Likewise, there were no significant differences in median WOMAC score (n.s.) or VAS pain (n.s.). CONCLUSIONS: Allograft-prosthesis composite is an effective procedure for distal femur tumors related to the graft, prosthesis survival, and functional outcomes. The results are comparable to those for proximal tibial tumors. LEVEL OF EVIDENCE: Therapeutic study, Level III.","author":[{"dropping-particle":"","family":"Puerta-GarciaSandoval","given":"Pablo","non-dropping-particle":"","parse-names":false,"suffix":""},{"dropping-particle":"","family":"Lizaur-Utrilla","given":"Alejandro","non-dropping-particle":"","parse-names":false,"suffix":""},{"dropping-particle":"","family":"Trigueros-Rentero","given":"Maria A","non-dropping-particle":"","parse-names":false,"suffix":""},{"dropping-particle":"","family":"Lopez-Prats","given":"Fernando A","non-dropping-particle":"","parse-names":false,"suffix":""}],"container-title":"Knee surgery, sports traumatology, arthroscopy : official journal of the ESSKA","id":"ITEM-1","issue":"7","issued":{"date-parts":[["2019","7"]]},"language":"eng","page":"2218-2225","publisher-place":"Germany","title":"Mid- to long-term results of allograft-prosthesis composite reconstruction after  removal of a distal femoral malignant tumor are comparable to those of the proximal tibia.","type":"article-journal","volume":"27"},"uris":["http://www.mendeley.com/documents/?uuid=621c6867-0acc-4592-b3c3-292715ef19c3"]},{"id":"ITEM-2","itemData":{"DOI":"10.1007/s00264-018-3770-9","ISSN":"1432-5195 (Electronic)","PMID":"29427125","abstract":"PURPOSE: We initiated a retrospective study on the long-term survival of cemented  endoprostheses for bone tumours around the knee to answer the following questions: (1) What was the survival of these patients? (2) What was the overall survival of cemented prostheses around the knee? (3) What types of failures were observed in these reconstructions? (4) Did the survival and complications vary according to the site of the implant? (5) What was the functional result after cemented prosthesis replacement around the knee? METHODS: From January 2006 to December 2013, 108 consecutive patients with an average age of 25 years, who had mature bone development as evidenced by imaging examinations, underwent 108 cemented endoprosthetic knee replacements for osteosarcoma resection. All patients received neoadjuvant chemotherapy using a multi-drug protocol consisting of high dose methotrexate (HDMTX), doxorubicin (ADM), cisplatin (DDP) and high dose ifosfamide (HDIFO). When extensor mechanism reconstruction was required, we ran nonabsorbable sutures through designated holes in the tibial component to fix detached hamstrings and the remaining ligaments in an imbricated fashion as well as reinforced the reconstruction with a medial gastrocnemius flap. Seventy-two (72/108, 66.7%) lesions were located in the distal femur and 36 (36/108, 33.3%) lesions at the proximal tibias. Nineteen patients were staged as IIA and 89 as IIB according to the Enneking staging system. The average follow-up was 53.3 months (range 12-125 months), with a minimum oncological follow-up of one year. Survival, prosthetic failure, complications and functional outcomes were recorded and reassessed at every visit after the primary operation. RESULTS: At the final follow-up, the oncologic results showed that 33 patients died from metastases, and local recurrence occurred in ten patients. The estimated overall five-year and eight-year survival rates were 71% (95% CI: 62.4-79.65%) and 67.2% (95% CI: 58-76.4%), respectively. In this study, a total of 51 complications occurred in 45 patients, and at the end of follow-up, 59 patients had prostheses in situ. The estimated overall five-year and eight-year implant survival rates were 77.7% (95% CI: 67.9-87.5%) and 54.5% (95% CI: 31.4-77.6%), respectively, when patients who died with their original prostheses were censored. In total, 21 (21/108, 19.4%) implants failed, five due to infections (5/21), eight due to aseptic loosening (8/21), four due to local re…","author":[{"dropping-particle":"","family":"Zhang","given":"Chunlin","non-dropping-particle":"","parse-names":false,"suffix":""},{"dropping-particle":"","family":"Hu","given":"Jianping","non-dropping-particle":"","parse-names":false,"suffix":""},{"dropping-particle":"","family":"Zhu","given":"Kunpeng","non-dropping-particle":"","parse-names":false,"suffix":""},{"dropping-particle":"","family":"Cai","given":"Tao","non-dropping-particle":"","parse-names":false,"suffix":""},{"dropping-particle":"","family":"Ma","given":"Xiaolong","non-dropping-particle":"","parse-names":false,"suffix":""}],"container-title":"International orthopaedics","id":"ITEM-2","issue":"4","issued":{"date-parts":[["2018","4"]]},"language":"eng","page":"927-938","publisher-place":"Germany","title":"Survival, complications and functional outcomes of cemented megaprostheses for  high-grade osteosarcoma around the knee.","type":"article-journal","volume":"42"},"uris":["http://www.mendeley.com/documents/?uuid=dc326e07-de8f-4cdd-bd80-4a3658265e05"]},{"id":"ITEM-3","itemData":{"DOI":"10.1016/j.ejso.2012.07.003","ISSN":"1532-2157 (Electronic)","PMID":"22809860","abstract":"AIM: Limb-salvage surgery has become the standard of care for extremity  osteosarcoma. In this study, we investigated the survival and functional outcomes of patients with osteosarcoma around the knee who were treated with limb-salvage surgery. METHODS: We retrospectively reviewed the clinical data for 120 patients with osteosarcoma around the knee who were treated with limb-salvage surgery between 1998 and 2008. The sample included 75 males and 45 females. The mean age of the patients was 18.9 years. Osteosarcoma was diagnosed in the distal femur in 78 patients and in the proximal tibia in 42 patients. Statistical analyses were conducted to process and record the patient data and analyse the surgery's efficacy, prognosis and survival rates. RESULTS: All patients were followed for 6-144 months (mean of 56.8 months). The overall 5-year survival rate was 61.8%. Lung metastasis developed in 31 patients. Local recurrence developed in 9 patients. The average Musculoskeletal Tumor Society Score (MSTS) was 25.5 points on a 30-point scale. Sixteen patients underwent prosthesis revision and twelve patients underwent amputation. The overall survivorship of the prosthesis based on Kaplan-Meier estimates was 77% at five years and 71% at ten years. There was a higher incidence of extensor lag for the patients with osteosarcoma in the proximal tibia than for those with osteosarcoma in the distal femur (P &lt; 0.01). CONCLUSIONS: Treating osteosarcoma around the knee with limb-salvage surgery can preserve most of the knee's functionality. Attention must be paid to prevent the relatively high incidence of postoperative complications.","author":[{"dropping-particle":"","family":"Tan","given":"P X","non-dropping-particle":"","parse-names":false,"suffix":""},{"dropping-particle":"","family":"Yong","given":"B C","non-dropping-particle":"","parse-names":false,"suffix":""},{"dropping-particle":"","family":"Wang","given":"J","non-dropping-particle":"","parse-names":false,"suffix":""},{"dropping-particle":"","family":"Huang","given":"G","non-dropping-particle":"","parse-names":false,"suffix":""},{"dropping-particle":"","family":"Yin","given":"J Q","non-dropping-particle":"","parse-names":false,"suffix":""},{"dropping-particle":"","family":"Zou","given":"C Y","non-dropping-particle":"","parse-names":false,"suffix":""},{"dropping-particle":"","family":"Xie","given":"X B","non-dropping-particle":"","parse-names":false,"suffix":""},{"dropping-particle":"","family":"Tang","given":"Q L","non-dropping-particle":"","parse-names":false,"suffix":""},{"dropping-particle":"","family":"Shen","given":"J N","non-dropping-particle":"","parse-names":false,"suffix":""}],"container-title":"European journal of surgical oncology : the journal of the European Society of  Surgical Oncology and the British Association of Surgical Oncology","id":"ITEM-3","issue":"12","issued":{"date-parts":[["2012","12"]]},"language":"eng","page":"1171-1177","publisher-place":"England","title":"Analysis of the efficacy and prognosis of limb-salvage surgery for osteosarcoma  around the knee.","type":"article-journal","volume":"38"},"uris":["http://www.mendeley.com/documents/?uuid=ba59065b-75e0-4ba0-9ab8-7e2c83b0d0ec"]}],"mendeley":{"formattedCitation":"(37,39,41)","plainTextFormattedCitation":"(37,39,41)","previouslyFormattedCitation":"(37,40,42)"},"properties":{"noteIndex":0},"schema":"https://github.com/citation-style-language/schema/raw/master/csl-citation.json"}</w:instrText>
      </w:r>
      <w:r w:rsidR="000500A4" w:rsidRPr="005B5460">
        <w:rPr>
          <w:rFonts w:ascii="Times New Roman" w:hAnsi="Times New Roman" w:cs="Times New Roman"/>
        </w:rPr>
        <w:fldChar w:fldCharType="separate"/>
      </w:r>
      <w:r w:rsidR="009D0EA8" w:rsidRPr="005B5460">
        <w:rPr>
          <w:rFonts w:ascii="Times New Roman" w:hAnsi="Times New Roman" w:cs="Times New Roman"/>
          <w:noProof/>
        </w:rPr>
        <w:t>(37,39,41)</w:t>
      </w:r>
      <w:r w:rsidR="000500A4" w:rsidRPr="005B5460">
        <w:rPr>
          <w:rFonts w:ascii="Times New Roman" w:hAnsi="Times New Roman" w:cs="Times New Roman"/>
        </w:rPr>
        <w:fldChar w:fldCharType="end"/>
      </w:r>
      <w:r w:rsidRPr="005B5460">
        <w:rPr>
          <w:rFonts w:ascii="Times New Roman" w:hAnsi="Times New Roman" w:cs="Times New Roman"/>
        </w:rPr>
        <w:t xml:space="preserve">. </w:t>
      </w:r>
      <w:r w:rsidR="004271BF" w:rsidRPr="005B5460">
        <w:rPr>
          <w:rFonts w:ascii="Times New Roman" w:hAnsi="Times New Roman" w:cs="Times New Roman"/>
        </w:rPr>
        <w:t>For example, i</w:t>
      </w:r>
      <w:r w:rsidRPr="005B5460">
        <w:rPr>
          <w:rFonts w:ascii="Times New Roman" w:hAnsi="Times New Roman" w:cs="Times New Roman"/>
        </w:rPr>
        <w:t xml:space="preserve">n distal femur groups, the MSTS mean scores were above 23, indicating excellent functional </w:t>
      </w:r>
      <w:r w:rsidR="004271BF" w:rsidRPr="005B5460">
        <w:rPr>
          <w:rFonts w:ascii="Times New Roman" w:hAnsi="Times New Roman" w:cs="Times New Roman"/>
        </w:rPr>
        <w:t>ability.</w:t>
      </w:r>
      <w:r w:rsidRPr="005B5460">
        <w:rPr>
          <w:rFonts w:ascii="Times New Roman" w:hAnsi="Times New Roman" w:cs="Times New Roman"/>
        </w:rPr>
        <w:t xml:space="preserve"> </w:t>
      </w:r>
      <w:r w:rsidR="004271BF" w:rsidRPr="005B5460">
        <w:rPr>
          <w:rFonts w:ascii="Times New Roman" w:hAnsi="Times New Roman" w:cs="Times New Roman"/>
        </w:rPr>
        <w:t>H</w:t>
      </w:r>
      <w:r w:rsidRPr="005B5460">
        <w:rPr>
          <w:rFonts w:ascii="Times New Roman" w:hAnsi="Times New Roman" w:cs="Times New Roman"/>
        </w:rPr>
        <w:t xml:space="preserve">owever, the correlation was not statistically significant in two of the papers </w:t>
      </w:r>
      <w:r w:rsidR="006179F2"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{"citationItems":[{"id":"ITEM-1","itemData":{"DOI":"10.1007/s00167-018-5110-4","ISSN":"1433-7347 (Electronic)","PMID":"30132048","abstract":"PURPOSE: To compare the outcomes of allograft-prosthesis composite for  reconstruction after malignant tumors at the distal femur and proximal tibia. METHODS: Case-control study of 24 patients with distal femur tumor and 21 with proximal tibia tumor. Union of the allograft-host interface was assessed by the International Society of Limb Salvage criteria, and complications according Henderson. Functional outcome was evaluated by the Musculoskeletal Tumor Society (MSTS) score, Western Ontario and McMaster Universities (WOMAC) score, and pain by a visual analog scale. RESULTS: The median follow-up in the femoral group was 11.4 (range 2.3-25.0) years, and 10.1 (range 2.2-25.0) in tibial group. Incorporation of the allograft was successful in more than 90% in both groups. Tumor location was not significant predictor for allograft failure in multivariate analysis. Aseptic prosthesis loosening occurred in two patients in either group, and another patient in the tibial group had a breakage of the tibial insert. Excluding local recurrences and amputations, the prosthesis survival at 10 years was 94.1% in the femoral group, and 83.3% in the tibial group (n.s.). For the patients with preserved limb, the median MSTS score was 23.6 in the femoral group and 22.8 in tibial group (n.s.). Likewise, there were no significant differences in median WOMAC score (n.s.) or VAS pain (n.s.). CONCLUSIONS: Allograft-prosthesis composite is an effective procedure for distal femur tumors related to the graft, prosthesis survival, and functional outcomes. The results are comparable to those for proximal tibial tumors. LEVEL OF EVIDENCE: Therapeutic study, Level III.","author":[{"dropping-particle":"","family":"Puerta-GarciaSandoval","given":"Pablo","non-dropping-particle":"","parse-names":false,"suffix":""},{"dropping-particle":"","family":"Lizaur-Utrilla","given":"Alejandro","non-dropping-particle":"","parse-names":false,"suffix":""},{"dropping-particle":"","family":"Trigueros-Rentero","given":"Maria A","non-dropping-particle":"","parse-names":false,"suffix":""},{"dropping-particle":"","family":"Lopez-Prats","given":"Fernando A","non-dropping-particle":"","parse-names":false,"suffix":""}],"container-title":"Knee surgery, sports traumatology, arthroscopy : official journal of the ESSKA","id":"ITEM-1","issue":"7","issued":{"date-parts":[["2019","7"]]},"language":"eng","page":"2218-2225","publisher-place":"Germany","title":"Mid- to long-term results of allograft-prosthesis composite reconstruction after  removal of a distal femoral malignant tumor are comparable to those of the proximal tibia.","type":"article-journal","volume":"27"},"uris":["http://www.mendeley.com/documents/?uuid=621c6867-0acc-4592-b3c3-292715ef19c3"]},{"id":"ITEM-2","itemData":{"DOI":"10.1016/j.ejso.2012.07.003","ISSN":"1532-2157 (Electronic)","PMID":"22809860","abstract":"AIM: Limb-salvage surgery has become the standard of care for extremity  osteosarcoma. In this study, we investigated the survival and functional outcomes of patients with osteosarcoma around the knee who were treated with limb-salvage surgery. METHODS: We retrospectively reviewed the clinical data for 120 patients with osteosarcoma around the knee who were treated with limb-salvage surgery between 1998 and 2008. The sample included 75 males and 45 females. The mean age of the patients was 18.9 years. Osteosarcoma was diagnosed in the distal femur in 78 patients and in the proximal tibia in 42 patients. Statistical analyses were conducted to process and record the patient data and analyse the surgery's efficacy, prognosis and survival rates. RESULTS: All patients were followed for 6-144 months (mean of 56.8 months). The overall 5-year survival rate was 61.8%. Lung metastasis developed in 31 patients. Local recurrence developed in 9 patients. The average Musculoskeletal Tumor Society Score (MSTS) was 25.5 points on a 30-point scale. Sixteen patients underwent prosthesis revision and twelve patients underwent amputation. The overall survivorship of the prosthesis based on Kaplan-Meier estimates was 77% at five years and 71% at ten years. There was a higher incidence of extensor lag for the patients with osteosarcoma in the proximal tibia than for those with osteosarcoma in the distal femur (P &lt; 0.01). CONCLUSIONS: Treating osteosarcoma around the knee with limb-salvage surgery can preserve most of the knee's functionality. Attention must be paid to prevent the relatively high incidence of postoperative complications.","author":[{"dropping-particle":"","family":"Tan","given":"P X","non-dropping-particle":"","parse-names":false,"suffix":""},{"dropping-particle":"","family":"Yong","given":"B C","non-dropping-particle":"","parse-names":false,"suffix":""},{"dropping-particle":"","family":"Wang","given":"J","non-dropping-particle":"","parse-names":false,"suffix":""},{"dropping-particle":"","family":"Huang","given":"G","non-dropping-particle":"","parse-names":false,"suffix":""},{"dropping-particle":"","family":"Yin","given":"J Q","non-dropping-particle":"","parse-names":false,"suffix":""},{"dropping-particle":"","family":"Zou","given":"C Y","non-dropping-particle":"","parse-names":false,"suffix":""},{"dropping-particle":"","family":"Xie","given":"X B","non-dropping-particle":"","parse-names":false,"suffix":""},{"dropping-particle":"","family":"Tang","given":"Q L","non-dropping-particle":"","parse-names":false,"suffix":""},{"dropping-particle":"","family":"Shen","given":"J N","non-dropping-particle":"","parse-names":false,"suffix":""}],"container-title":"European journal of surgical oncology : the journal of the European Society of  Surgical Oncology and the British Association of Surgical Oncology","id":"ITEM-2","issue":"12","issued":{"date-parts":[["2012","12"]]},"language":"eng","page":"1171-1177","publisher-place":"England","title":"Analysis of the efficacy and prognosis of limb-salvage surgery for osteosarcoma  around the knee.","type":"article-journal","volume":"38"},"uris":["http://www.mendeley.com/documents/?uuid=ba59065b-75e0-4ba0-9ab8-7e2c83b0d0ec"]}],"mendeley":{"formattedCitation":"(37,41)","plainTextFormattedCitation":"(37,41)","previouslyFormattedCitation":"(37,42)"},"properties":{"noteIndex":0},"schema":"https://github.com/citation-style-language/schema/raw/master/csl-citation.json"}</w:instrText>
      </w:r>
      <w:r w:rsidR="006179F2" w:rsidRPr="005B5460">
        <w:rPr>
          <w:rFonts w:ascii="Times New Roman" w:hAnsi="Times New Roman" w:cs="Times New Roman"/>
        </w:rPr>
        <w:fldChar w:fldCharType="separate"/>
      </w:r>
      <w:r w:rsidR="009D0EA8" w:rsidRPr="005B5460">
        <w:rPr>
          <w:rFonts w:ascii="Times New Roman" w:hAnsi="Times New Roman" w:cs="Times New Roman"/>
          <w:noProof/>
        </w:rPr>
        <w:t>(37,41)</w:t>
      </w:r>
      <w:r w:rsidR="006179F2" w:rsidRPr="005B5460">
        <w:rPr>
          <w:rFonts w:ascii="Times New Roman" w:hAnsi="Times New Roman" w:cs="Times New Roman"/>
        </w:rPr>
        <w:fldChar w:fldCharType="end"/>
      </w:r>
      <w:r w:rsidRPr="005B5460">
        <w:rPr>
          <w:rFonts w:ascii="Times New Roman" w:hAnsi="Times New Roman" w:cs="Times New Roman"/>
        </w:rPr>
        <w:t xml:space="preserve"> and the third study did not statistically analyse this correlation </w:t>
      </w:r>
      <w:r w:rsidR="002142F5"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{"citationItems":[{"id":"ITEM-1","itemData":{"DOI":"10.1007/s00264-018-3770-9","ISSN":"1432-5195 (Electronic)","PMID":"29427125","abstract":"PURPOSE: We initiated a retrospective study on the long-term survival of cemented  endoprostheses for bone tumours around the knee to answer the following questions: (1) What was the survival of these patients? (2) What was the overall survival of cemented prostheses around the knee? (3) What types of failures were observed in these reconstructions? (4) Did the survival and complications vary according to the site of the implant? (5) What was the functional result after cemented prosthesis replacement around the knee? METHODS: From January 2006 to December 2013, 108 consecutive patients with an average age of 25 years, who had mature bone development as evidenced by imaging examinations, underwent 108 cemented endoprosthetic knee replacements for osteosarcoma resection. All patients received neoadjuvant chemotherapy using a multi-drug protocol consisting of high dose methotrexate (HDMTX), doxorubicin (ADM), cisplatin (DDP) and high dose ifosfamide (HDIFO). When extensor mechanism reconstruction was required, we ran nonabsorbable sutures through designated holes in the tibial component to fix detached hamstrings and the remaining ligaments in an imbricated fashion as well as reinforced the reconstruction with a medial gastrocnemius flap. Seventy-two (72/108, 66.7%) lesions were located in the distal femur and 36 (36/108, 33.3%) lesions at the proximal tibias. Nineteen patients were staged as IIA and 89 as IIB according to the Enneking staging system. The average follow-up was 53.3 months (range 12-125 months), with a minimum oncological follow-up of one year. Survival, prosthetic failure, complications and functional outcomes were recorded and reassessed at every visit after the primary operation. RESULTS: At the final follow-up, the oncologic results showed that 33 patients died from metastases, and local recurrence occurred in ten patients. The estimated overall five-year and eight-year survival rates were 71% (95% CI: 62.4-79.65%) and 67.2% (95% CI: 58-76.4%), respectively. In this study, a total of 51 complications occurred in 45 patients, and at the end of follow-up, 59 patients had prostheses in situ. The estimated overall five-year and eight-year implant survival rates were 77.7% (95% CI: 67.9-87.5%) and 54.5% (95% CI: 31.4-77.6%), respectively, when patients who died with their original prostheses were censored. In total, 21 (21/108, 19.4%) implants failed, five due to infections (5/21), eight due to aseptic loosening (8/21), four due to local re…","author":[{"dropping-particle":"","family":"Zhang","given":"Chunlin","non-dropping-particle":"","parse-names":false,"suffix":""},{"dropping-particle":"","family":"Hu","given":"Jianping","non-dropping-particle":"","parse-names":false,"suffix":""},{"dropping-particle":"","family":"Zhu","given":"Kunpeng","non-dropping-particle":"","parse-names":false,"suffix":""},{"dropping-particle":"","family":"Cai","given":"Tao","non-dropping-particle":"","parse-names":false,"suffix":""},{"dropping-particle":"","family":"Ma","given":"Xiaolong","non-dropping-particle":"","parse-names":false,"suffix":""}],"container-title":"International orthopaedics","id":"ITEM-1","issue":"4","issued":{"date-parts":[["2018","4"]]},"language":"eng","page":"927-938","publisher-place":"Germany","title":"Survival, complications and functional outcomes of cemented megaprostheses for  high-grade osteosarcoma around the knee.","type":"article-journal","volume":"42"},"uris":["http://www.mendeley.com/documents/?uuid=dc326e07-de8f-4cdd-bd80-4a3658265e05"]}],"mendeley":{"formattedCitation":"(39)","plainTextFormattedCitation":"(39)","previouslyFormattedCitation":"(40)"},"properties":{"noteIndex":0},"schema":"https://github.com/citation-style-language/schema/raw/master/csl-citation.json"}</w:instrText>
      </w:r>
      <w:r w:rsidR="002142F5" w:rsidRPr="005B5460">
        <w:rPr>
          <w:rFonts w:ascii="Times New Roman" w:hAnsi="Times New Roman" w:cs="Times New Roman"/>
        </w:rPr>
        <w:fldChar w:fldCharType="separate"/>
      </w:r>
      <w:r w:rsidR="009D0EA8" w:rsidRPr="005B5460">
        <w:rPr>
          <w:rFonts w:ascii="Times New Roman" w:hAnsi="Times New Roman" w:cs="Times New Roman"/>
          <w:noProof/>
        </w:rPr>
        <w:t>(39)</w:t>
      </w:r>
      <w:r w:rsidR="002142F5" w:rsidRPr="005B5460">
        <w:rPr>
          <w:rFonts w:ascii="Times New Roman" w:hAnsi="Times New Roman" w:cs="Times New Roman"/>
        </w:rPr>
        <w:fldChar w:fldCharType="end"/>
      </w:r>
      <w:r w:rsidRPr="005B5460">
        <w:rPr>
          <w:rFonts w:ascii="Times New Roman" w:hAnsi="Times New Roman" w:cs="Times New Roman"/>
        </w:rPr>
        <w:t>. Two studies investigated the correlation between the type of resection</w:t>
      </w:r>
      <w:r w:rsidR="00B95403" w:rsidRPr="005B5460">
        <w:rPr>
          <w:rFonts w:ascii="Times New Roman" w:hAnsi="Times New Roman" w:cs="Times New Roman"/>
        </w:rPr>
        <w:t xml:space="preserve">, whether </w:t>
      </w:r>
      <w:r w:rsidRPr="005B5460">
        <w:rPr>
          <w:rFonts w:ascii="Times New Roman" w:hAnsi="Times New Roman" w:cs="Times New Roman"/>
        </w:rPr>
        <w:t>extra-articular (EAR) or intra-articular (IAR)</w:t>
      </w:r>
      <w:r w:rsidR="00B95403" w:rsidRPr="005B5460">
        <w:rPr>
          <w:rFonts w:ascii="Times New Roman" w:hAnsi="Times New Roman" w:cs="Times New Roman"/>
        </w:rPr>
        <w:t>,</w:t>
      </w:r>
      <w:r w:rsidRPr="005B5460">
        <w:rPr>
          <w:rFonts w:ascii="Times New Roman" w:hAnsi="Times New Roman" w:cs="Times New Roman"/>
        </w:rPr>
        <w:t xml:space="preserve"> and the </w:t>
      </w:r>
      <w:r w:rsidRPr="005B5460">
        <w:rPr>
          <w:rFonts w:ascii="Times New Roman" w:hAnsi="Times New Roman" w:cs="Times New Roman"/>
        </w:rPr>
        <w:lastRenderedPageBreak/>
        <w:t>MSTS score</w:t>
      </w:r>
      <w:r w:rsidR="00B95403" w:rsidRPr="005B5460">
        <w:rPr>
          <w:rFonts w:ascii="Times New Roman" w:hAnsi="Times New Roman" w:cs="Times New Roman"/>
        </w:rPr>
        <w:t xml:space="preserve"> </w:t>
      </w:r>
      <w:r w:rsidR="00B505A9"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{"citationItems":[{"id":"ITEM-1","itemData":{"DOI":"10.1016/j.ejso.2016.05.018","ISSN":"1532-2157 (Electronic)","PMID":"27266818","abstract":"We reviewed the oncological and functional outcomes of patients treated for a  primary sarcoma possibly involving the knee joint and present an algorithm to guide treatment. The records of 76 patients who had a primary bone or soft tissue sarcoma possibly invading the knee between 1996 and 2012 were identified. Mean age and follow-up was 32 years (9-74) and 64 months (12-195), respectively. Patients were grouped according to the resection (Intra-articular [IAR] vs. Extra-articular [EAR] vs. Amputation/rotationplasty) for survival and functional outcomes. Overall 5 and 10 year survival was 61% and 53%, respectively. No differences in survival were found between the 3 groups (p = 0.55). Sixteen patients developed local recurrence with no difference between the groups. Mean MSTS score was 24.5 (12-30). Mean flexion at final follow-up was 106° (70-130°). We conclude that EAR of the knee allows for good oncologic and functional outcomes but with an increased risk of complications compared to IAR. Intra-operative assessment of joint involvement can be done in patients where joint infiltration by the tumour is not clear to avoid an unnecessary EAR. For chondrosarcoma patients with joint involvement, an EAR should be carefully considered because they present a significantly higher local recurrence risk.","author":[{"dropping-particle":"","family":"Shahid","given":"M","non-dropping-particle":"","parse-names":false,"suffix":""},{"dropping-particle":"","family":"Albergo","given":"N","non-dropping-particle":"","parse-names":false,"suffix":""},{"dropping-particle":"","family":"Purvis","given":"T","non-dropping-particle":"","parse-names":false,"suffix":""},{"dropping-particle":"","family":"Heron","given":"K","non-dropping-particle":"","parse-names":false,"suffix":""},{"dropping-particle":"","family":"Gaston","given":"L","non-dropping-particle":"","parse-names":false,"suffix":""},{"dropping-particle":"","family":"Carter","given":"S","non-dropping-particle":"","parse-names":false,"suffix":""},{"dropping-particle":"","family":"Grimer","given":"R","non-dropping-particle":"","parse-names":false,"suffix":""},{"dropping-particle":"","family":"Jeys","given":"L","non-dropping-particle":"","parse-names":false,"suffix":""}],"container-title":"European journal of surgical oncology : the journal of the European Society of  Surgical Oncology and the British Association of Surgical Oncology","id":"ITEM-1","issue":"1","issued":{"date-parts":[["2017","1"]]},"language":"eng","page":"175-180","publisher-place":"England","title":"Management of sarcomas possibly involving the knee joint when to perform  extra-articular resection of the knee joint and is it safe?","type":"article-journal","volume":"43"},"uris":["http://www.mendeley.com/documents/?uuid=1308600d-eee4-499a-b8e8-37c6fc6e3528"]},{"id":"ITEM-2","itemData":{"DOI":"10.1093/jjco/hyu093","ISSN":"1465-3621 (Electronic)","PMID":"25057091","abstract":"OBJECTIVE: Extra-articular resection is necessary to obtain a wide margin for  primary osteosarcomas invading the knee joint, and the limb is often reconstructed using a prosthesis. Here, outcomes of extra-articular and intra-articular procedures were compared. METHODS: Between 1999 and 2012, 14 patients with osteosarcoma underwent extra-articular excision (n = 6; ages 23-65 years; mean follow-up 82.8 months) or intra-articular excision (n = 8; ages 8-58 years; mean follow-up 96.4 months). In the extra-articular group, there was one Enneking Stage IIA case and five Enneking Stage IIB cases. No local recurrences were noted in either group. RESULTS: Patient outcomes were as follows (extra-articular cases vs. intra-articular cases): continuous disease-free (2 vs. 7), alive with disease (2 vs. 0) and death from disease (1 vs. 1). Average Musculoskeletal Tumor Society functional scores were 69.4% (range 63.3-83.3%) and 88.3% (range 70.0-96.7%) in the extra-articular and intra-articular groups, respectively, constituting a significant difference (P &lt; 0.05). The 5-year oncological overall survival exceeded 80% in both groups. Amputation was necessary for one patient in the extra-articular group. The 5-year event-free prosthesis survival rates in the extra-articular and intra-articular groups were 33.3 and 75.0%, respectively (P &lt; 0.05). CONCLUSION: The extra-articular excision group developed more complications than the intra-articular excision group, as a result of extensive bone and muscle excision. The limb survival rates were similar in both groups. Our results suggest that extra-articular resection was a necessary and clinically acceptable procedure.","author":[{"dropping-particle":"","family":"Ieguchi","given":"Makoto","non-dropping-particle":"","parse-names":false,"suffix":""},{"dropping-particle":"","family":"Hoshi","given":"Manabu","non-dropping-particle":"","parse-names":false,"suffix":""},{"dropping-particle":"","family":"Aono","given":"Masanari","non-dropping-particle":"","parse-names":false,"suffix":""},{"dropping-particle":"","family":"Takada","given":"Jun","non-dropping-particle":"","parse-names":false,"suffix":""},{"dropping-particle":"","family":"Ohebisu","given":"Naoto","non-dropping-particle":"","parse-names":false,"suffix":""},{"dropping-particle":"","family":"Kudawara","given":"Ikuo","non-dropping-particle":"","parse-names":false,"suffix":""},{"dropping-particle":"","family":"Nakamura","given":"Hiroaki","non-dropping-particle":"","parse-names":false,"suffix":""}],"container-title":"Japanese journal of clinical oncology","id":"ITEM-2","issue":"9","issued":{"date-parts":[["2014","9"]]},"language":"eng","page":"812-817","publisher-place":"England","title":"Knee reconstruction with endoprosthesis after extra-articular and intra-articular  resection of osteosarcoma.","type":"article-journal","volume":"44"},"uris":["http://www.mendeley.com/documents/?uuid=67433737-0661-46b4-aabd-8e287e8aefd4"]}],"mendeley":{"formattedCitation":"(35,40)","plainTextFormattedCitation":"(35,40)","previouslyFormattedCitation":"(35,41)"},"properties":{"noteIndex":0},"schema":"https://github.com/citation-style-language/schema/raw/master/csl-citation.json"}</w:instrText>
      </w:r>
      <w:r w:rsidR="00B505A9" w:rsidRPr="005B5460">
        <w:rPr>
          <w:rFonts w:ascii="Times New Roman" w:hAnsi="Times New Roman" w:cs="Times New Roman"/>
        </w:rPr>
        <w:fldChar w:fldCharType="separate"/>
      </w:r>
      <w:r w:rsidR="009D0EA8" w:rsidRPr="005B5460">
        <w:rPr>
          <w:rFonts w:ascii="Times New Roman" w:hAnsi="Times New Roman" w:cs="Times New Roman"/>
          <w:noProof/>
        </w:rPr>
        <w:t>(35,40)</w:t>
      </w:r>
      <w:r w:rsidR="00B505A9" w:rsidRPr="005B5460">
        <w:rPr>
          <w:rFonts w:ascii="Times New Roman" w:hAnsi="Times New Roman" w:cs="Times New Roman"/>
        </w:rPr>
        <w:fldChar w:fldCharType="end"/>
      </w:r>
      <w:r w:rsidRPr="005B5460">
        <w:rPr>
          <w:rFonts w:ascii="Times New Roman" w:hAnsi="Times New Roman" w:cs="Times New Roman"/>
        </w:rPr>
        <w:t xml:space="preserve">. One study found that the MSTS score was significantly better for IAR than for EAR </w:t>
      </w:r>
      <w:r w:rsidR="00B505A9"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{"citationItems":[{"id":"ITEM-1","itemData":{"DOI":"10.1093/jjco/hyu093","ISSN":"1465-3621 (Electronic)","PMID":"25057091","abstract":"OBJECTIVE: Extra-articular resection is necessary to obtain a wide margin for  primary osteosarcomas invading the knee joint, and the limb is often reconstructed using a prosthesis. Here, outcomes of extra-articular and intra-articular procedures were compared. METHODS: Between 1999 and 2012, 14 patients with osteosarcoma underwent extra-articular excision (n = 6; ages 23-65 years; mean follow-up 82.8 months) or intra-articular excision (n = 8; ages 8-58 years; mean follow-up 96.4 months). In the extra-articular group, there was one Enneking Stage IIA case and five Enneking Stage IIB cases. No local recurrences were noted in either group. RESULTS: Patient outcomes were as follows (extra-articular cases vs. intra-articular cases): continuous disease-free (2 vs. 7), alive with disease (2 vs. 0) and death from disease (1 vs. 1). Average Musculoskeletal Tumor Society functional scores were 69.4% (range 63.3-83.3%) and 88.3% (range 70.0-96.7%) in the extra-articular and intra-articular groups, respectively, constituting a significant difference (P &lt; 0.05). The 5-year oncological overall survival exceeded 80% in both groups. Amputation was necessary for one patient in the extra-articular group. The 5-year event-free prosthesis survival rates in the extra-articular and intra-articular groups were 33.3 and 75.0%, respectively (P &lt; 0.05). CONCLUSION: The extra-articular excision group developed more complications than the intra-articular excision group, as a result of extensive bone and muscle excision. The limb survival rates were similar in both groups. Our results suggest that extra-articular resection was a necessary and clinically acceptable procedure.","author":[{"dropping-particle":"","family":"Ieguchi","given":"Makoto","non-dropping-particle":"","parse-names":false,"suffix":""},{"dropping-particle":"","family":"Hoshi","given":"Manabu","non-dropping-particle":"","parse-names":false,"suffix":""},{"dropping-particle":"","family":"Aono","given":"Masanari","non-dropping-particle":"","parse-names":false,"suffix":""},{"dropping-particle":"","family":"Takada","given":"Jun","non-dropping-particle":"","parse-names":false,"suffix":""},{"dropping-particle":"","family":"Ohebisu","given":"Naoto","non-dropping-particle":"","parse-names":false,"suffix":""},{"dropping-particle":"","family":"Kudawara","given":"Ikuo","non-dropping-particle":"","parse-names":false,"suffix":""},{"dropping-particle":"","family":"Nakamura","given":"Hiroaki","non-dropping-particle":"","parse-names":false,"suffix":""}],"container-title":"Japanese journal of clinical oncology","id":"ITEM-1","issue":"9","issued":{"date-parts":[["2014","9"]]},"language":"eng","page":"812-817","publisher-place":"England","title":"Knee reconstruction with endoprosthesis after extra-articular and intra-articular  resection of osteosarcoma.","type":"article-journal","volume":"44"},"uris":["http://www.mendeley.com/documents/?uuid=67433737-0661-46b4-aabd-8e287e8aefd4"]}],"mendeley":{"formattedCitation":"(40)","plainTextFormattedCitation":"(40)","previouslyFormattedCitation":"(41)"},"properties":{"noteIndex":0},"schema":"https://github.com/citation-style-language/schema/raw/master/csl-citation.json"}</w:instrText>
      </w:r>
      <w:r w:rsidR="00B505A9" w:rsidRPr="005B5460">
        <w:rPr>
          <w:rFonts w:ascii="Times New Roman" w:hAnsi="Times New Roman" w:cs="Times New Roman"/>
        </w:rPr>
        <w:fldChar w:fldCharType="separate"/>
      </w:r>
      <w:r w:rsidR="009D0EA8" w:rsidRPr="005B5460">
        <w:rPr>
          <w:rFonts w:ascii="Times New Roman" w:hAnsi="Times New Roman" w:cs="Times New Roman"/>
          <w:noProof/>
        </w:rPr>
        <w:t>(40)</w:t>
      </w:r>
      <w:r w:rsidR="00B505A9" w:rsidRPr="005B5460">
        <w:rPr>
          <w:rFonts w:ascii="Times New Roman" w:hAnsi="Times New Roman" w:cs="Times New Roman"/>
        </w:rPr>
        <w:fldChar w:fldCharType="end"/>
      </w:r>
      <w:r w:rsidRPr="005B5460">
        <w:rPr>
          <w:rFonts w:ascii="Times New Roman" w:hAnsi="Times New Roman" w:cs="Times New Roman"/>
        </w:rPr>
        <w:t xml:space="preserve">, whereas the other study, which had a larger sample size </w:t>
      </w:r>
      <w:r w:rsidR="00B505A9" w:rsidRPr="005B5460">
        <w:rPr>
          <w:rFonts w:ascii="Times New Roman" w:hAnsi="Times New Roman" w:cs="Times New Roman"/>
        </w:rPr>
        <w:fldChar w:fldCharType="begin" w:fldLock="1"/>
      </w:r>
      <w:r w:rsidR="002C65A3" w:rsidRPr="005B5460">
        <w:rPr>
          <w:rFonts w:ascii="Times New Roman" w:hAnsi="Times New Roman" w:cs="Times New Roman"/>
        </w:rPr>
        <w:instrText>ADDIN CSL_CITATION {"citationItems":[{"id":"ITEM-1","itemData":{"DOI":"10.1016/j.ejso.2016.05.018","ISSN":"1532-2157 (Electronic)","PMID":"27266818","abstract":"We reviewed the oncological and functional outcomes of patients treated for a  primary sarcoma possibly involving the knee joint and present an algorithm to guide treatment. The records of 76 patients who had a primary bone or soft tissue sarcoma possibly invading the knee between 1996 and 2012 were identified. Mean age and follow-up was 32 years (9-74) and 64 months (12-195), respectively. Patients were grouped according to the resection (Intra-articular [IAR] vs. Extra-articular [EAR] vs. Amputation/rotationplasty) for survival and functional outcomes. Overall 5 and 10 year survival was 61% and 53%, respectively. No differences in survival were found between the 3 groups (p = 0.55). Sixteen patients developed local recurrence with no difference between the groups. Mean MSTS score was 24.5 (12-30). Mean flexion at final follow-up was 106° (70-130°). We conclude that EAR of the knee allows for good oncologic and functional outcomes but with an increased risk of complications compared to IAR. Intra-operative assessment of joint involvement can be done in patients where joint infiltration by the tumour is not clear to avoid an unnecessary EAR. For chondrosarcoma patients with joint involvement, an EAR should be carefully considered because they present a significantly higher local recurrence risk.","author":[{"dropping-particle":"","family":"Shahid","given":"M","non-dropping-particle":"","parse-names":false,"suffix":""},{"dropping-particle":"","family":"Albergo","given":"N","non-dropping-particle":"","parse-names":false,"suffix":""},{"dropping-particle":"","family":"Purvis","given":"T","non-dropping-particle":"","parse-names":false,"suffix":""},{"dropping-particle":"","family":"Heron","given":"K","non-dropping-particle":"","parse-names":false,"suffix":""},{"dropping-particle":"","family":"Gaston","given":"L","non-dropping-particle":"","parse-names":false,"suffix":""},{"dropping-particle":"","family":"Carter","given":"S","non-dropping-particle":"","parse-names":false,"suffix":""},{"dropping-particle":"","family":"Grimer","given":"R","non-dropping-particle":"","parse-names":false,"suffix":""},{"dropping-particle":"","family":"Jeys","given":"L","non-dropping-particle":"","parse-names":false,"suffix":""}],"container-title":"European journal of surgical oncology : the journal of the European Society of  Surgical Oncology and the British Association of Surgical Oncology","id":"ITEM-1","issue":"1","issued":{"date-parts":[["2017","1"]]},"language":"eng","page":"175-180","publisher-place":"England","title":"Management of sarcomas possibly involving the knee joint when to perform  extra-articular resection of the knee joint and is it safe?","type":"article-journal","volume":"43"},"uris":["http://www.mendeley.com/documents/?uuid=1308600d-eee4-499a-b8e8-37c6fc6e3528"]}],"mendeley":{"formattedCitation":"(35)","plainTextFormattedCitation":"(35)","previouslyFormattedCitation":"(35)"},"properties":{"noteIndex":0},"schema":"https://github.com/citation-style-language/schema/raw/master/csl-citation.json"}</w:instrText>
      </w:r>
      <w:r w:rsidR="00B505A9" w:rsidRPr="005B5460">
        <w:rPr>
          <w:rFonts w:ascii="Times New Roman" w:hAnsi="Times New Roman" w:cs="Times New Roman"/>
        </w:rPr>
        <w:fldChar w:fldCharType="separate"/>
      </w:r>
      <w:r w:rsidR="00B505A9" w:rsidRPr="005B5460">
        <w:rPr>
          <w:rFonts w:ascii="Times New Roman" w:hAnsi="Times New Roman" w:cs="Times New Roman"/>
          <w:noProof/>
        </w:rPr>
        <w:t>(35)</w:t>
      </w:r>
      <w:r w:rsidR="00B505A9" w:rsidRPr="005B5460">
        <w:rPr>
          <w:rFonts w:ascii="Times New Roman" w:hAnsi="Times New Roman" w:cs="Times New Roman"/>
        </w:rPr>
        <w:fldChar w:fldCharType="end"/>
      </w:r>
      <w:r w:rsidRPr="005B5460">
        <w:rPr>
          <w:rFonts w:ascii="Times New Roman" w:hAnsi="Times New Roman" w:cs="Times New Roman"/>
        </w:rPr>
        <w:t>, found no significant difference in the MSTS scores between the two procedures</w:t>
      </w:r>
      <w:r w:rsidR="00B95403" w:rsidRPr="005B5460">
        <w:rPr>
          <w:rFonts w:ascii="Times New Roman" w:hAnsi="Times New Roman" w:cs="Times New Roman"/>
        </w:rPr>
        <w:t xml:space="preserve">. </w:t>
      </w:r>
      <w:r w:rsidRPr="005B5460">
        <w:rPr>
          <w:rFonts w:ascii="Times New Roman" w:hAnsi="Times New Roman" w:cs="Times New Roman"/>
        </w:rPr>
        <w:t xml:space="preserve">Not all papers had descriptive data for the results of the MSTS components; however, ‘walking capacity’ and ‘use of support’ were reported in three papers and scored the lowest among the MSTS components </w:t>
      </w:r>
      <w:r w:rsidR="002C65A3"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{"citationItems":[{"id":"ITEM-1","itemData":{"DOI":"10.1002/jso.24618","ISSN":"1096-9098 (Electronic)","PMID":"28384378","abstract":"BACKGROUND AND OBJECTIVES: In a previous conducted study functional outcome of young  patients with bone sarcoma located around the knee was longitudinally evaluated during the first 2 years postoperatively. Functional outcome improved significantly over the first 2 years. The purpose of this descriptive study was to evaluate the functional outcome of these patients at long-term follow-up of 7 years. METHODS: Functional outcome was assessed with the TESS, MSTS, Baecke questionnaire, and three functional performance tests: time up and down stairs (TUDS), various walking activities (VWA), and the 6-min walking test (6MWT). Linear Mixed Model has been employed for the repeated measurements. RESULTS: Twenty patients of the original study (n = 44) participated in the current study. Fifteen limb-salvage and five ablative surgery patients, median follow-up 7.4 years (6.8-8.0) (CI 95%), mean age 22.3 years (18.2-31.6). Between 2 and 7 years after surgery, 8 limb-salvage patients (53%) encountered surgery related complications. Questionnaires and functional performance tests showed no significant difference in functional outcome between 2 years and 7 years after surgery (P &lt; 0.05). CONCLUSIONS: Between 2 years and follow-up at average 7 years after surgery no further improvements were noticed at young patients with a bone sarcoma located around the knee.","author":[{"dropping-particle":"","family":"Egmond-van Dam","given":"Janneke C","non-dropping-particle":"van","parse-names":false,"suffix":""},{"dropping-particle":"","family":"Bekkering","given":"W Peter","non-dropping-particle":"","parse-names":false,"suffix":""},{"dropping-particle":"","family":"Bramer","given":"Jos A M","non-dropping-particle":"","parse-names":false,"suffix":""},{"dropping-particle":"","family":"Beishuizen","given":"Auke","non-dropping-particle":"","parse-names":false,"suffix":""},{"dropping-particle":"","family":"Fiocco","given":"Marta","non-dropping-particle":"","parse-names":false,"suffix":""},{"dropping-particle":"","family":"Dijkstra","given":"P D Sander","non-dropping-particle":"","parse-names":false,"suffix":""}],"container-title":"Journal of surgical oncology","id":"ITEM-1","issue":"8","issued":{"date-parts":[["2017","6"]]},"language":"eng","page":"1028-1032","title":"Functional outcome after surgery in patients with bone sarcoma around the knee;  results from a long-term prospective study.","type":"article-journal","volume":"115"},"uris":["http://www.mendeley.com/documents/?uuid=d0dd1dc4-c702-4d78-bb3f-fc5899a688ed"]},{"id":"ITEM-2","itemData":{"DOI":"10.4103/ortho.IJOrtho_188_17","ISSN":"0019-5413","abstract":"BACKGROUND: Limb salvage surgery with endoprosthesis for bone tumor around the knee is reported to have good functional and oncological outcomes. However, the functional assessment using musculoskeletal tumor society (MSTS) and Toronto extremity scoring system remains subjective. We performed gait analysis as an objective assessment of their functional outcome. MATERIALS AND METHODS: Gait analysis was performed in 20 patients with endoprosthesis replacement around the knee. The temporal parameters assessed during gait analysis were walking velocity, stride length, duration of stance, and goniometry of the knee. These parameters were compared with the functional outcome score of the MSTS. RESULTS: The mean free-paced walking velocity was 0.91 m/s (normal is 1.33 m/s), which was 68% lower than normal gait. The stride length and stance phase were shorter for the affected limb compared to normal (P &lt; 0.05). However, the gait was symmetrical with no difference in stride length (P = 0.148), velocity (P = 0.918), knee flexion (P = 0.465), and knee extension (P = 0.321) between the affected and unaffected limbs. Sixteen patients demonstrated stiff knee gait, two had a flexed knee gait, and only two patients had normal gait during the stance phase. The mean MSTS score was 21. There was significant correlation between overall MSTS scores (P = 0.023), function (P = 0.039), and walking scores (P = 0.007). CONCLUSION: Limb salvage surgery with endoprosthesis reconstruction around the knee gives good functional outcome, both objectively and subjectively, as evidenced by the symmetrical gait pattern and significant correlation with MSTS score. Despite decreased walking velocity, stride length, and stance phase of the operated limb, the patient still has a symmetrical gait.","author":[{"dropping-particle":"","family":"Singh","given":"Vivek Ajit","non-dropping-particle":"","parse-names":false,"suffix":""},{"dropping-particle":"","family":"Heng","given":"Chan Wei","non-dropping-particle":"","parse-names":false,"suffix":""},{"dropping-particle":"","family":"Yasin","given":"Nor Faissal","non-dropping-particle":"","parse-names":false,"suffix":""}],"container-title":"Indian journal of orthopaedics","id":"ITEM-2","issue":"1","issued":{"date-parts":[["2018"]]},"language":"eng","page":"65-72","publisher":"Medknow Publications &amp; Media Pvt Ltd","title":"Gait Analysis in Patients with Wide Resection and Endoprosthesis Replacement Around the Knee","type":"article-journal","volume":"52"},"uris":["http://www.mendeley.com/documents/?uuid=57636998-9e65-4246-9a8b-1ba396562085"]},{"id":"ITEM-3","itemData":{"DOI":"10.1093/jjco/hyu093","ISSN":"1465-3621 (Electronic)","PMID":"25057091","abstract":"OBJECTIVE: Extra-articular resection is necessary to obtain a wide margin for  primary osteosarcomas invading the knee joint, and the limb is often reconstructed using a prosthesis. Here, outcomes of extra-articular and intra-articular procedures were compared. METHODS: Between 1999 and 2012, 14 patients with osteosarcoma underwent extra-articular excision (n = 6; ages 23-65 years; mean follow-up 82.8 months) or intra-articular excision (n = 8; ages 8-58 years; mean follow-up 96.4 months). In the extra-articular group, there was one Enneking Stage IIA case and five Enneking Stage IIB cases. No local recurrences were noted in either group. RESULTS: Patient outcomes were as follows (extra-articular cases vs. intra-articular cases): continuous disease-free (2 vs. 7), alive with disease (2 vs. 0) and death from disease (1 vs. 1). Average Musculoskeletal Tumor Society functional scores were 69.4% (range 63.3-83.3%) and 88.3% (range 70.0-96.7%) in the extra-articular and intra-articular groups, respectively, constituting a significant difference (P &lt; 0.05). The 5-year oncological overall survival exceeded 80% in both groups. Amputation was necessary for one patient in the extra-articular group. The 5-year event-free prosthesis survival rates in the extra-articular and intra-articular groups were 33.3 and 75.0%, respectively (P &lt; 0.05). CONCLUSION: The extra-articular excision group developed more complications than the intra-articular excision group, as a result of extensive bone and muscle excision. The limb survival rates were similar in both groups. Our results suggest that extra-articular resection was a necessary and clinically acceptable procedure.","author":[{"dropping-particle":"","family":"Ieguchi","given":"Makoto","non-dropping-particle":"","parse-names":false,"suffix":""},{"dropping-particle":"","family":"Hoshi","given":"Manabu","non-dropping-particle":"","parse-names":false,"suffix":""},{"dropping-particle":"","family":"Aono","given":"Masanari","non-dropping-particle":"","parse-names":false,"suffix":""},{"dropping-particle":"","family":"Takada","given":"Jun","non-dropping-particle":"","parse-names":false,"suffix":""},{"dropping-particle":"","family":"Ohebisu","given":"Naoto","non-dropping-particle":"","parse-names":false,"suffix":""},{"dropping-particle":"","family":"Kudawara","given":"Ikuo","non-dropping-particle":"","parse-names":false,"suffix":""},{"dropping-particle":"","family":"Nakamura","given":"Hiroaki","non-dropping-particle":"","parse-names":false,"suffix":""}],"container-title":"Japanese journal of clinical oncology","id":"ITEM-3","issue":"9","issued":{"date-parts":[["2014","9"]]},"language":"eng","page":"812-817","publisher-place":"England","title":"Knee reconstruction with endoprosthesis after extra-articular and intra-articular  resection of osteosarcoma.","type":"article-journal","volume":"44"},"uris":["http://www.mendeley.com/documents/?uuid=67433737-0661-46b4-aabd-8e287e8aefd4"]}],"mendeley":{"formattedCitation":"(17,38,40)","plainTextFormattedCitation":"(17,38,40)","previouslyFormattedCitation":"(17,39,41)"},"properties":{"noteIndex":0},"schema":"https://github.com/citation-style-language/schema/raw/master/csl-citation.json"}</w:instrText>
      </w:r>
      <w:r w:rsidR="002C65A3" w:rsidRPr="005B5460">
        <w:rPr>
          <w:rFonts w:ascii="Times New Roman" w:hAnsi="Times New Roman" w:cs="Times New Roman"/>
        </w:rPr>
        <w:fldChar w:fldCharType="separate"/>
      </w:r>
      <w:r w:rsidR="009D0EA8" w:rsidRPr="005B5460">
        <w:rPr>
          <w:rFonts w:ascii="Times New Roman" w:hAnsi="Times New Roman" w:cs="Times New Roman"/>
          <w:noProof/>
        </w:rPr>
        <w:t>(17,38,40)</w:t>
      </w:r>
      <w:r w:rsidR="002C65A3" w:rsidRPr="005B5460">
        <w:rPr>
          <w:rFonts w:ascii="Times New Roman" w:hAnsi="Times New Roman" w:cs="Times New Roman"/>
        </w:rPr>
        <w:fldChar w:fldCharType="end"/>
      </w:r>
      <w:r w:rsidRPr="005B5460">
        <w:rPr>
          <w:rFonts w:ascii="Times New Roman" w:hAnsi="Times New Roman" w:cs="Times New Roman"/>
        </w:rPr>
        <w:t xml:space="preserve">. ‘Emotional capacity’ and ‘functional ability’ scored the lowest in two studies </w:t>
      </w:r>
      <w:r w:rsidR="00D90F0E"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{"citationItems":[{"id":"ITEM-1","itemData":{"DOI":"10.1016/j.knee.2009.02.006","ISSN":"1873-5800 (Electronic)","PMID":"19269182","abstract":"Bone sarcomas are the fourth most common cancer in individuals under 25 years. Limb  salvage procedures are popular for the treatment of osteosarcomas as they have functional and physiological benefits over traditional amputative procedures. The objective of this study was to apply disease specific measures to a group of intra-articular knee osteosarcoma patients and to evaluate structural and treatment variables predictive of the functional outcome scores. Twenty patients (10 female, 10 male) treated with tumour resection and endoprosthetic knee arthroplasty took part in the study. The Musculoskeletal Tumour Society (MSTS) rating scale and the Toronto Extremity Salvage Score (TESS) were used to assess impairment and disability respectively. Impairment was recorded as 83% and disability was recorded as 86% suggesting moderate to high function following limb salvage surgery. Task difficulty was shown to increase for activities requiring large knee flexion angles, presumably due to increased patellofemoral forces. Bivariate correlations revealed that loss of quadriceps musculature, knee extension strength and knee flexion range of motion were parameters moderately associated with the assessment instruments. ANOVA revealed no significant differences in impairment (P=0.962) or disability (P=0.411) between the differing types of prostheses. In conclusion clinicians and therapists should emphasise restoration of post-surgical range of motion and strength in order to enhance functional recovery.","author":[{"dropping-particle":"","family":"Carty","given":"Christopher P","non-dropping-particle":"","parse-names":false,"suffix":""},{"dropping-particle":"","family":"Dickinson","given":"Ian C","non-dropping-particle":"","parse-names":false,"suffix":""},{"dropping-particle":"","family":"Watts","given":"Mark C","non-dropping-particle":"","parse-names":false,"suffix":""},{"dropping-particle":"","family":"Crawford","given":"Ross W","non-dropping-particle":"","parse-names":false,"suffix":""},{"dropping-particle":"","family":"Steadman","given":"Peter","non-dropping-particle":"","parse-names":false,"suffix":""}],"container-title":"The Knee","id":"ITEM-1","issue":"5","issued":{"date-parts":[["2009","10"]]},"language":"eng","page":"405-408","publisher-place":"Netherlands","title":"Impairment and disability following limb salvage procedures for bone sarcoma.","type":"article-journal","volume":"16"},"uris":["http://www.mendeley.com/documents/?uuid=f0acb2b8-fdb8-4093-97e7-40e9515dd570"]},{"id":"ITEM-2","itemData":{"DOI":"10.1016/j.ejso.2012.07.003","ISSN":"1532-2157 (Electronic)","PMID":"22809860","abstract":"AIM: Limb-salvage surgery has become the standard of care for extremity  osteosarcoma. In this study, we investigated the survival and functional outcomes of patients with osteosarcoma around the knee who were treated with limb-salvage surgery. METHODS: We retrospectively reviewed the clinical data for 120 patients with osteosarcoma around the knee who were treated with limb-salvage surgery between 1998 and 2008. The sample included 75 males and 45 females. The mean age of the patients was 18.9 years. Osteosarcoma was diagnosed in the distal femur in 78 patients and in the proximal tibia in 42 patients. Statistical analyses were conducted to process and record the patient data and analyse the surgery's efficacy, prognosis and survival rates. RESULTS: All patients were followed for 6-144 months (mean of 56.8 months). The overall 5-year survival rate was 61.8%. Lung metastasis developed in 31 patients. Local recurrence developed in 9 patients. The average Musculoskeletal Tumor Society Score (MSTS) was 25.5 points on a 30-point scale. Sixteen patients underwent prosthesis revision and twelve patients underwent amputation. The overall survivorship of the prosthesis based on Kaplan-Meier estimates was 77% at five years and 71% at ten years. There was a higher incidence of extensor lag for the patients with osteosarcoma in the proximal tibia than for those with osteosarcoma in the distal femur (P &lt; 0.01). CONCLUSIONS: Treating osteosarcoma around the knee with limb-salvage surgery can preserve most of the knee's functionality. Attention must be paid to prevent the relatively high incidence of postoperative complications.","author":[{"dropping-particle":"","family":"Tan","given":"P X","non-dropping-particle":"","parse-names":false,"suffix":""},{"dropping-particle":"","family":"Yong","given":"B C","non-dropping-particle":"","parse-names":false,"suffix":""},{"dropping-particle":"","family":"Wang","given":"J","non-dropping-particle":"","parse-names":false,"suffix":""},{"dropping-particle":"","family":"Huang","given":"G","non-dropping-particle":"","parse-names":false,"suffix":""},{"dropping-particle":"","family":"Yin","given":"J Q","non-dropping-particle":"","parse-names":false,"suffix":""},{"dropping-particle":"","family":"Zou","given":"C Y","non-dropping-particle":"","parse-names":false,"suffix":""},{"dropping-particle":"","family":"Xie","given":"X B","non-dropping-particle":"","parse-names":false,"suffix":""},{"dropping-particle":"","family":"Tang","given":"Q L","non-dropping-particle":"","parse-names":false,"suffix":""},{"dropping-particle":"","family":"Shen","given":"J N","non-dropping-particle":"","parse-names":false,"suffix":""}],"container-title":"European journal of surgical oncology : the journal of the European Society of  Surgical Oncology and the British Association of Surgical Oncology","id":"ITEM-2","issue":"12","issued":{"date-parts":[["2012","12"]]},"language":"eng","page":"1171-1177","publisher-place":"England","title":"Analysis of the efficacy and prognosis of limb-salvage surgery for osteosarcoma  around the knee.","type":"article-journal","volume":"38"},"uris":["http://www.mendeley.com/documents/?uuid=ba59065b-75e0-4ba0-9ab8-7e2c83b0d0ec"]}],"mendeley":{"formattedCitation":"(20,41)","plainTextFormattedCitation":"(20,41)","previouslyFormattedCitation":"(20,42)"},"properties":{"noteIndex":0},"schema":"https://github.com/citation-style-language/schema/raw/master/csl-citation.json"}</w:instrText>
      </w:r>
      <w:r w:rsidR="00D90F0E" w:rsidRPr="005B5460">
        <w:rPr>
          <w:rFonts w:ascii="Times New Roman" w:hAnsi="Times New Roman" w:cs="Times New Roman"/>
        </w:rPr>
        <w:fldChar w:fldCharType="separate"/>
      </w:r>
      <w:r w:rsidR="009D0EA8" w:rsidRPr="005B5460">
        <w:rPr>
          <w:rFonts w:ascii="Times New Roman" w:hAnsi="Times New Roman" w:cs="Times New Roman"/>
          <w:noProof/>
        </w:rPr>
        <w:t>(20,41)</w:t>
      </w:r>
      <w:r w:rsidR="00D90F0E" w:rsidRPr="005B5460">
        <w:rPr>
          <w:rFonts w:ascii="Times New Roman" w:hAnsi="Times New Roman" w:cs="Times New Roman"/>
        </w:rPr>
        <w:fldChar w:fldCharType="end"/>
      </w:r>
      <w:r w:rsidRPr="005B5460">
        <w:rPr>
          <w:rFonts w:ascii="Times New Roman" w:hAnsi="Times New Roman" w:cs="Times New Roman"/>
        </w:rPr>
        <w:t xml:space="preserve">, while </w:t>
      </w:r>
      <w:proofErr w:type="spellStart"/>
      <w:r w:rsidR="00FD1E33" w:rsidRPr="005B5460">
        <w:rPr>
          <w:rFonts w:ascii="Times New Roman" w:hAnsi="Times New Roman" w:cs="Times New Roman"/>
        </w:rPr>
        <w:t>coversly</w:t>
      </w:r>
      <w:proofErr w:type="spellEnd"/>
      <w:r w:rsidR="00FD1E33" w:rsidRPr="005B5460">
        <w:rPr>
          <w:rFonts w:ascii="Times New Roman" w:hAnsi="Times New Roman" w:cs="Times New Roman"/>
        </w:rPr>
        <w:t xml:space="preserve"> in the same two papers, </w:t>
      </w:r>
      <w:r w:rsidRPr="005B5460">
        <w:rPr>
          <w:rFonts w:ascii="Times New Roman" w:hAnsi="Times New Roman" w:cs="Times New Roman"/>
        </w:rPr>
        <w:t xml:space="preserve">‘pain’ was the highest scored component. All of the components appeared to be affected by age and </w:t>
      </w:r>
      <w:r w:rsidR="00711A8B" w:rsidRPr="005B5460">
        <w:rPr>
          <w:rFonts w:ascii="Times New Roman" w:hAnsi="Times New Roman" w:cs="Times New Roman"/>
        </w:rPr>
        <w:t>demographics,</w:t>
      </w:r>
      <w:r w:rsidRPr="005B5460">
        <w:rPr>
          <w:rFonts w:ascii="Times New Roman" w:hAnsi="Times New Roman" w:cs="Times New Roman"/>
        </w:rPr>
        <w:t xml:space="preserve"> but no statistical correlations were </w:t>
      </w:r>
      <w:r w:rsidR="00B95403" w:rsidRPr="005B5460">
        <w:rPr>
          <w:rFonts w:ascii="Times New Roman" w:hAnsi="Times New Roman" w:cs="Times New Roman"/>
        </w:rPr>
        <w:t>presented</w:t>
      </w:r>
      <w:r w:rsidRPr="005B5460">
        <w:rPr>
          <w:rFonts w:ascii="Times New Roman" w:hAnsi="Times New Roman" w:cs="Times New Roman"/>
        </w:rPr>
        <w:t xml:space="preserve"> </w:t>
      </w:r>
      <w:r w:rsidR="00B95403" w:rsidRPr="005B5460">
        <w:rPr>
          <w:rFonts w:ascii="Times New Roman" w:hAnsi="Times New Roman" w:cs="Times New Roman"/>
        </w:rPr>
        <w:t>to assess significance</w:t>
      </w:r>
      <w:r w:rsidRPr="005B5460">
        <w:rPr>
          <w:rFonts w:ascii="Times New Roman" w:hAnsi="Times New Roman" w:cs="Times New Roman"/>
        </w:rPr>
        <w:t xml:space="preserve">. </w:t>
      </w:r>
    </w:p>
    <w:p w14:paraId="125697E2" w14:textId="13725D68" w:rsidR="006068FD" w:rsidRPr="005B5460" w:rsidRDefault="007E3529" w:rsidP="007E3529">
      <w:pPr>
        <w:spacing w:line="480" w:lineRule="auto"/>
        <w:rPr>
          <w:rFonts w:ascii="Times New Roman" w:hAnsi="Times New Roman" w:cs="Times New Roman"/>
        </w:rPr>
      </w:pPr>
      <w:r w:rsidRPr="005B5460">
        <w:rPr>
          <w:rFonts w:ascii="Times New Roman" w:hAnsi="Times New Roman" w:cs="Times New Roman"/>
        </w:rPr>
        <w:t xml:space="preserve">Multiple objective measures were also used to assess outcomes. </w:t>
      </w:r>
      <w:r w:rsidRPr="005B5460">
        <w:rPr>
          <w:rFonts w:ascii="Times New Roman" w:hAnsi="Times New Roman" w:cs="Times New Roman"/>
          <w:iCs/>
        </w:rPr>
        <w:t>Performance tests</w:t>
      </w:r>
      <w:r w:rsidRPr="005B5460">
        <w:rPr>
          <w:rFonts w:ascii="Times New Roman" w:hAnsi="Times New Roman" w:cs="Times New Roman"/>
        </w:rPr>
        <w:t xml:space="preserve"> </w:t>
      </w:r>
      <w:r w:rsidR="009D0AA5" w:rsidRPr="005B5460">
        <w:rPr>
          <w:rFonts w:ascii="Times New Roman" w:hAnsi="Times New Roman" w:cs="Times New Roman"/>
        </w:rPr>
        <w:t>were used to</w:t>
      </w:r>
      <w:r w:rsidRPr="005B5460">
        <w:rPr>
          <w:rFonts w:ascii="Times New Roman" w:hAnsi="Times New Roman" w:cs="Times New Roman"/>
        </w:rPr>
        <w:t xml:space="preserve"> assess physical and functional outcomes (6-minute walk test, </w:t>
      </w:r>
      <w:r w:rsidR="009D0AA5" w:rsidRPr="005B5460">
        <w:rPr>
          <w:rFonts w:ascii="Times New Roman" w:hAnsi="Times New Roman" w:cs="Times New Roman"/>
        </w:rPr>
        <w:t>t</w:t>
      </w:r>
      <w:r w:rsidRPr="005B5460">
        <w:rPr>
          <w:rFonts w:ascii="Times New Roman" w:hAnsi="Times New Roman" w:cs="Times New Roman"/>
        </w:rPr>
        <w:t>ime</w:t>
      </w:r>
      <w:r w:rsidR="009D0AA5" w:rsidRPr="005B5460">
        <w:rPr>
          <w:rFonts w:ascii="Times New Roman" w:hAnsi="Times New Roman" w:cs="Times New Roman"/>
        </w:rPr>
        <w:t>d</w:t>
      </w:r>
      <w:r w:rsidRPr="005B5460">
        <w:rPr>
          <w:rFonts w:ascii="Times New Roman" w:hAnsi="Times New Roman" w:cs="Times New Roman"/>
        </w:rPr>
        <w:t xml:space="preserve"> up &amp; go, </w:t>
      </w:r>
      <w:r w:rsidR="009D0AA5" w:rsidRPr="005B5460">
        <w:rPr>
          <w:rFonts w:ascii="Times New Roman" w:hAnsi="Times New Roman" w:cs="Times New Roman"/>
        </w:rPr>
        <w:t>t</w:t>
      </w:r>
      <w:r w:rsidRPr="005B5460">
        <w:rPr>
          <w:rFonts w:ascii="Times New Roman" w:hAnsi="Times New Roman" w:cs="Times New Roman"/>
        </w:rPr>
        <w:t>ime</w:t>
      </w:r>
      <w:r w:rsidR="009D0AA5" w:rsidRPr="005B5460">
        <w:rPr>
          <w:rFonts w:ascii="Times New Roman" w:hAnsi="Times New Roman" w:cs="Times New Roman"/>
        </w:rPr>
        <w:t>d</w:t>
      </w:r>
      <w:r w:rsidRPr="005B5460">
        <w:rPr>
          <w:rFonts w:ascii="Times New Roman" w:hAnsi="Times New Roman" w:cs="Times New Roman"/>
        </w:rPr>
        <w:t xml:space="preserve"> up &amp; down stairs, </w:t>
      </w:r>
      <w:r w:rsidR="009D0AA5" w:rsidRPr="005B5460">
        <w:rPr>
          <w:rFonts w:ascii="Times New Roman" w:hAnsi="Times New Roman" w:cs="Times New Roman"/>
        </w:rPr>
        <w:t>v</w:t>
      </w:r>
      <w:r w:rsidRPr="005B5460">
        <w:rPr>
          <w:rFonts w:ascii="Times New Roman" w:hAnsi="Times New Roman" w:cs="Times New Roman"/>
        </w:rPr>
        <w:t>arious walking activities</w:t>
      </w:r>
      <w:r w:rsidR="009D0AA5" w:rsidRPr="005B5460">
        <w:rPr>
          <w:rFonts w:ascii="Times New Roman" w:hAnsi="Times New Roman" w:cs="Times New Roman"/>
        </w:rPr>
        <w:t>,</w:t>
      </w:r>
      <w:r w:rsidRPr="005B5460">
        <w:rPr>
          <w:rFonts w:ascii="Times New Roman" w:hAnsi="Times New Roman" w:cs="Times New Roman"/>
        </w:rPr>
        <w:t xml:space="preserve"> and </w:t>
      </w:r>
      <w:r w:rsidR="009D0AA5" w:rsidRPr="005B5460">
        <w:rPr>
          <w:rFonts w:ascii="Times New Roman" w:hAnsi="Times New Roman" w:cs="Times New Roman"/>
        </w:rPr>
        <w:t>l</w:t>
      </w:r>
      <w:r w:rsidRPr="005B5460">
        <w:rPr>
          <w:rFonts w:ascii="Times New Roman" w:hAnsi="Times New Roman" w:cs="Times New Roman"/>
        </w:rPr>
        <w:t xml:space="preserve">ie down &amp; stand up). This set of tests was used in two papers </w:t>
      </w:r>
      <w:r w:rsidR="009D7E14" w:rsidRPr="005B5460">
        <w:rPr>
          <w:rFonts w:ascii="Times New Roman" w:hAnsi="Times New Roman" w:cs="Times New Roman"/>
        </w:rPr>
        <w:fldChar w:fldCharType="begin" w:fldLock="1"/>
      </w:r>
      <w:r w:rsidR="009D7E14" w:rsidRPr="005B5460">
        <w:rPr>
          <w:rFonts w:ascii="Times New Roman" w:hAnsi="Times New Roman" w:cs="Times New Roman"/>
        </w:rPr>
        <w:instrText>ADDIN CSL_CITATION {"citationItems":[{"id":"ITEM-1","itemData":{"DOI":"10.1002/jso.24618","ISSN":"1096-9098 (Electronic)","PMID":"28384378","abstract":"BACKGROUND AND OBJECTIVES: In a previous conducted study functional outcome of young  patients with bone sarcoma located around the knee was longitudinally evaluated during the first 2 years postoperatively. Functional outcome improved significantly over the first 2 years. The purpose of this descriptive study was to evaluate the functional outcome of these patients at long-term follow-up of 7 years. METHODS: Functional outcome was assessed with the TESS, MSTS, Baecke questionnaire, and three functional performance tests: time up and down stairs (TUDS), various walking activities (VWA), and the 6-min walking test (6MWT). Linear Mixed Model has been employed for the repeated measurements. RESULTS: Twenty patients of the original study (n = 44) participated in the current study. Fifteen limb-salvage and five ablative surgery patients, median follow-up 7.4 years (6.8-8.0) (CI 95%), mean age 22.3 years (18.2-31.6). Between 2 and 7 years after surgery, 8 limb-salvage patients (53%) encountered surgery related complications. Questionnaires and functional performance tests showed no significant difference in functional outcome between 2 years and 7 years after surgery (P &lt; 0.05). CONCLUSIONS: Between 2 years and follow-up at average 7 years after surgery no further improvements were noticed at young patients with a bone sarcoma located around the knee.","author":[{"dropping-particle":"","family":"Egmond-van Dam","given":"Janneke C","non-dropping-particle":"van","parse-names":false,"suffix":""},{"dropping-particle":"","family":"Bekkering","given":"W Peter","non-dropping-particle":"","parse-names":false,"suffix":""},{"dropping-particle":"","family":"Bramer","given":"Jos A M","non-dropping-particle":"","parse-names":false,"suffix":""},{"dropping-particle":"","family":"Beishuizen","given":"Auke","non-dropping-particle":"","parse-names":false,"suffix":""},{"dropping-particle":"","family":"Fiocco","given":"Marta","non-dropping-particle":"","parse-names":false,"suffix":""},{"dropping-particle":"","family":"Dijkstra","given":"P D Sander","non-dropping-particle":"","parse-names":false,"suffix":""}],"container-title":"Journal of surgical oncology","id":"ITEM-1","issue":"8","issued":{"date-parts":[["2017","6"]]},"language":"eng","page":"1028-1032","title":"Functional outcome after surgery in patients with bone sarcoma around the knee;  results from a long-term prospective study.","type":"article-journal","volume":"115"},"uris":["http://www.mendeley.com/documents/?uuid=d0dd1dc4-c702-4d78-bb3f-fc5899a688ed"]},{"id":"ITEM-2","itemData":{"DOI":"10.1002/jso.21828","ISSN":"1096-9098 (Electronic)","PMID":"21337557","abstract":"BACKGROUND: Aim of our study was to compare functional ability and physical activity  in children and young adults who underwent surgery for a malignant bone tumor that was located around the knee. METHODS: This cross-sectional study included 82 patients aged 8-25 years with a follow-up of 1-5 years. The functional ability and the amount of physical activity were evaluated by means of questionnaires and objective instruments. RESULTS: Thirty nine patients underwent limb-salvage surgery (24 allograft and 15 endoprosthesis) and 43 underwent ablative surgery (27 amputations and 16 rotationplasty). Patients in the limb-salvage group were significantly older at the time of surgery than patients in the ablative group (mean age 15.2 years vs. 13.2 years, P = 0.03). Apart from significantly better scores for the timed up and down stairs and various walking activities in the limb-salvage group as compared to the ablative surgery group, no significant differences were seen for any of the outcome measures. CONCLUSIONS: One to 5 years after limb-salvage and ablative surgery due to a malignant bone tumor children and young adults do, apart from a few activities involving walking and climbing stairs, not differ with respect to overall functional ability and physical activity.","author":[{"dropping-particle":"","family":"Bekkering","given":"W Peter","non-dropping-particle":"","parse-names":false,"suffix":""},{"dropping-particle":"","family":"Vliet Vlieland","given":"Theodora P M","non-dropping-particle":"","parse-names":false,"suffix":""},{"dropping-particle":"","family":"Koopman","given":"Hendrik M","non-dropping-particle":"","parse-names":false,"suffix":""},{"dropping-particle":"","family":"Schaap","given":"Gerard R","non-dropping-particle":"","parse-names":false,"suffix":""},{"dropping-particle":"","family":"Bart Schreuder","given":"H W","non-dropping-particle":"","parse-names":false,"suffix":""},{"dropping-particle":"","family":"Beishuizen","given":"Auke","non-dropping-particle":"","parse-names":false,"suffix":""},{"dropping-particle":"","family":"Jutte","given":"Paul C","non-dropping-particle":"","parse-names":false,"suffix":""},{"dropping-particle":"","family":"Hoogerbrugge","given":"Peter M","non-dropping-particle":"","parse-names":false,"suffix":""},{"dropping-particle":"","family":"Anninga","given":"Jacob K","non-dropping-particle":"","parse-names":false,"suffix":""},{"dropping-particle":"","family":"Nelissen","given":"Rob G H H","non-dropping-particle":"","parse-names":false,"suffix":""},{"dropping-particle":"","family":"Taminiau","given":"Antonie H M","non-dropping-particle":"","parse-names":false,"suffix":""}],"container-title":"Journal of surgical oncology","id":"ITEM-2","issue":"3","issued":{"date-parts":[["2011","3"]]},"language":"eng","page":"276-282","publisher-place":"United States","title":"Functional ability and physical activity in children and young adults after  limb-salvage or ablative surgery for lower extremity bone tumors.","type":"article-journal","volume":"103"},"uris":["http://www.mendeley.com/documents/?uuid=46086f6e-f63d-4ad9-82d8-9ecafd272161"]}],"mendeley":{"formattedCitation":"(17,21)","plainTextFormattedCitation":"(17,21)","previouslyFormattedCitation":"(17,21)"},"properties":{"noteIndex":0},"schema":"https://github.com/citation-style-language/schema/raw/master/csl-citation.json"}</w:instrText>
      </w:r>
      <w:r w:rsidR="009D7E14" w:rsidRPr="005B5460">
        <w:rPr>
          <w:rFonts w:ascii="Times New Roman" w:hAnsi="Times New Roman" w:cs="Times New Roman"/>
        </w:rPr>
        <w:fldChar w:fldCharType="separate"/>
      </w:r>
      <w:r w:rsidR="009D7E14" w:rsidRPr="005B5460">
        <w:rPr>
          <w:rFonts w:ascii="Times New Roman" w:hAnsi="Times New Roman" w:cs="Times New Roman"/>
          <w:noProof/>
        </w:rPr>
        <w:t>(17,21)</w:t>
      </w:r>
      <w:r w:rsidR="009D7E14" w:rsidRPr="005B5460">
        <w:rPr>
          <w:rFonts w:ascii="Times New Roman" w:hAnsi="Times New Roman" w:cs="Times New Roman"/>
        </w:rPr>
        <w:fldChar w:fldCharType="end"/>
      </w:r>
      <w:r w:rsidRPr="005B5460">
        <w:rPr>
          <w:rFonts w:ascii="Times New Roman" w:hAnsi="Times New Roman" w:cs="Times New Roman"/>
        </w:rPr>
        <w:t xml:space="preserve">. The tests conducted in </w:t>
      </w:r>
      <w:r w:rsidR="009D7E14" w:rsidRPr="005B5460">
        <w:rPr>
          <w:rFonts w:ascii="Times New Roman" w:hAnsi="Times New Roman" w:cs="Times New Roman"/>
        </w:rPr>
        <w:t>v</w:t>
      </w:r>
      <w:r w:rsidRPr="005B5460">
        <w:rPr>
          <w:rFonts w:ascii="Times New Roman" w:hAnsi="Times New Roman" w:cs="Times New Roman"/>
        </w:rPr>
        <w:t xml:space="preserve">an </w:t>
      </w:r>
      <w:proofErr w:type="spellStart"/>
      <w:r w:rsidR="009D7E14" w:rsidRPr="005B5460">
        <w:rPr>
          <w:rFonts w:ascii="Times New Roman" w:hAnsi="Times New Roman" w:cs="Times New Roman"/>
        </w:rPr>
        <w:t>Egmond</w:t>
      </w:r>
      <w:proofErr w:type="spellEnd"/>
      <w:r w:rsidR="009D7E14" w:rsidRPr="005B5460">
        <w:rPr>
          <w:rFonts w:ascii="Times New Roman" w:hAnsi="Times New Roman" w:cs="Times New Roman"/>
        </w:rPr>
        <w:t xml:space="preserve">-van Dam </w:t>
      </w:r>
      <w:r w:rsidRPr="005B5460">
        <w:rPr>
          <w:rFonts w:ascii="Times New Roman" w:hAnsi="Times New Roman" w:cs="Times New Roman"/>
        </w:rPr>
        <w:t xml:space="preserve">et al </w:t>
      </w:r>
      <w:r w:rsidR="009D7E14" w:rsidRPr="005B5460">
        <w:rPr>
          <w:rFonts w:ascii="Times New Roman" w:hAnsi="Times New Roman" w:cs="Times New Roman"/>
        </w:rPr>
        <w:fldChar w:fldCharType="begin" w:fldLock="1"/>
      </w:r>
      <w:r w:rsidR="00EC1D79" w:rsidRPr="005B5460">
        <w:rPr>
          <w:rFonts w:ascii="Times New Roman" w:hAnsi="Times New Roman" w:cs="Times New Roman"/>
        </w:rPr>
        <w:instrText>ADDIN CSL_CITATION {"citationItems":[{"id":"ITEM-1","itemData":{"DOI":"10.1002/jso.24618","ISSN":"1096-9098 (Electronic)","PMID":"28384378","abstract":"BACKGROUND AND OBJECTIVES: In a previous conducted study functional outcome of young  patients with bone sarcoma located around the knee was longitudinally evaluated during the first 2 years postoperatively. Functional outcome improved significantly over the first 2 years. The purpose of this descriptive study was to evaluate the functional outcome of these patients at long-term follow-up of 7 years. METHODS: Functional outcome was assessed with the TESS, MSTS, Baecke questionnaire, and three functional performance tests: time up and down stairs (TUDS), various walking activities (VWA), and the 6-min walking test (6MWT). Linear Mixed Model has been employed for the repeated measurements. RESULTS: Twenty patients of the original study (n = 44) participated in the current study. Fifteen limb-salvage and five ablative surgery patients, median follow-up 7.4 years (6.8-8.0) (CI 95%), mean age 22.3 years (18.2-31.6). Between 2 and 7 years after surgery, 8 limb-salvage patients (53%) encountered surgery related complications. Questionnaires and functional performance tests showed no significant difference in functional outcome between 2 years and 7 years after surgery (P &lt; 0.05). CONCLUSIONS: Between 2 years and follow-up at average 7 years after surgery no further improvements were noticed at young patients with a bone sarcoma located around the knee.","author":[{"dropping-particle":"","family":"Egmond-van Dam","given":"Janneke C","non-dropping-particle":"van","parse-names":false,"suffix":""},{"dropping-particle":"","family":"Bekkering","given":"W Peter","non-dropping-particle":"","parse-names":false,"suffix":""},{"dropping-particle":"","family":"Bramer","given":"Jos A M","non-dropping-particle":"","parse-names":false,"suffix":""},{"dropping-particle":"","family":"Beishuizen","given":"Auke","non-dropping-particle":"","parse-names":false,"suffix":""},{"dropping-particle":"","family":"Fiocco","given":"Marta","non-dropping-particle":"","parse-names":false,"suffix":""},{"dropping-particle":"","family":"Dijkstra","given":"P D Sander","non-dropping-particle":"","parse-names":false,"suffix":""}],"container-title":"Journal of surgical oncology","id":"ITEM-1","issue":"8","issued":{"date-parts":[["2017","6"]]},"language":"eng","page":"1028-1032","title":"Functional outcome after surgery in patients with bone sarcoma around the knee;  results from a long-term prospective study.","type":"article-journal","volume":"115"},"uris":["http://www.mendeley.com/documents/?uuid=d0dd1dc4-c702-4d78-bb3f-fc5899a688ed"]}],"mendeley":{"formattedCitation":"(17)","plainTextFormattedCitation":"(17)","previouslyFormattedCitation":"(17)"},"properties":{"noteIndex":0},"schema":"https://github.com/citation-style-language/schema/raw/master/csl-citation.json"}</w:instrText>
      </w:r>
      <w:r w:rsidR="009D7E14" w:rsidRPr="005B5460">
        <w:rPr>
          <w:rFonts w:ascii="Times New Roman" w:hAnsi="Times New Roman" w:cs="Times New Roman"/>
        </w:rPr>
        <w:fldChar w:fldCharType="separate"/>
      </w:r>
      <w:r w:rsidR="009D7E14" w:rsidRPr="005B5460">
        <w:rPr>
          <w:rFonts w:ascii="Times New Roman" w:hAnsi="Times New Roman" w:cs="Times New Roman"/>
          <w:noProof/>
        </w:rPr>
        <w:t>(17)</w:t>
      </w:r>
      <w:r w:rsidR="009D7E14" w:rsidRPr="005B5460">
        <w:rPr>
          <w:rFonts w:ascii="Times New Roman" w:hAnsi="Times New Roman" w:cs="Times New Roman"/>
        </w:rPr>
        <w:fldChar w:fldCharType="end"/>
      </w:r>
      <w:r w:rsidRPr="005B5460">
        <w:rPr>
          <w:rFonts w:ascii="Times New Roman" w:hAnsi="Times New Roman" w:cs="Times New Roman"/>
        </w:rPr>
        <w:t xml:space="preserve"> did not show any improvement between 2</w:t>
      </w:r>
      <w:r w:rsidR="006068FD" w:rsidRPr="005B5460">
        <w:rPr>
          <w:rFonts w:ascii="Times New Roman" w:hAnsi="Times New Roman" w:cs="Times New Roman"/>
        </w:rPr>
        <w:t>-</w:t>
      </w:r>
      <w:r w:rsidRPr="005B5460">
        <w:rPr>
          <w:rFonts w:ascii="Times New Roman" w:hAnsi="Times New Roman" w:cs="Times New Roman"/>
        </w:rPr>
        <w:t>and 7</w:t>
      </w:r>
      <w:r w:rsidR="006068FD" w:rsidRPr="005B5460">
        <w:rPr>
          <w:rFonts w:ascii="Times New Roman" w:hAnsi="Times New Roman" w:cs="Times New Roman"/>
        </w:rPr>
        <w:t>-</w:t>
      </w:r>
      <w:r w:rsidRPr="005B5460">
        <w:rPr>
          <w:rFonts w:ascii="Times New Roman" w:hAnsi="Times New Roman" w:cs="Times New Roman"/>
        </w:rPr>
        <w:t xml:space="preserve">years post-operation. </w:t>
      </w:r>
      <w:proofErr w:type="spellStart"/>
      <w:r w:rsidRPr="005B5460">
        <w:rPr>
          <w:rFonts w:ascii="Times New Roman" w:hAnsi="Times New Roman" w:cs="Times New Roman"/>
        </w:rPr>
        <w:t>Bekkering</w:t>
      </w:r>
      <w:proofErr w:type="spellEnd"/>
      <w:r w:rsidRPr="005B5460">
        <w:rPr>
          <w:rFonts w:ascii="Times New Roman" w:hAnsi="Times New Roman" w:cs="Times New Roman"/>
        </w:rPr>
        <w:t xml:space="preserve"> et al</w:t>
      </w:r>
      <w:r w:rsidR="006068FD" w:rsidRPr="005B5460">
        <w:rPr>
          <w:rFonts w:ascii="Times New Roman" w:hAnsi="Times New Roman" w:cs="Times New Roman"/>
        </w:rPr>
        <w:t xml:space="preserve"> </w:t>
      </w:r>
      <w:r w:rsidR="00EC1D79" w:rsidRPr="005B5460">
        <w:rPr>
          <w:rFonts w:ascii="Times New Roman" w:hAnsi="Times New Roman" w:cs="Times New Roman"/>
        </w:rPr>
        <w:fldChar w:fldCharType="begin" w:fldLock="1"/>
      </w:r>
      <w:r w:rsidR="005B39C5" w:rsidRPr="005B5460">
        <w:rPr>
          <w:rFonts w:ascii="Times New Roman" w:hAnsi="Times New Roman" w:cs="Times New Roman"/>
        </w:rPr>
        <w:instrText>ADDIN CSL_CITATION {"citationItems":[{"id":"ITEM-1","itemData":{"DOI":"10.1002/jso.21828","ISSN":"1096-9098 (Electronic)","PMID":"21337557","abstract":"BACKGROUND: Aim of our study was to compare functional ability and physical activity  in children and young adults who underwent surgery for a malignant bone tumor that was located around the knee. METHODS: This cross-sectional study included 82 patients aged 8-25 years with a follow-up of 1-5 years. The functional ability and the amount of physical activity were evaluated by means of questionnaires and objective instruments. RESULTS: Thirty nine patients underwent limb-salvage surgery (24 allograft and 15 endoprosthesis) and 43 underwent ablative surgery (27 amputations and 16 rotationplasty). Patients in the limb-salvage group were significantly older at the time of surgery than patients in the ablative group (mean age 15.2 years vs. 13.2 years, P = 0.03). Apart from significantly better scores for the timed up and down stairs and various walking activities in the limb-salvage group as compared to the ablative surgery group, no significant differences were seen for any of the outcome measures. CONCLUSIONS: One to 5 years after limb-salvage and ablative surgery due to a malignant bone tumor children and young adults do, apart from a few activities involving walking and climbing stairs, not differ with respect to overall functional ability and physical activity.","author":[{"dropping-particle":"","family":"Bekkering","given":"W Peter","non-dropping-particle":"","parse-names":false,"suffix":""},{"dropping-particle":"","family":"Vliet Vlieland","given":"Theodora P M","non-dropping-particle":"","parse-names":false,"suffix":""},{"dropping-particle":"","family":"Koopman","given":"Hendrik M","non-dropping-particle":"","parse-names":false,"suffix":""},{"dropping-particle":"","family":"Schaap","given":"Gerard R","non-dropping-particle":"","parse-names":false,"suffix":""},{"dropping-particle":"","family":"Bart Schreuder","given":"H W","non-dropping-particle":"","parse-names":false,"suffix":""},{"dropping-particle":"","family":"Beishuizen","given":"Auke","non-dropping-particle":"","parse-names":false,"suffix":""},{"dropping-particle":"","family":"Jutte","given":"Paul C","non-dropping-particle":"","parse-names":false,"suffix":""},{"dropping-particle":"","family":"Hoogerbrugge","given":"Peter M","non-dropping-particle":"","parse-names":false,"suffix":""},{"dropping-particle":"","family":"Anninga","given":"Jacob K","non-dropping-particle":"","parse-names":false,"suffix":""},{"dropping-particle":"","family":"Nelissen","given":"Rob G H H","non-dropping-particle":"","parse-names":false,"suffix":""},{"dropping-particle":"","family":"Taminiau","given":"Antonie H M","non-dropping-particle":"","parse-names":false,"suffix":""}],"container-title":"Journal of surgical oncology","id":"ITEM-1","issue":"3","issued":{"date-parts":[["2011","3"]]},"language":"eng","page":"276-282","publisher-place":"United States","title":"Functional ability and physical activity in children and young adults after  limb-salvage or ablative surgery for lower extremity bone tumors.","type":"article-journal","volume":"103"},"uris":["http://www.mendeley.com/documents/?uuid=46086f6e-f63d-4ad9-82d8-9ecafd272161"]}],"mendeley":{"formattedCitation":"(21)","plainTextFormattedCitation":"(21)","previouslyFormattedCitation":"(21)"},"properties":{"noteIndex":0},"schema":"https://github.com/citation-style-language/schema/raw/master/csl-citation.json"}</w:instrText>
      </w:r>
      <w:r w:rsidR="00EC1D79" w:rsidRPr="005B5460">
        <w:rPr>
          <w:rFonts w:ascii="Times New Roman" w:hAnsi="Times New Roman" w:cs="Times New Roman"/>
        </w:rPr>
        <w:fldChar w:fldCharType="separate"/>
      </w:r>
      <w:r w:rsidR="00EC1D79" w:rsidRPr="005B5460">
        <w:rPr>
          <w:rFonts w:ascii="Times New Roman" w:hAnsi="Times New Roman" w:cs="Times New Roman"/>
          <w:noProof/>
        </w:rPr>
        <w:t>(21)</w:t>
      </w:r>
      <w:r w:rsidR="00EC1D79" w:rsidRPr="005B5460">
        <w:rPr>
          <w:rFonts w:ascii="Times New Roman" w:hAnsi="Times New Roman" w:cs="Times New Roman"/>
        </w:rPr>
        <w:fldChar w:fldCharType="end"/>
      </w:r>
      <w:r w:rsidR="00EC1D79" w:rsidRPr="005B5460">
        <w:rPr>
          <w:rFonts w:ascii="Times New Roman" w:hAnsi="Times New Roman" w:cs="Times New Roman"/>
        </w:rPr>
        <w:t xml:space="preserve"> </w:t>
      </w:r>
      <w:r w:rsidRPr="005B5460">
        <w:rPr>
          <w:rFonts w:ascii="Times New Roman" w:hAnsi="Times New Roman" w:cs="Times New Roman"/>
        </w:rPr>
        <w:t xml:space="preserve">found no correlation between the type of LSS and the results of these tests; however, they reported that the LSS group had significantly better outcomes in some of these tests in comparison with an ablative surgery group. </w:t>
      </w:r>
    </w:p>
    <w:p w14:paraId="70FD34BC" w14:textId="786D4E9E" w:rsidR="007E3529" w:rsidRPr="005B5460" w:rsidRDefault="007E3529" w:rsidP="007E3529">
      <w:pPr>
        <w:spacing w:line="480" w:lineRule="auto"/>
        <w:rPr>
          <w:rFonts w:ascii="Times New Roman" w:hAnsi="Times New Roman" w:cs="Times New Roman"/>
        </w:rPr>
      </w:pPr>
      <w:r w:rsidRPr="005B5460">
        <w:rPr>
          <w:rFonts w:ascii="Times New Roman" w:hAnsi="Times New Roman" w:cs="Times New Roman"/>
        </w:rPr>
        <w:t>The Physiological Cost Index (PCI) is an objective indirect measure of oxygen cost during exercise or walking</w:t>
      </w:r>
      <w:r w:rsidR="006F6C77" w:rsidRPr="005B5460">
        <w:rPr>
          <w:rFonts w:ascii="Times New Roman" w:hAnsi="Times New Roman" w:cs="Times New Roman"/>
        </w:rPr>
        <w:t xml:space="preserve"> </w:t>
      </w:r>
      <w:r w:rsidR="005B39C5" w:rsidRPr="005B5460">
        <w:rPr>
          <w:rFonts w:ascii="Times New Roman" w:hAnsi="Times New Roman" w:cs="Times New Roman"/>
        </w:rPr>
        <w:fldChar w:fldCharType="begin" w:fldLock="1"/>
      </w:r>
      <w:r w:rsidR="005F4DC8" w:rsidRPr="005B5460">
        <w:rPr>
          <w:rFonts w:ascii="Times New Roman" w:hAnsi="Times New Roman" w:cs="Times New Roman"/>
        </w:rPr>
        <w:instrText>ADDIN CSL_CITATION {"citationItems":[{"id":"ITEM-1","itemData":{"DOI":"10.1053/apmr.2002.35655","ISSN":"0003-9993 (Print)","PMID":"12474186","abstract":"OBJECTIVE: To determine if the Physiological Cost Index (PCI) can be recommended as  an outcome measure in clinical trials. DESIGN: Three assessments were performed, 2 with shoes, 1 without. The difference between walking with shoes and walking barefoot was used to study the ability of the PCI to detect a change in the criterion standard. SETTING: A research department affiliated with a rehabilitation hospital in the Netherlands. PARTICIPANTS: Twelve children with cerebral palsy. INTERVENTIONS: During the first and third assessments, the children walked with shoes. During the intermediate assessment, the children walked without shoes. MAIN OUTCOME MEASURE: Breath-by-breath oxygen uptake, heart rate (HR), and walking speed were measured at a self-selected comfortable speed. Oxygen cost (EO(2)) and the PCI were subsequently calculated offline. Feasibility judgments were made regarding the ability of the PCI to detect changes in a criterion standard and the statistical power of the outcome measure. RESULTS: Pearson correlation coefficients were.66 and.62 for HR(walking)-HR(baseline) and HR(walking), respectively. The smallest detectable difference of the PCI and EO(2) were 69% and 32%, respectively. A difference of at least 69% or 32% should be found before one can conclude a difference with a certainty of 95%. CONCLUSIONS: The reproducibility of the PCI and the ability to show small differences in EO(2) were moderate. Subtracting HR(baseline) when calculating the PCI is probably not useful because it only increased within-subject variability. With respect to statistical power of a new clinical trial, we recommend using EO(2) instead of the PCI.","author":[{"dropping-particle":"","family":"Ijzerman","given":"Maarten J","non-dropping-particle":"","parse-names":false,"suffix":""},{"dropping-particle":"V","family":"Nene","given":"Anand","non-dropping-particle":"","parse-names":false,"suffix":""}],"container-title":"Archives of physical medicine and rehabilitation","id":"ITEM-1","issue":"12","issued":{"date-parts":[["2002","12"]]},"language":"eng","page":"1777-1782","publisher-place":"United States","title":"Feasibility of the physiological cost index as an outcome measure for the assessment  of energy expenditure during walking.","type":"article-journal","volume":"83"},"uris":["http://www.mendeley.com/documents/?uuid=4aa7dca9-12b4-4181-b6c4-518bd02f80b3"]}],"mendeley":{"formattedCitation":"(46)","plainTextFormattedCitation":"(46)","previouslyFormattedCitation":"(46)"},"properties":{"noteIndex":0},"schema":"https://github.com/citation-style-language/schema/raw/master/csl-citation.json"}</w:instrText>
      </w:r>
      <w:r w:rsidR="005B39C5" w:rsidRPr="005B5460">
        <w:rPr>
          <w:rFonts w:ascii="Times New Roman" w:hAnsi="Times New Roman" w:cs="Times New Roman"/>
        </w:rPr>
        <w:fldChar w:fldCharType="separate"/>
      </w:r>
      <w:r w:rsidR="005F4DC8" w:rsidRPr="005B5460">
        <w:rPr>
          <w:rFonts w:ascii="Times New Roman" w:hAnsi="Times New Roman" w:cs="Times New Roman"/>
          <w:noProof/>
        </w:rPr>
        <w:t>(46)</w:t>
      </w:r>
      <w:r w:rsidR="005B39C5" w:rsidRPr="005B5460">
        <w:rPr>
          <w:rFonts w:ascii="Times New Roman" w:hAnsi="Times New Roman" w:cs="Times New Roman"/>
        </w:rPr>
        <w:fldChar w:fldCharType="end"/>
      </w:r>
      <w:r w:rsidR="005B39C5" w:rsidRPr="005B5460">
        <w:rPr>
          <w:rFonts w:ascii="Times New Roman" w:hAnsi="Times New Roman" w:cs="Times New Roman"/>
        </w:rPr>
        <w:t>.</w:t>
      </w:r>
      <w:r w:rsidRPr="005B5460">
        <w:rPr>
          <w:rFonts w:ascii="Times New Roman" w:hAnsi="Times New Roman" w:cs="Times New Roman"/>
        </w:rPr>
        <w:t xml:space="preserve"> It was used in two studies </w:t>
      </w:r>
      <w:r w:rsidR="00A032CE" w:rsidRPr="005B5460">
        <w:rPr>
          <w:rFonts w:ascii="Times New Roman" w:hAnsi="Times New Roman" w:cs="Times New Roman"/>
        </w:rPr>
        <w:fldChar w:fldCharType="begin" w:fldLock="1"/>
      </w:r>
      <w:r w:rsidR="001155B5" w:rsidRPr="005B5460">
        <w:rPr>
          <w:rFonts w:ascii="Times New Roman" w:hAnsi="Times New Roman" w:cs="Times New Roman"/>
        </w:rPr>
        <w:instrText>ADDIN CSL_CITATION {"citationItems":[{"id":"ITEM-1","itemData":{"DOI":"10.1007/s11999-012-2271-1","ISSN":"1528-1132 (Electronic)","PMID":"22302658","abstract":"INTRODUCTION: Patients with aggressive lower extremity musculoskeletal tumors may be  candidates for either above-knee amputation or limb-salvage surgery. However, the subjective and objective benefits of limb-salvage surgery compared with amputation are not fully clear. QUESTIONS/PURPOSES: We therefore compared functional status and quality of life for patients treated with above-knee amputation versus limb-salvage surgery. METHODS: We reviewed 20 of 51 patients aged 15 years and older treated with above-knee amputation or limb-salvage surgery for aggressive musculoskeletal tumors around the knee between 1994 and 2004 as a retrospective cohort study. At last followup we obtained the Physiological Cost Index, the Reintegration to Normal Living Index, SF-36, and the Toronto Extremity Salvage Score questionnaires. The minimum followup was 12 months (median, 56 months; range, 12-108 months). RESULTS: Compared with patients having above-knee amputation, patients undergoing limb-salvage surgery had superior Physiological Cost Index scores and Reintegration to Normal Living Index. The Toronto Extremity Salvage scores and SF-36 scores were similar in the two groups. CONCLUSION: These data suggest that limb-salvage surgery offers better gait efficiency and return to normal living compared with above-knee amputation, but does not improve the patient's perception of quality of life.","author":[{"dropping-particle":"","family":"Malek","given":"Farbod","non-dropping-particle":"","parse-names":false,"suffix":""},{"dropping-particle":"","family":"Somerson","given":"Jeremy S","non-dropping-particle":"","parse-names":false,"suffix":""},{"dropping-particle":"","family":"Mitchel","given":"Shannon","non-dropping-particle":"","parse-names":false,"suffix":""},{"dropping-particle":"","family":"Williams","given":"Ronald P","non-dropping-particle":"","parse-names":false,"suffix":""}],"container-title":"Clinical orthopaedics and related research","id":"ITEM-1","issue":"7","issued":{"date-parts":[["2012","7"]]},"language":"eng","page":"2000-2006","title":"Does limb-salvage surgery offer patients better quality of life and functional  capacity than amputation?","type":"article-journal","volume":"470"},"uris":["http://www.mendeley.com/documents/?uuid=b18c2b7e-1ca3-4eef-8e44-d2b03c031b23"]},{"id":"ITEM-2","itemData":{"DOI":"10.1002/jso.21828","ISSN":"1096-9098 (Electronic)","PMID":"21337557","abstract":"BACKGROUND: Aim of our study was to compare functional ability and physical activity  in children and young adults who underwent surgery for a malignant bone tumor that was located around the knee. METHODS: This cross-sectional study included 82 patients aged 8-25 years with a follow-up of 1-5 years. The functional ability and the amount of physical activity were evaluated by means of questionnaires and objective instruments. RESULTS: Thirty nine patients underwent limb-salvage surgery (24 allograft and 15 endoprosthesis) and 43 underwent ablative surgery (27 amputations and 16 rotationplasty). Patients in the limb-salvage group were significantly older at the time of surgery than patients in the ablative group (mean age 15.2 years vs. 13.2 years, P = 0.03). Apart from significantly better scores for the timed up and down stairs and various walking activities in the limb-salvage group as compared to the ablative surgery group, no significant differences were seen for any of the outcome measures. CONCLUSIONS: One to 5 years after limb-salvage and ablative surgery due to a malignant bone tumor children and young adults do, apart from a few activities involving walking and climbing stairs, not differ with respect to overall functional ability and physical activity.","author":[{"dropping-particle":"","family":"Bekkering","given":"W Peter","non-dropping-particle":"","parse-names":false,"suffix":""},{"dropping-particle":"","family":"Vliet Vlieland","given":"Theodora P M","non-dropping-particle":"","parse-names":false,"suffix":""},{"dropping-particle":"","family":"Koopman","given":"Hendrik M","non-dropping-particle":"","parse-names":false,"suffix":""},{"dropping-particle":"","family":"Schaap","given":"Gerard R","non-dropping-particle":"","parse-names":false,"suffix":""},{"dropping-particle":"","family":"Bart Schreuder","given":"H W","non-dropping-particle":"","parse-names":false,"suffix":""},{"dropping-particle":"","family":"Beishuizen","given":"Auke","non-dropping-particle":"","parse-names":false,"suffix":""},{"dropping-particle":"","family":"Jutte","given":"Paul C","non-dropping-particle":"","parse-names":false,"suffix":""},{"dropping-particle":"","family":"Hoogerbrugge","given":"Peter M","non-dropping-particle":"","parse-names":false,"suffix":""},{"dropping-particle":"","family":"Anninga","given":"Jacob K","non-dropping-particle":"","parse-names":false,"suffix":""},{"dropping-particle":"","family":"Nelissen","given":"Rob G H H","non-dropping-particle":"","parse-names":false,"suffix":""},{"dropping-particle":"","family":"Taminiau","given":"Antonie H M","non-dropping-particle":"","parse-names":false,"suffix":""}],"container-title":"Journal of surgical oncology","id":"ITEM-2","issue":"3","issued":{"date-parts":[["2011","3"]]},"language":"eng","page":"276-282","publisher-place":"United States","title":"Functional ability and physical activity in children and young adults after  limb-salvage or ablative surgery for lower extremity bone tumors.","type":"article-journal","volume":"103"},"uris":["http://www.mendeley.com/documents/?uuid=46086f6e-f63d-4ad9-82d8-9ecafd272161"]}],"mendeley":{"formattedCitation":"(19,21)","plainTextFormattedCitation":"(19,21)","previouslyFormattedCitation":"(19,21)"},"properties":{"noteIndex":0},"schema":"https://github.com/citation-style-language/schema/raw/master/csl-citation.json"}</w:instrText>
      </w:r>
      <w:r w:rsidR="00A032CE" w:rsidRPr="005B5460">
        <w:rPr>
          <w:rFonts w:ascii="Times New Roman" w:hAnsi="Times New Roman" w:cs="Times New Roman"/>
        </w:rPr>
        <w:fldChar w:fldCharType="separate"/>
      </w:r>
      <w:r w:rsidR="00A032CE" w:rsidRPr="005B5460">
        <w:rPr>
          <w:rFonts w:ascii="Times New Roman" w:hAnsi="Times New Roman" w:cs="Times New Roman"/>
          <w:noProof/>
        </w:rPr>
        <w:t>(19,21)</w:t>
      </w:r>
      <w:r w:rsidR="00A032CE" w:rsidRPr="005B5460">
        <w:rPr>
          <w:rFonts w:ascii="Times New Roman" w:hAnsi="Times New Roman" w:cs="Times New Roman"/>
        </w:rPr>
        <w:fldChar w:fldCharType="end"/>
      </w:r>
      <w:r w:rsidRPr="005B5460">
        <w:rPr>
          <w:rFonts w:ascii="Times New Roman" w:hAnsi="Times New Roman" w:cs="Times New Roman"/>
        </w:rPr>
        <w:t xml:space="preserve">, but contradicting results were found. Malek et al </w:t>
      </w:r>
      <w:r w:rsidR="001155B5" w:rsidRPr="005B5460">
        <w:rPr>
          <w:rFonts w:ascii="Times New Roman" w:hAnsi="Times New Roman" w:cs="Times New Roman"/>
        </w:rPr>
        <w:fldChar w:fldCharType="begin" w:fldLock="1"/>
      </w:r>
      <w:r w:rsidR="001155B5" w:rsidRPr="005B5460">
        <w:rPr>
          <w:rFonts w:ascii="Times New Roman" w:hAnsi="Times New Roman" w:cs="Times New Roman"/>
        </w:rPr>
        <w:instrText>ADDIN CSL_CITATION {"citationItems":[{"id":"ITEM-1","itemData":{"DOI":"10.1007/s11999-012-2271-1","ISSN":"1528-1132 (Electronic)","PMID":"22302658","abstract":"INTRODUCTION: Patients with aggressive lower extremity musculoskeletal tumors may be  candidates for either above-knee amputation or limb-salvage surgery. However, the subjective and objective benefits of limb-salvage surgery compared with amputation are not fully clear. QUESTIONS/PURPOSES: We therefore compared functional status and quality of life for patients treated with above-knee amputation versus limb-salvage surgery. METHODS: We reviewed 20 of 51 patients aged 15 years and older treated with above-knee amputation or limb-salvage surgery for aggressive musculoskeletal tumors around the knee between 1994 and 2004 as a retrospective cohort study. At last followup we obtained the Physiological Cost Index, the Reintegration to Normal Living Index, SF-36, and the Toronto Extremity Salvage Score questionnaires. The minimum followup was 12 months (median, 56 months; range, 12-108 months). RESULTS: Compared with patients having above-knee amputation, patients undergoing limb-salvage surgery had superior Physiological Cost Index scores and Reintegration to Normal Living Index. The Toronto Extremity Salvage scores and SF-36 scores were similar in the two groups. CONCLUSION: These data suggest that limb-salvage surgery offers better gait efficiency and return to normal living compared with above-knee amputation, but does not improve the patient's perception of quality of life.","author":[{"dropping-particle":"","family":"Malek","given":"Farbod","non-dropping-particle":"","parse-names":false,"suffix":""},{"dropping-particle":"","family":"Somerson","given":"Jeremy S","non-dropping-particle":"","parse-names":false,"suffix":""},{"dropping-particle":"","family":"Mitchel","given":"Shannon","non-dropping-particle":"","parse-names":false,"suffix":""},{"dropping-particle":"","family":"Williams","given":"Ronald P","non-dropping-particle":"","parse-names":false,"suffix":""}],"container-title":"Clinical orthopaedics and related research","id":"ITEM-1","issue":"7","issued":{"date-parts":[["2012","7"]]},"language":"eng","page":"2000-2006","title":"Does limb-salvage surgery offer patients better quality of life and functional  capacity than amputation?","type":"article-journal","volume":"470"},"uris":["http://www.mendeley.com/documents/?uuid=b18c2b7e-1ca3-4eef-8e44-d2b03c031b23"]}],"mendeley":{"formattedCitation":"(19)","plainTextFormattedCitation":"(19)","previouslyFormattedCitation":"(19)"},"properties":{"noteIndex":0},"schema":"https://github.com/citation-style-language/schema/raw/master/csl-citation.json"}</w:instrText>
      </w:r>
      <w:r w:rsidR="001155B5" w:rsidRPr="005B5460">
        <w:rPr>
          <w:rFonts w:ascii="Times New Roman" w:hAnsi="Times New Roman" w:cs="Times New Roman"/>
        </w:rPr>
        <w:fldChar w:fldCharType="separate"/>
      </w:r>
      <w:r w:rsidR="001155B5" w:rsidRPr="005B5460">
        <w:rPr>
          <w:rFonts w:ascii="Times New Roman" w:hAnsi="Times New Roman" w:cs="Times New Roman"/>
          <w:noProof/>
        </w:rPr>
        <w:t>(19)</w:t>
      </w:r>
      <w:r w:rsidR="001155B5" w:rsidRPr="005B5460">
        <w:rPr>
          <w:rFonts w:ascii="Times New Roman" w:hAnsi="Times New Roman" w:cs="Times New Roman"/>
        </w:rPr>
        <w:fldChar w:fldCharType="end"/>
      </w:r>
      <w:r w:rsidRPr="005B5460">
        <w:rPr>
          <w:rFonts w:ascii="Times New Roman" w:hAnsi="Times New Roman" w:cs="Times New Roman"/>
        </w:rPr>
        <w:t xml:space="preserve"> reported a significantly better gait speed and distance in the LSS group than in the amputation group. In contrast, no significant differences between the LSS and ablative groups were found </w:t>
      </w:r>
      <w:r w:rsidR="006068FD" w:rsidRPr="005B5460">
        <w:rPr>
          <w:rFonts w:ascii="Times New Roman" w:hAnsi="Times New Roman" w:cs="Times New Roman"/>
        </w:rPr>
        <w:t>in the study by</w:t>
      </w:r>
      <w:r w:rsidRPr="005B5460">
        <w:rPr>
          <w:rFonts w:ascii="Times New Roman" w:hAnsi="Times New Roman" w:cs="Times New Roman"/>
        </w:rPr>
        <w:t xml:space="preserve"> </w:t>
      </w:r>
      <w:proofErr w:type="spellStart"/>
      <w:r w:rsidRPr="005B5460">
        <w:rPr>
          <w:rFonts w:ascii="Times New Roman" w:hAnsi="Times New Roman" w:cs="Times New Roman"/>
        </w:rPr>
        <w:t>Bekkering</w:t>
      </w:r>
      <w:proofErr w:type="spellEnd"/>
      <w:r w:rsidRPr="005B5460">
        <w:rPr>
          <w:rFonts w:ascii="Times New Roman" w:hAnsi="Times New Roman" w:cs="Times New Roman"/>
        </w:rPr>
        <w:t xml:space="preserve"> et al </w:t>
      </w:r>
      <w:r w:rsidR="001155B5" w:rsidRPr="005B5460">
        <w:rPr>
          <w:rFonts w:ascii="Times New Roman" w:hAnsi="Times New Roman" w:cs="Times New Roman"/>
        </w:rPr>
        <w:fldChar w:fldCharType="begin" w:fldLock="1"/>
      </w:r>
      <w:r w:rsidR="00572C77" w:rsidRPr="005B5460">
        <w:rPr>
          <w:rFonts w:ascii="Times New Roman" w:hAnsi="Times New Roman" w:cs="Times New Roman"/>
        </w:rPr>
        <w:instrText>ADDIN CSL_CITATION {"citationItems":[{"id":"ITEM-1","itemData":{"DOI":"10.1002/jso.21828","ISSN":"1096-9098 (Electronic)","PMID":"21337557","abstract":"BACKGROUND: Aim of our study was to compare functional ability and physical activity  in children and young adults who underwent surgery for a malignant bone tumor that was located around the knee. METHODS: This cross-sectional study included 82 patients aged 8-25 years with a follow-up of 1-5 years. The functional ability and the amount of physical activity were evaluated by means of questionnaires and objective instruments. RESULTS: Thirty nine patients underwent limb-salvage surgery (24 allograft and 15 endoprosthesis) and 43 underwent ablative surgery (27 amputations and 16 rotationplasty). Patients in the limb-salvage group were significantly older at the time of surgery than patients in the ablative group (mean age 15.2 years vs. 13.2 years, P = 0.03). Apart from significantly better scores for the timed up and down stairs and various walking activities in the limb-salvage group as compared to the ablative surgery group, no significant differences were seen for any of the outcome measures. CONCLUSIONS: One to 5 years after limb-salvage and ablative surgery due to a malignant bone tumor children and young adults do, apart from a few activities involving walking and climbing stairs, not differ with respect to overall functional ability and physical activity.","author":[{"dropping-particle":"","family":"Bekkering","given":"W Peter","non-dropping-particle":"","parse-names":false,"suffix":""},{"dropping-particle":"","family":"Vliet Vlieland","given":"Theodora P M","non-dropping-particle":"","parse-names":false,"suffix":""},{"dropping-particle":"","family":"Koopman","given":"Hendrik M","non-dropping-particle":"","parse-names":false,"suffix":""},{"dropping-particle":"","family":"Schaap","given":"Gerard R","non-dropping-particle":"","parse-names":false,"suffix":""},{"dropping-particle":"","family":"Bart Schreuder","given":"H W","non-dropping-particle":"","parse-names":false,"suffix":""},{"dropping-particle":"","family":"Beishuizen","given":"Auke","non-dropping-particle":"","parse-names":false,"suffix":""},{"dropping-particle":"","family":"Jutte","given":"Paul C","non-dropping-particle":"","parse-names":false,"suffix":""},{"dropping-particle":"","family":"Hoogerbrugge","given":"Peter M","non-dropping-particle":"","parse-names":false,"suffix":""},{"dropping-particle":"","family":"Anninga","given":"Jacob K","non-dropping-particle":"","parse-names":false,"suffix":""},{"dropping-particle":"","family":"Nelissen","given":"Rob G H H","non-dropping-particle":"","parse-names":false,"suffix":""},{"dropping-particle":"","family":"Taminiau","given":"Antonie H M","non-dropping-particle":"","parse-names":false,"suffix":""}],"container-title":"Journal of surgical oncology","id":"ITEM-1","issue":"3","issued":{"date-parts":[["2011","3"]]},"language":"eng","page":"276-282","publisher-place":"United States","title":"Functional ability and physical activity in children and young adults after  limb-salvage or ablative surgery for lower extremity bone tumors.","type":"article-journal","volume":"103"},"uris":["http://www.mendeley.com/documents/?uuid=46086f6e-f63d-4ad9-82d8-9ecafd272161"]}],"mendeley":{"formattedCitation":"(21)","plainTextFormattedCitation":"(21)","previouslyFormattedCitation":"(21)"},"properties":{"noteIndex":0},"schema":"https://github.com/citation-style-language/schema/raw/master/csl-citation.json"}</w:instrText>
      </w:r>
      <w:r w:rsidR="001155B5" w:rsidRPr="005B5460">
        <w:rPr>
          <w:rFonts w:ascii="Times New Roman" w:hAnsi="Times New Roman" w:cs="Times New Roman"/>
        </w:rPr>
        <w:fldChar w:fldCharType="separate"/>
      </w:r>
      <w:r w:rsidR="001155B5" w:rsidRPr="005B5460">
        <w:rPr>
          <w:rFonts w:ascii="Times New Roman" w:hAnsi="Times New Roman" w:cs="Times New Roman"/>
          <w:noProof/>
        </w:rPr>
        <w:t>(21)</w:t>
      </w:r>
      <w:r w:rsidR="001155B5" w:rsidRPr="005B5460">
        <w:rPr>
          <w:rFonts w:ascii="Times New Roman" w:hAnsi="Times New Roman" w:cs="Times New Roman"/>
        </w:rPr>
        <w:fldChar w:fldCharType="end"/>
      </w:r>
      <w:r w:rsidR="006068FD" w:rsidRPr="005B5460">
        <w:rPr>
          <w:rFonts w:ascii="Times New Roman" w:hAnsi="Times New Roman" w:cs="Times New Roman"/>
        </w:rPr>
        <w:t xml:space="preserve">, who also used activity monitors in a cross-sectional study for 24 hrs/7days and showed no statistically significant difference between the groups. </w:t>
      </w:r>
      <w:r w:rsidRPr="005B5460">
        <w:rPr>
          <w:rFonts w:ascii="Times New Roman" w:hAnsi="Times New Roman" w:cs="Times New Roman"/>
        </w:rPr>
        <w:t xml:space="preserve">The PCI outcome measure has </w:t>
      </w:r>
      <w:r w:rsidR="006068FD" w:rsidRPr="005B5460">
        <w:rPr>
          <w:rFonts w:ascii="Times New Roman" w:hAnsi="Times New Roman" w:cs="Times New Roman"/>
        </w:rPr>
        <w:t xml:space="preserve">therefore </w:t>
      </w:r>
      <w:r w:rsidRPr="005B5460">
        <w:rPr>
          <w:rFonts w:ascii="Times New Roman" w:hAnsi="Times New Roman" w:cs="Times New Roman"/>
        </w:rPr>
        <w:t xml:space="preserve">been reported to be a valid but unreliable tool </w:t>
      </w:r>
      <w:r w:rsidR="00572C77" w:rsidRPr="005B5460">
        <w:rPr>
          <w:rFonts w:ascii="Times New Roman" w:hAnsi="Times New Roman" w:cs="Times New Roman"/>
        </w:rPr>
        <w:fldChar w:fldCharType="begin" w:fldLock="1"/>
      </w:r>
      <w:r w:rsidR="005F4DC8" w:rsidRPr="005B5460">
        <w:rPr>
          <w:rFonts w:ascii="Times New Roman" w:hAnsi="Times New Roman" w:cs="Times New Roman"/>
        </w:rPr>
        <w:instrText>ADDIN CSL_CITATION {"citationItems":[{"id":"ITEM-1","itemData":{"DOI":"10.1053/apmr.2002.35655","ISSN":"0003-9993 (Print)","PMID":"12474186","abstract":"OBJECTIVE: To determine if the Physiological Cost Index (PCI) can be recommended as  an outcome measure in clinical trials. DESIGN: Three assessments were performed, 2 with shoes, 1 without. The difference between walking with shoes and walking barefoot was used to study the ability of the PCI to detect a change in the criterion standard. SETTING: A research department affiliated with a rehabilitation hospital in the Netherlands. PARTICIPANTS: Twelve children with cerebral palsy. INTERVENTIONS: During the first and third assessments, the children walked with shoes. During the intermediate assessment, the children walked without shoes. MAIN OUTCOME MEASURE: Breath-by-breath oxygen uptake, heart rate (HR), and walking speed were measured at a self-selected comfortable speed. Oxygen cost (EO(2)) and the PCI were subsequently calculated offline. Feasibility judgments were made regarding the ability of the PCI to detect changes in a criterion standard and the statistical power of the outcome measure. RESULTS: Pearson correlation coefficients were.66 and.62 for HR(walking)-HR(baseline) and HR(walking), respectively. The smallest detectable difference of the PCI and EO(2) were 69% and 32%, respectively. A difference of at least 69% or 32% should be found before one can conclude a difference with a certainty of 95%. CONCLUSIONS: The reproducibility of the PCI and the ability to show small differences in EO(2) were moderate. Subtracting HR(baseline) when calculating the PCI is probably not useful because it only increased within-subject variability. With respect to statistical power of a new clinical trial, we recommend using EO(2) instead of the PCI.","author":[{"dropping-particle":"","family":"Ijzerman","given":"Maarten J","non-dropping-particle":"","parse-names":false,"suffix":""},{"dropping-particle":"V","family":"Nene","given":"Anand","non-dropping-particle":"","parse-names":false,"suffix":""}],"container-title":"Archives of physical medicine and rehabilitation","id":"ITEM-1","issue":"12","issued":{"date-parts":[["2002","12"]]},"language":"eng","page":"1777-1782","publisher-place":"United States","title":"Feasibility of the physiological cost index as an outcome measure for the assessment  of energy expenditure during walking.","type":"article-journal","volume":"83"},"uris":["http://www.mendeley.com/documents/?uuid=4aa7dca9-12b4-4181-b6c4-518bd02f80b3"]},{"id":"ITEM-2","itemData":{"DOI":"10.1016/j.apmr.2005.04.022","ISSN":"0003-9993 (Print)","PMID":"16213251","abstract":"OBJECTIVE: To investigate the reliability and validity of the Physiological Cost  Index (PCI) scores, as a measure of energy expenditure, when healthy subjects walk on 2 different tracks (20-m and 12-m figure eight tracks). DESIGN: Intra- and interrater reliability and construct validity. SETTING: Physiotherapy division of a university in London, UK. PARTICIPANTS: Forty healthy subjects (15 men, 25 women; mean age +/- standard deviation, 34.5+/-12.6 y). INTERVENTIONS: Not applicable. MAIN OUTCOME MEASURES: Heart rate (in beats/min) and speed (in m/min) were used to calculate the PCI (in beats/m). Rate of oxygen consumption (VO2, in mL x kg(-1) x min(-1)) and oxygen cost (EO2, in mL x kg(-1) x m(-1)) were used as criterion estimates of energy cost EO2. Pearson correlation coefficients between the PCI, components of the PCI, EO2, and VO2 were used to quantify validity. Intrarater reliability was assessed in all participants and interrater reliability was assessed on a subset of 13 subjects using intraclass correlation coefficients and Bland-Altman plots. RESULTS: Intrarater (r=.73, r=.79) and interrater (r=.62, r=.66) reliability were acceptable between PCI scores from 20-m and 12-m tracks, respectively. Correlations between VO2 and EO2 with PCI were weak. PCI scores from the 20-m track were significantly lower than those on the 12-m track (P=.002). Subjects walked significantly faster on the 20-m track (P&lt;.001). Results suggest a large difference in PCI scores would be necessary to indicate a \"true\" alteration in performance (52% for 20-m track, 43.4% for the 12-m track). CONCLUSIONS: The PCI is reliable but not valid as a measure of the energy cost of walking in healthy subjects, on either track. The 20-m track is recommended for clinical use because it enables subjects to walk at a faster pace.","author":[{"dropping-particle":"","family":"Graham","given":"Rachel C","non-dropping-particle":"","parse-names":false,"suffix":""},{"dropping-particle":"","family":"Smith","given":"Nicola M","non-dropping-particle":"","parse-names":false,"suffix":""},{"dropping-particle":"","family":"White","given":"Claire M","non-dropping-particle":"","parse-names":false,"suffix":""}],"container-title":"Archives of physical medicine and rehabilitation","id":"ITEM-2","issue":"10","issued":{"date-parts":[["2005","10"]]},"language":"eng","page":"2041-2046","publisher-place":"United States","title":"The reliability and validity of the physiological cost index in healthy subjects  while walking on 2 different tracks.","type":"article-journal","volume":"86"},"uris":["http://www.mendeley.com/documents/?uuid=fd9bca39-f718-4c5b-a777-1aa6f2382fe4"]}],"mendeley":{"formattedCitation":"(46,47)","plainTextFormattedCitation":"(46,47)","previouslyFormattedCitation":"(46,47)"},"properties":{"noteIndex":0},"schema":"https://github.com/citation-style-language/schema/raw/master/csl-citation.json"}</w:instrText>
      </w:r>
      <w:r w:rsidR="00572C77" w:rsidRPr="005B5460">
        <w:rPr>
          <w:rFonts w:ascii="Times New Roman" w:hAnsi="Times New Roman" w:cs="Times New Roman"/>
        </w:rPr>
        <w:fldChar w:fldCharType="separate"/>
      </w:r>
      <w:r w:rsidR="005F4DC8" w:rsidRPr="005B5460">
        <w:rPr>
          <w:rFonts w:ascii="Times New Roman" w:hAnsi="Times New Roman" w:cs="Times New Roman"/>
          <w:noProof/>
        </w:rPr>
        <w:t>(46,47)</w:t>
      </w:r>
      <w:r w:rsidR="00572C77" w:rsidRPr="005B5460">
        <w:rPr>
          <w:rFonts w:ascii="Times New Roman" w:hAnsi="Times New Roman" w:cs="Times New Roman"/>
        </w:rPr>
        <w:fldChar w:fldCharType="end"/>
      </w:r>
      <w:r w:rsidRPr="005B5460">
        <w:rPr>
          <w:rFonts w:ascii="Times New Roman" w:hAnsi="Times New Roman" w:cs="Times New Roman"/>
        </w:rPr>
        <w:t xml:space="preserve">, and it has not been validated for use with sarcoma patients </w:t>
      </w:r>
      <w:r w:rsidR="0070583B" w:rsidRPr="005B5460">
        <w:rPr>
          <w:rFonts w:ascii="Times New Roman" w:hAnsi="Times New Roman" w:cs="Times New Roman"/>
        </w:rPr>
        <w:fldChar w:fldCharType="begin" w:fldLock="1"/>
      </w:r>
      <w:r w:rsidR="0070583B" w:rsidRPr="005B5460">
        <w:rPr>
          <w:rFonts w:ascii="Times New Roman" w:hAnsi="Times New Roman" w:cs="Times New Roman"/>
        </w:rPr>
        <w:instrText>ADDIN CSL_CITATION {"citationItems":[{"id":"ITEM-1","itemData":{"DOI":"10.1007/s11999-012-2271-1","ISSN":"1528-1132 (Electronic)","PMID":"22302658","abstract":"INTRODUCTION: Patients with aggressive lower extremity musculoskeletal tumors may be  candidates for either above-knee amputation or limb-salvage surgery. However, the subjective and objective benefits of limb-salvage surgery compared with amputation are not fully clear. QUESTIONS/PURPOSES: We therefore compared functional status and quality of life for patients treated with above-knee amputation versus limb-salvage surgery. METHODS: We reviewed 20 of 51 patients aged 15 years and older treated with above-knee amputation or limb-salvage surgery for aggressive musculoskeletal tumors around the knee between 1994 and 2004 as a retrospective cohort study. At last followup we obtained the Physiological Cost Index, the Reintegration to Normal Living Index, SF-36, and the Toronto Extremity Salvage Score questionnaires. The minimum followup was 12 months (median, 56 months; range, 12-108 months). RESULTS: Compared with patients having above-knee amputation, patients undergoing limb-salvage surgery had superior Physiological Cost Index scores and Reintegration to Normal Living Index. The Toronto Extremity Salvage scores and SF-36 scores were similar in the two groups. CONCLUSION: These data suggest that limb-salvage surgery offers better gait efficiency and return to normal living compared with above-knee amputation, but does not improve the patient's perception of quality of life.","author":[{"dropping-particle":"","family":"Malek","given":"Farbod","non-dropping-particle":"","parse-names":false,"suffix":""},{"dropping-particle":"","family":"Somerson","given":"Jeremy S","non-dropping-particle":"","parse-names":false,"suffix":""},{"dropping-particle":"","family":"Mitchel","given":"Shannon","non-dropping-particle":"","parse-names":false,"suffix":""},{"dropping-particle":"","family":"Williams","given":"Ronald P","non-dropping-particle":"","parse-names":false,"suffix":""}],"container-title":"Clinical orthopaedics and related research","id":"ITEM-1","issue":"7","issued":{"date-parts":[["2012","7"]]},"language":"eng","page":"2000-2006","title":"Does limb-salvage surgery offer patients better quality of life and functional  capacity than amputation?","type":"article-journal","volume":"470"},"uris":["http://www.mendeley.com/documents/?uuid=b18c2b7e-1ca3-4eef-8e44-d2b03c031b23"]}],"mendeley":{"formattedCitation":"(19)","plainTextFormattedCitation":"(19)","previouslyFormattedCitation":"(19)"},"properties":{"noteIndex":0},"schema":"https://github.com/citation-style-language/schema/raw/master/csl-citation.json"}</w:instrText>
      </w:r>
      <w:r w:rsidR="0070583B" w:rsidRPr="005B5460">
        <w:rPr>
          <w:rFonts w:ascii="Times New Roman" w:hAnsi="Times New Roman" w:cs="Times New Roman"/>
        </w:rPr>
        <w:fldChar w:fldCharType="separate"/>
      </w:r>
      <w:r w:rsidR="0070583B" w:rsidRPr="005B5460">
        <w:rPr>
          <w:rFonts w:ascii="Times New Roman" w:hAnsi="Times New Roman" w:cs="Times New Roman"/>
          <w:noProof/>
        </w:rPr>
        <w:t>(19)</w:t>
      </w:r>
      <w:r w:rsidR="0070583B" w:rsidRPr="005B5460">
        <w:rPr>
          <w:rFonts w:ascii="Times New Roman" w:hAnsi="Times New Roman" w:cs="Times New Roman"/>
        </w:rPr>
        <w:fldChar w:fldCharType="end"/>
      </w:r>
      <w:r w:rsidRPr="005B5460">
        <w:rPr>
          <w:rFonts w:ascii="Times New Roman" w:hAnsi="Times New Roman" w:cs="Times New Roman"/>
        </w:rPr>
        <w:t xml:space="preserve">. </w:t>
      </w:r>
      <w:r w:rsidR="00DB3536" w:rsidRPr="005B5460">
        <w:rPr>
          <w:rFonts w:ascii="Times New Roman" w:hAnsi="Times New Roman" w:cs="Times New Roman"/>
        </w:rPr>
        <w:t>A conclu</w:t>
      </w:r>
      <w:r w:rsidR="00FE1DA9" w:rsidRPr="005B5460">
        <w:rPr>
          <w:rFonts w:ascii="Times New Roman" w:hAnsi="Times New Roman" w:cs="Times New Roman"/>
        </w:rPr>
        <w:t xml:space="preserve">ding statement of this theme is the variety of outcomes </w:t>
      </w:r>
      <w:r w:rsidR="002677CA" w:rsidRPr="005B5460">
        <w:rPr>
          <w:rFonts w:ascii="Times New Roman" w:hAnsi="Times New Roman" w:cs="Times New Roman"/>
        </w:rPr>
        <w:t xml:space="preserve">measured makes comparison </w:t>
      </w:r>
      <w:r w:rsidR="002677CA" w:rsidRPr="005B5460">
        <w:rPr>
          <w:rFonts w:ascii="Times New Roman" w:hAnsi="Times New Roman" w:cs="Times New Roman"/>
        </w:rPr>
        <w:lastRenderedPageBreak/>
        <w:t xml:space="preserve">difficult and </w:t>
      </w:r>
      <w:r w:rsidR="005E200F" w:rsidRPr="005B5460">
        <w:rPr>
          <w:rFonts w:ascii="Times New Roman" w:hAnsi="Times New Roman" w:cs="Times New Roman"/>
        </w:rPr>
        <w:t>this population may benefit from the development of a Core Outcome Set</w:t>
      </w:r>
      <w:r w:rsidR="003E49BA" w:rsidRPr="005B5460">
        <w:rPr>
          <w:rFonts w:ascii="Times New Roman" w:hAnsi="Times New Roman" w:cs="Times New Roman"/>
        </w:rPr>
        <w:t xml:space="preserve"> </w:t>
      </w:r>
      <w:r w:rsidR="0070583B" w:rsidRPr="005B5460">
        <w:rPr>
          <w:rFonts w:ascii="Times New Roman" w:hAnsi="Times New Roman" w:cs="Times New Roman"/>
        </w:rPr>
        <w:fldChar w:fldCharType="begin" w:fldLock="1"/>
      </w:r>
      <w:r w:rsidR="005F4DC8" w:rsidRPr="005B5460">
        <w:rPr>
          <w:rFonts w:ascii="Times New Roman" w:hAnsi="Times New Roman" w:cs="Times New Roman"/>
        </w:rPr>
        <w:instrText>ADDIN CSL_CITATION {"citationItems":[{"id":"ITEM-1","itemData":{"DOI":"10.1136/archdischild-2016-312117","abstract":"‘Clinical trials are only as credible as their outcomes.’1 Clinical trials guide clinical practice. They do this by demonstrating beneficial or detrimental effects of an intervention on patients: the outcomes of the trial. The reliability of trial findings can be reduced by poor research practices such as inadequate allocation concealment or lack of blinding.2 The CONSORT standards were developed to alleviate the problems caused by poor trial reporting.3 Problems can also be caused by the selection, measurement and reporting of outcomes for clinical trials:Heterogeneity: When trials addressing similar clinical questions measure different outcomes, or the same outcome at different points or using different tools, it is difficult to combine results in systematic reviews or meta-analyses. A recent study of neonatal Cochrane reviews demonstrated that half were inconclusive, with heterogeneity of outcomes an important contributor.4 Selective reporting: Selective reporting of outcomes on the basis of the results is widespread.5 This can introduce bias to such a degree that after selective reporting is addressed, the conclusions of Cochrane reviews have been shown to change from evidence of benefit to no evidence of benefit.6 Preregistration of trials, and of the outcomes to be reported, is increasingly practised to minimise this.7 Relevance: When the outcomes of a trial are not relevant to research users (patients, parents and clinicians) statistically significant results may be …","author":[{"dropping-particle":"","family":"Webbe","given":"James","non-dropping-particle":"","parse-names":false,"suffix":""},{"dropping-particle":"","family":"Sinha","given":"Ian","non-dropping-particle":"","parse-names":false,"suffix":""},{"dropping-particle":"","family":"Gale","given":"Chris","non-dropping-particle":"","parse-names":false,"suffix":""}],"container-title":"Archives of disease in childhood - Education &amp;amp;amp; practice edition","id":"ITEM-1","issue":"3","issued":{"date-parts":[["2018","6","1"]]},"page":"163 LP  - 166","title":"Core Outcome Sets","type":"article-journal","volume":"103"},"uris":["http://www.mendeley.com/documents/?uuid=dcfc0fda-9fd3-444a-ab02-ad5c522f0b8c"]}],"mendeley":{"formattedCitation":"(48)","plainTextFormattedCitation":"(48)","previouslyFormattedCitation":"(48)"},"properties":{"noteIndex":0},"schema":"https://github.com/citation-style-language/schema/raw/master/csl-citation.json"}</w:instrText>
      </w:r>
      <w:r w:rsidR="0070583B" w:rsidRPr="005B5460">
        <w:rPr>
          <w:rFonts w:ascii="Times New Roman" w:hAnsi="Times New Roman" w:cs="Times New Roman"/>
        </w:rPr>
        <w:fldChar w:fldCharType="separate"/>
      </w:r>
      <w:r w:rsidR="005F4DC8" w:rsidRPr="005B5460">
        <w:rPr>
          <w:rFonts w:ascii="Times New Roman" w:hAnsi="Times New Roman" w:cs="Times New Roman"/>
          <w:noProof/>
        </w:rPr>
        <w:t>(48)</w:t>
      </w:r>
      <w:r w:rsidR="0070583B" w:rsidRPr="005B5460">
        <w:rPr>
          <w:rFonts w:ascii="Times New Roman" w:hAnsi="Times New Roman" w:cs="Times New Roman"/>
        </w:rPr>
        <w:fldChar w:fldCharType="end"/>
      </w:r>
      <w:r w:rsidR="00314719" w:rsidRPr="005B5460">
        <w:rPr>
          <w:rFonts w:ascii="Times New Roman" w:hAnsi="Times New Roman" w:cs="Times New Roman"/>
        </w:rPr>
        <w:t>, especially given the clear definition of the cohort</w:t>
      </w:r>
      <w:r w:rsidR="005E200F" w:rsidRPr="005B5460">
        <w:rPr>
          <w:rFonts w:ascii="Times New Roman" w:hAnsi="Times New Roman" w:cs="Times New Roman"/>
        </w:rPr>
        <w:t xml:space="preserve">. </w:t>
      </w:r>
    </w:p>
    <w:p w14:paraId="3CDD09FB" w14:textId="77777777" w:rsidR="007E3529" w:rsidRPr="005B5460" w:rsidRDefault="007E3529" w:rsidP="007E3529">
      <w:pPr>
        <w:spacing w:line="480" w:lineRule="auto"/>
        <w:rPr>
          <w:rFonts w:ascii="Times New Roman" w:hAnsi="Times New Roman" w:cs="Times New Roman"/>
          <w:i/>
          <w:iCs/>
        </w:rPr>
      </w:pPr>
      <w:r w:rsidRPr="005B5460">
        <w:rPr>
          <w:rFonts w:ascii="Times New Roman" w:hAnsi="Times New Roman" w:cs="Times New Roman"/>
          <w:i/>
          <w:iCs/>
        </w:rPr>
        <w:t>Quality of Life</w:t>
      </w:r>
    </w:p>
    <w:p w14:paraId="1FFCF6BE" w14:textId="4CE78860" w:rsidR="003E0E68" w:rsidRPr="005B5460" w:rsidRDefault="007E3529" w:rsidP="00CA4D8A">
      <w:pPr>
        <w:spacing w:line="480" w:lineRule="auto"/>
        <w:rPr>
          <w:rFonts w:ascii="Times New Roman" w:hAnsi="Times New Roman" w:cs="Times New Roman"/>
        </w:rPr>
      </w:pPr>
      <w:r w:rsidRPr="005B5460">
        <w:rPr>
          <w:rFonts w:ascii="Times New Roman" w:hAnsi="Times New Roman" w:cs="Times New Roman"/>
        </w:rPr>
        <w:t>Quality of life</w:t>
      </w:r>
      <w:r w:rsidR="00BF05EE" w:rsidRPr="005B5460">
        <w:rPr>
          <w:rFonts w:ascii="Times New Roman" w:hAnsi="Times New Roman" w:cs="Times New Roman"/>
        </w:rPr>
        <w:t xml:space="preserve"> (QoL)</w:t>
      </w:r>
      <w:r w:rsidRPr="005B5460">
        <w:rPr>
          <w:rFonts w:ascii="Times New Roman" w:hAnsi="Times New Roman" w:cs="Times New Roman"/>
        </w:rPr>
        <w:t xml:space="preserve"> encompasses a wide range of interrelated aspects that impact satisfaction and well-being </w:t>
      </w:r>
      <w:r w:rsidR="000938AD" w:rsidRPr="005B5460">
        <w:rPr>
          <w:rFonts w:ascii="Times New Roman" w:hAnsi="Times New Roman" w:cs="Times New Roman"/>
        </w:rPr>
        <w:fldChar w:fldCharType="begin" w:fldLock="1"/>
      </w:r>
      <w:r w:rsidR="005F4DC8" w:rsidRPr="005B5460">
        <w:rPr>
          <w:rFonts w:ascii="Times New Roman" w:hAnsi="Times New Roman" w:cs="Times New Roman"/>
        </w:rPr>
        <w:instrText>ADDIN CSL_CITATION {"citationItems":[{"id":"ITEM-1","itemData":{"DOI":"10.1046/j.1365-2648.1993.18010032.x","ISSN":"0309-2402 (Print)","PMID":"8429165","abstract":"Quality of life (QOL) is a phrase which was first used shortly after the Second  World War and has, since then, been overused and infrequently defined. A concept analysis of QOL is presented to clarify the concept for further use. The process for concept analysis developed by Walker &amp; Avant is employed. Quality of life is found to be very complex, and it is hoped that this analysis will stimulate thought and further nursing research into what QOL means in the health care context.","author":[{"dropping-particle":"","family":"Meeberg","given":"G A","non-dropping-particle":"","parse-names":false,"suffix":""}],"container-title":"Journal of advanced nursing","id":"ITEM-1","issue":"1","issued":{"date-parts":[["1993","1"]]},"language":"eng","page":"32-38","publisher-place":"England","title":"Quality of life: a concept analysis.","type":"article-journal","volume":"18"},"uris":["http://www.mendeley.com/documents/?uuid=62743502-19f3-498a-bcaf-93f7153e82ec"]}],"mendeley":{"formattedCitation":"(49)","plainTextFormattedCitation":"(49)","previouslyFormattedCitation":"(49)"},"properties":{"noteIndex":0},"schema":"https://github.com/citation-style-language/schema/raw/master/csl-citation.json"}</w:instrText>
      </w:r>
      <w:r w:rsidR="000938AD" w:rsidRPr="005B5460">
        <w:rPr>
          <w:rFonts w:ascii="Times New Roman" w:hAnsi="Times New Roman" w:cs="Times New Roman"/>
        </w:rPr>
        <w:fldChar w:fldCharType="separate"/>
      </w:r>
      <w:r w:rsidR="005F4DC8" w:rsidRPr="005B5460">
        <w:rPr>
          <w:rFonts w:ascii="Times New Roman" w:hAnsi="Times New Roman" w:cs="Times New Roman"/>
          <w:noProof/>
        </w:rPr>
        <w:t>(49)</w:t>
      </w:r>
      <w:r w:rsidR="000938AD" w:rsidRPr="005B5460">
        <w:rPr>
          <w:rFonts w:ascii="Times New Roman" w:hAnsi="Times New Roman" w:cs="Times New Roman"/>
        </w:rPr>
        <w:fldChar w:fldCharType="end"/>
      </w:r>
      <w:r w:rsidRPr="005B5460">
        <w:rPr>
          <w:rFonts w:ascii="Times New Roman" w:hAnsi="Times New Roman" w:cs="Times New Roman"/>
        </w:rPr>
        <w:t xml:space="preserve">. </w:t>
      </w:r>
      <w:r w:rsidR="003E2192" w:rsidRPr="005B5460">
        <w:rPr>
          <w:rFonts w:ascii="Times New Roman" w:hAnsi="Times New Roman" w:cs="Times New Roman"/>
        </w:rPr>
        <w:t>In s</w:t>
      </w:r>
      <w:r w:rsidR="003E0E68" w:rsidRPr="005B5460">
        <w:rPr>
          <w:rFonts w:ascii="Times New Roman" w:hAnsi="Times New Roman" w:cs="Times New Roman"/>
        </w:rPr>
        <w:t>oft tissue and bone cancer patients in particular</w:t>
      </w:r>
      <w:r w:rsidR="003E2192" w:rsidRPr="005B5460">
        <w:rPr>
          <w:rFonts w:ascii="Times New Roman" w:hAnsi="Times New Roman" w:cs="Times New Roman"/>
        </w:rPr>
        <w:t xml:space="preserve">, QoL aspects </w:t>
      </w:r>
      <w:r w:rsidR="003E0E68" w:rsidRPr="005B5460">
        <w:rPr>
          <w:rFonts w:ascii="Times New Roman" w:hAnsi="Times New Roman" w:cs="Times New Roman"/>
        </w:rPr>
        <w:t xml:space="preserve">are considered difficult to assess due to </w:t>
      </w:r>
      <w:proofErr w:type="spellStart"/>
      <w:r w:rsidR="003E0E68" w:rsidRPr="005B5460">
        <w:rPr>
          <w:rFonts w:ascii="Times New Roman" w:hAnsi="Times New Roman" w:cs="Times New Roman"/>
        </w:rPr>
        <w:t>heterogenosity</w:t>
      </w:r>
      <w:proofErr w:type="spellEnd"/>
      <w:r w:rsidR="003E0E68" w:rsidRPr="005B5460">
        <w:rPr>
          <w:rFonts w:ascii="Times New Roman" w:hAnsi="Times New Roman" w:cs="Times New Roman"/>
        </w:rPr>
        <w:t xml:space="preserve"> of the population.</w:t>
      </w:r>
      <w:r w:rsidR="009C556C" w:rsidRPr="005B5460">
        <w:rPr>
          <w:rFonts w:ascii="Times New Roman" w:hAnsi="Times New Roman" w:cs="Times New Roman"/>
        </w:rPr>
        <w:t xml:space="preserve"> McDonough et el </w:t>
      </w:r>
      <w:r w:rsidR="00186368" w:rsidRPr="005B5460">
        <w:rPr>
          <w:rFonts w:ascii="Times New Roman" w:hAnsi="Times New Roman" w:cs="Times New Roman"/>
        </w:rPr>
        <w:fldChar w:fldCharType="begin" w:fldLock="1"/>
      </w:r>
      <w:r w:rsidR="005F4DC8" w:rsidRPr="005B5460">
        <w:rPr>
          <w:rFonts w:ascii="Times New Roman" w:hAnsi="Times New Roman" w:cs="Times New Roman"/>
        </w:rPr>
        <w:instrText>ADDIN CSL_CITATION {"citationItems":[{"id":"ITEM-1","itemData":{"DOI":"https://doi.org/10.1002/pon.5007","ISSN":"1057-9249","abstract":"Abstract Objective Health-related quality of life (HRQoL), psychosocial distress, and unmet health needs are important patient-reported outcomes (PROs) for patients with sarcoma treated with curative intent. Syntheses of data on these PROs in patients with sarcoma are limited. Methods A systematic review of peer-reviewed literature published between 2007 and 2017 was conducted using five databases, guided by the PRISMA and Cochrane reporting guidelines. Results Of 7240 articles identified, 31 were included in this review. Compared with healthy individuals, patients with sarcoma frequently scored lower in physical and psychological HRQoL domains and experienced higher rates of self-image issues, depression, and suicide. However, outcomes for patients with sarcoma were relatively comparable to those with other malignancies. Anxiety symptoms were more common in the diagnosis phase, while depressive symptoms were more common in the treatment phase. Patients who are older, female, and socially isolated often reported lower HRQoL. As a sarcoma-specific HRQoL instrument is not available, and all studies have used generic instruments, key issues may have been omitted. Conclusion There are few studies reporting data for HRQoL, psychosocial issues, or unmet health needs in this population. A sarcoma-specific HRQoL instrument is needed to accurately describe outcomes in this population. There is a need for further qualitative research to conceptualise the HRQoL issues relevant to this population, against which to map existing HRQoL instruments and guide adaptation or creation of a new instrument.","author":[{"dropping-particle":"","family":"McDonough","given":"Joshua","non-dropping-particle":"","parse-names":false,"suffix":""},{"dropping-particle":"","family":"Eliott","given":"Jaklin","non-dropping-particle":"","parse-names":false,"suffix":""},{"dropping-particle":"","family":"Neuhaus","given":"Susan","non-dropping-particle":"","parse-names":false,"suffix":""},{"dropping-particle":"","family":"Reid","given":"Jessica","non-dropping-particle":"","parse-names":false,"suffix":""},{"dropping-particle":"","family":"Butow","given":"Phyllis","non-dropping-particle":"","parse-names":false,"suffix":""}],"container-title":"Psycho-Oncology","id":"ITEM-1","issue":"4","issued":{"date-parts":[["2019","4","1"]]},"note":"https://doi.org/10.1002/pon.5007","page":"653-664","publisher":"John Wiley &amp; Sons, Ltd","title":"Health-related quality of life, psychosocial functioning, and unmet health needs in patients with sarcoma: A systematic review","type":"article-journal","volume":"28"},"uris":["http://www.mendeley.com/documents/?uuid=0e02ac19-71d4-499e-8d0c-b159bf4b50a9"]}],"mendeley":{"formattedCitation":"(50)","plainTextFormattedCitation":"(50)","previouslyFormattedCitation":"(50)"},"properties":{"noteIndex":0},"schema":"https://github.com/citation-style-language/schema/raw/master/csl-citation.json"}</w:instrText>
      </w:r>
      <w:r w:rsidR="00186368" w:rsidRPr="005B5460">
        <w:rPr>
          <w:rFonts w:ascii="Times New Roman" w:hAnsi="Times New Roman" w:cs="Times New Roman"/>
        </w:rPr>
        <w:fldChar w:fldCharType="separate"/>
      </w:r>
      <w:r w:rsidR="005F4DC8" w:rsidRPr="005B5460">
        <w:rPr>
          <w:rFonts w:ascii="Times New Roman" w:hAnsi="Times New Roman" w:cs="Times New Roman"/>
          <w:noProof/>
        </w:rPr>
        <w:t>(50)</w:t>
      </w:r>
      <w:r w:rsidR="00186368" w:rsidRPr="005B5460">
        <w:rPr>
          <w:rFonts w:ascii="Times New Roman" w:hAnsi="Times New Roman" w:cs="Times New Roman"/>
        </w:rPr>
        <w:fldChar w:fldCharType="end"/>
      </w:r>
      <w:r w:rsidR="004933BB" w:rsidRPr="005B5460">
        <w:rPr>
          <w:rFonts w:ascii="Times New Roman" w:hAnsi="Times New Roman" w:cs="Times New Roman"/>
        </w:rPr>
        <w:t xml:space="preserve"> </w:t>
      </w:r>
      <w:r w:rsidR="00CA4D8A" w:rsidRPr="005B5460">
        <w:rPr>
          <w:rFonts w:ascii="Times New Roman" w:hAnsi="Times New Roman" w:cs="Times New Roman"/>
        </w:rPr>
        <w:t xml:space="preserve">reported lower Health-Related QoL of Sarcoma patients when compared to healthy individuals in physical and psychosocial domains, despite the general lower </w:t>
      </w:r>
      <w:proofErr w:type="spellStart"/>
      <w:r w:rsidR="00CA4D8A" w:rsidRPr="005B5460">
        <w:rPr>
          <w:rFonts w:ascii="Times New Roman" w:hAnsi="Times New Roman" w:cs="Times New Roman"/>
        </w:rPr>
        <w:t>outcme</w:t>
      </w:r>
      <w:proofErr w:type="spellEnd"/>
      <w:r w:rsidR="00CA4D8A" w:rsidRPr="005B5460">
        <w:rPr>
          <w:rFonts w:ascii="Times New Roman" w:hAnsi="Times New Roman" w:cs="Times New Roman"/>
        </w:rPr>
        <w:t xml:space="preserve"> measures of this population in the different disease stages, some outcomes were found specifically higher in these patients such as fatigue, insomnia, loss of appetite and social interaction.</w:t>
      </w:r>
    </w:p>
    <w:p w14:paraId="06D4BB6D" w14:textId="63D35A4E" w:rsidR="007E3529" w:rsidRPr="005B5460" w:rsidRDefault="00CA4D8A" w:rsidP="00442A6F">
      <w:pPr>
        <w:spacing w:line="480" w:lineRule="auto"/>
        <w:rPr>
          <w:rFonts w:ascii="Times New Roman" w:hAnsi="Times New Roman" w:cs="Times New Roman"/>
        </w:rPr>
      </w:pPr>
      <w:r w:rsidRPr="005B5460">
        <w:rPr>
          <w:rFonts w:ascii="Times New Roman" w:hAnsi="Times New Roman" w:cs="Times New Roman"/>
        </w:rPr>
        <w:t xml:space="preserve">In this review, patient-reported </w:t>
      </w:r>
      <w:r w:rsidR="007E3529" w:rsidRPr="005B5460">
        <w:rPr>
          <w:rFonts w:ascii="Times New Roman" w:hAnsi="Times New Roman" w:cs="Times New Roman"/>
        </w:rPr>
        <w:t xml:space="preserve">outcome measures were used </w:t>
      </w:r>
      <w:r w:rsidR="00B43482" w:rsidRPr="005B5460">
        <w:rPr>
          <w:rFonts w:ascii="Times New Roman" w:hAnsi="Times New Roman" w:cs="Times New Roman"/>
        </w:rPr>
        <w:t xml:space="preserve">in 6 papers </w:t>
      </w:r>
      <w:r w:rsidR="007E3529" w:rsidRPr="005B5460">
        <w:rPr>
          <w:rFonts w:ascii="Times New Roman" w:hAnsi="Times New Roman" w:cs="Times New Roman"/>
        </w:rPr>
        <w:t>to assess the QoL of participants and its correlation with impairment and disability</w:t>
      </w:r>
      <w:r w:rsidR="00B43482" w:rsidRPr="005B5460">
        <w:rPr>
          <w:rFonts w:ascii="Times New Roman" w:hAnsi="Times New Roman" w:cs="Times New Roman"/>
        </w:rPr>
        <w:t xml:space="preserve"> </w:t>
      </w:r>
      <w:r w:rsidR="006D7C83" w:rsidRPr="005B5460">
        <w:rPr>
          <w:rFonts w:ascii="Times New Roman" w:hAnsi="Times New Roman" w:cs="Times New Roman"/>
        </w:rPr>
        <w:fldChar w:fldCharType="begin" w:fldLock="1"/>
      </w:r>
      <w:r w:rsidR="002373EB" w:rsidRPr="005B5460">
        <w:rPr>
          <w:rFonts w:ascii="Times New Roman" w:hAnsi="Times New Roman" w:cs="Times New Roman"/>
        </w:rPr>
        <w:instrText>ADDIN CSL_CITATION {"citationItems":[{"id":"ITEM-1","itemData":{"DOI":"10.1002/jso.24618","ISSN":"1096-9098 (Electronic)","PMID":"28384378","abstract":"BACKGROUND AND OBJECTIVES: In a previous conducted study functional outcome of young  patients with bone sarcoma located around the knee was longitudinally evaluated during the first 2 years postoperatively. Functional outcome improved significantly over the first 2 years. The purpose of this descriptive study was to evaluate the functional outcome of these patients at long-term follow-up of 7 years. METHODS: Functional outcome was assessed with the TESS, MSTS, Baecke questionnaire, and three functional performance tests: time up and down stairs (TUDS), various walking activities (VWA), and the 6-min walking test (6MWT). Linear Mixed Model has been employed for the repeated measurements. RESULTS: Twenty patients of the original study (n = 44) participated in the current study. Fifteen limb-salvage and five ablative surgery patients, median follow-up 7.4 years (6.8-8.0) (CI 95%), mean age 22.3 years (18.2-31.6). Between 2 and 7 years after surgery, 8 limb-salvage patients (53%) encountered surgery related complications. Questionnaires and functional performance tests showed no significant difference in functional outcome between 2 years and 7 years after surgery (P &lt; 0.05). CONCLUSIONS: Between 2 years and follow-up at average 7 years after surgery no further improvements were noticed at young patients with a bone sarcoma located around the knee.","author":[{"dropping-particle":"","family":"Egmond-van Dam","given":"Janneke C","non-dropping-particle":"van","parse-names":false,"suffix":""},{"dropping-particle":"","family":"Bekkering","given":"W Peter","non-dropping-particle":"","parse-names":false,"suffix":""},{"dropping-particle":"","family":"Bramer","given":"Jos A M","non-dropping-particle":"","parse-names":false,"suffix":""},{"dropping-particle":"","family":"Beishuizen","given":"Auke","non-dropping-particle":"","parse-names":false,"suffix":""},{"dropping-particle":"","family":"Fiocco","given":"Marta","non-dropping-particle":"","parse-names":false,"suffix":""},{"dropping-particle":"","family":"Dijkstra","given":"P D Sander","non-dropping-particle":"","parse-names":false,"suffix":""}],"container-title":"Journal of surgical oncology","id":"ITEM-1","issue":"8","issued":{"date-parts":[["2017","6"]]},"language":"eng","page":"1028-1032","title":"Functional outcome after surgery in patients with bone sarcoma around the knee;  results from a long-term prospective study.","type":"article-journal","volume":"115"},"uris":["http://www.mendeley.com/documents/?uuid=d0dd1dc4-c702-4d78-bb3f-fc5899a688ed"]},{"id":"ITEM-2","itemData":{"DOI":"10.3892/etm.2014.1744","ISSN":"1792-0981","abstract":"In this study, the effects of surgical removal of malignant metaphyseal bone tumors with epiphysis preservation and knee arthroplasty were analyzed. A total of 15 patients with malignant metaphyseal bone tumors were investigated. Six of these patients underwent epiphyseal preservation surgery with preoperative physeal distraction, termed the physeal distraction (PD) group. Nine patients underwent resection of the knee joint, combined with metal prosthesis transfer, termed the knee arthroplasty (KA) group. Tumor control, limb length discrepancy, range of movement (ROM) of the knee and functional outcome of lower limb [Musculoskeletal Tumor Society (MSTS) score and the Toronto extremity salvage score (TESS)] were assessed for these two groups. All 15 patients were followed-up after the surgery. One patient in the PD group was found to have lung tumor metastasis; however, no local tumor recurrence was found. In the KA group, local tumor recurrence was found in one patient, and lung metastases were observed in two cases postoperatively. The limb length discrepancy in patients of the PD group was 2.58±0.27 cm, which was significantly less compared with that in patients in the KA group (4.01±0.13 cm; P&lt;0.05). In addition, the lower limb knee ROM in patients in the PD group was 127.70±14.63°, which was increased compared to that in patients in the KA group (105.70±15.48°; P&lt;0.05). The mean MSTS score was 86.67% with a mean TESS of 82.33% in patients from the PD group, which showed no significant difference compared with the respective scores for patients in the KA group (P&gt;0.05). Therefore, epiphyseal sparing limb-saving surgeries should be considered for the treatment of malignant metaphyseal bone tumors in children, when certain indications are satisfied.","author":[{"dropping-particle":"","family":"Zhang","given":"Peng","non-dropping-particle":"","parse-names":false,"suffix":""},{"dropping-particle":"","family":"Feng","given":"Feifei","non-dropping-particle":"","parse-names":false,"suffix":""},{"dropping-particle":"","family":"Cai","given":"Qiqing","non-dropping-particle":"","parse-names":false,"suffix":""},{"dropping-particle":"","family":"Yao","given":"Weitao","non-dropping-particle":"","parse-names":false,"suffix":""},{"dropping-particle":"","family":"Gao","given":"Songtao","non-dropping-particle":"","parse-names":false,"suffix":""},{"dropping-particle":"","family":"Wang","given":"Jiaqiang","non-dropping-particle":"","parse-names":false,"suffix":""},{"dropping-particle":"","family":"Wang","given":"Xin","non-dropping-particle":"","parse-names":false,"suffix":""}],"container-title":"Experimental and therapeutic medicine","edition":"2014/05/28","id":"ITEM-2","issue":"2","issued":{"date-parts":[["2014","8"]]},"language":"eng","page":"567-572","publisher":"D.A. Spandidos","title":"Effects of metaphyseal bone tumor removal with preservation of the epiphysis and knee arthroplasty","type":"article-journal","volume":"8"},"uris":["http://www.mendeley.com/documents/?uuid=d539b6a2-627a-467e-86c8-4c9e75ef76c0"]},{"id":"ITEM-3","itemData":{"DOI":"10.1007/s11999-012-2271-1","ISSN":"1528-1132 (Electronic)","PMID":"22302658","abstract":"INTRODUCTION: Patients with aggressive lower extremity musculoskeletal tumors may be  candidates for either above-knee amputation or limb-salvage surgery. However, the subjective and objective benefits of limb-salvage surgery compared with amputation are not fully clear. QUESTIONS/PURPOSES: We therefore compared functional status and quality of life for patients treated with above-knee amputation versus limb-salvage surgery. METHODS: We reviewed 20 of 51 patients aged 15 years and older treated with above-knee amputation or limb-salvage surgery for aggressive musculoskeletal tumors around the knee between 1994 and 2004 as a retrospective cohort study. At last followup we obtained the Physiological Cost Index, the Reintegration to Normal Living Index, SF-36, and the Toronto Extremity Salvage Score questionnaires. The minimum followup was 12 months (median, 56 months; range, 12-108 months). RESULTS: Compared with patients having above-knee amputation, patients undergoing limb-salvage surgery had superior Physiological Cost Index scores and Reintegration to Normal Living Index. The Toronto Extremity Salvage scores and SF-36 scores were similar in the two groups. CONCLUSION: These data suggest that limb-salvage surgery offers better gait efficiency and return to normal living compared with above-knee amputation, but does not improve the patient's perception of quality of life.","author":[{"dropping-particle":"","family":"Malek","given":"Farbod","non-dropping-particle":"","parse-names":false,"suffix":""},{"dropping-particle":"","family":"Somerson","given":"Jeremy S","non-dropping-particle":"","parse-names":false,"suffix":""},{"dropping-particle":"","family":"Mitchel","given":"Shannon","non-dropping-particle":"","parse-names":false,"suffix":""},{"dropping-particle":"","family":"Williams","given":"Ronald P","non-dropping-particle":"","parse-names":false,"suffix":""}],"container-title":"Clinical orthopaedics and related research","id":"ITEM-3","issue":"7","issued":{"date-parts":[["2012","7"]]},"language":"eng","page":"2000-2006","title":"Does limb-salvage surgery offer patients better quality of life and functional  capacity than amputation?","type":"article-journal","volume":"470"},"uris":["http://www.mendeley.com/documents/?uuid=b18c2b7e-1ca3-4eef-8e44-d2b03c031b23"]},{"id":"ITEM-4","itemData":{"DOI":"10.1016/j.knee.2009.02.006","ISSN":"1873-5800 (Electronic)","PMID":"19269182","abstract":"Bone sarcomas are the fourth most common cancer in individuals under 25 years. Limb  salvage procedures are popular for the treatment of osteosarcomas as they have functional and physiological benefits over traditional amputative procedures. The objective of this study was to apply disease specific measures to a group of intra-articular knee osteosarcoma patients and to evaluate structural and treatment variables predictive of the functional outcome scores. Twenty patients (10 female, 10 male) treated with tumour resection and endoprosthetic knee arthroplasty took part in the study. The Musculoskeletal Tumour Society (MSTS) rating scale and the Toronto Extremity Salvage Score (TESS) were used to assess impairment and disability respectively. Impairment was recorded as 83% and disability was recorded as 86% suggesting moderate to high function following limb salvage surgery. Task difficulty was shown to increase for activities requiring large knee flexion angles, presumably due to increased patellofemoral forces. Bivariate correlations revealed that loss of quadriceps musculature, knee extension strength and knee flexion range of motion were parameters moderately associated with the assessment instruments. ANOVA revealed no significant differences in impairment (P=0.962) or disability (P=0.411) between the differing types of prostheses. In conclusion clinicians and therapists should emphasise restoration of post-surgical range of motion and strength in order to enhance functional recovery.","author":[{"dropping-particle":"","family":"Carty","given":"Christopher P","non-dropping-particle":"","parse-names":false,"suffix":""},{"dropping-particle":"","family":"Dickinson","given":"Ian C","non-dropping-particle":"","parse-names":false,"suffix":""},{"dropping-particle":"","family":"Watts","given":"Mark C","non-dropping-particle":"","parse-names":false,"suffix":""},{"dropping-particle":"","family":"Crawford","given":"Ross W","non-dropping-particle":"","parse-names":false,"suffix":""},{"dropping-particle":"","family":"Steadman","given":"Peter","non-dropping-particle":"","parse-names":false,"suffix":""}],"container-title":"The Knee","id":"ITEM-4","issue":"5","issued":{"date-parts":[["2009","10"]]},"language":"eng","page":"405-408","publisher-place":"Netherlands","title":"Impairment and disability following limb salvage procedures for bone sarcoma.","type":"article-journal","volume":"16"},"uris":["http://www.mendeley.com/documents/?uuid=f0acb2b8-fdb8-4093-97e7-40e9515dd570"]},{"id":"ITEM-5","itemData":{"DOI":"10.1002/jso.21828","ISSN":"1096-9098 (Electronic)","PMID":"21337557","abstract":"BACKGROUND: Aim of our study was to compare functional ability and physical activity  in children and young adults who underwent surgery for a malignant bone tumor that was located around the knee. METHODS: This cross-sectional study included 82 patients aged 8-25 years with a follow-up of 1-5 years. The functional ability and the amount of physical activity were evaluated by means of questionnaires and objective instruments. RESULTS: Thirty nine patients underwent limb-salvage surgery (24 allograft and 15 endoprosthesis) and 43 underwent ablative surgery (27 amputations and 16 rotationplasty). Patients in the limb-salvage group were significantly older at the time of surgery than patients in the ablative group (mean age 15.2 years vs. 13.2 years, P = 0.03). Apart from significantly better scores for the timed up and down stairs and various walking activities in the limb-salvage group as compared to the ablative surgery group, no significant differences were seen for any of the outcome measures. CONCLUSIONS: One to 5 years after limb-salvage and ablative surgery due to a malignant bone tumor children and young adults do, apart from a few activities involving walking and climbing stairs, not differ with respect to overall functional ability and physical activity.","author":[{"dropping-particle":"","family":"Bekkering","given":"W Peter","non-dropping-particle":"","parse-names":false,"suffix":""},{"dropping-particle":"","family":"Vliet Vlieland","given":"Theodora P M","non-dropping-particle":"","parse-names":false,"suffix":""},{"dropping-particle":"","family":"Koopman","given":"Hendrik M","non-dropping-particle":"","parse-names":false,"suffix":""},{"dropping-particle":"","family":"Schaap","given":"Gerard R","non-dropping-particle":"","parse-names":false,"suffix":""},{"dropping-particle":"","family":"Bart Schreuder","given":"H W","non-dropping-particle":"","parse-names":false,"suffix":""},{"dropping-particle":"","family":"Beishuizen","given":"Auke","non-dropping-particle":"","parse-names":false,"suffix":""},{"dropping-particle":"","family":"Jutte","given":"Paul C","non-dropping-particle":"","parse-names":false,"suffix":""},{"dropping-particle":"","family":"Hoogerbrugge","given":"Peter M","non-dropping-particle":"","parse-names":false,"suffix":""},{"dropping-particle":"","family":"Anninga","given":"Jacob K","non-dropping-particle":"","parse-names":false,"suffix":""},{"dropping-particle":"","family":"Nelissen","given":"Rob G H H","non-dropping-particle":"","parse-names":false,"suffix":""},{"dropping-particle":"","family":"Taminiau","given":"Antonie H M","non-dropping-particle":"","parse-names":false,"suffix":""}],"container-title":"Journal of surgical oncology","id":"ITEM-5","issue":"3","issued":{"date-parts":[["2011","3"]]},"language":"eng","page":"276-282","publisher-place":"United States","title":"Functional ability and physical activity in children and young adults after  limb-salvage or ablative surgery for lower extremity bone tumors.","type":"article-journal","volume":"103"},"uris":["http://www.mendeley.com/documents/?uuid=46086f6e-f63d-4ad9-82d8-9ecafd272161"]},{"id":"ITEM-6","itemData":{"DOI":"10.1007/s00167-018-5110-4","ISSN":"1433-7347 (Electronic)","PMID":"30132048","abstract":"PURPOSE: To compare the outcomes of allograft-prosthesis composite for  reconstruction after malignant tumors at the distal femur and proximal tibia. METHODS: Case-control study of 24 patients with distal femur tumor and 21 with proximal tibia tumor. Union of the allograft-host interface was assessed by the International Society of Limb Salvage criteria, and complications according Henderson. Functional outcome was evaluated by the Musculoskeletal Tumor Society (MSTS) score, Western Ontario and McMaster Universities (WOMAC) score, and pain by a visual analog scale. RESULTS: The median follow-up in the femoral group was 11.4 (range 2.3-25.0) years, and 10.1 (range 2.2-25.0) in tibial group. Incorporation of the allograft was successful in more than 90% in both groups. Tumor location was not significant predictor for allograft failure in multivariate analysis. Aseptic prosthesis loosening occurred in two patients in either group, and another patient in the tibial group had a breakage of the tibial insert. Excluding local recurrences and amputations, the prosthesis survival at 10 years was 94.1% in the femoral group, and 83.3% in the tibial group (n.s.). For the patients with preserved limb, the median MSTS score was 23.6 in the femoral group and 22.8 in tibial group (n.s.). Likewise, there were no significant differences in median WOMAC score (n.s.) or VAS pain (n.s.). CONCLUSIONS: Allograft-prosthesis composite is an effective procedure for distal femur tumors related to the graft, prosthesis survival, and functional outcomes. The results are comparable to those for proximal tibial tumors. LEVEL OF EVIDENCE: Therapeutic study, Level III.","author":[{"dropping-particle":"","family":"Puerta-GarciaSandoval","given":"Pablo","non-dropping-particle":"","parse-names":false,"suffix":""},{"dropping-particle":"","family":"Lizaur-Utrilla","given":"Alejandro","non-dropping-particle":"","parse-names":false,"suffix":""},{"dropping-particle":"","family":"Trigueros-Rentero","given":"Maria A","non-dropping-particle":"","parse-names":false,"suffix":""},{"dropping-particle":"","family":"Lopez-Prats","given":"Fernando A","non-dropping-particle":"","parse-names":false,"suffix":""}],"container-title":"Knee surgery, sports traumatology, arthroscopy : official journal of the ESSKA","id":"ITEM-6","issue":"7","issued":{"date-parts":[["2019","7"]]},"language":"eng","page":"2218-2225","publisher-place":"Germany","title":"Mid- to long-term results of allograft-prosthesis composite reconstruction after  removal of a distal femoral malignant tumor are comparable to those of the proximal tibia.","type":"article-journal","volume":"27"},"uris":["http://www.mendeley.com/documents/?uuid=621c6867-0acc-4592-b3c3-292715ef19c3"]}],"mendeley":{"formattedCitation":"(17–21,37)","plainTextFormattedCitation":"(17–21,37)","previouslyFormattedCitation":"(17–21,37)"},"properties":{"noteIndex":0},"schema":"https://github.com/citation-style-language/schema/raw/master/csl-citation.json"}</w:instrText>
      </w:r>
      <w:r w:rsidR="006D7C83" w:rsidRPr="005B5460">
        <w:rPr>
          <w:rFonts w:ascii="Times New Roman" w:hAnsi="Times New Roman" w:cs="Times New Roman"/>
        </w:rPr>
        <w:fldChar w:fldCharType="separate"/>
      </w:r>
      <w:r w:rsidR="006D7C83" w:rsidRPr="005B5460">
        <w:rPr>
          <w:rFonts w:ascii="Times New Roman" w:hAnsi="Times New Roman" w:cs="Times New Roman"/>
          <w:noProof/>
        </w:rPr>
        <w:t>(17–21,37)</w:t>
      </w:r>
      <w:r w:rsidR="006D7C83" w:rsidRPr="005B5460">
        <w:rPr>
          <w:rFonts w:ascii="Times New Roman" w:hAnsi="Times New Roman" w:cs="Times New Roman"/>
        </w:rPr>
        <w:fldChar w:fldCharType="end"/>
      </w:r>
      <w:r w:rsidR="007E3529" w:rsidRPr="005B5460">
        <w:rPr>
          <w:rFonts w:ascii="Times New Roman" w:hAnsi="Times New Roman" w:cs="Times New Roman"/>
        </w:rPr>
        <w:t xml:space="preserve">. </w:t>
      </w:r>
      <w:r w:rsidR="00DC52D1" w:rsidRPr="005B5460">
        <w:rPr>
          <w:rFonts w:ascii="Times New Roman" w:hAnsi="Times New Roman" w:cs="Times New Roman"/>
        </w:rPr>
        <w:t xml:space="preserve">The Toronto Extremity Salvage </w:t>
      </w:r>
      <w:r w:rsidR="00872A8D" w:rsidRPr="005B5460">
        <w:rPr>
          <w:rFonts w:ascii="Times New Roman" w:hAnsi="Times New Roman" w:cs="Times New Roman"/>
        </w:rPr>
        <w:t xml:space="preserve">Score (TESS) </w:t>
      </w:r>
      <w:r w:rsidR="007E3529" w:rsidRPr="005B5460">
        <w:rPr>
          <w:rFonts w:ascii="Times New Roman" w:hAnsi="Times New Roman" w:cs="Times New Roman"/>
        </w:rPr>
        <w:t xml:space="preserve">was used in five out of the 12 reviewed papers </w:t>
      </w:r>
      <w:r w:rsidR="002373EB" w:rsidRPr="005B5460">
        <w:rPr>
          <w:rFonts w:ascii="Times New Roman" w:hAnsi="Times New Roman" w:cs="Times New Roman"/>
        </w:rPr>
        <w:fldChar w:fldCharType="begin" w:fldLock="1"/>
      </w:r>
      <w:r w:rsidR="00DD66AF" w:rsidRPr="005B5460">
        <w:rPr>
          <w:rFonts w:ascii="Times New Roman" w:hAnsi="Times New Roman" w:cs="Times New Roman"/>
        </w:rPr>
        <w:instrText>ADDIN CSL_CITATION {"citationItems":[{"id":"ITEM-1","itemData":{"DOI":"10.1002/jso.24618","ISSN":"1096-9098 (Electronic)","PMID":"28384378","abstract":"BACKGROUND AND OBJECTIVES: In a previous conducted study functional outcome of young  patients with bone sarcoma located around the knee was longitudinally evaluated during the first 2 years postoperatively. Functional outcome improved significantly over the first 2 years. The purpose of this descriptive study was to evaluate the functional outcome of these patients at long-term follow-up of 7 years. METHODS: Functional outcome was assessed with the TESS, MSTS, Baecke questionnaire, and three functional performance tests: time up and down stairs (TUDS), various walking activities (VWA), and the 6-min walking test (6MWT). Linear Mixed Model has been employed for the repeated measurements. RESULTS: Twenty patients of the original study (n = 44) participated in the current study. Fifteen limb-salvage and five ablative surgery patients, median follow-up 7.4 years (6.8-8.0) (CI 95%), mean age 22.3 years (18.2-31.6). Between 2 and 7 years after surgery, 8 limb-salvage patients (53%) encountered surgery related complications. Questionnaires and functional performance tests showed no significant difference in functional outcome between 2 years and 7 years after surgery (P &lt; 0.05). CONCLUSIONS: Between 2 years and follow-up at average 7 years after surgery no further improvements were noticed at young patients with a bone sarcoma located around the knee.","author":[{"dropping-particle":"","family":"Egmond-van Dam","given":"Janneke C","non-dropping-particle":"van","parse-names":false,"suffix":""},{"dropping-particle":"","family":"Bekkering","given":"W Peter","non-dropping-particle":"","parse-names":false,"suffix":""},{"dropping-particle":"","family":"Bramer","given":"Jos A M","non-dropping-particle":"","parse-names":false,"suffix":""},{"dropping-particle":"","family":"Beishuizen","given":"Auke","non-dropping-particle":"","parse-names":false,"suffix":""},{"dropping-particle":"","family":"Fiocco","given":"Marta","non-dropping-particle":"","parse-names":false,"suffix":""},{"dropping-particle":"","family":"Dijkstra","given":"P D Sander","non-dropping-particle":"","parse-names":false,"suffix":""}],"container-title":"Journal of surgical oncology","id":"ITEM-1","issue":"8","issued":{"date-parts":[["2017","6"]]},"language":"eng","page":"1028-1032","title":"Functional outcome after surgery in patients with bone sarcoma around the knee;  results from a long-term prospective study.","type":"article-journal","volume":"115"},"uris":["http://www.mendeley.com/documents/?uuid=d0dd1dc4-c702-4d78-bb3f-fc5899a688ed"]},{"id":"ITEM-2","itemData":{"DOI":"10.3892/etm.2014.1744","ISSN":"1792-0981","abstract":"In this study, the effects of surgical removal of malignant metaphyseal bone tumors with epiphysis preservation and knee arthroplasty were analyzed. A total of 15 patients with malignant metaphyseal bone tumors were investigated. Six of these patients underwent epiphyseal preservation surgery with preoperative physeal distraction, termed the physeal distraction (PD) group. Nine patients underwent resection of the knee joint, combined with metal prosthesis transfer, termed the knee arthroplasty (KA) group. Tumor control, limb length discrepancy, range of movement (ROM) of the knee and functional outcome of lower limb [Musculoskeletal Tumor Society (MSTS) score and the Toronto extremity salvage score (TESS)] were assessed for these two groups. All 15 patients were followed-up after the surgery. One patient in the PD group was found to have lung tumor metastasis; however, no local tumor recurrence was found. In the KA group, local tumor recurrence was found in one patient, and lung metastases were observed in two cases postoperatively. The limb length discrepancy in patients of the PD group was 2.58±0.27 cm, which was significantly less compared with that in patients in the KA group (4.01±0.13 cm; P&lt;0.05). In addition, the lower limb knee ROM in patients in the PD group was 127.70±14.63°, which was increased compared to that in patients in the KA group (105.70±15.48°; P&lt;0.05). The mean MSTS score was 86.67% with a mean TESS of 82.33% in patients from the PD group, which showed no significant difference compared with the respective scores for patients in the KA group (P&gt;0.05). Therefore, epiphyseal sparing limb-saving surgeries should be considered for the treatment of malignant metaphyseal bone tumors in children, when certain indications are satisfied.","author":[{"dropping-particle":"","family":"Zhang","given":"Peng","non-dropping-particle":"","parse-names":false,"suffix":""},{"dropping-particle":"","family":"Feng","given":"Feifei","non-dropping-particle":"","parse-names":false,"suffix":""},{"dropping-particle":"","family":"Cai","given":"Qiqing","non-dropping-particle":"","parse-names":false,"suffix":""},{"dropping-particle":"","family":"Yao","given":"Weitao","non-dropping-particle":"","parse-names":false,"suffix":""},{"dropping-particle":"","family":"Gao","given":"Songtao","non-dropping-particle":"","parse-names":false,"suffix":""},{"dropping-particle":"","family":"Wang","given":"Jiaqiang","non-dropping-particle":"","parse-names":false,"suffix":""},{"dropping-particle":"","family":"Wang","given":"Xin","non-dropping-particle":"","parse-names":false,"suffix":""}],"container-title":"Experimental and therapeutic medicine","edition":"2014/05/28","id":"ITEM-2","issue":"2","issued":{"date-parts":[["2014","8"]]},"language":"eng","page":"567-572","publisher":"D.A. Spandidos","title":"Effects of metaphyseal bone tumor removal with preservation of the epiphysis and knee arthroplasty","type":"article-journal","volume":"8"},"uris":["http://www.mendeley.com/documents/?uuid=d539b6a2-627a-467e-86c8-4c9e75ef76c0"]},{"id":"ITEM-3","itemData":{"DOI":"10.1007/s11999-012-2271-1","ISSN":"1528-1132 (Electronic)","PMID":"22302658","abstract":"INTRODUCTION: Patients with aggressive lower extremity musculoskeletal tumors may be  candidates for either above-knee amputation or limb-salvage surgery. However, the subjective and objective benefits of limb-salvage surgery compared with amputation are not fully clear. QUESTIONS/PURPOSES: We therefore compared functional status and quality of life for patients treated with above-knee amputation versus limb-salvage surgery. METHODS: We reviewed 20 of 51 patients aged 15 years and older treated with above-knee amputation or limb-salvage surgery for aggressive musculoskeletal tumors around the knee between 1994 and 2004 as a retrospective cohort study. At last followup we obtained the Physiological Cost Index, the Reintegration to Normal Living Index, SF-36, and the Toronto Extremity Salvage Score questionnaires. The minimum followup was 12 months (median, 56 months; range, 12-108 months). RESULTS: Compared with patients having above-knee amputation, patients undergoing limb-salvage surgery had superior Physiological Cost Index scores and Reintegration to Normal Living Index. The Toronto Extremity Salvage scores and SF-36 scores were similar in the two groups. CONCLUSION: These data suggest that limb-salvage surgery offers better gait efficiency and return to normal living compared with above-knee amputation, but does not improve the patient's perception of quality of life.","author":[{"dropping-particle":"","family":"Malek","given":"Farbod","non-dropping-particle":"","parse-names":false,"suffix":""},{"dropping-particle":"","family":"Somerson","given":"Jeremy S","non-dropping-particle":"","parse-names":false,"suffix":""},{"dropping-particle":"","family":"Mitchel","given":"Shannon","non-dropping-particle":"","parse-names":false,"suffix":""},{"dropping-particle":"","family":"Williams","given":"Ronald P","non-dropping-particle":"","parse-names":false,"suffix":""}],"container-title":"Clinical orthopaedics and related research","id":"ITEM-3","issue":"7","issued":{"date-parts":[["2012","7"]]},"language":"eng","page":"2000-2006","title":"Does limb-salvage surgery offer patients better quality of life and functional  capacity than amputation?","type":"article-journal","volume":"470"},"uris":["http://www.mendeley.com/documents/?uuid=b18c2b7e-1ca3-4eef-8e44-d2b03c031b23"]},{"id":"ITEM-4","itemData":{"DOI":"10.1016/j.knee.2009.02.006","ISSN":"1873-5800 (Electronic)","PMID":"19269182","abstract":"Bone sarcomas are the fourth most common cancer in individuals under 25 years. Limb  salvage procedures are popular for the treatment of osteosarcomas as they have functional and physiological benefits over traditional amputative procedures. The objective of this study was to apply disease specific measures to a group of intra-articular knee osteosarcoma patients and to evaluate structural and treatment variables predictive of the functional outcome scores. Twenty patients (10 female, 10 male) treated with tumour resection and endoprosthetic knee arthroplasty took part in the study. The Musculoskeletal Tumour Society (MSTS) rating scale and the Toronto Extremity Salvage Score (TESS) were used to assess impairment and disability respectively. Impairment was recorded as 83% and disability was recorded as 86% suggesting moderate to high function following limb salvage surgery. Task difficulty was shown to increase for activities requiring large knee flexion angles, presumably due to increased patellofemoral forces. Bivariate correlations revealed that loss of quadriceps musculature, knee extension strength and knee flexion range of motion were parameters moderately associated with the assessment instruments. ANOVA revealed no significant differences in impairment (P=0.962) or disability (P=0.411) between the differing types of prostheses. In conclusion clinicians and therapists should emphasise restoration of post-surgical range of motion and strength in order to enhance functional recovery.","author":[{"dropping-particle":"","family":"Carty","given":"Christopher P","non-dropping-particle":"","parse-names":false,"suffix":""},{"dropping-particle":"","family":"Dickinson","given":"Ian C","non-dropping-particle":"","parse-names":false,"suffix":""},{"dropping-particle":"","family":"Watts","given":"Mark C","non-dropping-particle":"","parse-names":false,"suffix":""},{"dropping-particle":"","family":"Crawford","given":"Ross W","non-dropping-particle":"","parse-names":false,"suffix":""},{"dropping-particle":"","family":"Steadman","given":"Peter","non-dropping-particle":"","parse-names":false,"suffix":""}],"container-title":"The Knee","id":"ITEM-4","issue":"5","issued":{"date-parts":[["2009","10"]]},"language":"eng","page":"405-408","publisher-place":"Netherlands","title":"Impairment and disability following limb salvage procedures for bone sarcoma.","type":"article-journal","volume":"16"},"uris":["http://www.mendeley.com/documents/?uuid=f0acb2b8-fdb8-4093-97e7-40e9515dd570"]},{"id":"ITEM-5","itemData":{"DOI":"10.1002/jso.21828","ISSN":"1096-9098 (Electronic)","PMID":"21337557","abstract":"BACKGROUND: Aim of our study was to compare functional ability and physical activity  in children and young adults who underwent surgery for a malignant bone tumor that was located around the knee. METHODS: This cross-sectional study included 82 patients aged 8-25 years with a follow-up of 1-5 years. The functional ability and the amount of physical activity were evaluated by means of questionnaires and objective instruments. RESULTS: Thirty nine patients underwent limb-salvage surgery (24 allograft and 15 endoprosthesis) and 43 underwent ablative surgery (27 amputations and 16 rotationplasty). Patients in the limb-salvage group were significantly older at the time of surgery than patients in the ablative group (mean age 15.2 years vs. 13.2 years, P = 0.03). Apart from significantly better scores for the timed up and down stairs and various walking activities in the limb-salvage group as compared to the ablative surgery group, no significant differences were seen for any of the outcome measures. CONCLUSIONS: One to 5 years after limb-salvage and ablative surgery due to a malignant bone tumor children and young adults do, apart from a few activities involving walking and climbing stairs, not differ with respect to overall functional ability and physical activity.","author":[{"dropping-particle":"","family":"Bekkering","given":"W Peter","non-dropping-particle":"","parse-names":false,"suffix":""},{"dropping-particle":"","family":"Vliet Vlieland","given":"Theodora P M","non-dropping-particle":"","parse-names":false,"suffix":""},{"dropping-particle":"","family":"Koopman","given":"Hendrik M","non-dropping-particle":"","parse-names":false,"suffix":""},{"dropping-particle":"","family":"Schaap","given":"Gerard R","non-dropping-particle":"","parse-names":false,"suffix":""},{"dropping-particle":"","family":"Bart Schreuder","given":"H W","non-dropping-particle":"","parse-names":false,"suffix":""},{"dropping-particle":"","family":"Beishuizen","given":"Auke","non-dropping-particle":"","parse-names":false,"suffix":""},{"dropping-particle":"","family":"Jutte","given":"Paul C","non-dropping-particle":"","parse-names":false,"suffix":""},{"dropping-particle":"","family":"Hoogerbrugge","given":"Peter M","non-dropping-particle":"","parse-names":false,"suffix":""},{"dropping-particle":"","family":"Anninga","given":"Jacob K","non-dropping-particle":"","parse-names":false,"suffix":""},{"dropping-particle":"","family":"Nelissen","given":"Rob G H H","non-dropping-particle":"","parse-names":false,"suffix":""},{"dropping-particle":"","family":"Taminiau","given":"Antonie H M","non-dropping-particle":"","parse-names":false,"suffix":""}],"container-title":"Journal of surgical oncology","id":"ITEM-5","issue":"3","issued":{"date-parts":[["2011","3"]]},"language":"eng","page":"276-282","publisher-place":"United States","title":"Functional ability and physical activity in children and young adults after  limb-salvage or ablative surgery for lower extremity bone tumors.","type":"article-journal","volume":"103"},"uris":["http://www.mendeley.com/documents/?uuid=46086f6e-f63d-4ad9-82d8-9ecafd272161"]}],"mendeley":{"formattedCitation":"(17–21)","plainTextFormattedCitation":"(17–21)","previouslyFormattedCitation":"(17–21)"},"properties":{"noteIndex":0},"schema":"https://github.com/citation-style-language/schema/raw/master/csl-citation.json"}</w:instrText>
      </w:r>
      <w:r w:rsidR="002373EB" w:rsidRPr="005B5460">
        <w:rPr>
          <w:rFonts w:ascii="Times New Roman" w:hAnsi="Times New Roman" w:cs="Times New Roman"/>
        </w:rPr>
        <w:fldChar w:fldCharType="separate"/>
      </w:r>
      <w:r w:rsidR="002373EB" w:rsidRPr="005B5460">
        <w:rPr>
          <w:rFonts w:ascii="Times New Roman" w:hAnsi="Times New Roman" w:cs="Times New Roman"/>
          <w:noProof/>
        </w:rPr>
        <w:t>(17–21)</w:t>
      </w:r>
      <w:r w:rsidR="002373EB" w:rsidRPr="005B5460">
        <w:rPr>
          <w:rFonts w:ascii="Times New Roman" w:hAnsi="Times New Roman" w:cs="Times New Roman"/>
        </w:rPr>
        <w:fldChar w:fldCharType="end"/>
      </w:r>
      <w:r w:rsidR="007E3529" w:rsidRPr="005B5460">
        <w:rPr>
          <w:rFonts w:ascii="Times New Roman" w:hAnsi="Times New Roman" w:cs="Times New Roman"/>
        </w:rPr>
        <w:t>. The range of scores in these studies varied widely, with the lowest being reported by Zhang et al</w:t>
      </w:r>
      <w:r w:rsidR="007E576F" w:rsidRPr="005B5460">
        <w:rPr>
          <w:rFonts w:ascii="Times New Roman" w:hAnsi="Times New Roman" w:cs="Times New Roman"/>
        </w:rPr>
        <w:t xml:space="preserve"> </w:t>
      </w:r>
      <w:r w:rsidR="00DD66AF" w:rsidRPr="005B5460">
        <w:rPr>
          <w:rFonts w:ascii="Times New Roman" w:hAnsi="Times New Roman" w:cs="Times New Roman"/>
        </w:rPr>
        <w:fldChar w:fldCharType="begin" w:fldLock="1"/>
      </w:r>
      <w:r w:rsidR="00DD66AF" w:rsidRPr="005B5460">
        <w:rPr>
          <w:rFonts w:ascii="Times New Roman" w:hAnsi="Times New Roman" w:cs="Times New Roman"/>
        </w:rPr>
        <w:instrText>ADDIN CSL_CITATION {"citationItems":[{"id":"ITEM-1","itemData":{"DOI":"10.3892/etm.2014.1744","ISSN":"1792-0981","abstract":"In this study, the effects of surgical removal of malignant metaphyseal bone tumors with epiphysis preservation and knee arthroplasty were analyzed. A total of 15 patients with malignant metaphyseal bone tumors were investigated. Six of these patients underwent epiphyseal preservation surgery with preoperative physeal distraction, termed the physeal distraction (PD) group. Nine patients underwent resection of the knee joint, combined with metal prosthesis transfer, termed the knee arthroplasty (KA) group. Tumor control, limb length discrepancy, range of movement (ROM) of the knee and functional outcome of lower limb [Musculoskeletal Tumor Society (MSTS) score and the Toronto extremity salvage score (TESS)] were assessed for these two groups. All 15 patients were followed-up after the surgery. One patient in the PD group was found to have lung tumor metastasis; however, no local tumor recurrence was found. In the KA group, local tumor recurrence was found in one patient, and lung metastases were observed in two cases postoperatively. The limb length discrepancy in patients of the PD group was 2.58±0.27 cm, which was significantly less compared with that in patients in the KA group (4.01±0.13 cm; P&lt;0.05). In addition, the lower limb knee ROM in patients in the PD group was 127.70±14.63°, which was increased compared to that in patients in the KA group (105.70±15.48°; P&lt;0.05). The mean MSTS score was 86.67% with a mean TESS of 82.33% in patients from the PD group, which showed no significant difference compared with the respective scores for patients in the KA group (P&gt;0.05). Therefore, epiphyseal sparing limb-saving surgeries should be considered for the treatment of malignant metaphyseal bone tumors in children, when certain indications are satisfied.","author":[{"dropping-particle":"","family":"Zhang","given":"Peng","non-dropping-particle":"","parse-names":false,"suffix":""},{"dropping-particle":"","family":"Feng","given":"Feifei","non-dropping-particle":"","parse-names":false,"suffix":""},{"dropping-particle":"","family":"Cai","given":"Qiqing","non-dropping-particle":"","parse-names":false,"suffix":""},{"dropping-particle":"","family":"Yao","given":"Weitao","non-dropping-particle":"","parse-names":false,"suffix":""},{"dropping-particle":"","family":"Gao","given":"Songtao","non-dropping-particle":"","parse-names":false,"suffix":""},{"dropping-particle":"","family":"Wang","given":"Jiaqiang","non-dropping-particle":"","parse-names":false,"suffix":""},{"dropping-particle":"","family":"Wang","given":"Xin","non-dropping-particle":"","parse-names":false,"suffix":""}],"container-title":"Experimental and therapeutic medicine","edition":"2014/05/28","id":"ITEM-1","issue":"2","issued":{"date-parts":[["2014","8"]]},"language":"eng","page":"567-572","publisher":"D.A. Spandidos","title":"Effects of metaphyseal bone tumor removal with preservation of the epiphysis and knee arthroplasty","type":"article-journal","volume":"8"},"uris":["http://www.mendeley.com/documents/?uuid=d539b6a2-627a-467e-86c8-4c9e75ef76c0"]}],"mendeley":{"formattedCitation":"(18)","plainTextFormattedCitation":"(18)","previouslyFormattedCitation":"(18)"},"properties":{"noteIndex":0},"schema":"https://github.com/citation-style-language/schema/raw/master/csl-citation.json"}</w:instrText>
      </w:r>
      <w:r w:rsidR="00DD66AF" w:rsidRPr="005B5460">
        <w:rPr>
          <w:rFonts w:ascii="Times New Roman" w:hAnsi="Times New Roman" w:cs="Times New Roman"/>
        </w:rPr>
        <w:fldChar w:fldCharType="separate"/>
      </w:r>
      <w:r w:rsidR="00DD66AF" w:rsidRPr="005B5460">
        <w:rPr>
          <w:rFonts w:ascii="Times New Roman" w:hAnsi="Times New Roman" w:cs="Times New Roman"/>
          <w:noProof/>
        </w:rPr>
        <w:t>(18)</w:t>
      </w:r>
      <w:r w:rsidR="00DD66AF" w:rsidRPr="005B5460">
        <w:rPr>
          <w:rFonts w:ascii="Times New Roman" w:hAnsi="Times New Roman" w:cs="Times New Roman"/>
        </w:rPr>
        <w:fldChar w:fldCharType="end"/>
      </w:r>
      <w:r w:rsidR="007E3529" w:rsidRPr="005B5460">
        <w:rPr>
          <w:rFonts w:ascii="Times New Roman" w:hAnsi="Times New Roman" w:cs="Times New Roman"/>
        </w:rPr>
        <w:t xml:space="preserve"> in a knee arthroplasty group (76.33%), and the highest was 93.2% in </w:t>
      </w:r>
      <w:r w:rsidR="00BA4BF5" w:rsidRPr="005B5460">
        <w:rPr>
          <w:rFonts w:ascii="Times New Roman" w:hAnsi="Times New Roman" w:cs="Times New Roman"/>
        </w:rPr>
        <w:t>v</w:t>
      </w:r>
      <w:r w:rsidR="007E3529" w:rsidRPr="005B5460">
        <w:rPr>
          <w:rFonts w:ascii="Times New Roman" w:hAnsi="Times New Roman" w:cs="Times New Roman"/>
        </w:rPr>
        <w:t xml:space="preserve">an </w:t>
      </w:r>
      <w:proofErr w:type="spellStart"/>
      <w:r w:rsidR="0093785F" w:rsidRPr="005B5460">
        <w:rPr>
          <w:rFonts w:ascii="Times New Roman" w:hAnsi="Times New Roman" w:cs="Times New Roman"/>
        </w:rPr>
        <w:t>Egmond</w:t>
      </w:r>
      <w:proofErr w:type="spellEnd"/>
      <w:r w:rsidR="0093785F" w:rsidRPr="005B5460">
        <w:rPr>
          <w:rFonts w:ascii="Times New Roman" w:hAnsi="Times New Roman" w:cs="Times New Roman"/>
        </w:rPr>
        <w:t xml:space="preserve">-van Dam </w:t>
      </w:r>
      <w:r w:rsidR="007E3529" w:rsidRPr="005B5460">
        <w:rPr>
          <w:rFonts w:ascii="Times New Roman" w:hAnsi="Times New Roman" w:cs="Times New Roman"/>
        </w:rPr>
        <w:t>et al</w:t>
      </w:r>
      <w:r w:rsidR="007E576F" w:rsidRPr="005B5460">
        <w:rPr>
          <w:rFonts w:ascii="Times New Roman" w:hAnsi="Times New Roman" w:cs="Times New Roman"/>
        </w:rPr>
        <w:t xml:space="preserve"> </w:t>
      </w:r>
      <w:r w:rsidR="00DD66AF" w:rsidRPr="005B5460">
        <w:rPr>
          <w:rFonts w:ascii="Times New Roman" w:hAnsi="Times New Roman" w:cs="Times New Roman"/>
        </w:rPr>
        <w:fldChar w:fldCharType="begin" w:fldLock="1"/>
      </w:r>
      <w:r w:rsidR="00510FD1" w:rsidRPr="005B5460">
        <w:rPr>
          <w:rFonts w:ascii="Times New Roman" w:hAnsi="Times New Roman" w:cs="Times New Roman"/>
        </w:rPr>
        <w:instrText>ADDIN CSL_CITATION {"citationItems":[{"id":"ITEM-1","itemData":{"DOI":"10.1002/jso.24618","ISSN":"1096-9098 (Electronic)","PMID":"28384378","abstract":"BACKGROUND AND OBJECTIVES: In a previous conducted study functional outcome of young  patients with bone sarcoma located around the knee was longitudinally evaluated during the first 2 years postoperatively. Functional outcome improved significantly over the first 2 years. The purpose of this descriptive study was to evaluate the functional outcome of these patients at long-term follow-up of 7 years. METHODS: Functional outcome was assessed with the TESS, MSTS, Baecke questionnaire, and three functional performance tests: time up and down stairs (TUDS), various walking activities (VWA), and the 6-min walking test (6MWT). Linear Mixed Model has been employed for the repeated measurements. RESULTS: Twenty patients of the original study (n = 44) participated in the current study. Fifteen limb-salvage and five ablative surgery patients, median follow-up 7.4 years (6.8-8.0) (CI 95%), mean age 22.3 years (18.2-31.6). Between 2 and 7 years after surgery, 8 limb-salvage patients (53%) encountered surgery related complications. Questionnaires and functional performance tests showed no significant difference in functional outcome between 2 years and 7 years after surgery (P &lt; 0.05). CONCLUSIONS: Between 2 years and follow-up at average 7 years after surgery no further improvements were noticed at young patients with a bone sarcoma located around the knee.","author":[{"dropping-particle":"","family":"Egmond-van Dam","given":"Janneke C","non-dropping-particle":"van","parse-names":false,"suffix":""},{"dropping-particle":"","family":"Bekkering","given":"W Peter","non-dropping-particle":"","parse-names":false,"suffix":""},{"dropping-particle":"","family":"Bramer","given":"Jos A M","non-dropping-particle":"","parse-names":false,"suffix":""},{"dropping-particle":"","family":"Beishuizen","given":"Auke","non-dropping-particle":"","parse-names":false,"suffix":""},{"dropping-particle":"","family":"Fiocco","given":"Marta","non-dropping-particle":"","parse-names":false,"suffix":""},{"dropping-particle":"","family":"Dijkstra","given":"P D Sander","non-dropping-particle":"","parse-names":false,"suffix":""}],"container-title":"Journal of surgical oncology","id":"ITEM-1","issue":"8","issued":{"date-parts":[["2017","6"]]},"language":"eng","page":"1028-1032","title":"Functional outcome after surgery in patients with bone sarcoma around the knee;  results from a long-term prospective study.","type":"article-journal","volume":"115"},"uris":["http://www.mendeley.com/documents/?uuid=d0dd1dc4-c702-4d78-bb3f-fc5899a688ed"]}],"mendeley":{"formattedCitation":"(17)","plainTextFormattedCitation":"(17)","previouslyFormattedCitation":"(17)"},"properties":{"noteIndex":0},"schema":"https://github.com/citation-style-language/schema/raw/master/csl-citation.json"}</w:instrText>
      </w:r>
      <w:r w:rsidR="00DD66AF" w:rsidRPr="005B5460">
        <w:rPr>
          <w:rFonts w:ascii="Times New Roman" w:hAnsi="Times New Roman" w:cs="Times New Roman"/>
        </w:rPr>
        <w:fldChar w:fldCharType="separate"/>
      </w:r>
      <w:r w:rsidR="00DD66AF" w:rsidRPr="005B5460">
        <w:rPr>
          <w:rFonts w:ascii="Times New Roman" w:hAnsi="Times New Roman" w:cs="Times New Roman"/>
          <w:noProof/>
        </w:rPr>
        <w:t>(17)</w:t>
      </w:r>
      <w:r w:rsidR="00DD66AF" w:rsidRPr="005B5460">
        <w:rPr>
          <w:rFonts w:ascii="Times New Roman" w:hAnsi="Times New Roman" w:cs="Times New Roman"/>
        </w:rPr>
        <w:fldChar w:fldCharType="end"/>
      </w:r>
      <w:r w:rsidR="007E3529" w:rsidRPr="005B5460">
        <w:rPr>
          <w:rFonts w:ascii="Times New Roman" w:hAnsi="Times New Roman" w:cs="Times New Roman"/>
        </w:rPr>
        <w:t xml:space="preserve">. The variation </w:t>
      </w:r>
      <w:r w:rsidR="007E576F" w:rsidRPr="005B5460">
        <w:rPr>
          <w:rFonts w:ascii="Times New Roman" w:hAnsi="Times New Roman" w:cs="Times New Roman"/>
        </w:rPr>
        <w:t xml:space="preserve">in scores </w:t>
      </w:r>
      <w:r w:rsidR="007E3529" w:rsidRPr="005B5460">
        <w:rPr>
          <w:rFonts w:ascii="Times New Roman" w:hAnsi="Times New Roman" w:cs="Times New Roman"/>
        </w:rPr>
        <w:t xml:space="preserve">suggest mild to moderate disability levels, but special consideration for confounding factors </w:t>
      </w:r>
      <w:r w:rsidR="00442A6F" w:rsidRPr="005B5460">
        <w:rPr>
          <w:rFonts w:ascii="Times New Roman" w:hAnsi="Times New Roman" w:cs="Times New Roman"/>
        </w:rPr>
        <w:t xml:space="preserve">as age, gender and extent of surgery </w:t>
      </w:r>
      <w:r w:rsidR="007E3529" w:rsidRPr="005B5460">
        <w:rPr>
          <w:rFonts w:ascii="Times New Roman" w:hAnsi="Times New Roman" w:cs="Times New Roman"/>
        </w:rPr>
        <w:t>w</w:t>
      </w:r>
      <w:r w:rsidR="00442A6F" w:rsidRPr="005B5460">
        <w:rPr>
          <w:rFonts w:ascii="Times New Roman" w:hAnsi="Times New Roman" w:cs="Times New Roman"/>
        </w:rPr>
        <w:t>ere</w:t>
      </w:r>
      <w:r w:rsidR="007E3529" w:rsidRPr="005B5460">
        <w:rPr>
          <w:rFonts w:ascii="Times New Roman" w:hAnsi="Times New Roman" w:cs="Times New Roman"/>
        </w:rPr>
        <w:t xml:space="preserve"> ambiguous among the studies</w:t>
      </w:r>
      <w:r w:rsidR="0097105F" w:rsidRPr="005B5460">
        <w:rPr>
          <w:rFonts w:ascii="Times New Roman" w:hAnsi="Times New Roman" w:cs="Times New Roman"/>
        </w:rPr>
        <w:t xml:space="preserve"> found</w:t>
      </w:r>
      <w:r w:rsidR="007E3529" w:rsidRPr="005B5460">
        <w:rPr>
          <w:rFonts w:ascii="Times New Roman" w:hAnsi="Times New Roman" w:cs="Times New Roman"/>
        </w:rPr>
        <w:t>. Carty et al</w:t>
      </w:r>
      <w:r w:rsidR="007E576F" w:rsidRPr="005B5460">
        <w:rPr>
          <w:rFonts w:ascii="Times New Roman" w:hAnsi="Times New Roman" w:cs="Times New Roman"/>
        </w:rPr>
        <w:t xml:space="preserve"> </w:t>
      </w:r>
      <w:r w:rsidR="00510FD1" w:rsidRPr="005B5460">
        <w:rPr>
          <w:rFonts w:ascii="Times New Roman" w:hAnsi="Times New Roman" w:cs="Times New Roman"/>
        </w:rPr>
        <w:fldChar w:fldCharType="begin" w:fldLock="1"/>
      </w:r>
      <w:r w:rsidR="001E0484" w:rsidRPr="005B5460">
        <w:rPr>
          <w:rFonts w:ascii="Times New Roman" w:hAnsi="Times New Roman" w:cs="Times New Roman"/>
        </w:rPr>
        <w:instrText>ADDIN CSL_CITATION {"citationItems":[{"id":"ITEM-1","itemData":{"DOI":"10.1016/j.knee.2009.02.006","ISSN":"1873-5800 (Electronic)","PMID":"19269182","abstract":"Bone sarcomas are the fourth most common cancer in individuals under 25 years. Limb  salvage procedures are popular for the treatment of osteosarcomas as they have functional and physiological benefits over traditional amputative procedures. The objective of this study was to apply disease specific measures to a group of intra-articular knee osteosarcoma patients and to evaluate structural and treatment variables predictive of the functional outcome scores. Twenty patients (10 female, 10 male) treated with tumour resection and endoprosthetic knee arthroplasty took part in the study. The Musculoskeletal Tumour Society (MSTS) rating scale and the Toronto Extremity Salvage Score (TESS) were used to assess impairment and disability respectively. Impairment was recorded as 83% and disability was recorded as 86% suggesting moderate to high function following limb salvage surgery. Task difficulty was shown to increase for activities requiring large knee flexion angles, presumably due to increased patellofemoral forces. Bivariate correlations revealed that loss of quadriceps musculature, knee extension strength and knee flexion range of motion were parameters moderately associated with the assessment instruments. ANOVA revealed no significant differences in impairment (P=0.962) or disability (P=0.411) between the differing types of prostheses. In conclusion clinicians and therapists should emphasise restoration of post-surgical range of motion and strength in order to enhance functional recovery.","author":[{"dropping-particle":"","family":"Carty","given":"Christopher P","non-dropping-particle":"","parse-names":false,"suffix":""},{"dropping-particle":"","family":"Dickinson","given":"Ian C","non-dropping-particle":"","parse-names":false,"suffix":""},{"dropping-particle":"","family":"Watts","given":"Mark C","non-dropping-particle":"","parse-names":false,"suffix":""},{"dropping-particle":"","family":"Crawford","given":"Ross W","non-dropping-particle":"","parse-names":false,"suffix":""},{"dropping-particle":"","family":"Steadman","given":"Peter","non-dropping-particle":"","parse-names":false,"suffix":""}],"container-title":"The Knee","id":"ITEM-1","issue":"5","issued":{"date-parts":[["2009","10"]]},"language":"eng","page":"405-408","publisher-place":"Netherlands","title":"Impairment and disability following limb salvage procedures for bone sarcoma.","type":"article-journal","volume":"16"},"uris":["http://www.mendeley.com/documents/?uuid=f0acb2b8-fdb8-4093-97e7-40e9515dd570"]}],"mendeley":{"formattedCitation":"(20)","plainTextFormattedCitation":"(20)","previouslyFormattedCitation":"(20)"},"properties":{"noteIndex":0},"schema":"https://github.com/citation-style-language/schema/raw/master/csl-citation.json"}</w:instrText>
      </w:r>
      <w:r w:rsidR="00510FD1" w:rsidRPr="005B5460">
        <w:rPr>
          <w:rFonts w:ascii="Times New Roman" w:hAnsi="Times New Roman" w:cs="Times New Roman"/>
        </w:rPr>
        <w:fldChar w:fldCharType="separate"/>
      </w:r>
      <w:r w:rsidR="00510FD1" w:rsidRPr="005B5460">
        <w:rPr>
          <w:rFonts w:ascii="Times New Roman" w:hAnsi="Times New Roman" w:cs="Times New Roman"/>
          <w:noProof/>
        </w:rPr>
        <w:t>(20)</w:t>
      </w:r>
      <w:r w:rsidR="00510FD1" w:rsidRPr="005B5460">
        <w:rPr>
          <w:rFonts w:ascii="Times New Roman" w:hAnsi="Times New Roman" w:cs="Times New Roman"/>
        </w:rPr>
        <w:fldChar w:fldCharType="end"/>
      </w:r>
      <w:r w:rsidR="007E3529" w:rsidRPr="005B5460">
        <w:rPr>
          <w:rFonts w:ascii="Times New Roman" w:hAnsi="Times New Roman" w:cs="Times New Roman"/>
        </w:rPr>
        <w:t xml:space="preserve"> was the only study to address the TESS score in detail; the study found that the most affected components were related to kneeling movements, sport activities and walking upstairs or uphill. In four studies </w:t>
      </w:r>
      <w:r w:rsidR="001E0484" w:rsidRPr="005B5460">
        <w:rPr>
          <w:rFonts w:ascii="Times New Roman" w:hAnsi="Times New Roman" w:cs="Times New Roman"/>
        </w:rPr>
        <w:fldChar w:fldCharType="begin" w:fldLock="1"/>
      </w:r>
      <w:r w:rsidR="001E0484" w:rsidRPr="005B5460">
        <w:rPr>
          <w:rFonts w:ascii="Times New Roman" w:hAnsi="Times New Roman" w:cs="Times New Roman"/>
        </w:rPr>
        <w:instrText>ADDIN CSL_CITATION {"citationItems":[{"id":"ITEM-1","itemData":{"DOI":"10.1002/jso.24618","ISSN":"1096-9098 (Electronic)","PMID":"28384378","abstract":"BACKGROUND AND OBJECTIVES: In a previous conducted study functional outcome of young  patients with bone sarcoma located around the knee was longitudinally evaluated during the first 2 years postoperatively. Functional outcome improved significantly over the first 2 years. The purpose of this descriptive study was to evaluate the functional outcome of these patients at long-term follow-up of 7 years. METHODS: Functional outcome was assessed with the TESS, MSTS, Baecke questionnaire, and three functional performance tests: time up and down stairs (TUDS), various walking activities (VWA), and the 6-min walking test (6MWT). Linear Mixed Model has been employed for the repeated measurements. RESULTS: Twenty patients of the original study (n = 44) participated in the current study. Fifteen limb-salvage and five ablative surgery patients, median follow-up 7.4 years (6.8-8.0) (CI 95%), mean age 22.3 years (18.2-31.6). Between 2 and 7 years after surgery, 8 limb-salvage patients (53%) encountered surgery related complications. Questionnaires and functional performance tests showed no significant difference in functional outcome between 2 years and 7 years after surgery (P &lt; 0.05). CONCLUSIONS: Between 2 years and follow-up at average 7 years after surgery no further improvements were noticed at young patients with a bone sarcoma located around the knee.","author":[{"dropping-particle":"","family":"Egmond-van Dam","given":"Janneke C","non-dropping-particle":"van","parse-names":false,"suffix":""},{"dropping-particle":"","family":"Bekkering","given":"W Peter","non-dropping-particle":"","parse-names":false,"suffix":""},{"dropping-particle":"","family":"Bramer","given":"Jos A M","non-dropping-particle":"","parse-names":false,"suffix":""},{"dropping-particle":"","family":"Beishuizen","given":"Auke","non-dropping-particle":"","parse-names":false,"suffix":""},{"dropping-particle":"","family":"Fiocco","given":"Marta","non-dropping-particle":"","parse-names":false,"suffix":""},{"dropping-particle":"","family":"Dijkstra","given":"P D Sander","non-dropping-particle":"","parse-names":false,"suffix":""}],"container-title":"Journal of surgical oncology","id":"ITEM-1","issue":"8","issued":{"date-parts":[["2017","6"]]},"language":"eng","page":"1028-1032","title":"Functional outcome after surgery in patients with bone sarcoma around the knee;  results from a long-term prospective study.","type":"article-journal","volume":"115"},"uris":["http://www.mendeley.com/documents/?uuid=d0dd1dc4-c702-4d78-bb3f-fc5899a688ed"]},{"id":"ITEM-2","itemData":{"DOI":"10.3892/etm.2014.1744","ISSN":"1792-0981","abstract":"In this study, the effects of surgical removal of malignant metaphyseal bone tumors with epiphysis preservation and knee arthroplasty were analyzed. A total of 15 patients with malignant metaphyseal bone tumors were investigated. Six of these patients underwent epiphyseal preservation surgery with preoperative physeal distraction, termed the physeal distraction (PD) group. Nine patients underwent resection of the knee joint, combined with metal prosthesis transfer, termed the knee arthroplasty (KA) group. Tumor control, limb length discrepancy, range of movement (ROM) of the knee and functional outcome of lower limb [Musculoskeletal Tumor Society (MSTS) score and the Toronto extremity salvage score (TESS)] were assessed for these two groups. All 15 patients were followed-up after the surgery. One patient in the PD group was found to have lung tumor metastasis; however, no local tumor recurrence was found. In the KA group, local tumor recurrence was found in one patient, and lung metastases were observed in two cases postoperatively. The limb length discrepancy in patients of the PD group was 2.58±0.27 cm, which was significantly less compared with that in patients in the KA group (4.01±0.13 cm; P&lt;0.05). In addition, the lower limb knee ROM in patients in the PD group was 127.70±14.63°, which was increased compared to that in patients in the KA group (105.70±15.48°; P&lt;0.05). The mean MSTS score was 86.67% with a mean TESS of 82.33% in patients from the PD group, which showed no significant difference compared with the respective scores for patients in the KA group (P&gt;0.05). Therefore, epiphyseal sparing limb-saving surgeries should be considered for the treatment of malignant metaphyseal bone tumors in children, when certain indications are satisfied.","author":[{"dropping-particle":"","family":"Zhang","given":"Peng","non-dropping-particle":"","parse-names":false,"suffix":""},{"dropping-particle":"","family":"Feng","given":"Feifei","non-dropping-particle":"","parse-names":false,"suffix":""},{"dropping-particle":"","family":"Cai","given":"Qiqing","non-dropping-particle":"","parse-names":false,"suffix":""},{"dropping-particle":"","family":"Yao","given":"Weitao","non-dropping-particle":"","parse-names":false,"suffix":""},{"dropping-particle":"","family":"Gao","given":"Songtao","non-dropping-particle":"","parse-names":false,"suffix":""},{"dropping-particle":"","family":"Wang","given":"Jiaqiang","non-dropping-particle":"","parse-names":false,"suffix":""},{"dropping-particle":"","family":"Wang","given":"Xin","non-dropping-particle":"","parse-names":false,"suffix":""}],"container-title":"Experimental and therapeutic medicine","edition":"2014/05/28","id":"ITEM-2","issue":"2","issued":{"date-parts":[["2014","8"]]},"language":"eng","page":"567-572","publisher":"D.A. Spandidos","title":"Effects of metaphyseal bone tumor removal with preservation of the epiphysis and knee arthroplasty","type":"article-journal","volume":"8"},"uris":["http://www.mendeley.com/documents/?uuid=d539b6a2-627a-467e-86c8-4c9e75ef76c0"]},{"id":"ITEM-3","itemData":{"DOI":"10.1007/s11999-012-2271-1","ISSN":"1528-1132 (Electronic)","PMID":"22302658","abstract":"INTRODUCTION: Patients with aggressive lower extremity musculoskeletal tumors may be  candidates for either above-knee amputation or limb-salvage surgery. However, the subjective and objective benefits of limb-salvage surgery compared with amputation are not fully clear. QUESTIONS/PURPOSES: We therefore compared functional status and quality of life for patients treated with above-knee amputation versus limb-salvage surgery. METHODS: We reviewed 20 of 51 patients aged 15 years and older treated with above-knee amputation or limb-salvage surgery for aggressive musculoskeletal tumors around the knee between 1994 and 2004 as a retrospective cohort study. At last followup we obtained the Physiological Cost Index, the Reintegration to Normal Living Index, SF-36, and the Toronto Extremity Salvage Score questionnaires. The minimum followup was 12 months (median, 56 months; range, 12-108 months). RESULTS: Compared with patients having above-knee amputation, patients undergoing limb-salvage surgery had superior Physiological Cost Index scores and Reintegration to Normal Living Index. The Toronto Extremity Salvage scores and SF-36 scores were similar in the two groups. CONCLUSION: These data suggest that limb-salvage surgery offers better gait efficiency and return to normal living compared with above-knee amputation, but does not improve the patient's perception of quality of life.","author":[{"dropping-particle":"","family":"Malek","given":"Farbod","non-dropping-particle":"","parse-names":false,"suffix":""},{"dropping-particle":"","family":"Somerson","given":"Jeremy S","non-dropping-particle":"","parse-names":false,"suffix":""},{"dropping-particle":"","family":"Mitchel","given":"Shannon","non-dropping-particle":"","parse-names":false,"suffix":""},{"dropping-particle":"","family":"Williams","given":"Ronald P","non-dropping-particle":"","parse-names":false,"suffix":""}],"container-title":"Clinical orthopaedics and related research","id":"ITEM-3","issue":"7","issued":{"date-parts":[["2012","7"]]},"language":"eng","page":"2000-2006","title":"Does limb-salvage surgery offer patients better quality of life and functional  capacity than amputation?","type":"article-journal","volume":"470"},"uris":["http://www.mendeley.com/documents/?uuid=b18c2b7e-1ca3-4eef-8e44-d2b03c031b23"]},{"id":"ITEM-4","itemData":{"DOI":"10.1016/j.knee.2009.02.006","ISSN":"1873-5800 (Electronic)","PMID":"19269182","abstract":"Bone sarcomas are the fourth most common cancer in individuals under 25 years. Limb  salvage procedures are popular for the treatment of osteosarcomas as they have functional and physiological benefits over traditional amputative procedures. The objective of this study was to apply disease specific measures to a group of intra-articular knee osteosarcoma patients and to evaluate structural and treatment variables predictive of the functional outcome scores. Twenty patients (10 female, 10 male) treated with tumour resection and endoprosthetic knee arthroplasty took part in the study. The Musculoskeletal Tumour Society (MSTS) rating scale and the Toronto Extremity Salvage Score (TESS) were used to assess impairment and disability respectively. Impairment was recorded as 83% and disability was recorded as 86% suggesting moderate to high function following limb salvage surgery. Task difficulty was shown to increase for activities requiring large knee flexion angles, presumably due to increased patellofemoral forces. Bivariate correlations revealed that loss of quadriceps musculature, knee extension strength and knee flexion range of motion were parameters moderately associated with the assessment instruments. ANOVA revealed no significant differences in impairment (P=0.962) or disability (P=0.411) between the differing types of prostheses. In conclusion clinicians and therapists should emphasise restoration of post-surgical range of motion and strength in order to enhance functional recovery.","author":[{"dropping-particle":"","family":"Carty","given":"Christopher P","non-dropping-particle":"","parse-names":false,"suffix":""},{"dropping-particle":"","family":"Dickinson","given":"Ian C","non-dropping-particle":"","parse-names":false,"suffix":""},{"dropping-particle":"","family":"Watts","given":"Mark C","non-dropping-particle":"","parse-names":false,"suffix":""},{"dropping-particle":"","family":"Crawford","given":"Ross W","non-dropping-particle":"","parse-names":false,"suffix":""},{"dropping-particle":"","family":"Steadman","given":"Peter","non-dropping-particle":"","parse-names":false,"suffix":""}],"container-title":"The Knee","id":"ITEM-4","issue":"5","issued":{"date-parts":[["2009","10"]]},"language":"eng","page":"405-408","publisher-place":"Netherlands","title":"Impairment and disability following limb salvage procedures for bone sarcoma.","type":"article-journal","volume":"16"},"uris":["http://www.mendeley.com/documents/?uuid=f0acb2b8-fdb8-4093-97e7-40e9515dd570"]},{"id":"ITEM-5","itemData":{"DOI":"10.1002/jso.21828","ISSN":"1096-9098 (Electronic)","PMID":"21337557","abstract":"BACKGROUND: Aim of our study was to compare functional ability and physical activity  in children and young adults who underwent surgery for a malignant bone tumor that was located around the knee. METHODS: This cross-sectional study included 82 patients aged 8-25 years with a follow-up of 1-5 years. The functional ability and the amount of physical activity were evaluated by means of questionnaires and objective instruments. RESULTS: Thirty nine patients underwent limb-salvage surgery (24 allograft and 15 endoprosthesis) and 43 underwent ablative surgery (27 amputations and 16 rotationplasty). Patients in the limb-salvage group were significantly older at the time of surgery than patients in the ablative group (mean age 15.2 years vs. 13.2 years, P = 0.03). Apart from significantly better scores for the timed up and down stairs and various walking activities in the limb-salvage group as compared to the ablative surgery group, no significant differences were seen for any of the outcome measures. CONCLUSIONS: One to 5 years after limb-salvage and ablative surgery due to a malignant bone tumor children and young adults do, apart from a few activities involving walking and climbing stairs, not differ with respect to overall functional ability and physical activity.","author":[{"dropping-particle":"","family":"Bekkering","given":"W Peter","non-dropping-particle":"","parse-names":false,"suffix":""},{"dropping-particle":"","family":"Vliet Vlieland","given":"Theodora P M","non-dropping-particle":"","parse-names":false,"suffix":""},{"dropping-particle":"","family":"Koopman","given":"Hendrik M","non-dropping-particle":"","parse-names":false,"suffix":""},{"dropping-particle":"","family":"Schaap","given":"Gerard R","non-dropping-particle":"","parse-names":false,"suffix":""},{"dropping-particle":"","family":"Bart Schreuder","given":"H W","non-dropping-particle":"","parse-names":false,"suffix":""},{"dropping-particle":"","family":"Beishuizen","given":"Auke","non-dropping-particle":"","parse-names":false,"suffix":""},{"dropping-particle":"","family":"Jutte","given":"Paul C","non-dropping-particle":"","parse-names":false,"suffix":""},{"dropping-particle":"","family":"Hoogerbrugge","given":"Peter M","non-dropping-particle":"","parse-names":false,"suffix":""},{"dropping-particle":"","family":"Anninga","given":"Jacob K","non-dropping-particle":"","parse-names":false,"suffix":""},{"dropping-particle":"","family":"Nelissen","given":"Rob G H H","non-dropping-particle":"","parse-names":false,"suffix":""},{"dropping-particle":"","family":"Taminiau","given":"Antonie H M","non-dropping-particle":"","parse-names":false,"suffix":""}],"container-title":"Journal of surgical oncology","id":"ITEM-5","issue":"3","issued":{"date-parts":[["2011","3"]]},"language":"eng","page":"276-282","publisher-place":"United States","title":"Functional ability and physical activity in children and young adults after  limb-salvage or ablative surgery for lower extremity bone tumors.","type":"article-journal","volume":"103"},"uris":["http://www.mendeley.com/documents/?uuid=46086f6e-f63d-4ad9-82d8-9ecafd272161"]}],"mendeley":{"formattedCitation":"(17–21)","plainTextFormattedCitation":"(17–21)","previouslyFormattedCitation":"(17–21)"},"properties":{"noteIndex":0},"schema":"https://github.com/citation-style-language/schema/raw/master/csl-citation.json"}</w:instrText>
      </w:r>
      <w:r w:rsidR="001E0484" w:rsidRPr="005B5460">
        <w:rPr>
          <w:rFonts w:ascii="Times New Roman" w:hAnsi="Times New Roman" w:cs="Times New Roman"/>
        </w:rPr>
        <w:fldChar w:fldCharType="separate"/>
      </w:r>
      <w:r w:rsidR="001E0484" w:rsidRPr="005B5460">
        <w:rPr>
          <w:rFonts w:ascii="Times New Roman" w:hAnsi="Times New Roman" w:cs="Times New Roman"/>
          <w:noProof/>
        </w:rPr>
        <w:t>(17–21)</w:t>
      </w:r>
      <w:r w:rsidR="001E0484" w:rsidRPr="005B5460">
        <w:rPr>
          <w:rFonts w:ascii="Times New Roman" w:hAnsi="Times New Roman" w:cs="Times New Roman"/>
        </w:rPr>
        <w:fldChar w:fldCharType="end"/>
      </w:r>
      <w:r w:rsidR="007E3529" w:rsidRPr="005B5460">
        <w:rPr>
          <w:rFonts w:ascii="Times New Roman" w:hAnsi="Times New Roman" w:cs="Times New Roman"/>
        </w:rPr>
        <w:t xml:space="preserve"> no significant correlation was found between the TESS score and other variables</w:t>
      </w:r>
      <w:r w:rsidR="007E576F" w:rsidRPr="005B5460">
        <w:rPr>
          <w:rFonts w:ascii="Times New Roman" w:hAnsi="Times New Roman" w:cs="Times New Roman"/>
        </w:rPr>
        <w:t>,</w:t>
      </w:r>
      <w:r w:rsidR="007E3529" w:rsidRPr="005B5460">
        <w:rPr>
          <w:rFonts w:ascii="Times New Roman" w:hAnsi="Times New Roman" w:cs="Times New Roman"/>
        </w:rPr>
        <w:t xml:space="preserve"> such as the type of procedure and comparison with an amputee group. However, Carty et al</w:t>
      </w:r>
      <w:r w:rsidR="007E576F" w:rsidRPr="005B5460">
        <w:rPr>
          <w:rFonts w:ascii="Times New Roman" w:hAnsi="Times New Roman" w:cs="Times New Roman"/>
        </w:rPr>
        <w:t xml:space="preserve"> </w:t>
      </w:r>
      <w:r w:rsidR="001E0484" w:rsidRPr="005B5460">
        <w:rPr>
          <w:rFonts w:ascii="Times New Roman" w:hAnsi="Times New Roman" w:cs="Times New Roman"/>
        </w:rPr>
        <w:fldChar w:fldCharType="begin" w:fldLock="1"/>
      </w:r>
      <w:r w:rsidR="00D0433C" w:rsidRPr="005B5460">
        <w:rPr>
          <w:rFonts w:ascii="Times New Roman" w:hAnsi="Times New Roman" w:cs="Times New Roman"/>
        </w:rPr>
        <w:instrText>ADDIN CSL_CITATION {"citationItems":[{"id":"ITEM-1","itemData":{"DOI":"10.1016/j.knee.2009.02.006","ISSN":"1873-5800 (Electronic)","PMID":"19269182","abstract":"Bone sarcomas are the fourth most common cancer in individuals under 25 years. Limb  salvage procedures are popular for the treatment of osteosarcomas as they have functional and physiological benefits over traditional amputative procedures. The objective of this study was to apply disease specific measures to a group of intra-articular knee osteosarcoma patients and to evaluate structural and treatment variables predictive of the functional outcome scores. Twenty patients (10 female, 10 male) treated with tumour resection and endoprosthetic knee arthroplasty took part in the study. The Musculoskeletal Tumour Society (MSTS) rating scale and the Toronto Extremity Salvage Score (TESS) were used to assess impairment and disability respectively. Impairment was recorded as 83% and disability was recorded as 86% suggesting moderate to high function following limb salvage surgery. Task difficulty was shown to increase for activities requiring large knee flexion angles, presumably due to increased patellofemoral forces. Bivariate correlations revealed that loss of quadriceps musculature, knee extension strength and knee flexion range of motion were parameters moderately associated with the assessment instruments. ANOVA revealed no significant differences in impairment (P=0.962) or disability (P=0.411) between the differing types of prostheses. In conclusion clinicians and therapists should emphasise restoration of post-surgical range of motion and strength in order to enhance functional recovery.","author":[{"dropping-particle":"","family":"Carty","given":"Christopher P","non-dropping-particle":"","parse-names":false,"suffix":""},{"dropping-particle":"","family":"Dickinson","given":"Ian C","non-dropping-particle":"","parse-names":false,"suffix":""},{"dropping-particle":"","family":"Watts","given":"Mark C","non-dropping-particle":"","parse-names":false,"suffix":""},{"dropping-particle":"","family":"Crawford","given":"Ross W","non-dropping-particle":"","parse-names":false,"suffix":""},{"dropping-particle":"","family":"Steadman","given":"Peter","non-dropping-particle":"","parse-names":false,"suffix":""}],"container-title":"The Knee","id":"ITEM-1","issue":"5","issued":{"date-parts":[["2009","10"]]},"language":"eng","page":"405-408","publisher-place":"Netherlands","title":"Impairment and disability following limb salvage procedures for bone sarcoma.","type":"article-journal","volume":"16"},"uris":["http://www.mendeley.com/documents/?uuid=f0acb2b8-fdb8-4093-97e7-40e9515dd570"]}],"mendeley":{"formattedCitation":"(20)","plainTextFormattedCitation":"(20)","previouslyFormattedCitation":"(20)"},"properties":{"noteIndex":0},"schema":"https://github.com/citation-style-language/schema/raw/master/csl-citation.json"}</w:instrText>
      </w:r>
      <w:r w:rsidR="001E0484" w:rsidRPr="005B5460">
        <w:rPr>
          <w:rFonts w:ascii="Times New Roman" w:hAnsi="Times New Roman" w:cs="Times New Roman"/>
        </w:rPr>
        <w:fldChar w:fldCharType="separate"/>
      </w:r>
      <w:r w:rsidR="001E0484" w:rsidRPr="005B5460">
        <w:rPr>
          <w:rFonts w:ascii="Times New Roman" w:hAnsi="Times New Roman" w:cs="Times New Roman"/>
          <w:noProof/>
        </w:rPr>
        <w:t>(20)</w:t>
      </w:r>
      <w:r w:rsidR="001E0484" w:rsidRPr="005B5460">
        <w:rPr>
          <w:rFonts w:ascii="Times New Roman" w:hAnsi="Times New Roman" w:cs="Times New Roman"/>
        </w:rPr>
        <w:fldChar w:fldCharType="end"/>
      </w:r>
      <w:r w:rsidR="007E3529" w:rsidRPr="005B5460">
        <w:rPr>
          <w:rFonts w:ascii="Times New Roman" w:hAnsi="Times New Roman" w:cs="Times New Roman"/>
        </w:rPr>
        <w:t xml:space="preserve"> found a moderate positive correlation between the TESS score and the MSTS sub-components of walking ability and emotional acceptance. QoL was assessed by other </w:t>
      </w:r>
      <w:r w:rsidR="001D2902" w:rsidRPr="005B5460">
        <w:rPr>
          <w:rFonts w:ascii="Times New Roman" w:hAnsi="Times New Roman" w:cs="Times New Roman"/>
        </w:rPr>
        <w:t xml:space="preserve">patient-reported </w:t>
      </w:r>
      <w:r w:rsidR="007E3529" w:rsidRPr="005B5460">
        <w:rPr>
          <w:rFonts w:ascii="Times New Roman" w:hAnsi="Times New Roman" w:cs="Times New Roman"/>
        </w:rPr>
        <w:t xml:space="preserve">outcome measures, such as the </w:t>
      </w:r>
      <w:proofErr w:type="spellStart"/>
      <w:r w:rsidR="007E3529" w:rsidRPr="005B5460">
        <w:rPr>
          <w:rFonts w:ascii="Times New Roman" w:hAnsi="Times New Roman" w:cs="Times New Roman"/>
        </w:rPr>
        <w:t>Baecke</w:t>
      </w:r>
      <w:proofErr w:type="spellEnd"/>
      <w:r w:rsidR="007E3529" w:rsidRPr="005B5460">
        <w:rPr>
          <w:rFonts w:ascii="Times New Roman" w:hAnsi="Times New Roman" w:cs="Times New Roman"/>
        </w:rPr>
        <w:t xml:space="preserve"> Questionnaire</w:t>
      </w:r>
      <w:r w:rsidR="00D97F32" w:rsidRPr="005B5460">
        <w:rPr>
          <w:rFonts w:ascii="Times New Roman" w:hAnsi="Times New Roman" w:cs="Times New Roman"/>
        </w:rPr>
        <w:t xml:space="preserve"> </w:t>
      </w:r>
      <w:r w:rsidR="00D0433C" w:rsidRPr="005B5460">
        <w:rPr>
          <w:rFonts w:ascii="Times New Roman" w:hAnsi="Times New Roman" w:cs="Times New Roman"/>
        </w:rPr>
        <w:fldChar w:fldCharType="begin" w:fldLock="1"/>
      </w:r>
      <w:r w:rsidR="002E3A97" w:rsidRPr="005B5460">
        <w:rPr>
          <w:rFonts w:ascii="Times New Roman" w:hAnsi="Times New Roman" w:cs="Times New Roman"/>
        </w:rPr>
        <w:instrText>ADDIN CSL_CITATION {"citationItems":[{"id":"ITEM-1","itemData":{"DOI":"10.1002/jso.24618","ISSN":"1096-9098 (Electronic)","PMID":"28384378","abstract":"BACKGROUND AND OBJECTIVES: In a previous conducted study functional outcome of young  patients with bone sarcoma located around the knee was longitudinally evaluated during the first 2 years postoperatively. Functional outcome improved significantly over the first 2 years. The purpose of this descriptive study was to evaluate the functional outcome of these patients at long-term follow-up of 7 years. METHODS: Functional outcome was assessed with the TESS, MSTS, Baecke questionnaire, and three functional performance tests: time up and down stairs (TUDS), various walking activities (VWA), and the 6-min walking test (6MWT). Linear Mixed Model has been employed for the repeated measurements. RESULTS: Twenty patients of the original study (n = 44) participated in the current study. Fifteen limb-salvage and five ablative surgery patients, median follow-up 7.4 years (6.8-8.0) (CI 95%), mean age 22.3 years (18.2-31.6). Between 2 and 7 years after surgery, 8 limb-salvage patients (53%) encountered surgery related complications. Questionnaires and functional performance tests showed no significant difference in functional outcome between 2 years and 7 years after surgery (P &lt; 0.05). CONCLUSIONS: Between 2 years and follow-up at average 7 years after surgery no further improvements were noticed at young patients with a bone sarcoma located around the knee.","author":[{"dropping-particle":"","family":"Egmond-van Dam","given":"Janneke C","non-dropping-particle":"van","parse-names":false,"suffix":""},{"dropping-particle":"","family":"Bekkering","given":"W Peter","non-dropping-particle":"","parse-names":false,"suffix":""},{"dropping-particle":"","family":"Bramer","given":"Jos A M","non-dropping-particle":"","parse-names":false,"suffix":""},{"dropping-particle":"","family":"Beishuizen","given":"Auke","non-dropping-particle":"","parse-names":false,"suffix":""},{"dropping-particle":"","family":"Fiocco","given":"Marta","non-dropping-particle":"","parse-names":false,"suffix":""},{"dropping-particle":"","family":"Dijkstra","given":"P D Sander","non-dropping-particle":"","parse-names":false,"suffix":""}],"container-title":"Journal of surgical oncology","id":"ITEM-1","issue":"8","issued":{"date-parts":[["2017","6"]]},"language":"eng","page":"1028-1032","title":"Functional outcome after surgery in patients with bone sarcoma around the knee;  results from a long-term prospective study.","type":"article-journal","volume":"115"},"uris":["http://www.mendeley.com/documents/?uuid=d0dd1dc4-c702-4d78-bb3f-fc5899a688ed"]},{"id":"ITEM-2","itemData":{"DOI":"10.1002/jso.21828","ISSN":"1096-9098 (Electronic)","PMID":"21337557","abstract":"BACKGROUND: Aim of our study was to compare functional ability and physical activity  in children and young adults who underwent surgery for a malignant bone tumor that was located around the knee. METHODS: This cross-sectional study included 82 patients aged 8-25 years with a follow-up of 1-5 years. The functional ability and the amount of physical activity were evaluated by means of questionnaires and objective instruments. RESULTS: Thirty nine patients underwent limb-salvage surgery (24 allograft and 15 endoprosthesis) and 43 underwent ablative surgery (27 amputations and 16 rotationplasty). Patients in the limb-salvage group were significantly older at the time of surgery than patients in the ablative group (mean age 15.2 years vs. 13.2 years, P = 0.03). Apart from significantly better scores for the timed up and down stairs and various walking activities in the limb-salvage group as compared to the ablative surgery group, no significant differences were seen for any of the outcome measures. CONCLUSIONS: One to 5 years after limb-salvage and ablative surgery due to a malignant bone tumor children and young adults do, apart from a few activities involving walking and climbing stairs, not differ with respect to overall functional ability and physical activity.","author":[{"dropping-particle":"","family":"Bekkering","given":"W Peter","non-dropping-particle":"","parse-names":false,"suffix":""},{"dropping-particle":"","family":"Vliet Vlieland","given":"Theodora P M","non-dropping-particle":"","parse-names":false,"suffix":""},{"dropping-particle":"","family":"Koopman","given":"Hendrik M","non-dropping-particle":"","parse-names":false,"suffix":""},{"dropping-particle":"","family":"Schaap","given":"Gerard R","non-dropping-particle":"","parse-names":false,"suffix":""},{"dropping-particle":"","family":"Bart Schreuder","given":"H W","non-dropping-particle":"","parse-names":false,"suffix":""},{"dropping-particle":"","family":"Beishuizen","given":"Auke","non-dropping-particle":"","parse-names":false,"suffix":""},{"dropping-particle":"","family":"Jutte","given":"Paul C","non-dropping-particle":"","parse-names":false,"suffix":""},{"dropping-particle":"","family":"Hoogerbrugge","given":"Peter M","non-dropping-particle":"","parse-names":false,"suffix":""},{"dropping-particle":"","family":"Anninga","given":"Jacob K","non-dropping-particle":"","parse-names":false,"suffix":""},{"dropping-particle":"","family":"Nelissen","given":"Rob G H H","non-dropping-particle":"","parse-names":false,"suffix":""},{"dropping-particle":"","family":"Taminiau","given":"Antonie H M","non-dropping-particle":"","parse-names":false,"suffix":""}],"container-title":"Journal of surgical oncology","id":"ITEM-2","issue":"3","issued":{"date-parts":[["2011","3"]]},"language":"eng","page":"276-282","publisher-place":"United States","title":"Functional ability and physical activity in children and young adults after  limb-salvage or ablative surgery for lower extremity bone tumors.","type":"article-journal","volume":"103"},"uris":["http://www.mendeley.com/documents/?uuid=46086f6e-f63d-4ad9-82d8-9ecafd272161"]}],"mendeley":{"formattedCitation":"(17,21)","plainTextFormattedCitation":"(17,21)","previouslyFormattedCitation":"(17,21)"},"properties":{"noteIndex":0},"schema":"https://github.com/citation-style-language/schema/raw/master/csl-citation.json"}</w:instrText>
      </w:r>
      <w:r w:rsidR="00D0433C" w:rsidRPr="005B5460">
        <w:rPr>
          <w:rFonts w:ascii="Times New Roman" w:hAnsi="Times New Roman" w:cs="Times New Roman"/>
        </w:rPr>
        <w:fldChar w:fldCharType="separate"/>
      </w:r>
      <w:r w:rsidR="00D0433C" w:rsidRPr="005B5460">
        <w:rPr>
          <w:rFonts w:ascii="Times New Roman" w:hAnsi="Times New Roman" w:cs="Times New Roman"/>
          <w:noProof/>
        </w:rPr>
        <w:t>(17,21)</w:t>
      </w:r>
      <w:r w:rsidR="00D0433C" w:rsidRPr="005B5460">
        <w:rPr>
          <w:rFonts w:ascii="Times New Roman" w:hAnsi="Times New Roman" w:cs="Times New Roman"/>
        </w:rPr>
        <w:fldChar w:fldCharType="end"/>
      </w:r>
      <w:r w:rsidR="007E3529" w:rsidRPr="005B5460">
        <w:rPr>
          <w:rFonts w:ascii="Times New Roman" w:hAnsi="Times New Roman" w:cs="Times New Roman"/>
        </w:rPr>
        <w:t>, the Short-Form 36 Questionnaire</w:t>
      </w:r>
      <w:r w:rsidR="00D97F32" w:rsidRPr="005B5460">
        <w:rPr>
          <w:rFonts w:ascii="Times New Roman" w:hAnsi="Times New Roman" w:cs="Times New Roman"/>
        </w:rPr>
        <w:t xml:space="preserve"> </w:t>
      </w:r>
      <w:r w:rsidR="002E3A97" w:rsidRPr="005B5460">
        <w:rPr>
          <w:rFonts w:ascii="Times New Roman" w:hAnsi="Times New Roman" w:cs="Times New Roman"/>
        </w:rPr>
        <w:fldChar w:fldCharType="begin" w:fldLock="1"/>
      </w:r>
      <w:r w:rsidR="002E3A97" w:rsidRPr="005B5460">
        <w:rPr>
          <w:rFonts w:ascii="Times New Roman" w:hAnsi="Times New Roman" w:cs="Times New Roman"/>
        </w:rPr>
        <w:instrText>ADDIN CSL_CITATION {"citationItems":[{"id":"ITEM-1","itemData":{"ISSN":"0009-921X (Print)","PMID":"8425352","abstract":"The need for a standardized system of end result reporting of various surgical  alternatives after limb salvaging and ablative procedures for musculoskeletal tumors was clearly recognized during the first International Symposium on Limb Salvage (ISOLS) in 1981. During the ensuing four biannual symposia, there has been an ongoing developmental experience with a system extensively field tested in 1989 by the Musculoskeletal Tumor Society (MSTS). This system of functional evaluation has been adopted by the MSTS and ISOLS for their joint studies and program presentation. In brief, the system assigns numerical values (0-5) for each of six categories: pain, and function and emotional acceptance in upper and lower extremities; supports, and walking and gait in the lower extremity; and hand positioning, and dexterity and lifting ability in the upper extremity. Demographic information and a patient satisfaction component is included. A numerical score and percent rating is calculated to allow for comparison of results. The system has been field tested in 220 patients with low (+/-) interobserver variability. It was well accepted by the participants, and its usage is recommended by the MSTS to facilitate valid comparative end result studies of musculoskeletal tumor reconstructions.","author":[{"dropping-particle":"","family":"Enneking","given":"W F","non-dropping-particle":"","parse-names":false,"suffix":""},{"dropping-particle":"","family":"Dunham","given":"W","non-dropping-particle":"","parse-names":false,"suffix":""},{"dropping-particle":"","family":"Gebhardt","given":"M C","non-dropping-particle":"","parse-names":false,"suffix":""},{"dropping-particle":"","family":"Malawar","given":"M","non-dropping-particle":"","parse-names":false,"suffix":""},{"dropping-particle":"","family":"Pritchard","given":"D J","non-dropping-particle":"","parse-names":false,"suffix":""}],"container-title":"Clinical orthopaedics and related research","id":"ITEM-1","issue":"286","issued":{"date-parts":[["1993","1"]]},"language":"eng","page":"241-246","publisher-place":"United States","title":"A system for the functional evaluation of reconstructive procedures after surgical  treatment of tumors of the musculoskeletal system.","type":"article-journal"},"uris":["http://www.mendeley.com/documents/?uuid=ce276eb3-2520-4c43-b518-6a31a62a3dd4"]}],"mendeley":{"formattedCitation":"(36)","plainTextFormattedCitation":"(36)","previouslyFormattedCitation":"(36)"},"properties":{"noteIndex":0},"schema":"https://github.com/citation-style-language/schema/raw/master/csl-citation.json"}</w:instrText>
      </w:r>
      <w:r w:rsidR="002E3A97" w:rsidRPr="005B5460">
        <w:rPr>
          <w:rFonts w:ascii="Times New Roman" w:hAnsi="Times New Roman" w:cs="Times New Roman"/>
        </w:rPr>
        <w:fldChar w:fldCharType="separate"/>
      </w:r>
      <w:r w:rsidR="002E3A97" w:rsidRPr="005B5460">
        <w:rPr>
          <w:rFonts w:ascii="Times New Roman" w:hAnsi="Times New Roman" w:cs="Times New Roman"/>
          <w:noProof/>
        </w:rPr>
        <w:t>(36)</w:t>
      </w:r>
      <w:r w:rsidR="002E3A97" w:rsidRPr="005B5460">
        <w:rPr>
          <w:rFonts w:ascii="Times New Roman" w:hAnsi="Times New Roman" w:cs="Times New Roman"/>
        </w:rPr>
        <w:fldChar w:fldCharType="end"/>
      </w:r>
      <w:r w:rsidR="007E3529" w:rsidRPr="005B5460">
        <w:rPr>
          <w:rFonts w:ascii="Times New Roman" w:hAnsi="Times New Roman" w:cs="Times New Roman"/>
        </w:rPr>
        <w:t>, the Reintegration to Normal Living Index (RNL)</w:t>
      </w:r>
      <w:r w:rsidR="00D97F32" w:rsidRPr="005B5460">
        <w:rPr>
          <w:rFonts w:ascii="Times New Roman" w:hAnsi="Times New Roman" w:cs="Times New Roman"/>
        </w:rPr>
        <w:t xml:space="preserve"> </w:t>
      </w:r>
      <w:r w:rsidR="002E3A97" w:rsidRPr="005B5460">
        <w:rPr>
          <w:rFonts w:ascii="Times New Roman" w:hAnsi="Times New Roman" w:cs="Times New Roman"/>
        </w:rPr>
        <w:fldChar w:fldCharType="begin" w:fldLock="1"/>
      </w:r>
      <w:r w:rsidR="001F77C5" w:rsidRPr="005B5460">
        <w:rPr>
          <w:rFonts w:ascii="Times New Roman" w:hAnsi="Times New Roman" w:cs="Times New Roman"/>
        </w:rPr>
        <w:instrText>ADDIN CSL_CITATION {"citationItems":[{"id":"ITEM-1","itemData":{"DOI":"10.1007/s11999-012-2271-1","ISSN":"1528-1132 (Electronic)","PMID":"22302658","abstract":"INTRODUCTION: Patients with aggressive lower extremity musculoskeletal tumors may be  candidates for either above-knee amputation or limb-salvage surgery. However, the subjective and objective benefits of limb-salvage surgery compared with amputation are not fully clear. QUESTIONS/PURPOSES: We therefore compared functional status and quality of life for patients treated with above-knee amputation versus limb-salvage surgery. METHODS: We reviewed 20 of 51 patients aged 15 years and older treated with above-knee amputation or limb-salvage surgery for aggressive musculoskeletal tumors around the knee between 1994 and 2004 as a retrospective cohort study. At last followup we obtained the Physiological Cost Index, the Reintegration to Normal Living Index, SF-36, and the Toronto Extremity Salvage Score questionnaires. The minimum followup was 12 months (median, 56 months; range, 12-108 months). RESULTS: Compared with patients having above-knee amputation, patients undergoing limb-salvage surgery had superior Physiological Cost Index scores and Reintegration to Normal Living Index. The Toronto Extremity Salvage scores and SF-36 scores were similar in the two groups. CONCLUSION: These data suggest that limb-salvage surgery offers better gait efficiency and return to normal living compared with above-knee amputation, but does not improve the patient's perception of quality of life.","author":[{"dropping-particle":"","family":"Malek","given":"Farbod","non-dropping-particle":"","parse-names":false,"suffix":""},{"dropping-particle":"","family":"Somerson","given":"Jeremy S","non-dropping-particle":"","parse-names":false,"suffix":""},{"dropping-particle":"","family":"Mitchel","given":"Shannon","non-dropping-particle":"","parse-names":false,"suffix":""},{"dropping-particle":"","family":"Williams","given":"Ronald P","non-dropping-particle":"","parse-names":false,"suffix":""}],"container-title":"Clinical orthopaedics and related research","id":"ITEM-1","issue":"7","issued":{"date-parts":[["2012","7"]]},"language":"eng","page":"2000-2006","title":"Does limb-salvage surgery offer patients better quality of life and functional  capacity than amputation?","type":"article-journal","volume":"470"},"uris":["http://www.mendeley.com/documents/?uuid=b18c2b7e-1ca3-4eef-8e44-d2b03c031b23"]}],"mendeley":{"formattedCitation":"(19)","plainTextFormattedCitation":"(19)","previouslyFormattedCitation":"(19)"},"properties":{"noteIndex":0},"schema":"https://github.com/citation-style-language/schema/raw/master/csl-citation.json"}</w:instrText>
      </w:r>
      <w:r w:rsidR="002E3A97" w:rsidRPr="005B5460">
        <w:rPr>
          <w:rFonts w:ascii="Times New Roman" w:hAnsi="Times New Roman" w:cs="Times New Roman"/>
        </w:rPr>
        <w:fldChar w:fldCharType="separate"/>
      </w:r>
      <w:r w:rsidR="002E3A97" w:rsidRPr="005B5460">
        <w:rPr>
          <w:rFonts w:ascii="Times New Roman" w:hAnsi="Times New Roman" w:cs="Times New Roman"/>
          <w:noProof/>
        </w:rPr>
        <w:t>(19)</w:t>
      </w:r>
      <w:r w:rsidR="002E3A97" w:rsidRPr="005B5460">
        <w:rPr>
          <w:rFonts w:ascii="Times New Roman" w:hAnsi="Times New Roman" w:cs="Times New Roman"/>
        </w:rPr>
        <w:fldChar w:fldCharType="end"/>
      </w:r>
      <w:r w:rsidR="007E3529" w:rsidRPr="005B5460">
        <w:rPr>
          <w:rFonts w:ascii="Times New Roman" w:hAnsi="Times New Roman" w:cs="Times New Roman"/>
        </w:rPr>
        <w:t xml:space="preserve"> and the Western Ontario and McMaster Universities </w:t>
      </w:r>
      <w:r w:rsidR="007E3529" w:rsidRPr="005B5460">
        <w:rPr>
          <w:rFonts w:ascii="Times New Roman" w:hAnsi="Times New Roman" w:cs="Times New Roman"/>
        </w:rPr>
        <w:lastRenderedPageBreak/>
        <w:t>(WOMAC) score</w:t>
      </w:r>
      <w:r w:rsidR="00D97F32" w:rsidRPr="005B5460">
        <w:rPr>
          <w:rFonts w:ascii="Times New Roman" w:hAnsi="Times New Roman" w:cs="Times New Roman"/>
        </w:rPr>
        <w:t xml:space="preserve"> </w:t>
      </w:r>
      <w:r w:rsidR="001F77C5" w:rsidRPr="005B5460">
        <w:rPr>
          <w:rFonts w:ascii="Times New Roman" w:hAnsi="Times New Roman" w:cs="Times New Roman"/>
        </w:rPr>
        <w:fldChar w:fldCharType="begin" w:fldLock="1"/>
      </w:r>
      <w:r w:rsidR="001F77C5" w:rsidRPr="005B5460">
        <w:rPr>
          <w:rFonts w:ascii="Times New Roman" w:hAnsi="Times New Roman" w:cs="Times New Roman"/>
        </w:rPr>
        <w:instrText>ADDIN CSL_CITATION {"citationItems":[{"id":"ITEM-1","itemData":{"DOI":"10.1007/s00167-018-5110-4","ISSN":"1433-7347 (Electronic)","PMID":"30132048","abstract":"PURPOSE: To compare the outcomes of allograft-prosthesis composite for  reconstruction after malignant tumors at the distal femur and proximal tibia. METHODS: Case-control study of 24 patients with distal femur tumor and 21 with proximal tibia tumor. Union of the allograft-host interface was assessed by the International Society of Limb Salvage criteria, and complications according Henderson. Functional outcome was evaluated by the Musculoskeletal Tumor Society (MSTS) score, Western Ontario and McMaster Universities (WOMAC) score, and pain by a visual analog scale. RESULTS: The median follow-up in the femoral group was 11.4 (range 2.3-25.0) years, and 10.1 (range 2.2-25.0) in tibial group. Incorporation of the allograft was successful in more than 90% in both groups. Tumor location was not significant predictor for allograft failure in multivariate analysis. Aseptic prosthesis loosening occurred in two patients in either group, and another patient in the tibial group had a breakage of the tibial insert. Excluding local recurrences and amputations, the prosthesis survival at 10 years was 94.1% in the femoral group, and 83.3% in the tibial group (n.s.). For the patients with preserved limb, the median MSTS score was 23.6 in the femoral group and 22.8 in tibial group (n.s.). Likewise, there were no significant differences in median WOMAC score (n.s.) or VAS pain (n.s.). CONCLUSIONS: Allograft-prosthesis composite is an effective procedure for distal femur tumors related to the graft, prosthesis survival, and functional outcomes. The results are comparable to those for proximal tibial tumors. LEVEL OF EVIDENCE: Therapeutic study, Level III.","author":[{"dropping-particle":"","family":"Puerta-GarciaSandoval","given":"Pablo","non-dropping-particle":"","parse-names":false,"suffix":""},{"dropping-particle":"","family":"Lizaur-Utrilla","given":"Alejandro","non-dropping-particle":"","parse-names":false,"suffix":""},{"dropping-particle":"","family":"Trigueros-Rentero","given":"Maria A","non-dropping-particle":"","parse-names":false,"suffix":""},{"dropping-particle":"","family":"Lopez-Prats","given":"Fernando A","non-dropping-particle":"","parse-names":false,"suffix":""}],"container-title":"Knee surgery, sports traumatology, arthroscopy : official journal of the ESSKA","id":"ITEM-1","issue":"7","issued":{"date-parts":[["2019","7"]]},"language":"eng","page":"2218-2225","publisher-place":"Germany","title":"Mid- to long-term results of allograft-prosthesis composite reconstruction after  removal of a distal femoral malignant tumor are comparable to those of the proximal tibia.","type":"article-journal","volume":"27"},"uris":["http://www.mendeley.com/documents/?uuid=621c6867-0acc-4592-b3c3-292715ef19c3"]}],"mendeley":{"formattedCitation":"(37)","plainTextFormattedCitation":"(37)","previouslyFormattedCitation":"(37)"},"properties":{"noteIndex":0},"schema":"https://github.com/citation-style-language/schema/raw/master/csl-citation.json"}</w:instrText>
      </w:r>
      <w:r w:rsidR="001F77C5" w:rsidRPr="005B5460">
        <w:rPr>
          <w:rFonts w:ascii="Times New Roman" w:hAnsi="Times New Roman" w:cs="Times New Roman"/>
        </w:rPr>
        <w:fldChar w:fldCharType="separate"/>
      </w:r>
      <w:r w:rsidR="001F77C5" w:rsidRPr="005B5460">
        <w:rPr>
          <w:rFonts w:ascii="Times New Roman" w:hAnsi="Times New Roman" w:cs="Times New Roman"/>
          <w:noProof/>
        </w:rPr>
        <w:t>(37)</w:t>
      </w:r>
      <w:r w:rsidR="001F77C5" w:rsidRPr="005B5460">
        <w:rPr>
          <w:rFonts w:ascii="Times New Roman" w:hAnsi="Times New Roman" w:cs="Times New Roman"/>
        </w:rPr>
        <w:fldChar w:fldCharType="end"/>
      </w:r>
      <w:r w:rsidR="007E3529" w:rsidRPr="005B5460">
        <w:rPr>
          <w:rFonts w:ascii="Times New Roman" w:hAnsi="Times New Roman" w:cs="Times New Roman"/>
        </w:rPr>
        <w:t>.</w:t>
      </w:r>
      <w:r w:rsidR="001D2902" w:rsidRPr="005B5460">
        <w:rPr>
          <w:rFonts w:ascii="Times New Roman" w:hAnsi="Times New Roman" w:cs="Times New Roman"/>
        </w:rPr>
        <w:t xml:space="preserve"> These outcome measures covered different perspectives of QoL ranging from physical and leisure activities, pain, wellbeing, social and emotional </w:t>
      </w:r>
      <w:r w:rsidR="00363BB5" w:rsidRPr="005B5460">
        <w:rPr>
          <w:rFonts w:ascii="Times New Roman" w:hAnsi="Times New Roman" w:cs="Times New Roman"/>
        </w:rPr>
        <w:t>status</w:t>
      </w:r>
      <w:r w:rsidR="006B6FB0" w:rsidRPr="005B5460">
        <w:rPr>
          <w:rFonts w:ascii="Times New Roman" w:hAnsi="Times New Roman" w:cs="Times New Roman"/>
        </w:rPr>
        <w:t xml:space="preserve"> from patient-perspectives which is ess</w:t>
      </w:r>
      <w:r w:rsidR="005321DC" w:rsidRPr="005B5460">
        <w:rPr>
          <w:rFonts w:ascii="Times New Roman" w:hAnsi="Times New Roman" w:cs="Times New Roman"/>
        </w:rPr>
        <w:t>e</w:t>
      </w:r>
      <w:r w:rsidR="006B6FB0" w:rsidRPr="005B5460">
        <w:rPr>
          <w:rFonts w:ascii="Times New Roman" w:hAnsi="Times New Roman" w:cs="Times New Roman"/>
        </w:rPr>
        <w:t>ntial in this aspect rather than relying solely on clinician-based outcomes</w:t>
      </w:r>
      <w:r w:rsidR="00363BB5" w:rsidRPr="005B5460">
        <w:rPr>
          <w:rFonts w:ascii="Times New Roman" w:hAnsi="Times New Roman" w:cs="Times New Roman"/>
        </w:rPr>
        <w:t>.</w:t>
      </w:r>
      <w:r w:rsidR="007E3529" w:rsidRPr="005B5460">
        <w:rPr>
          <w:rFonts w:ascii="Times New Roman" w:hAnsi="Times New Roman" w:cs="Times New Roman"/>
        </w:rPr>
        <w:t xml:space="preserve"> All of the </w:t>
      </w:r>
      <w:r w:rsidR="00363BB5" w:rsidRPr="005B5460">
        <w:rPr>
          <w:rFonts w:ascii="Times New Roman" w:hAnsi="Times New Roman" w:cs="Times New Roman"/>
        </w:rPr>
        <w:t xml:space="preserve">self-reported </w:t>
      </w:r>
      <w:r w:rsidR="007E3529" w:rsidRPr="005B5460">
        <w:rPr>
          <w:rFonts w:ascii="Times New Roman" w:hAnsi="Times New Roman" w:cs="Times New Roman"/>
        </w:rPr>
        <w:t>outcome measures suggested a good-to-high QoL for LSS patients. The RNL score in Malek et al</w:t>
      </w:r>
      <w:r w:rsidR="00C1377B" w:rsidRPr="005B5460">
        <w:rPr>
          <w:rFonts w:ascii="Times New Roman" w:hAnsi="Times New Roman" w:cs="Times New Roman"/>
        </w:rPr>
        <w:t xml:space="preserve"> </w:t>
      </w:r>
      <w:r w:rsidR="001F77C5" w:rsidRPr="005B5460">
        <w:rPr>
          <w:rFonts w:ascii="Times New Roman" w:hAnsi="Times New Roman" w:cs="Times New Roman"/>
        </w:rPr>
        <w:fldChar w:fldCharType="begin" w:fldLock="1"/>
      </w:r>
      <w:r w:rsidR="001F77C5" w:rsidRPr="005B5460">
        <w:rPr>
          <w:rFonts w:ascii="Times New Roman" w:hAnsi="Times New Roman" w:cs="Times New Roman"/>
        </w:rPr>
        <w:instrText>ADDIN CSL_CITATION {"citationItems":[{"id":"ITEM-1","itemData":{"DOI":"10.1007/s11999-012-2271-1","ISSN":"1528-1132 (Electronic)","PMID":"22302658","abstract":"INTRODUCTION: Patients with aggressive lower extremity musculoskeletal tumors may be  candidates for either above-knee amputation or limb-salvage surgery. However, the subjective and objective benefits of limb-salvage surgery compared with amputation are not fully clear. QUESTIONS/PURPOSES: We therefore compared functional status and quality of life for patients treated with above-knee amputation versus limb-salvage surgery. METHODS: We reviewed 20 of 51 patients aged 15 years and older treated with above-knee amputation or limb-salvage surgery for aggressive musculoskeletal tumors around the knee between 1994 and 2004 as a retrospective cohort study. At last followup we obtained the Physiological Cost Index, the Reintegration to Normal Living Index, SF-36, and the Toronto Extremity Salvage Score questionnaires. The minimum followup was 12 months (median, 56 months; range, 12-108 months). RESULTS: Compared with patients having above-knee amputation, patients undergoing limb-salvage surgery had superior Physiological Cost Index scores and Reintegration to Normal Living Index. The Toronto Extremity Salvage scores and SF-36 scores were similar in the two groups. CONCLUSION: These data suggest that limb-salvage surgery offers better gait efficiency and return to normal living compared with above-knee amputation, but does not improve the patient's perception of quality of life.","author":[{"dropping-particle":"","family":"Malek","given":"Farbod","non-dropping-particle":"","parse-names":false,"suffix":""},{"dropping-particle":"","family":"Somerson","given":"Jeremy S","non-dropping-particle":"","parse-names":false,"suffix":""},{"dropping-particle":"","family":"Mitchel","given":"Shannon","non-dropping-particle":"","parse-names":false,"suffix":""},{"dropping-particle":"","family":"Williams","given":"Ronald P","non-dropping-particle":"","parse-names":false,"suffix":""}],"container-title":"Clinical orthopaedics and related research","id":"ITEM-1","issue":"7","issued":{"date-parts":[["2012","7"]]},"language":"eng","page":"2000-2006","title":"Does limb-salvage surgery offer patients better quality of life and functional  capacity than amputation?","type":"article-journal","volume":"470"},"uris":["http://www.mendeley.com/documents/?uuid=b18c2b7e-1ca3-4eef-8e44-d2b03c031b23"]}],"mendeley":{"formattedCitation":"(19)","plainTextFormattedCitation":"(19)","previouslyFormattedCitation":"(19)"},"properties":{"noteIndex":0},"schema":"https://github.com/citation-style-language/schema/raw/master/csl-citation.json"}</w:instrText>
      </w:r>
      <w:r w:rsidR="001F77C5" w:rsidRPr="005B5460">
        <w:rPr>
          <w:rFonts w:ascii="Times New Roman" w:hAnsi="Times New Roman" w:cs="Times New Roman"/>
        </w:rPr>
        <w:fldChar w:fldCharType="separate"/>
      </w:r>
      <w:r w:rsidR="001F77C5" w:rsidRPr="005B5460">
        <w:rPr>
          <w:rFonts w:ascii="Times New Roman" w:hAnsi="Times New Roman" w:cs="Times New Roman"/>
          <w:noProof/>
        </w:rPr>
        <w:t>(19)</w:t>
      </w:r>
      <w:r w:rsidR="001F77C5" w:rsidRPr="005B5460">
        <w:rPr>
          <w:rFonts w:ascii="Times New Roman" w:hAnsi="Times New Roman" w:cs="Times New Roman"/>
        </w:rPr>
        <w:fldChar w:fldCharType="end"/>
      </w:r>
      <w:r w:rsidR="007E3529" w:rsidRPr="005B5460">
        <w:rPr>
          <w:rFonts w:ascii="Times New Roman" w:hAnsi="Times New Roman" w:cs="Times New Roman"/>
        </w:rPr>
        <w:t xml:space="preserve"> was the only outcome measure to report a significantly better QoL level in LSS patients compared to an ablative surgery group, while </w:t>
      </w:r>
      <w:r w:rsidR="00EF0174" w:rsidRPr="005B5460">
        <w:rPr>
          <w:rFonts w:ascii="Times New Roman" w:hAnsi="Times New Roman" w:cs="Times New Roman"/>
        </w:rPr>
        <w:t xml:space="preserve">the </w:t>
      </w:r>
      <w:r w:rsidR="007E3529" w:rsidRPr="005B5460">
        <w:rPr>
          <w:rFonts w:ascii="Times New Roman" w:hAnsi="Times New Roman" w:cs="Times New Roman"/>
        </w:rPr>
        <w:t xml:space="preserve">other studies found no significant difference between groups. </w:t>
      </w:r>
    </w:p>
    <w:p w14:paraId="2A2704E3" w14:textId="363AE666" w:rsidR="007E3529" w:rsidRPr="005B5460" w:rsidRDefault="007E3529" w:rsidP="007E3529">
      <w:pPr>
        <w:spacing w:line="480" w:lineRule="auto"/>
        <w:rPr>
          <w:rFonts w:ascii="Times New Roman" w:hAnsi="Times New Roman" w:cs="Times New Roman"/>
          <w:i/>
          <w:iCs/>
        </w:rPr>
      </w:pPr>
      <w:r w:rsidRPr="005B5460">
        <w:rPr>
          <w:rFonts w:ascii="Times New Roman" w:hAnsi="Times New Roman" w:cs="Times New Roman"/>
          <w:i/>
          <w:iCs/>
        </w:rPr>
        <w:t xml:space="preserve">Gait </w:t>
      </w:r>
      <w:r w:rsidR="00FE339C" w:rsidRPr="005B5460">
        <w:rPr>
          <w:rFonts w:ascii="Times New Roman" w:hAnsi="Times New Roman" w:cs="Times New Roman"/>
          <w:i/>
          <w:iCs/>
        </w:rPr>
        <w:t>and Knee Goniometry</w:t>
      </w:r>
    </w:p>
    <w:p w14:paraId="35F34C76" w14:textId="36F4BB45" w:rsidR="007E3529" w:rsidRPr="005B5460" w:rsidRDefault="00FE339C" w:rsidP="007E3529">
      <w:pPr>
        <w:spacing w:line="480" w:lineRule="auto"/>
        <w:rPr>
          <w:rFonts w:ascii="Times New Roman" w:hAnsi="Times New Roman" w:cs="Times New Roman"/>
        </w:rPr>
      </w:pPr>
      <w:r w:rsidRPr="005B5460">
        <w:rPr>
          <w:rFonts w:ascii="Times New Roman" w:hAnsi="Times New Roman" w:cs="Times New Roman"/>
        </w:rPr>
        <w:t>There is a paucity of literature on g</w:t>
      </w:r>
      <w:r w:rsidR="007E3529" w:rsidRPr="005B5460">
        <w:rPr>
          <w:rFonts w:ascii="Times New Roman" w:hAnsi="Times New Roman" w:cs="Times New Roman"/>
        </w:rPr>
        <w:t xml:space="preserve">ait in this field and </w:t>
      </w:r>
      <w:r w:rsidR="005D5E60" w:rsidRPr="005B5460">
        <w:rPr>
          <w:rFonts w:ascii="Times New Roman" w:hAnsi="Times New Roman" w:cs="Times New Roman"/>
        </w:rPr>
        <w:t xml:space="preserve">it </w:t>
      </w:r>
      <w:r w:rsidR="007E3529" w:rsidRPr="005B5460">
        <w:rPr>
          <w:rFonts w:ascii="Times New Roman" w:hAnsi="Times New Roman" w:cs="Times New Roman"/>
        </w:rPr>
        <w:t xml:space="preserve">was investigated in only one study. Using a cross-sectional design, the authors conducted gait analysis with a small group of patients via convenience sampling at a university hospital and compared the findings with healthy </w:t>
      </w:r>
      <w:r w:rsidRPr="005B5460">
        <w:rPr>
          <w:rFonts w:ascii="Times New Roman" w:hAnsi="Times New Roman" w:cs="Times New Roman"/>
        </w:rPr>
        <w:t xml:space="preserve">data </w:t>
      </w:r>
      <w:r w:rsidR="001F77C5"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{"citationItems":[{"id":"ITEM-1","itemData":{"DOI":"10.4103/ortho.IJOrtho_188_17","ISSN":"0019-5413","abstract":"BACKGROUND: Limb salvage surgery with endoprosthesis for bone tumor around the knee is reported to have good functional and oncological outcomes. However, the functional assessment using musculoskeletal tumor society (MSTS) and Toronto extremity scoring system remains subjective. We performed gait analysis as an objective assessment of their functional outcome. MATERIALS AND METHODS: Gait analysis was performed in 20 patients with endoprosthesis replacement around the knee. The temporal parameters assessed during gait analysis were walking velocity, stride length, duration of stance, and goniometry of the knee. These parameters were compared with the functional outcome score of the MSTS. RESULTS: The mean free-paced walking velocity was 0.91 m/s (normal is 1.33 m/s), which was 68% lower than normal gait. The stride length and stance phase were shorter for the affected limb compared to normal (P &lt; 0.05). However, the gait was symmetrical with no difference in stride length (P = 0.148), velocity (P = 0.918), knee flexion (P = 0.465), and knee extension (P = 0.321) between the affected and unaffected limbs. Sixteen patients demonstrated stiff knee gait, two had a flexed knee gait, and only two patients had normal gait during the stance phase. The mean MSTS score was 21. There was significant correlation between overall MSTS scores (P = 0.023), function (P = 0.039), and walking scores (P = 0.007). CONCLUSION: Limb salvage surgery with endoprosthesis reconstruction around the knee gives good functional outcome, both objectively and subjectively, as evidenced by the symmetrical gait pattern and significant correlation with MSTS score. Despite decreased walking velocity, stride length, and stance phase of the operated limb, the patient still has a symmetrical gait.","author":[{"dropping-particle":"","family":"Singh","given":"Vivek Ajit","non-dropping-particle":"","parse-names":false,"suffix":""},{"dropping-particle":"","family":"Heng","given":"Chan Wei","non-dropping-particle":"","parse-names":false,"suffix":""},{"dropping-particle":"","family":"Yasin","given":"Nor Faissal","non-dropping-particle":"","parse-names":false,"suffix":""}],"container-title":"Indian journal of orthopaedics","id":"ITEM-1","issue":"1","issued":{"date-parts":[["2018"]]},"language":"eng","page":"65-72","publisher":"Medknow Publications &amp; Media Pvt Ltd","title":"Gait Analysis in Patients with Wide Resection and Endoprosthesis Replacement Around the Knee","type":"article-journal","volume":"52"},"uris":["http://www.mendeley.com/documents/?uuid=57636998-9e65-4246-9a8b-1ba396562085"]}],"mendeley":{"formattedCitation":"(38)","plainTextFormattedCitation":"(38)","previouslyFormattedCitation":"(39)"},"properties":{"noteIndex":0},"schema":"https://github.com/citation-style-language/schema/raw/master/csl-citation.json"}</w:instrText>
      </w:r>
      <w:r w:rsidR="001F77C5" w:rsidRPr="005B5460">
        <w:rPr>
          <w:rFonts w:ascii="Times New Roman" w:hAnsi="Times New Roman" w:cs="Times New Roman"/>
        </w:rPr>
        <w:fldChar w:fldCharType="separate"/>
      </w:r>
      <w:r w:rsidR="009D0EA8" w:rsidRPr="005B5460">
        <w:rPr>
          <w:rFonts w:ascii="Times New Roman" w:hAnsi="Times New Roman" w:cs="Times New Roman"/>
          <w:noProof/>
        </w:rPr>
        <w:t>(38)</w:t>
      </w:r>
      <w:r w:rsidR="001F77C5" w:rsidRPr="005B5460">
        <w:rPr>
          <w:rFonts w:ascii="Times New Roman" w:hAnsi="Times New Roman" w:cs="Times New Roman"/>
        </w:rPr>
        <w:fldChar w:fldCharType="end"/>
      </w:r>
      <w:r w:rsidR="007E3529" w:rsidRPr="005B5460">
        <w:rPr>
          <w:rFonts w:ascii="Times New Roman" w:hAnsi="Times New Roman" w:cs="Times New Roman"/>
        </w:rPr>
        <w:t xml:space="preserve">. The study itself had many limitations, including a small sample size and a wide variation in age </w:t>
      </w:r>
      <w:r w:rsidR="006A21DE" w:rsidRPr="005B5460">
        <w:rPr>
          <w:rFonts w:ascii="Times New Roman" w:hAnsi="Times New Roman" w:cs="Times New Roman"/>
        </w:rPr>
        <w:t xml:space="preserve">(8 – 44 years) </w:t>
      </w:r>
      <w:r w:rsidR="007E3529" w:rsidRPr="005B5460">
        <w:rPr>
          <w:rFonts w:ascii="Times New Roman" w:hAnsi="Times New Roman" w:cs="Times New Roman"/>
        </w:rPr>
        <w:t xml:space="preserve">and </w:t>
      </w:r>
      <w:r w:rsidR="006A21DE" w:rsidRPr="005B5460">
        <w:rPr>
          <w:rFonts w:ascii="Times New Roman" w:hAnsi="Times New Roman" w:cs="Times New Roman"/>
        </w:rPr>
        <w:t xml:space="preserve">corresponding </w:t>
      </w:r>
      <w:r w:rsidR="007E3529" w:rsidRPr="005B5460">
        <w:rPr>
          <w:rFonts w:ascii="Times New Roman" w:hAnsi="Times New Roman" w:cs="Times New Roman"/>
        </w:rPr>
        <w:t>MSTS scores. Singh et al</w:t>
      </w:r>
      <w:r w:rsidR="006A21DE" w:rsidRPr="005B5460">
        <w:rPr>
          <w:rFonts w:ascii="Times New Roman" w:hAnsi="Times New Roman" w:cs="Times New Roman"/>
        </w:rPr>
        <w:t xml:space="preserve"> </w:t>
      </w:r>
      <w:r w:rsidR="001F77C5"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{"citationItems":[{"id":"ITEM-1","itemData":{"DOI":"10.4103/ortho.IJOrtho_188_17","ISSN":"0019-5413","abstract":"BACKGROUND: Limb salvage surgery with endoprosthesis for bone tumor around the knee is reported to have good functional and oncological outcomes. However, the functional assessment using musculoskeletal tumor society (MSTS) and Toronto extremity scoring system remains subjective. We performed gait analysis as an objective assessment of their functional outcome. MATERIALS AND METHODS: Gait analysis was performed in 20 patients with endoprosthesis replacement around the knee. The temporal parameters assessed during gait analysis were walking velocity, stride length, duration of stance, and goniometry of the knee. These parameters were compared with the functional outcome score of the MSTS. RESULTS: The mean free-paced walking velocity was 0.91 m/s (normal is 1.33 m/s), which was 68% lower than normal gait. The stride length and stance phase were shorter for the affected limb compared to normal (P &lt; 0.05). However, the gait was symmetrical with no difference in stride length (P = 0.148), velocity (P = 0.918), knee flexion (P = 0.465), and knee extension (P = 0.321) between the affected and unaffected limbs. Sixteen patients demonstrated stiff knee gait, two had a flexed knee gait, and only two patients had normal gait during the stance phase. The mean MSTS score was 21. There was significant correlation between overall MSTS scores (P = 0.023), function (P = 0.039), and walking scores (P = 0.007). CONCLUSION: Limb salvage surgery with endoprosthesis reconstruction around the knee gives good functional outcome, both objectively and subjectively, as evidenced by the symmetrical gait pattern and significant correlation with MSTS score. Despite decreased walking velocity, stride length, and stance phase of the operated limb, the patient still has a symmetrical gait.","author":[{"dropping-particle":"","family":"Singh","given":"Vivek Ajit","non-dropping-particle":"","parse-names":false,"suffix":""},{"dropping-particle":"","family":"Heng","given":"Chan Wei","non-dropping-particle":"","parse-names":false,"suffix":""},{"dropping-particle":"","family":"Yasin","given":"Nor Faissal","non-dropping-particle":"","parse-names":false,"suffix":""}],"container-title":"Indian journal of orthopaedics","id":"ITEM-1","issue":"1","issued":{"date-parts":[["2018"]]},"language":"eng","page":"65-72","publisher":"Medknow Publications &amp; Media Pvt Ltd","title":"Gait Analysis in Patients with Wide Resection and Endoprosthesis Replacement Around the Knee","type":"article-journal","volume":"52"},"uris":["http://www.mendeley.com/documents/?uuid=57636998-9e65-4246-9a8b-1ba396562085"]}],"mendeley":{"formattedCitation":"(38)","plainTextFormattedCitation":"(38)","previouslyFormattedCitation":"(39)"},"properties":{"noteIndex":0},"schema":"https://github.com/citation-style-language/schema/raw/master/csl-citation.json"}</w:instrText>
      </w:r>
      <w:r w:rsidR="001F77C5" w:rsidRPr="005B5460">
        <w:rPr>
          <w:rFonts w:ascii="Times New Roman" w:hAnsi="Times New Roman" w:cs="Times New Roman"/>
        </w:rPr>
        <w:fldChar w:fldCharType="separate"/>
      </w:r>
      <w:r w:rsidR="009D0EA8" w:rsidRPr="005B5460">
        <w:rPr>
          <w:rFonts w:ascii="Times New Roman" w:hAnsi="Times New Roman" w:cs="Times New Roman"/>
          <w:noProof/>
        </w:rPr>
        <w:t>(38)</w:t>
      </w:r>
      <w:r w:rsidR="001F77C5" w:rsidRPr="005B5460">
        <w:rPr>
          <w:rFonts w:ascii="Times New Roman" w:hAnsi="Times New Roman" w:cs="Times New Roman"/>
        </w:rPr>
        <w:fldChar w:fldCharType="end"/>
      </w:r>
      <w:r w:rsidR="007E3529" w:rsidRPr="005B5460">
        <w:rPr>
          <w:rFonts w:ascii="Times New Roman" w:hAnsi="Times New Roman" w:cs="Times New Roman"/>
        </w:rPr>
        <w:t xml:space="preserve"> revealed significant differences between the affected and non-affected site in terms of </w:t>
      </w:r>
      <w:r w:rsidR="006A21DE" w:rsidRPr="005B5460">
        <w:rPr>
          <w:rFonts w:ascii="Times New Roman" w:hAnsi="Times New Roman" w:cs="Times New Roman"/>
        </w:rPr>
        <w:t xml:space="preserve">knee goniometry and </w:t>
      </w:r>
      <w:r w:rsidR="007E3529" w:rsidRPr="005B5460">
        <w:rPr>
          <w:rFonts w:ascii="Times New Roman" w:hAnsi="Times New Roman" w:cs="Times New Roman"/>
        </w:rPr>
        <w:t xml:space="preserve">gait quality </w:t>
      </w:r>
      <w:r w:rsidR="006A21DE" w:rsidRPr="005B5460">
        <w:rPr>
          <w:rFonts w:ascii="Times New Roman" w:hAnsi="Times New Roman" w:cs="Times New Roman"/>
        </w:rPr>
        <w:t>(determined as ‘pattern’ and cyclicality of gait)</w:t>
      </w:r>
      <w:r w:rsidR="007E3529" w:rsidRPr="005B5460">
        <w:rPr>
          <w:rFonts w:ascii="Times New Roman" w:hAnsi="Times New Roman" w:cs="Times New Roman"/>
        </w:rPr>
        <w:t xml:space="preserve">. In addition, the affected gait pattern was positively correlated with the lowest-scoring MSTS component, which was walking ability. This finding is consistent with the three papers reporting ‘walking ability’ as having the lowest score </w:t>
      </w:r>
      <w:r w:rsidR="00E951E7"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{"citationItems":[{"id":"ITEM-1","itemData":{"DOI":"10.1002/jso.24618","ISSN":"1096-9098 (Electronic)","PMID":"28384378","abstract":"BACKGROUND AND OBJECTIVES: In a previous conducted study functional outcome of young  patients with bone sarcoma located around the knee was longitudinally evaluated during the first 2 years postoperatively. Functional outcome improved significantly over the first 2 years. The purpose of this descriptive study was to evaluate the functional outcome of these patients at long-term follow-up of 7 years. METHODS: Functional outcome was assessed with the TESS, MSTS, Baecke questionnaire, and three functional performance tests: time up and down stairs (TUDS), various walking activities (VWA), and the 6-min walking test (6MWT). Linear Mixed Model has been employed for the repeated measurements. RESULTS: Twenty patients of the original study (n = 44) participated in the current study. Fifteen limb-salvage and five ablative surgery patients, median follow-up 7.4 years (6.8-8.0) (CI 95%), mean age 22.3 years (18.2-31.6). Between 2 and 7 years after surgery, 8 limb-salvage patients (53%) encountered surgery related complications. Questionnaires and functional performance tests showed no significant difference in functional outcome between 2 years and 7 years after surgery (P &lt; 0.05). CONCLUSIONS: Between 2 years and follow-up at average 7 years after surgery no further improvements were noticed at young patients with a bone sarcoma located around the knee.","author":[{"dropping-particle":"","family":"Egmond-van Dam","given":"Janneke C","non-dropping-particle":"van","parse-names":false,"suffix":""},{"dropping-particle":"","family":"Bekkering","given":"W Peter","non-dropping-particle":"","parse-names":false,"suffix":""},{"dropping-particle":"","family":"Bramer","given":"Jos A M","non-dropping-particle":"","parse-names":false,"suffix":""},{"dropping-particle":"","family":"Beishuizen","given":"Auke","non-dropping-particle":"","parse-names":false,"suffix":""},{"dropping-particle":"","family":"Fiocco","given":"Marta","non-dropping-particle":"","parse-names":false,"suffix":""},{"dropping-particle":"","family":"Dijkstra","given":"P D Sander","non-dropping-particle":"","parse-names":false,"suffix":""}],"container-title":"Journal of surgical oncology","id":"ITEM-1","issue":"8","issued":{"date-parts":[["2017","6"]]},"language":"eng","page":"1028-1032","title":"Functional outcome after surgery in patients with bone sarcoma around the knee;  results from a long-term prospective study.","type":"article-journal","volume":"115"},"uris":["http://www.mendeley.com/documents/?uuid=d0dd1dc4-c702-4d78-bb3f-fc5899a688ed"]},{"id":"ITEM-2","itemData":{"DOI":"10.4103/ortho.IJOrtho_188_17","ISSN":"0019-5413","abstract":"BACKGROUND: Limb salvage surgery with endoprosthesis for bone tumor around the knee is reported to have good functional and oncological outcomes. However, the functional assessment using musculoskeletal tumor society (MSTS) and Toronto extremity scoring system remains subjective. We performed gait analysis as an objective assessment of their functional outcome. MATERIALS AND METHODS: Gait analysis was performed in 20 patients with endoprosthesis replacement around the knee. The temporal parameters assessed during gait analysis were walking velocity, stride length, duration of stance, and goniometry of the knee. These parameters were compared with the functional outcome score of the MSTS. RESULTS: The mean free-paced walking velocity was 0.91 m/s (normal is 1.33 m/s), which was 68% lower than normal gait. The stride length and stance phase were shorter for the affected limb compared to normal (P &lt; 0.05). However, the gait was symmetrical with no difference in stride length (P = 0.148), velocity (P = 0.918), knee flexion (P = 0.465), and knee extension (P = 0.321) between the affected and unaffected limbs. Sixteen patients demonstrated stiff knee gait, two had a flexed knee gait, and only two patients had normal gait during the stance phase. The mean MSTS score was 21. There was significant correlation between overall MSTS scores (P = 0.023), function (P = 0.039), and walking scores (P = 0.007). CONCLUSION: Limb salvage surgery with endoprosthesis reconstruction around the knee gives good functional outcome, both objectively and subjectively, as evidenced by the symmetrical gait pattern and significant correlation with MSTS score. Despite decreased walking velocity, stride length, and stance phase of the operated limb, the patient still has a symmetrical gait.","author":[{"dropping-particle":"","family":"Singh","given":"Vivek Ajit","non-dropping-particle":"","parse-names":false,"suffix":""},{"dropping-particle":"","family":"Heng","given":"Chan Wei","non-dropping-particle":"","parse-names":false,"suffix":""},{"dropping-particle":"","family":"Yasin","given":"Nor Faissal","non-dropping-particle":"","parse-names":false,"suffix":""}],"container-title":"Indian journal of orthopaedics","id":"ITEM-2","issue":"1","issued":{"date-parts":[["2018"]]},"language":"eng","page":"65-72","publisher":"Medknow Publications &amp; Media Pvt Ltd","title":"Gait Analysis in Patients with Wide Resection and Endoprosthesis Replacement Around the Knee","type":"article-journal","volume":"52"},"uris":["http://www.mendeley.com/documents/?uuid=57636998-9e65-4246-9a8b-1ba396562085"]},{"id":"ITEM-3","itemData":{"DOI":"10.1093/jjco/hyu093","ISSN":"1465-3621 (Electronic)","PMID":"25057091","abstract":"OBJECTIVE: Extra-articular resection is necessary to obtain a wide margin for  primary osteosarcomas invading the knee joint, and the limb is often reconstructed using a prosthesis. Here, outcomes of extra-articular and intra-articular procedures were compared. METHODS: Between 1999 and 2012, 14 patients with osteosarcoma underwent extra-articular excision (n = 6; ages 23-65 years; mean follow-up 82.8 months) or intra-articular excision (n = 8; ages 8-58 years; mean follow-up 96.4 months). In the extra-articular group, there was one Enneking Stage IIA case and five Enneking Stage IIB cases. No local recurrences were noted in either group. RESULTS: Patient outcomes were as follows (extra-articular cases vs. intra-articular cases): continuous disease-free (2 vs. 7), alive with disease (2 vs. 0) and death from disease (1 vs. 1). Average Musculoskeletal Tumor Society functional scores were 69.4% (range 63.3-83.3%) and 88.3% (range 70.0-96.7%) in the extra-articular and intra-articular groups, respectively, constituting a significant difference (P &lt; 0.05). The 5-year oncological overall survival exceeded 80% in both groups. Amputation was necessary for one patient in the extra-articular group. The 5-year event-free prosthesis survival rates in the extra-articular and intra-articular groups were 33.3 and 75.0%, respectively (P &lt; 0.05). CONCLUSION: The extra-articular excision group developed more complications than the intra-articular excision group, as a result of extensive bone and muscle excision. The limb survival rates were similar in both groups. Our results suggest that extra-articular resection was a necessary and clinically acceptable procedure.","author":[{"dropping-particle":"","family":"Ieguchi","given":"Makoto","non-dropping-particle":"","parse-names":false,"suffix":""},{"dropping-particle":"","family":"Hoshi","given":"Manabu","non-dropping-particle":"","parse-names":false,"suffix":""},{"dropping-particle":"","family":"Aono","given":"Masanari","non-dropping-particle":"","parse-names":false,"suffix":""},{"dropping-particle":"","family":"Takada","given":"Jun","non-dropping-particle":"","parse-names":false,"suffix":""},{"dropping-particle":"","family":"Ohebisu","given":"Naoto","non-dropping-particle":"","parse-names":false,"suffix":""},{"dropping-particle":"","family":"Kudawara","given":"Ikuo","non-dropping-particle":"","parse-names":false,"suffix":""},{"dropping-particle":"","family":"Nakamura","given":"Hiroaki","non-dropping-particle":"","parse-names":false,"suffix":""}],"container-title":"Japanese journal of clinical oncology","id":"ITEM-3","issue":"9","issued":{"date-parts":[["2014","9"]]},"language":"eng","page":"812-817","publisher-place":"England","title":"Knee reconstruction with endoprosthesis after extra-articular and intra-articular  resection of osteosarcoma.","type":"article-journal","volume":"44"},"uris":["http://www.mendeley.com/documents/?uuid=67433737-0661-46b4-aabd-8e287e8aefd4"]}],"mendeley":{"formattedCitation":"(17,38,40)","plainTextFormattedCitation":"(17,38,40)","previouslyFormattedCitation":"(17,39,41)"},"properties":{"noteIndex":0},"schema":"https://github.com/citation-style-language/schema/raw/master/csl-citation.json"}</w:instrText>
      </w:r>
      <w:r w:rsidR="00E951E7" w:rsidRPr="005B5460">
        <w:rPr>
          <w:rFonts w:ascii="Times New Roman" w:hAnsi="Times New Roman" w:cs="Times New Roman"/>
        </w:rPr>
        <w:fldChar w:fldCharType="separate"/>
      </w:r>
      <w:r w:rsidR="009D0EA8" w:rsidRPr="005B5460">
        <w:rPr>
          <w:rFonts w:ascii="Times New Roman" w:hAnsi="Times New Roman" w:cs="Times New Roman"/>
          <w:noProof/>
        </w:rPr>
        <w:t>(17,38,40)</w:t>
      </w:r>
      <w:r w:rsidR="00E951E7" w:rsidRPr="005B5460">
        <w:rPr>
          <w:rFonts w:ascii="Times New Roman" w:hAnsi="Times New Roman" w:cs="Times New Roman"/>
        </w:rPr>
        <w:fldChar w:fldCharType="end"/>
      </w:r>
      <w:r w:rsidR="007E3529" w:rsidRPr="005B5460">
        <w:rPr>
          <w:rFonts w:ascii="Times New Roman" w:hAnsi="Times New Roman" w:cs="Times New Roman"/>
        </w:rPr>
        <w:t xml:space="preserve">. Interestingly, the study found that 90% of participants who exhibited stiff knee gait when the range of motion (ROM) was actively and passively assessed were within a normal range, although their gait was affected. </w:t>
      </w:r>
    </w:p>
    <w:p w14:paraId="51C91618" w14:textId="3ABFE344" w:rsidR="007E3529" w:rsidRPr="005B5460" w:rsidRDefault="007E3529" w:rsidP="007E3529">
      <w:pPr>
        <w:spacing w:line="480" w:lineRule="auto"/>
        <w:rPr>
          <w:rFonts w:ascii="Times New Roman" w:hAnsi="Times New Roman" w:cs="Times New Roman"/>
        </w:rPr>
      </w:pPr>
      <w:r w:rsidRPr="005B5460">
        <w:rPr>
          <w:rFonts w:ascii="Times New Roman" w:hAnsi="Times New Roman" w:cs="Times New Roman"/>
        </w:rPr>
        <w:t>Range of motion of knee flexion and extension was measured in eight of the papers; however, its calculation was inconsistent. Zhang et al</w:t>
      </w:r>
      <w:r w:rsidR="0093785F" w:rsidRPr="005B5460">
        <w:rPr>
          <w:rFonts w:ascii="Times New Roman" w:hAnsi="Times New Roman" w:cs="Times New Roman"/>
        </w:rPr>
        <w:t xml:space="preserve"> </w:t>
      </w:r>
      <w:r w:rsidR="00CF404F"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{"citationItems":[{"id":"ITEM-1","itemData":{"DOI":"10.1007/s00264-018-3770-9","ISSN":"1432-5195 (Electronic)","PMID":"29427125","abstract":"PURPOSE: We initiated a retrospective study on the long-term survival of cemented  endoprostheses for bone tumours around the knee to answer the following questions: (1) What was the survival of these patients? (2) What was the overall survival of cemented prostheses around the knee? (3) What types of failures were observed in these reconstructions? (4) Did the survival and complications vary according to the site of the implant? (5) What was the functional result after cemented prosthesis replacement around the knee? METHODS: From January 2006 to December 2013, 108 consecutive patients with an average age of 25 years, who had mature bone development as evidenced by imaging examinations, underwent 108 cemented endoprosthetic knee replacements for osteosarcoma resection. All patients received neoadjuvant chemotherapy using a multi-drug protocol consisting of high dose methotrexate (HDMTX), doxorubicin (ADM), cisplatin (DDP) and high dose ifosfamide (HDIFO). When extensor mechanism reconstruction was required, we ran nonabsorbable sutures through designated holes in the tibial component to fix detached hamstrings and the remaining ligaments in an imbricated fashion as well as reinforced the reconstruction with a medial gastrocnemius flap. Seventy-two (72/108, 66.7%) lesions were located in the distal femur and 36 (36/108, 33.3%) lesions at the proximal tibias. Nineteen patients were staged as IIA and 89 as IIB according to the Enneking staging system. The average follow-up was 53.3 months (range 12-125 months), with a minimum oncological follow-up of one year. Survival, prosthetic failure, complications and functional outcomes were recorded and reassessed at every visit after the primary operation. RESULTS: At the final follow-up, the oncologic results showed that 33 patients died from metastases, and local recurrence occurred in ten patients. The estimated overall five-year and eight-year survival rates were 71% (95% CI: 62.4-79.65%) and 67.2% (95% CI: 58-76.4%), respectively. In this study, a total of 51 complications occurred in 45 patients, and at the end of follow-up, 59 patients had prostheses in situ. The estimated overall five-year and eight-year implant survival rates were 77.7% (95% CI: 67.9-87.5%) and 54.5% (95% CI: 31.4-77.6%), respectively, when patients who died with their original prostheses were censored. In total, 21 (21/108, 19.4%) implants failed, five due to infections (5/21), eight due to aseptic loosening (8/21), four due to local re…","author":[{"dropping-particle":"","family":"Zhang","given":"Chunlin","non-dropping-particle":"","parse-names":false,"suffix":""},{"dropping-particle":"","family":"Hu","given":"Jianping","non-dropping-particle":"","parse-names":false,"suffix":""},{"dropping-particle":"","family":"Zhu","given":"Kunpeng","non-dropping-particle":"","parse-names":false,"suffix":""},{"dropping-particle":"","family":"Cai","given":"Tao","non-dropping-particle":"","parse-names":false,"suffix":""},{"dropping-particle":"","family":"Ma","given":"Xiaolong","non-dropping-particle":"","parse-names":false,"suffix":""}],"container-title":"International orthopaedics","id":"ITEM-1","issue":"4","issued":{"date-parts":[["2018","4"]]},"language":"eng","page":"927-938","publisher-place":"Germany","title":"Survival, complications and functional outcomes of cemented megaprostheses for  high-grade osteosarcoma around the knee.","type":"article-journal","volume":"42"},"uris":["http://www.mendeley.com/documents/?uuid=dc326e07-de8f-4cdd-bd80-4a3658265e05"]}],"mendeley":{"formattedCitation":"(39)","plainTextFormattedCitation":"(39)","previouslyFormattedCitation":"(40)"},"properties":{"noteIndex":0},"schema":"https://github.com/citation-style-language/schema/raw/master/csl-citation.json"}</w:instrText>
      </w:r>
      <w:r w:rsidR="00CF404F" w:rsidRPr="005B5460">
        <w:rPr>
          <w:rFonts w:ascii="Times New Roman" w:hAnsi="Times New Roman" w:cs="Times New Roman"/>
        </w:rPr>
        <w:fldChar w:fldCharType="separate"/>
      </w:r>
      <w:r w:rsidR="009D0EA8" w:rsidRPr="005B5460">
        <w:rPr>
          <w:rFonts w:ascii="Times New Roman" w:hAnsi="Times New Roman" w:cs="Times New Roman"/>
          <w:noProof/>
        </w:rPr>
        <w:t>(39)</w:t>
      </w:r>
      <w:r w:rsidR="00CF404F" w:rsidRPr="005B5460">
        <w:rPr>
          <w:rFonts w:ascii="Times New Roman" w:hAnsi="Times New Roman" w:cs="Times New Roman"/>
        </w:rPr>
        <w:fldChar w:fldCharType="end"/>
      </w:r>
      <w:r w:rsidRPr="005B5460">
        <w:rPr>
          <w:rFonts w:ascii="Times New Roman" w:hAnsi="Times New Roman" w:cs="Times New Roman"/>
        </w:rPr>
        <w:t xml:space="preserve"> reported the use of ROM to assess knee goniometry; however, it was used with patients who developed the complication of “patella </w:t>
      </w:r>
      <w:proofErr w:type="spellStart"/>
      <w:r w:rsidRPr="005B5460">
        <w:rPr>
          <w:rFonts w:ascii="Times New Roman" w:hAnsi="Times New Roman" w:cs="Times New Roman"/>
        </w:rPr>
        <w:t>alta</w:t>
      </w:r>
      <w:proofErr w:type="spellEnd"/>
      <w:r w:rsidRPr="005B5460">
        <w:rPr>
          <w:rFonts w:ascii="Times New Roman" w:hAnsi="Times New Roman" w:cs="Times New Roman"/>
        </w:rPr>
        <w:t xml:space="preserve">”, which is a high position of the patella in the knee, and the rest of the participants were disregarded in this </w:t>
      </w:r>
      <w:r w:rsidR="008C5C69" w:rsidRPr="005B5460">
        <w:rPr>
          <w:rFonts w:ascii="Times New Roman" w:hAnsi="Times New Roman" w:cs="Times New Roman"/>
        </w:rPr>
        <w:t>study</w:t>
      </w:r>
      <w:r w:rsidRPr="005B5460">
        <w:rPr>
          <w:rFonts w:ascii="Times New Roman" w:hAnsi="Times New Roman" w:cs="Times New Roman"/>
        </w:rPr>
        <w:t xml:space="preserve">. ROM has been used in multipurpose studies that are concerned with post-operative outcomes in terms of survival, complications and functional outcomes. </w:t>
      </w:r>
      <w:r w:rsidRPr="005B5460">
        <w:rPr>
          <w:rFonts w:ascii="Times New Roman" w:hAnsi="Times New Roman" w:cs="Times New Roman"/>
        </w:rPr>
        <w:lastRenderedPageBreak/>
        <w:t>Therefore, the ROM reported through the analysis of these papers ranged considerably, from 60 degrees to 140 degrees, which was the highest degree reported among the studies</w:t>
      </w:r>
      <w:r w:rsidR="00E63F36" w:rsidRPr="005B5460">
        <w:rPr>
          <w:rFonts w:ascii="Times New Roman" w:hAnsi="Times New Roman" w:cs="Times New Roman"/>
        </w:rPr>
        <w:t xml:space="preserve"> </w:t>
      </w:r>
      <w:r w:rsidR="0005012F"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{"citationItems":[{"id":"ITEM-1","itemData":{"DOI":"10.1016/j.knee.2009.02.006","ISSN":"1873-5800 (Electronic)","PMID":"19269182","abstract":"Bone sarcomas are the fourth most common cancer in individuals under 25 years. Limb  salvage procedures are popular for the treatment of osteosarcomas as they have functional and physiological benefits over traditional amputative procedures. The objective of this study was to apply disease specific measures to a group of intra-articular knee osteosarcoma patients and to evaluate structural and treatment variables predictive of the functional outcome scores. Twenty patients (10 female, 10 male) treated with tumour resection and endoprosthetic knee arthroplasty took part in the study. The Musculoskeletal Tumour Society (MSTS) rating scale and the Toronto Extremity Salvage Score (TESS) were used to assess impairment and disability respectively. Impairment was recorded as 83% and disability was recorded as 86% suggesting moderate to high function following limb salvage surgery. Task difficulty was shown to increase for activities requiring large knee flexion angles, presumably due to increased patellofemoral forces. Bivariate correlations revealed that loss of quadriceps musculature, knee extension strength and knee flexion range of motion were parameters moderately associated with the assessment instruments. ANOVA revealed no significant differences in impairment (P=0.962) or disability (P=0.411) between the differing types of prostheses. In conclusion clinicians and therapists should emphasise restoration of post-surgical range of motion and strength in order to enhance functional recovery.","author":[{"dropping-particle":"","family":"Carty","given":"Christopher P","non-dropping-particle":"","parse-names":false,"suffix":""},{"dropping-particle":"","family":"Dickinson","given":"Ian C","non-dropping-particle":"","parse-names":false,"suffix":""},{"dropping-particle":"","family":"Watts","given":"Mark C","non-dropping-particle":"","parse-names":false,"suffix":""},{"dropping-particle":"","family":"Crawford","given":"Ross W","non-dropping-particle":"","parse-names":false,"suffix":""},{"dropping-particle":"","family":"Steadman","given":"Peter","non-dropping-particle":"","parse-names":false,"suffix":""}],"container-title":"The Knee","id":"ITEM-1","issue":"5","issued":{"date-parts":[["2009","10"]]},"language":"eng","page":"405-408","publisher-place":"Netherlands","title":"Impairment and disability following limb salvage procedures for bone sarcoma.","type":"article-journal","volume":"16"},"uris":["http://www.mendeley.com/documents/?uuid=f0acb2b8-fdb8-4093-97e7-40e9515dd570"]},{"id":"ITEM-2","itemData":{"DOI":"10.1016/j.ejso.2016.05.018","ISSN":"1532-2157 (Electronic)","PMID":"27266818","abstract":"We reviewed the oncological and functional outcomes of patients treated for a  primary sarcoma possibly involving the knee joint and present an algorithm to guide treatment. The records of 76 patients who had a primary bone or soft tissue sarcoma possibly invading the knee between 1996 and 2012 were identified. Mean age and follow-up was 32 years (9-74) and 64 months (12-195), respectively. Patients were grouped according to the resection (Intra-articular [IAR] vs. Extra-articular [EAR] vs. Amputation/rotationplasty) for survival and functional outcomes. Overall 5 and 10 year survival was 61% and 53%, respectively. No differences in survival were found between the 3 groups (p = 0.55). Sixteen patients developed local recurrence with no difference between the groups. Mean MSTS score was 24.5 (12-30). Mean flexion at final follow-up was 106° (70-130°). We conclude that EAR of the knee allows for good oncologic and functional outcomes but with an increased risk of complications compared to IAR. Intra-operative assessment of joint involvement can be done in patients where joint infiltration by the tumour is not clear to avoid an unnecessary EAR. For chondrosarcoma patients with joint involvement, an EAR should be carefully considered because they present a significantly higher local recurrence risk.","author":[{"dropping-particle":"","family":"Shahid","given":"M","non-dropping-particle":"","parse-names":false,"suffix":""},{"dropping-particle":"","family":"Albergo","given":"N","non-dropping-particle":"","parse-names":false,"suffix":""},{"dropping-particle":"","family":"Purvis","given":"T","non-dropping-particle":"","parse-names":false,"suffix":""},{"dropping-particle":"","family":"Heron","given":"K","non-dropping-particle":"","parse-names":false,"suffix":""},{"dropping-particle":"","family":"Gaston","given":"L","non-dropping-particle":"","parse-names":false,"suffix":""},{"dropping-particle":"","family":"Carter","given":"S","non-dropping-particle":"","parse-names":false,"suffix":""},{"dropping-particle":"","family":"Grimer","given":"R","non-dropping-particle":"","parse-names":false,"suffix":""},{"dropping-particle":"","family":"Jeys","given":"L","non-dropping-particle":"","parse-names":false,"suffix":""}],"container-title":"European journal of surgical oncology : the journal of the European Society of  Surgical Oncology and the British Association of Surgical Oncology","id":"ITEM-2","issue":"1","issued":{"date-parts":[["2017","1"]]},"language":"eng","page":"175-180","publisher-place":"England","title":"Management of sarcomas possibly involving the knee joint when to perform  extra-articular resection of the knee joint and is it safe?","type":"article-journal","volume":"43"},"uris":["http://www.mendeley.com/documents/?uuid=1308600d-eee4-499a-b8e8-37c6fc6e3528"]},{"id":"ITEM-3","itemData":{"DOI":"10.4103/ortho.IJOrtho_188_17","ISSN":"0019-5413","abstract":"BACKGROUND: Limb salvage surgery with endoprosthesis for bone tumor around the knee is reported to have good functional and oncological outcomes. However, the functional assessment using musculoskeletal tumor society (MSTS) and Toronto extremity scoring system remains subjective. We performed gait analysis as an objective assessment of their functional outcome. MATERIALS AND METHODS: Gait analysis was performed in 20 patients with endoprosthesis replacement around the knee. The temporal parameters assessed during gait analysis were walking velocity, stride length, duration of stance, and goniometry of the knee. These parameters were compared with the functional outcome score of the MSTS. RESULTS: The mean free-paced walking velocity was 0.91 m/s (normal is 1.33 m/s), which was 68% lower than normal gait. The stride length and stance phase were shorter for the affected limb compared to normal (P &lt; 0.05). However, the gait was symmetrical with no difference in stride length (P = 0.148), velocity (P = 0.918), knee flexion (P = 0.465), and knee extension (P = 0.321) between the affected and unaffected limbs. Sixteen patients demonstrated stiff knee gait, two had a flexed knee gait, and only two patients had normal gait during the stance phase. The mean MSTS score was 21. There was significant correlation between overall MSTS scores (P = 0.023), function (P = 0.039), and walking scores (P = 0.007). CONCLUSION: Limb salvage surgery with endoprosthesis reconstruction around the knee gives good functional outcome, both objectively and subjectively, as evidenced by the symmetrical gait pattern and significant correlation with MSTS score. Despite decreased walking velocity, stride length, and stance phase of the operated limb, the patient still has a symmetrical gait.","author":[{"dropping-particle":"","family":"Singh","given":"Vivek Ajit","non-dropping-particle":"","parse-names":false,"suffix":""},{"dropping-particle":"","family":"Heng","given":"Chan Wei","non-dropping-particle":"","parse-names":false,"suffix":""},{"dropping-particle":"","family":"Yasin","given":"Nor Faissal","non-dropping-particle":"","parse-names":false,"suffix":""}],"container-title":"Indian journal of orthopaedics","id":"ITEM-3","issue":"1","issued":{"date-parts":[["2018"]]},"language":"eng","page":"65-72","publisher":"Medknow Publications &amp; Media Pvt Ltd","title":"Gait Analysis in Patients with Wide Resection and Endoprosthesis Replacement Around the Knee","type":"article-journal","volume":"52"},"uris":["http://www.mendeley.com/documents/?uuid=57636998-9e65-4246-9a8b-1ba396562085"]},{"id":"ITEM-4","itemData":{"DOI":"10.1007/s00264-018-3770-9","ISSN":"1432-5195 (Electronic)","PMID":"29427125","abstract":"PURPOSE: We initiated a retrospective study on the long-term survival of cemented  endoprostheses for bone tumours around the knee to answer the following questions: (1) What was the survival of these patients? (2) What was the overall survival of cemented prostheses around the knee? (3) What types of failures were observed in these reconstructions? (4) Did the survival and complications vary according to the site of the implant? (5) What was the functional result after cemented prosthesis replacement around the knee? METHODS: From January 2006 to December 2013, 108 consecutive patients with an average age of 25 years, who had mature bone development as evidenced by imaging examinations, underwent 108 cemented endoprosthetic knee replacements for osteosarcoma resection. All patients received neoadjuvant chemotherapy using a multi-drug protocol consisting of high dose methotrexate (HDMTX), doxorubicin (ADM), cisplatin (DDP) and high dose ifosfamide (HDIFO). When extensor mechanism reconstruction was required, we ran nonabsorbable sutures through designated holes in the tibial component to fix detached hamstrings and the remaining ligaments in an imbricated fashion as well as reinforced the reconstruction with a medial gastrocnemius flap. Seventy-two (72/108, 66.7%) lesions were located in the distal femur and 36 (36/108, 33.3%) lesions at the proximal tibias. Nineteen patients were staged as IIA and 89 as IIB according to the Enneking staging system. The average follow-up was 53.3 months (range 12-125 months), with a minimum oncological follow-up of one year. Survival, prosthetic failure, complications and functional outcomes were recorded and reassessed at every visit after the primary operation. RESULTS: At the final follow-up, the oncologic results showed that 33 patients died from metastases, and local recurrence occurred in ten patients. The estimated overall five-year and eight-year survival rates were 71% (95% CI: 62.4-79.65%) and 67.2% (95% CI: 58-76.4%), respectively. In this study, a total of 51 complications occurred in 45 patients, and at the end of follow-up, 59 patients had prostheses in situ. The estimated overall five-year and eight-year implant survival rates were 77.7% (95% CI: 67.9-87.5%) and 54.5% (95% CI: 31.4-77.6%), respectively, when patients who died with their original prostheses were censored. In total, 21 (21/108, 19.4%) implants failed, five due to infections (5/21), eight due to aseptic loosening (8/21), four due to local re…","author":[{"dropping-particle":"","family":"Zhang","given":"Chunlin","non-dropping-particle":"","parse-names":false,"suffix":""},{"dropping-particle":"","family":"Hu","given":"Jianping","non-dropping-particle":"","parse-names":false,"suffix":""},{"dropping-particle":"","family":"Zhu","given":"Kunpeng","non-dropping-particle":"","parse-names":false,"suffix":""},{"dropping-particle":"","family":"Cai","given":"Tao","non-dropping-particle":"","parse-names":false,"suffix":""},{"dropping-particle":"","family":"Ma","given":"Xiaolong","non-dropping-particle":"","parse-names":false,"suffix":""}],"container-title":"International orthopaedics","id":"ITEM-4","issue":"4","issued":{"date-parts":[["2018","4"]]},"language":"eng","page":"927-938","publisher-place":"Germany","title":"Survival, complications and functional outcomes of cemented megaprostheses for  high-grade osteosarcoma around the knee.","type":"article-journal","volume":"42"},"uris":["http://www.mendeley.com/documents/?uuid=dc326e07-de8f-4cdd-bd80-4a3658265e05"]},{"id":"ITEM-5","itemData":{"DOI":"10.1093/jjco/hyu093","ISSN":"1465-3621 (Electronic)","PMID":"25057091","abstract":"OBJECTIVE: Extra-articular resection is necessary to obtain a wide margin for  primary osteosarcomas invading the knee joint, and the limb is often reconstructed using a prosthesis. Here, outcomes of extra-articular and intra-articular procedures were compared. METHODS: Between 1999 and 2012, 14 patients with osteosarcoma underwent extra-articular excision (n = 6; ages 23-65 years; mean follow-up 82.8 months) or intra-articular excision (n = 8; ages 8-58 years; mean follow-up 96.4 months). In the extra-articular group, there was one Enneking Stage IIA case and five Enneking Stage IIB cases. No local recurrences were noted in either group. RESULTS: Patient outcomes were as follows (extra-articular cases vs. intra-articular cases): continuous disease-free (2 vs. 7), alive with disease (2 vs. 0) and death from disease (1 vs. 1). Average Musculoskeletal Tumor Society functional scores were 69.4% (range 63.3-83.3%) and 88.3% (range 70.0-96.7%) in the extra-articular and intra-articular groups, respectively, constituting a significant difference (P &lt; 0.05). The 5-year oncological overall survival exceeded 80% in both groups. Amputation was necessary for one patient in the extra-articular group. The 5-year event-free prosthesis survival rates in the extra-articular and intra-articular groups were 33.3 and 75.0%, respectively (P &lt; 0.05). CONCLUSION: The extra-articular excision group developed more complications than the intra-articular excision group, as a result of extensive bone and muscle excision. The limb survival rates were similar in both groups. Our results suggest that extra-articular resection was a necessary and clinically acceptable procedure.","author":[{"dropping-particle":"","family":"Ieguchi","given":"Makoto","non-dropping-particle":"","parse-names":false,"suffix":""},{"dropping-particle":"","family":"Hoshi","given":"Manabu","non-dropping-particle":"","parse-names":false,"suffix":""},{"dropping-particle":"","family":"Aono","given":"Masanari","non-dropping-particle":"","parse-names":false,"suffix":""},{"dropping-particle":"","family":"Takada","given":"Jun","non-dropping-particle":"","parse-names":false,"suffix":""},{"dropping-particle":"","family":"Ohebisu","given":"Naoto","non-dropping-particle":"","parse-names":false,"suffix":""},{"dropping-particle":"","family":"Kudawara","given":"Ikuo","non-dropping-particle":"","parse-names":false,"suffix":""},{"dropping-particle":"","family":"Nakamura","given":"Hiroaki","non-dropping-particle":"","parse-names":false,"suffix":""}],"container-title":"Japanese journal of clinical oncology","id":"ITEM-5","issue":"9","issued":{"date-parts":[["2014","9"]]},"language":"eng","page":"812-817","publisher-place":"England","title":"Knee reconstruction with endoprosthesis after extra-articular and intra-articular  resection of osteosarcoma.","type":"article-journal","volume":"44"},"uris":["http://www.mendeley.com/documents/?uuid=67433737-0661-46b4-aabd-8e287e8aefd4"]},{"id":"ITEM-6","itemData":{"DOI":"10.1016/j.ejso.2012.07.003","ISSN":"1532-2157 (Electronic)","PMID":"22809860","abstract":"AIM: Limb-salvage surgery has become the standard of care for extremity  osteosarcoma. In this study, we investigated the survival and functional outcomes of patients with osteosarcoma around the knee who were treated with limb-salvage surgery. METHODS: We retrospectively reviewed the clinical data for 120 patients with osteosarcoma around the knee who were treated with limb-salvage surgery between 1998 and 2008. The sample included 75 males and 45 females. The mean age of the patients was 18.9 years. Osteosarcoma was diagnosed in the distal femur in 78 patients and in the proximal tibia in 42 patients. Statistical analyses were conducted to process and record the patient data and analyse the surgery's efficacy, prognosis and survival rates. RESULTS: All patients were followed for 6-144 months (mean of 56.8 months). The overall 5-year survival rate was 61.8%. Lung metastasis developed in 31 patients. Local recurrence developed in 9 patients. The average Musculoskeletal Tumor Society Score (MSTS) was 25.5 points on a 30-point scale. Sixteen patients underwent prosthesis revision and twelve patients underwent amputation. The overall survivorship of the prosthesis based on Kaplan-Meier estimates was 77% at five years and 71% at ten years. There was a higher incidence of extensor lag for the patients with osteosarcoma in the proximal tibia than for those with osteosarcoma in the distal femur (P &lt; 0.01). CONCLUSIONS: Treating osteosarcoma around the knee with limb-salvage surgery can preserve most of the knee's functionality. Attention must be paid to prevent the relatively high incidence of postoperative complications.","author":[{"dropping-particle":"","family":"Tan","given":"P X","non-dropping-particle":"","parse-names":false,"suffix":""},{"dropping-particle":"","family":"Yong","given":"B C","non-dropping-particle":"","parse-names":false,"suffix":""},{"dropping-particle":"","family":"Wang","given":"J","non-dropping-particle":"","parse-names":false,"suffix":""},{"dropping-particle":"","family":"Huang","given":"G","non-dropping-particle":"","parse-names":false,"suffix":""},{"dropping-particle":"","family":"Yin","given":"J Q","non-dropping-particle":"","parse-names":false,"suffix":""},{"dropping-particle":"","family":"Zou","given":"C Y","non-dropping-particle":"","parse-names":false,"suffix":""},{"dropping-particle":"","family":"Xie","given":"X B","non-dropping-particle":"","parse-names":false,"suffix":""},{"dropping-particle":"","family":"Tang","given":"Q L","non-dropping-particle":"","parse-names":false,"suffix":""},{"dropping-particle":"","family":"Shen","given":"J N","non-dropping-particle":"","parse-names":false,"suffix":""}],"container-title":"European journal of surgical oncology : the journal of the European Society of  Surgical Oncology and the British Association of Surgical Oncology","id":"ITEM-6","issue":"12","issued":{"date-parts":[["2012","12"]]},"language":"eng","page":"1171-1177","publisher-place":"England","title":"Analysis of the efficacy and prognosis of limb-salvage surgery for osteosarcoma  around the knee.","type":"article-journal","volume":"38"},"uris":["http://www.mendeley.com/documents/?uuid=ba59065b-75e0-4ba0-9ab8-7e2c83b0d0ec"]},{"id":"ITEM-7","itemData":{"DOI":"https://doi.org/10.1002/pon.5007","ISSN":"1057-9249","abstract":"Abstract Objective Health-related quality of life (HRQoL), psychosocial distress, and unmet health needs are important patient-reported outcomes (PROs) for patients with sarcoma treated with curative intent. Syntheses of data on these PROs in patients with sarcoma are limited. Methods A systematic review of peer-reviewed literature published between 2007 and 2017 was conducted using five databases, guided by the PRISMA and Cochrane reporting guidelines. Results Of 7240 articles identified, 31 were included in this review. Compared with healthy individuals, patients with sarcoma frequently scored lower in physical and psychological HRQoL domains and experienced higher rates of self-image issues, depression, and suicide. However, outcomes for patients with sarcoma were relatively comparable to those with other malignancies. Anxiety symptoms were more common in the diagnosis phase, while depressive symptoms were more common in the treatment phase. Patients who are older, female, and socially isolated often reported lower HRQoL. As a sarcoma-specific HRQoL instrument is not available, and all studies have used generic instruments, key issues may have been omitted. Conclusion There are few studies reporting data for HRQoL, psychosocial issues, or unmet health needs in this population. A sarcoma-specific HRQoL instrument is needed to accurately describe outcomes in this population. There is a need for further qualitative research to conceptualise the HRQoL issues relevant to this population, against which to map existing HRQoL instruments and guide adaptation or creation of a new instrument.","author":[{"dropping-particle":"","family":"McDonough","given":"Joshua","non-dropping-particle":"","parse-names":false,"suffix":""},{"dropping-particle":"","family":"Eliott","given":"Jaklin","non-dropping-particle":"","parse-names":false,"suffix":""},{"dropping-particle":"","family":"Neuhaus","given":"Susan","non-dropping-particle":"","parse-names":false,"suffix":""},{"dropping-particle":"","family":"Reid","given":"Jessica","non-dropping-particle":"","parse-names":false,"suffix":""},{"dropping-particle":"","family":"Butow","given":"Phyllis","non-dropping-particle":"","parse-names":false,"suffix":""}],"container-title":"Psycho-Oncology","id":"ITEM-7","issue":"4","issued":{"date-parts":[["2019","4","1"]]},"note":"https://doi.org/10.1002/pon.5007","page":"653-664","publisher":"John Wiley &amp; Sons, Ltd","title":"Health-related quality of life, psychosocial functioning, and unmet health needs in patients with sarcoma: A systematic review","type":"article-journal","volume":"28"},"uris":["http://www.mendeley.com/documents/?uuid=0e02ac19-71d4-499e-8d0c-b159bf4b50a9"]}],"mendeley":{"formattedCitation":"(20,35,38–41,50)","plainTextFormattedCitation":"(20,35,38–41,50)","previouslyFormattedCitation":"(20,35,39–42,50)"},"properties":{"noteIndex":0},"schema":"https://github.com/citation-style-language/schema/raw/master/csl-citation.json"}</w:instrText>
      </w:r>
      <w:r w:rsidR="0005012F" w:rsidRPr="005B5460">
        <w:rPr>
          <w:rFonts w:ascii="Times New Roman" w:hAnsi="Times New Roman" w:cs="Times New Roman"/>
        </w:rPr>
        <w:fldChar w:fldCharType="separate"/>
      </w:r>
      <w:r w:rsidR="009D0EA8" w:rsidRPr="005B5460">
        <w:rPr>
          <w:rFonts w:ascii="Times New Roman" w:hAnsi="Times New Roman" w:cs="Times New Roman"/>
          <w:noProof/>
        </w:rPr>
        <w:t>(20,35,38–41,50)</w:t>
      </w:r>
      <w:r w:rsidR="0005012F" w:rsidRPr="005B5460">
        <w:rPr>
          <w:rFonts w:ascii="Times New Roman" w:hAnsi="Times New Roman" w:cs="Times New Roman"/>
        </w:rPr>
        <w:fldChar w:fldCharType="end"/>
      </w:r>
      <w:r w:rsidRPr="005B5460">
        <w:rPr>
          <w:rFonts w:ascii="Times New Roman" w:hAnsi="Times New Roman" w:cs="Times New Roman"/>
        </w:rPr>
        <w:t xml:space="preserve">. Only four papers </w:t>
      </w:r>
      <w:r w:rsidR="00E3366F"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{"citationItems":[{"id":"ITEM-1","itemData":{"DOI":"10.3892/etm.2014.1744","ISSN":"1792-0981","abstract":"In this study, the effects of surgical removal of malignant metaphyseal bone tumors with epiphysis preservation and knee arthroplasty were analyzed. A total of 15 patients with malignant metaphyseal bone tumors were investigated. Six of these patients underwent epiphyseal preservation surgery with preoperative physeal distraction, termed the physeal distraction (PD) group. Nine patients underwent resection of the knee joint, combined with metal prosthesis transfer, termed the knee arthroplasty (KA) group. Tumor control, limb length discrepancy, range of movement (ROM) of the knee and functional outcome of lower limb [Musculoskeletal Tumor Society (MSTS) score and the Toronto extremity salvage score (TESS)] were assessed for these two groups. All 15 patients were followed-up after the surgery. One patient in the PD group was found to have lung tumor metastasis; however, no local tumor recurrence was found. In the KA group, local tumor recurrence was found in one patient, and lung metastases were observed in two cases postoperatively. The limb length discrepancy in patients of the PD group was 2.58±0.27 cm, which was significantly less compared with that in patients in the KA group (4.01±0.13 cm; P&lt;0.05). In addition, the lower limb knee ROM in patients in the PD group was 127.70±14.63°, which was increased compared to that in patients in the KA group (105.70±15.48°; P&lt;0.05). The mean MSTS score was 86.67% with a mean TESS of 82.33% in patients from the PD group, which showed no significant difference compared with the respective scores for patients in the KA group (P&gt;0.05). Therefore, epiphyseal sparing limb-saving surgeries should be considered for the treatment of malignant metaphyseal bone tumors in children, when certain indications are satisfied.","author":[{"dropping-particle":"","family":"Zhang","given":"Peng","non-dropping-particle":"","parse-names":false,"suffix":""},{"dropping-particle":"","family":"Feng","given":"Feifei","non-dropping-particle":"","parse-names":false,"suffix":""},{"dropping-particle":"","family":"Cai","given":"Qiqing","non-dropping-particle":"","parse-names":false,"suffix":""},{"dropping-particle":"","family":"Yao","given":"Weitao","non-dropping-particle":"","parse-names":false,"suffix":""},{"dropping-particle":"","family":"Gao","given":"Songtao","non-dropping-particle":"","parse-names":false,"suffix":""},{"dropping-particle":"","family":"Wang","given":"Jiaqiang","non-dropping-particle":"","parse-names":false,"suffix":""},{"dropping-particle":"","family":"Wang","given":"Xin","non-dropping-particle":"","parse-names":false,"suffix":""}],"container-title":"Experimental and therapeutic medicine","edition":"2014/05/28","id":"ITEM-1","issue":"2","issued":{"date-parts":[["2014","8"]]},"language":"eng","page":"567-572","publisher":"D.A. Spandidos","title":"Effects of metaphyseal bone tumor removal with preservation of the epiphysis and knee arthroplasty","type":"article-journal","volume":"8"},"uris":["http://www.mendeley.com/documents/?uuid=d539b6a2-627a-467e-86c8-4c9e75ef76c0"]},{"id":"ITEM-2","itemData":{"DOI":"10.1016/j.knee.2009.02.006","ISSN":"1873-5800 (Electronic)","PMID":"19269182","abstract":"Bone sarcomas are the fourth most common cancer in individuals under 25 years. Limb  salvage procedures are popular for the treatment of osteosarcomas as they have functional and physiological benefits over traditional amputative procedures. The objective of this study was to apply disease specific measures to a group of intra-articular knee osteosarcoma patients and to evaluate structural and treatment variables predictive of the functional outcome scores. Twenty patients (10 female, 10 male) treated with tumour resection and endoprosthetic knee arthroplasty took part in the study. The Musculoskeletal Tumour Society (MSTS) rating scale and the Toronto Extremity Salvage Score (TESS) were used to assess impairment and disability respectively. Impairment was recorded as 83% and disability was recorded as 86% suggesting moderate to high function following limb salvage surgery. Task difficulty was shown to increase for activities requiring large knee flexion angles, presumably due to increased patellofemoral forces. Bivariate correlations revealed that loss of quadriceps musculature, knee extension strength and knee flexion range of motion were parameters moderately associated with the assessment instruments. ANOVA revealed no significant differences in impairment (P=0.962) or disability (P=0.411) between the differing types of prostheses. In conclusion clinicians and therapists should emphasise restoration of post-surgical range of motion and strength in order to enhance functional recovery.","author":[{"dropping-particle":"","family":"Carty","given":"Christopher P","non-dropping-particle":"","parse-names":false,"suffix":""},{"dropping-particle":"","family":"Dickinson","given":"Ian C","non-dropping-particle":"","parse-names":false,"suffix":""},{"dropping-particle":"","family":"Watts","given":"Mark C","non-dropping-particle":"","parse-names":false,"suffix":""},{"dropping-particle":"","family":"Crawford","given":"Ross W","non-dropping-particle":"","parse-names":false,"suffix":""},{"dropping-particle":"","family":"Steadman","given":"Peter","non-dropping-particle":"","parse-names":false,"suffix":""}],"container-title":"The Knee","id":"ITEM-2","issue":"5","issued":{"date-parts":[["2009","10"]]},"language":"eng","page":"405-408","publisher-place":"Netherlands","title":"Impairment and disability following limb salvage procedures for bone sarcoma.","type":"article-journal","volume":"16"},"uris":["http://www.mendeley.com/documents/?uuid=f0acb2b8-fdb8-4093-97e7-40e9515dd570"]},{"id":"ITEM-3","itemData":{"DOI":"10.1016/j.ejso.2016.05.018","ISSN":"1532-2157 (Electronic)","PMID":"27266818","abstract":"We reviewed the oncological and functional outcomes of patients treated for a  primary sarcoma possibly involving the knee joint and present an algorithm to guide treatment. The records of 76 patients who had a primary bone or soft tissue sarcoma possibly invading the knee between 1996 and 2012 were identified. Mean age and follow-up was 32 years (9-74) and 64 months (12-195), respectively. Patients were grouped according to the resection (Intra-articular [IAR] vs. Extra-articular [EAR] vs. Amputation/rotationplasty) for survival and functional outcomes. Overall 5 and 10 year survival was 61% and 53%, respectively. No differences in survival were found between the 3 groups (p = 0.55). Sixteen patients developed local recurrence with no difference between the groups. Mean MSTS score was 24.5 (12-30). Mean flexion at final follow-up was 106° (70-130°). We conclude that EAR of the knee allows for good oncologic and functional outcomes but with an increased risk of complications compared to IAR. Intra-operative assessment of joint involvement can be done in patients where joint infiltration by the tumour is not clear to avoid an unnecessary EAR. For chondrosarcoma patients with joint involvement, an EAR should be carefully considered because they present a significantly higher local recurrence risk.","author":[{"dropping-particle":"","family":"Shahid","given":"M","non-dropping-particle":"","parse-names":false,"suffix":""},{"dropping-particle":"","family":"Albergo","given":"N","non-dropping-particle":"","parse-names":false,"suffix":""},{"dropping-particle":"","family":"Purvis","given":"T","non-dropping-particle":"","parse-names":false,"suffix":""},{"dropping-particle":"","family":"Heron","given":"K","non-dropping-particle":"","parse-names":false,"suffix":""},{"dropping-particle":"","family":"Gaston","given":"L","non-dropping-particle":"","parse-names":false,"suffix":""},{"dropping-particle":"","family":"Carter","given":"S","non-dropping-particle":"","parse-names":false,"suffix":""},{"dropping-particle":"","family":"Grimer","given":"R","non-dropping-particle":"","parse-names":false,"suffix":""},{"dropping-particle":"","family":"Jeys","given":"L","non-dropping-particle":"","parse-names":false,"suffix":""}],"container-title":"European journal of surgical oncology : the journal of the European Society of  Surgical Oncology and the British Association of Surgical Oncology","id":"ITEM-3","issue":"1","issued":{"date-parts":[["2017","1"]]},"language":"eng","page":"175-180","publisher-place":"England","title":"Management of sarcomas possibly involving the knee joint when to perform  extra-articular resection of the knee joint and is it safe?","type":"article-journal","volume":"43"},"uris":["http://www.mendeley.com/documents/?uuid=1308600d-eee4-499a-b8e8-37c6fc6e3528"]},{"id":"ITEM-4","itemData":{"DOI":"10.1016/j.ejso.2012.07.003","ISSN":"1532-2157 (Electronic)","PMID":"22809860","abstract":"AIM: Limb-salvage surgery has become the standard of care for extremity  osteosarcoma. In this study, we investigated the survival and functional outcomes of patients with osteosarcoma around the knee who were treated with limb-salvage surgery. METHODS: We retrospectively reviewed the clinical data for 120 patients with osteosarcoma around the knee who were treated with limb-salvage surgery between 1998 and 2008. The sample included 75 males and 45 females. The mean age of the patients was 18.9 years. Osteosarcoma was diagnosed in the distal femur in 78 patients and in the proximal tibia in 42 patients. Statistical analyses were conducted to process and record the patient data and analyse the surgery's efficacy, prognosis and survival rates. RESULTS: All patients were followed for 6-144 months (mean of 56.8 months). The overall 5-year survival rate was 61.8%. Lung metastasis developed in 31 patients. Local recurrence developed in 9 patients. The average Musculoskeletal Tumor Society Score (MSTS) was 25.5 points on a 30-point scale. Sixteen patients underwent prosthesis revision and twelve patients underwent amputation. The overall survivorship of the prosthesis based on Kaplan-Meier estimates was 77% at five years and 71% at ten years. There was a higher incidence of extensor lag for the patients with osteosarcoma in the proximal tibia than for those with osteosarcoma in the distal femur (P &lt; 0.01). CONCLUSIONS: Treating osteosarcoma around the knee with limb-salvage surgery can preserve most of the knee's functionality. Attention must be paid to prevent the relatively high incidence of postoperative complications.","author":[{"dropping-particle":"","family":"Tan","given":"P X","non-dropping-particle":"","parse-names":false,"suffix":""},{"dropping-particle":"","family":"Yong","given":"B C","non-dropping-particle":"","parse-names":false,"suffix":""},{"dropping-particle":"","family":"Wang","given":"J","non-dropping-particle":"","parse-names":false,"suffix":""},{"dropping-particle":"","family":"Huang","given":"G","non-dropping-particle":"","parse-names":false,"suffix":""},{"dropping-particle":"","family":"Yin","given":"J Q","non-dropping-particle":"","parse-names":false,"suffix":""},{"dropping-particle":"","family":"Zou","given":"C Y","non-dropping-particle":"","parse-names":false,"suffix":""},{"dropping-particle":"","family":"Xie","given":"X B","non-dropping-particle":"","parse-names":false,"suffix":""},{"dropping-particle":"","family":"Tang","given":"Q L","non-dropping-particle":"","parse-names":false,"suffix":""},{"dropping-particle":"","family":"Shen","given":"J N","non-dropping-particle":"","parse-names":false,"suffix":""}],"container-title":"European journal of surgical oncology : the journal of the European Society of  Surgical Oncology and the British Association of Surgical Oncology","id":"ITEM-4","issue":"12","issued":{"date-parts":[["2012","12"]]},"language":"eng","page":"1171-1177","publisher-place":"England","title":"Analysis of the efficacy and prognosis of limb-salvage surgery for osteosarcoma  around the knee.","type":"article-journal","volume":"38"},"uris":["http://www.mendeley.com/documents/?uuid=ba59065b-75e0-4ba0-9ab8-7e2c83b0d0ec"]}],"mendeley":{"formattedCitation":"(18,20,35,41)","plainTextFormattedCitation":"(18,20,35,41)","previouslyFormattedCitation":"(18,20,35,42)"},"properties":{"noteIndex":0},"schema":"https://github.com/citation-style-language/schema/raw/master/csl-citation.json"}</w:instrText>
      </w:r>
      <w:r w:rsidR="00E3366F" w:rsidRPr="005B5460">
        <w:rPr>
          <w:rFonts w:ascii="Times New Roman" w:hAnsi="Times New Roman" w:cs="Times New Roman"/>
        </w:rPr>
        <w:fldChar w:fldCharType="separate"/>
      </w:r>
      <w:r w:rsidR="009D0EA8" w:rsidRPr="005B5460">
        <w:rPr>
          <w:rFonts w:ascii="Times New Roman" w:hAnsi="Times New Roman" w:cs="Times New Roman"/>
          <w:noProof/>
        </w:rPr>
        <w:t>(18,20,35,41)</w:t>
      </w:r>
      <w:r w:rsidR="00E3366F" w:rsidRPr="005B5460">
        <w:rPr>
          <w:rFonts w:ascii="Times New Roman" w:hAnsi="Times New Roman" w:cs="Times New Roman"/>
        </w:rPr>
        <w:fldChar w:fldCharType="end"/>
      </w:r>
      <w:r w:rsidRPr="005B5460">
        <w:rPr>
          <w:rFonts w:ascii="Times New Roman" w:hAnsi="Times New Roman" w:cs="Times New Roman"/>
        </w:rPr>
        <w:t xml:space="preserve"> addressed ROM with univariate statistical tests with either the type of procedure or location of tumour</w:t>
      </w:r>
      <w:r w:rsidR="00CD1A5C" w:rsidRPr="005B5460">
        <w:rPr>
          <w:rFonts w:ascii="Times New Roman" w:hAnsi="Times New Roman" w:cs="Times New Roman"/>
        </w:rPr>
        <w:t xml:space="preserve">. </w:t>
      </w:r>
    </w:p>
    <w:p w14:paraId="7944574E" w14:textId="77777777" w:rsidR="007E3529" w:rsidRPr="005B5460" w:rsidRDefault="007E3529" w:rsidP="007E3529">
      <w:pPr>
        <w:spacing w:line="480" w:lineRule="auto"/>
        <w:rPr>
          <w:rFonts w:ascii="Times New Roman" w:hAnsi="Times New Roman" w:cs="Times New Roman"/>
          <w:b/>
          <w:bCs/>
        </w:rPr>
      </w:pPr>
      <w:r w:rsidRPr="005B5460">
        <w:rPr>
          <w:rFonts w:ascii="Times New Roman" w:hAnsi="Times New Roman" w:cs="Times New Roman"/>
          <w:b/>
          <w:bCs/>
          <w:sz w:val="24"/>
          <w:szCs w:val="24"/>
        </w:rPr>
        <w:t>Discussion</w:t>
      </w:r>
    </w:p>
    <w:p w14:paraId="6D368FAC" w14:textId="73322B52" w:rsidR="0008261C" w:rsidRPr="005B5460" w:rsidRDefault="007E3529" w:rsidP="0007788C">
      <w:pPr>
        <w:spacing w:line="480" w:lineRule="auto"/>
        <w:rPr>
          <w:rFonts w:ascii="Times New Roman" w:hAnsi="Times New Roman" w:cs="Times New Roman"/>
        </w:rPr>
      </w:pPr>
      <w:r w:rsidRPr="005B5460">
        <w:rPr>
          <w:rFonts w:ascii="Times New Roman" w:hAnsi="Times New Roman" w:cs="Times New Roman"/>
        </w:rPr>
        <w:t xml:space="preserve">The aim of this </w:t>
      </w:r>
      <w:r w:rsidR="00EE64DE" w:rsidRPr="005B5460">
        <w:rPr>
          <w:rFonts w:ascii="Times New Roman" w:hAnsi="Times New Roman" w:cs="Times New Roman"/>
        </w:rPr>
        <w:t xml:space="preserve">scoping </w:t>
      </w:r>
      <w:r w:rsidRPr="005B5460">
        <w:rPr>
          <w:rFonts w:ascii="Times New Roman" w:hAnsi="Times New Roman" w:cs="Times New Roman"/>
        </w:rPr>
        <w:t xml:space="preserve">review was to gain insights into non-oncological outcomes </w:t>
      </w:r>
      <w:r w:rsidR="00DA1074" w:rsidRPr="005B5460">
        <w:rPr>
          <w:rFonts w:ascii="Times New Roman" w:hAnsi="Times New Roman" w:cs="Times New Roman"/>
        </w:rPr>
        <w:t>following</w:t>
      </w:r>
      <w:r w:rsidRPr="005B5460">
        <w:rPr>
          <w:rFonts w:ascii="Times New Roman" w:hAnsi="Times New Roman" w:cs="Times New Roman"/>
        </w:rPr>
        <w:t xml:space="preserve"> LSS around the knee due to </w:t>
      </w:r>
      <w:r w:rsidR="00E94141" w:rsidRPr="005B5460">
        <w:rPr>
          <w:rFonts w:ascii="Times New Roman" w:hAnsi="Times New Roman" w:cs="Times New Roman"/>
        </w:rPr>
        <w:t>osteo</w:t>
      </w:r>
      <w:r w:rsidR="00EE64DE" w:rsidRPr="005B5460">
        <w:rPr>
          <w:rFonts w:ascii="Times New Roman" w:hAnsi="Times New Roman" w:cs="Times New Roman"/>
        </w:rPr>
        <w:t>sarcoma</w:t>
      </w:r>
      <w:r w:rsidRPr="005B5460">
        <w:rPr>
          <w:rFonts w:ascii="Times New Roman" w:hAnsi="Times New Roman" w:cs="Times New Roman"/>
        </w:rPr>
        <w:t xml:space="preserve">. </w:t>
      </w:r>
      <w:r w:rsidR="0008261C" w:rsidRPr="005B5460">
        <w:rPr>
          <w:rFonts w:ascii="Times New Roman" w:hAnsi="Times New Roman" w:cs="Times New Roman"/>
        </w:rPr>
        <w:t>T</w:t>
      </w:r>
      <w:r w:rsidRPr="005B5460">
        <w:rPr>
          <w:rFonts w:ascii="Times New Roman" w:hAnsi="Times New Roman" w:cs="Times New Roman"/>
        </w:rPr>
        <w:t xml:space="preserve">he </w:t>
      </w:r>
      <w:r w:rsidR="0007788C" w:rsidRPr="005B5460">
        <w:rPr>
          <w:rFonts w:ascii="Times New Roman" w:hAnsi="Times New Roman" w:cs="Times New Roman"/>
        </w:rPr>
        <w:t xml:space="preserve">included </w:t>
      </w:r>
      <w:r w:rsidRPr="005B5460">
        <w:rPr>
          <w:rFonts w:ascii="Times New Roman" w:hAnsi="Times New Roman" w:cs="Times New Roman"/>
        </w:rPr>
        <w:t xml:space="preserve">papers were diverse in their protocols, healthcare settings, location and population. The surgical intervention of LSS itself varied from study to study due to the anatomical site, tumour characteristics, cancer stage and the indication for chemotherapy and radiation therapy. The study design and methodology of the reviewed studies also varied widely; most of the studies were retrospective and can be considered as level III, IV or V, according to Sackett </w:t>
      </w:r>
      <w:r w:rsidR="00401CEC" w:rsidRPr="005B5460">
        <w:rPr>
          <w:rFonts w:ascii="Times New Roman" w:hAnsi="Times New Roman" w:cs="Times New Roman"/>
        </w:rPr>
        <w:fldChar w:fldCharType="begin" w:fldLock="1"/>
      </w:r>
      <w:r w:rsidR="005F4DC8" w:rsidRPr="005B5460">
        <w:rPr>
          <w:rFonts w:ascii="Times New Roman" w:hAnsi="Times New Roman" w:cs="Times New Roman"/>
        </w:rPr>
        <w:instrText>ADDIN CSL_CITATION {"citationItems":[{"id":"ITEM-1","itemData":{"ISSN":"0012-3692 (Print)","PMID":"2914516","author":[{"dropping-particle":"","family":"Sackett","given":"D L","non-dropping-particle":"","parse-names":false,"suffix":""}],"container-title":"Chest","id":"ITEM-1","issue":"2 Suppl","issued":{"date-parts":[["1989","2"]]},"language":"eng","page":"2S-4S","publisher-place":"United States","title":"Rules of evidence and clinical recommendations on the use of antithrombotic agents.","type":"article-journal","volume":"95"},"uris":["http://www.mendeley.com/documents/?uuid=4edc51d8-3c5d-4231-a19c-3b3a4eb9c7f7"]}],"mendeley":{"formattedCitation":"(51)","plainTextFormattedCitation":"(51)","previouslyFormattedCitation":"(51)"},"properties":{"noteIndex":0},"schema":"https://github.com/citation-style-language/schema/raw/master/csl-citation.json"}</w:instrText>
      </w:r>
      <w:r w:rsidR="00401CEC" w:rsidRPr="005B5460">
        <w:rPr>
          <w:rFonts w:ascii="Times New Roman" w:hAnsi="Times New Roman" w:cs="Times New Roman"/>
        </w:rPr>
        <w:fldChar w:fldCharType="separate"/>
      </w:r>
      <w:r w:rsidR="005F4DC8" w:rsidRPr="005B5460">
        <w:rPr>
          <w:rFonts w:ascii="Times New Roman" w:hAnsi="Times New Roman" w:cs="Times New Roman"/>
          <w:noProof/>
        </w:rPr>
        <w:t>(51)</w:t>
      </w:r>
      <w:r w:rsidR="00401CEC" w:rsidRPr="005B5460">
        <w:rPr>
          <w:rFonts w:ascii="Times New Roman" w:hAnsi="Times New Roman" w:cs="Times New Roman"/>
        </w:rPr>
        <w:fldChar w:fldCharType="end"/>
      </w:r>
      <w:r w:rsidRPr="005B5460">
        <w:rPr>
          <w:rFonts w:ascii="Times New Roman" w:hAnsi="Times New Roman" w:cs="Times New Roman"/>
        </w:rPr>
        <w:t xml:space="preserve">. Moreover, the studies consisted of small sample sizes, which may lead to systematic bias. </w:t>
      </w:r>
    </w:p>
    <w:p w14:paraId="4DD64398" w14:textId="03D8E80E" w:rsidR="007E3529" w:rsidRPr="005B5460" w:rsidRDefault="007E3529" w:rsidP="00990F72">
      <w:pPr>
        <w:spacing w:line="480" w:lineRule="auto"/>
        <w:rPr>
          <w:rFonts w:ascii="Times New Roman" w:hAnsi="Times New Roman" w:cs="Times New Roman"/>
        </w:rPr>
      </w:pPr>
      <w:r w:rsidRPr="005B5460">
        <w:rPr>
          <w:rFonts w:ascii="Times New Roman" w:hAnsi="Times New Roman" w:cs="Times New Roman"/>
        </w:rPr>
        <w:t xml:space="preserve">However, </w:t>
      </w:r>
      <w:r w:rsidR="00453DC1" w:rsidRPr="005B5460">
        <w:rPr>
          <w:rFonts w:ascii="Times New Roman" w:hAnsi="Times New Roman" w:cs="Times New Roman"/>
        </w:rPr>
        <w:t xml:space="preserve">due to the low occurrence of this disease clinical trials are challenging and therefore studies are limited to longitudinal and observational methods. </w:t>
      </w:r>
      <w:r w:rsidRPr="005B5460">
        <w:rPr>
          <w:rFonts w:ascii="Times New Roman" w:hAnsi="Times New Roman" w:cs="Times New Roman"/>
        </w:rPr>
        <w:t xml:space="preserve">Some of the reviewed papers had multiple aims; therefore, these studies could not provide a coherent analysis of their findings. The </w:t>
      </w:r>
      <w:r w:rsidR="0008261C" w:rsidRPr="005B5460">
        <w:rPr>
          <w:rFonts w:ascii="Times New Roman" w:hAnsi="Times New Roman" w:cs="Times New Roman"/>
        </w:rPr>
        <w:t xml:space="preserve">results showed that </w:t>
      </w:r>
      <w:r w:rsidR="008710B4" w:rsidRPr="005B5460">
        <w:rPr>
          <w:rFonts w:ascii="Times New Roman" w:hAnsi="Times New Roman" w:cs="Times New Roman"/>
        </w:rPr>
        <w:t>non-oncological recovery</w:t>
      </w:r>
      <w:r w:rsidRPr="005B5460">
        <w:rPr>
          <w:rFonts w:ascii="Times New Roman" w:hAnsi="Times New Roman" w:cs="Times New Roman"/>
        </w:rPr>
        <w:t xml:space="preserve"> outcomes were not investigated and analysed to the same extent as other outcome measures</w:t>
      </w:r>
      <w:r w:rsidR="0008261C" w:rsidRPr="005B5460">
        <w:rPr>
          <w:rFonts w:ascii="Times New Roman" w:hAnsi="Times New Roman" w:cs="Times New Roman"/>
        </w:rPr>
        <w:t>,</w:t>
      </w:r>
      <w:r w:rsidRPr="005B5460">
        <w:rPr>
          <w:rFonts w:ascii="Times New Roman" w:hAnsi="Times New Roman" w:cs="Times New Roman"/>
        </w:rPr>
        <w:t xml:space="preserve"> such as survival rates or surgical complications. </w:t>
      </w:r>
    </w:p>
    <w:p w14:paraId="56977A8A" w14:textId="1474C708" w:rsidR="00E86027" w:rsidRPr="005B5460" w:rsidRDefault="00E86027" w:rsidP="007E3529">
      <w:pPr>
        <w:spacing w:line="480" w:lineRule="auto"/>
        <w:rPr>
          <w:rFonts w:ascii="Times New Roman" w:hAnsi="Times New Roman" w:cs="Times New Roman"/>
          <w:i/>
          <w:iCs/>
        </w:rPr>
      </w:pPr>
      <w:r w:rsidRPr="005B5460">
        <w:rPr>
          <w:rFonts w:ascii="Times New Roman" w:hAnsi="Times New Roman" w:cs="Times New Roman"/>
          <w:i/>
          <w:iCs/>
        </w:rPr>
        <w:t>Functional Outcomes</w:t>
      </w:r>
    </w:p>
    <w:p w14:paraId="2FEC0C97" w14:textId="5C453B60" w:rsidR="007E3529" w:rsidRPr="005B5460" w:rsidRDefault="007E3529" w:rsidP="007E3529">
      <w:pPr>
        <w:spacing w:line="480" w:lineRule="auto"/>
        <w:rPr>
          <w:rFonts w:ascii="Times New Roman" w:hAnsi="Times New Roman" w:cs="Times New Roman"/>
        </w:rPr>
      </w:pPr>
      <w:r w:rsidRPr="005B5460">
        <w:rPr>
          <w:rFonts w:ascii="Times New Roman" w:hAnsi="Times New Roman" w:cs="Times New Roman"/>
        </w:rPr>
        <w:t>This review revealed the lack of studies in this field and the limited outcome</w:t>
      </w:r>
      <w:r w:rsidR="009A01B1" w:rsidRPr="005B5460">
        <w:rPr>
          <w:rFonts w:ascii="Times New Roman" w:hAnsi="Times New Roman" w:cs="Times New Roman"/>
        </w:rPr>
        <w:t xml:space="preserve">s that were deemed important to </w:t>
      </w:r>
      <w:r w:rsidRPr="005B5460">
        <w:rPr>
          <w:rFonts w:ascii="Times New Roman" w:hAnsi="Times New Roman" w:cs="Times New Roman"/>
        </w:rPr>
        <w:t xml:space="preserve">measure. </w:t>
      </w:r>
      <w:r w:rsidR="002A1924" w:rsidRPr="005B5460">
        <w:rPr>
          <w:rFonts w:ascii="Times New Roman" w:hAnsi="Times New Roman" w:cs="Times New Roman"/>
        </w:rPr>
        <w:t xml:space="preserve">The Musculoskeletal Tumour Society (MSTS) scoring system is an oncology-specific subjective outcome measure that relies on the clinician to interview the patient. The MSTS score measures functional outcome with reference to six components: pain, functional ability, emotional acceptance, use of support, walking capacity and gait. Each component is assigned a score ranging from 0 (lowest) to 5 (highest), where 30 is the maximum </w:t>
      </w:r>
      <w:r w:rsidR="002A1924" w:rsidRPr="005B5460">
        <w:rPr>
          <w:rFonts w:ascii="Times New Roman" w:hAnsi="Times New Roman" w:cs="Times New Roman"/>
        </w:rPr>
        <w:lastRenderedPageBreak/>
        <w:t>score achievable. A score of 23 to 30 is considered an excellent functional score, 15 to 22 is good, 8 to 14 is fair, and below 8 is considered a poor functional score</w:t>
      </w:r>
      <w:r w:rsidR="0035661B" w:rsidRPr="005B5460">
        <w:rPr>
          <w:rFonts w:ascii="Times New Roman" w:hAnsi="Times New Roman" w:cs="Times New Roman"/>
        </w:rPr>
        <w:t xml:space="preserve"> </w:t>
      </w:r>
      <w:r w:rsidR="00095AD9"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{"citationItems":[{"id":"ITEM-1","itemData":{"DOI":"10.1016/j.ejso.2012.07.003","ISSN":"1532-2157 (Electronic)","PMID":"22809860","abstract":"AIM: Limb-salvage surgery has become the standard of care for extremity  osteosarcoma. In this study, we investigated the survival and functional outcomes of patients with osteosarcoma around the knee who were treated with limb-salvage surgery. METHODS: We retrospectively reviewed the clinical data for 120 patients with osteosarcoma around the knee who were treated with limb-salvage surgery between 1998 and 2008. The sample included 75 males and 45 females. The mean age of the patients was 18.9 years. Osteosarcoma was diagnosed in the distal femur in 78 patients and in the proximal tibia in 42 patients. Statistical analyses were conducted to process and record the patient data and analyse the surgery's efficacy, prognosis and survival rates. RESULTS: All patients were followed for 6-144 months (mean of 56.8 months). The overall 5-year survival rate was 61.8%. Lung metastasis developed in 31 patients. Local recurrence developed in 9 patients. The average Musculoskeletal Tumor Society Score (MSTS) was 25.5 points on a 30-point scale. Sixteen patients underwent prosthesis revision and twelve patients underwent amputation. The overall survivorship of the prosthesis based on Kaplan-Meier estimates was 77% at five years and 71% at ten years. There was a higher incidence of extensor lag for the patients with osteosarcoma in the proximal tibia than for those with osteosarcoma in the distal femur (P &lt; 0.01). CONCLUSIONS: Treating osteosarcoma around the knee with limb-salvage surgery can preserve most of the knee's functionality. Attention must be paid to prevent the relatively high incidence of postoperative complications.","author":[{"dropping-particle":"","family":"Tan","given":"P X","non-dropping-particle":"","parse-names":false,"suffix":""},{"dropping-particle":"","family":"Yong","given":"B C","non-dropping-particle":"","parse-names":false,"suffix":""},{"dropping-particle":"","family":"Wang","given":"J","non-dropping-particle":"","parse-names":false,"suffix":""},{"dropping-particle":"","family":"Huang","given":"G","non-dropping-particle":"","parse-names":false,"suffix":""},{"dropping-particle":"","family":"Yin","given":"J Q","non-dropping-particle":"","parse-names":false,"suffix":""},{"dropping-particle":"","family":"Zou","given":"C Y","non-dropping-particle":"","parse-names":false,"suffix":""},{"dropping-particle":"","family":"Xie","given":"X B","non-dropping-particle":"","parse-names":false,"suffix":""},{"dropping-particle":"","family":"Tang","given":"Q L","non-dropping-particle":"","parse-names":false,"suffix":""},{"dropping-particle":"","family":"Shen","given":"J N","non-dropping-particle":"","parse-names":false,"suffix":""}],"container-title":"European journal of surgical oncology : the journal of the European Society of  Surgical Oncology and the British Association of Surgical Oncology","id":"ITEM-1","issue":"12","issued":{"date-parts":[["2012","12"]]},"language":"eng","page":"1171-1177","publisher-place":"England","title":"Analysis of the efficacy and prognosis of limb-salvage surgery for osteosarcoma  around the knee.","type":"article-journal","volume":"38"},"uris":["http://www.mendeley.com/documents/?uuid=ba59065b-75e0-4ba0-9ab8-7e2c83b0d0ec"]}],"mendeley":{"formattedCitation":"(41)","plainTextFormattedCitation":"(41)","previouslyFormattedCitation":"(42)"},"properties":{"noteIndex":0},"schema":"https://github.com/citation-style-language/schema/raw/master/csl-citation.json"}</w:instrText>
      </w:r>
      <w:r w:rsidR="00095AD9" w:rsidRPr="005B5460">
        <w:rPr>
          <w:rFonts w:ascii="Times New Roman" w:hAnsi="Times New Roman" w:cs="Times New Roman"/>
        </w:rPr>
        <w:fldChar w:fldCharType="separate"/>
      </w:r>
      <w:r w:rsidR="009D0EA8" w:rsidRPr="005B5460">
        <w:rPr>
          <w:rFonts w:ascii="Times New Roman" w:hAnsi="Times New Roman" w:cs="Times New Roman"/>
          <w:noProof/>
        </w:rPr>
        <w:t>(41)</w:t>
      </w:r>
      <w:r w:rsidR="00095AD9" w:rsidRPr="005B5460">
        <w:rPr>
          <w:rFonts w:ascii="Times New Roman" w:hAnsi="Times New Roman" w:cs="Times New Roman"/>
        </w:rPr>
        <w:fldChar w:fldCharType="end"/>
      </w:r>
      <w:r w:rsidR="002A1924" w:rsidRPr="005B5460">
        <w:rPr>
          <w:rFonts w:ascii="Times New Roman" w:hAnsi="Times New Roman" w:cs="Times New Roman"/>
        </w:rPr>
        <w:t xml:space="preserve">. </w:t>
      </w:r>
      <w:r w:rsidRPr="005B5460">
        <w:rPr>
          <w:rFonts w:ascii="Times New Roman" w:hAnsi="Times New Roman" w:cs="Times New Roman"/>
        </w:rPr>
        <w:t xml:space="preserve">Although </w:t>
      </w:r>
      <w:r w:rsidR="00ED5FD2" w:rsidRPr="005B5460">
        <w:rPr>
          <w:rFonts w:ascii="Times New Roman" w:hAnsi="Times New Roman" w:cs="Times New Roman"/>
        </w:rPr>
        <w:t>t</w:t>
      </w:r>
      <w:r w:rsidR="00181652" w:rsidRPr="005B5460">
        <w:rPr>
          <w:rFonts w:ascii="Times New Roman" w:hAnsi="Times New Roman" w:cs="Times New Roman"/>
        </w:rPr>
        <w:t xml:space="preserve">he MSTS score </w:t>
      </w:r>
      <w:r w:rsidRPr="005B5460">
        <w:rPr>
          <w:rFonts w:ascii="Times New Roman" w:hAnsi="Times New Roman" w:cs="Times New Roman"/>
        </w:rPr>
        <w:t>has been translated and validated in many languages and is considered to be a reliable tool, it</w:t>
      </w:r>
      <w:r w:rsidR="000B1560" w:rsidRPr="005B5460">
        <w:rPr>
          <w:rFonts w:ascii="Times New Roman" w:hAnsi="Times New Roman" w:cs="Times New Roman"/>
        </w:rPr>
        <w:t xml:space="preserve"> can over- or under-</w:t>
      </w:r>
      <w:r w:rsidRPr="005B5460">
        <w:rPr>
          <w:rFonts w:ascii="Times New Roman" w:hAnsi="Times New Roman" w:cs="Times New Roman"/>
        </w:rPr>
        <w:t xml:space="preserve">estimate functional levels because it is assessed by the clinician and not the patient </w:t>
      </w:r>
      <w:r w:rsidR="005D21B8" w:rsidRPr="005B5460">
        <w:rPr>
          <w:rFonts w:ascii="Times New Roman" w:hAnsi="Times New Roman" w:cs="Times New Roman"/>
        </w:rPr>
        <w:fldChar w:fldCharType="begin" w:fldLock="1"/>
      </w:r>
      <w:r w:rsidR="005F4DC8" w:rsidRPr="005B5460">
        <w:rPr>
          <w:rFonts w:ascii="Times New Roman" w:hAnsi="Times New Roman" w:cs="Times New Roman"/>
        </w:rPr>
        <w:instrText>ADDIN CSL_CITATION {"citationItems":[{"id":"ITEM-1","itemData":{"DOI":"10.1155/2016/1014248","ISSN":"1357-714X (Print)","PMID":"27725792","abstract":"Background. The Musculoskeletal Tumor Society (MSTS) scoring system measures  function and is commonly used but criticized because it was developed to be completed by the clinician and not by the patient. We therefore evaluated if there is a difference between patient and clinician reported function using the MSTS score. Methods. 128 patients with bone metastasis of the lower (n = 100) and upper (n = 28) extremity completed the MSTS score. The MSTS score consists of six domains, scored on a 0 to 5 scale and transformed into an overall score ranging from 0 to 100% with a higher score indicating better function. The MSTS score was also derived from clinicians' reports in the medical record. Results. The median age was 63 years (interquartile range [IQR]: 55-71) and the study included 74 (58%) women. We found that the clinicians' MSTS score (median: 65, IQR: 49-83) overestimated the function as compared to the patient perceived score (median: 57, IQR: 40-70) by 8 points (p &lt; 0.001). Conclusion. Clinician reports overestimate function as compared to the patient perceived score. This is important for acknowledging when informing patients about the expected outcome of treatment and for understanding patients' perceptions.","author":[{"dropping-particle":"","family":"Janssen","given":"Stein J","non-dropping-particle":"","parse-names":false,"suffix":""},{"dropping-particle":"","family":"Rein","given":"Eva A J","non-dropping-particle":"van","parse-names":false,"suffix":""},{"dropping-particle":"","family":"Paulino Pereira","given":"Nuno Rui","non-dropping-particle":"","parse-names":false,"suffix":""},{"dropping-particle":"","family":"Raskin","given":"Kevin A","non-dropping-particle":"","parse-names":false,"suffix":""},{"dropping-particle":"","family":"Ferrone","given":"Marco L","non-dropping-particle":"","parse-names":false,"suffix":""},{"dropping-particle":"","family":"Hornicek","given":"Francis J","non-dropping-particle":"","parse-names":false,"suffix":""},{"dropping-particle":"","family":"Lozano-Calderon","given":"Santiago A","non-dropping-particle":"","parse-names":false,"suffix":""},{"dropping-particle":"","family":"Schwab","given":"Joseph H","non-dropping-particle":"","parse-names":false,"suffix":""}],"container-title":"Sarcoma","id":"ITEM-1","issued":{"date-parts":[["2016"]]},"language":"eng","page":"1014248","title":"The Discrepancy between Patient and Clinician Reported Function in Extremity Bone  Metastases.","type":"article-journal","volume":"2016"},"uris":["http://www.mendeley.com/documents/?uuid=1cb9fed5-c9e9-4a04-9cbc-0f61dfd4037e"]}],"mendeley":{"formattedCitation":"(45)","plainTextFormattedCitation":"(45)","previouslyFormattedCitation":"(45)"},"properties":{"noteIndex":0},"schema":"https://github.com/citation-style-language/schema/raw/master/csl-citation.json"}</w:instrText>
      </w:r>
      <w:r w:rsidR="005D21B8" w:rsidRPr="005B5460">
        <w:rPr>
          <w:rFonts w:ascii="Times New Roman" w:hAnsi="Times New Roman" w:cs="Times New Roman"/>
        </w:rPr>
        <w:fldChar w:fldCharType="separate"/>
      </w:r>
      <w:r w:rsidR="005F4DC8" w:rsidRPr="005B5460">
        <w:rPr>
          <w:rFonts w:ascii="Times New Roman" w:hAnsi="Times New Roman" w:cs="Times New Roman"/>
          <w:noProof/>
        </w:rPr>
        <w:t>(45)</w:t>
      </w:r>
      <w:r w:rsidR="005D21B8" w:rsidRPr="005B5460">
        <w:rPr>
          <w:rFonts w:ascii="Times New Roman" w:hAnsi="Times New Roman" w:cs="Times New Roman"/>
        </w:rPr>
        <w:fldChar w:fldCharType="end"/>
      </w:r>
      <w:r w:rsidRPr="005B5460">
        <w:rPr>
          <w:rFonts w:ascii="Times New Roman" w:hAnsi="Times New Roman" w:cs="Times New Roman"/>
        </w:rPr>
        <w:t>. The mean scores from the reviewed papers showed good-to-excellent functional levels</w:t>
      </w:r>
      <w:r w:rsidR="000B1560" w:rsidRPr="005B5460">
        <w:rPr>
          <w:rFonts w:ascii="Times New Roman" w:hAnsi="Times New Roman" w:cs="Times New Roman"/>
        </w:rPr>
        <w:t xml:space="preserve"> using MSTS</w:t>
      </w:r>
      <w:r w:rsidRPr="005B5460">
        <w:rPr>
          <w:rFonts w:ascii="Times New Roman" w:hAnsi="Times New Roman" w:cs="Times New Roman"/>
        </w:rPr>
        <w:t xml:space="preserve">. </w:t>
      </w:r>
      <w:r w:rsidR="006F0B43" w:rsidRPr="005B5460">
        <w:rPr>
          <w:rFonts w:ascii="Times New Roman" w:hAnsi="Times New Roman" w:cs="Times New Roman"/>
        </w:rPr>
        <w:t xml:space="preserve">The study by </w:t>
      </w:r>
      <w:r w:rsidRPr="005B5460">
        <w:rPr>
          <w:rFonts w:ascii="Times New Roman" w:hAnsi="Times New Roman" w:cs="Times New Roman"/>
        </w:rPr>
        <w:t>Singh et al</w:t>
      </w:r>
      <w:r w:rsidR="00BE0421" w:rsidRPr="005B5460">
        <w:rPr>
          <w:rFonts w:ascii="Times New Roman" w:hAnsi="Times New Roman" w:cs="Times New Roman"/>
        </w:rPr>
        <w:t xml:space="preserve"> </w:t>
      </w:r>
      <w:r w:rsidR="005D21B8"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{"citationItems":[{"id":"ITEM-1","itemData":{"DOI":"10.4103/ortho.IJOrtho_188_17","ISSN":"0019-5413","abstract":"BACKGROUND: Limb salvage surgery with endoprosthesis for bone tumor around the knee is reported to have good functional and oncological outcomes. However, the functional assessment using musculoskeletal tumor society (MSTS) and Toronto extremity scoring system remains subjective. We performed gait analysis as an objective assessment of their functional outcome. MATERIALS AND METHODS: Gait analysis was performed in 20 patients with endoprosthesis replacement around the knee. The temporal parameters assessed during gait analysis were walking velocity, stride length, duration of stance, and goniometry of the knee. These parameters were compared with the functional outcome score of the MSTS. RESULTS: The mean free-paced walking velocity was 0.91 m/s (normal is 1.33 m/s), which was 68% lower than normal gait. The stride length and stance phase were shorter for the affected limb compared to normal (P &lt; 0.05). However, the gait was symmetrical with no difference in stride length (P = 0.148), velocity (P = 0.918), knee flexion (P = 0.465), and knee extension (P = 0.321) between the affected and unaffected limbs. Sixteen patients demonstrated stiff knee gait, two had a flexed knee gait, and only two patients had normal gait during the stance phase. The mean MSTS score was 21. There was significant correlation between overall MSTS scores (P = 0.023), function (P = 0.039), and walking scores (P = 0.007). CONCLUSION: Limb salvage surgery with endoprosthesis reconstruction around the knee gives good functional outcome, both objectively and subjectively, as evidenced by the symmetrical gait pattern and significant correlation with MSTS score. Despite decreased walking velocity, stride length, and stance phase of the operated limb, the patient still has a symmetrical gait.","author":[{"dropping-particle":"","family":"Singh","given":"Vivek Ajit","non-dropping-particle":"","parse-names":false,"suffix":""},{"dropping-particle":"","family":"Heng","given":"Chan Wei","non-dropping-particle":"","parse-names":false,"suffix":""},{"dropping-particle":"","family":"Yasin","given":"Nor Faissal","non-dropping-particle":"","parse-names":false,"suffix":""}],"container-title":"Indian journal of orthopaedics","id":"ITEM-1","issue":"1","issued":{"date-parts":[["2018"]]},"language":"eng","page":"65-72","publisher":"Medknow Publications &amp; Media Pvt Ltd","title":"Gait Analysis in Patients with Wide Resection and Endoprosthesis Replacement Around the Knee","type":"article-journal","volume":"52"},"uris":["http://www.mendeley.com/documents/?uuid=57636998-9e65-4246-9a8b-1ba396562085"]}],"mendeley":{"formattedCitation":"(38)","plainTextFormattedCitation":"(38)","previouslyFormattedCitation":"(39)"},"properties":{"noteIndex":0},"schema":"https://github.com/citation-style-language/schema/raw/master/csl-citation.json"}</w:instrText>
      </w:r>
      <w:r w:rsidR="005D21B8" w:rsidRPr="005B5460">
        <w:rPr>
          <w:rFonts w:ascii="Times New Roman" w:hAnsi="Times New Roman" w:cs="Times New Roman"/>
        </w:rPr>
        <w:fldChar w:fldCharType="separate"/>
      </w:r>
      <w:r w:rsidR="009D0EA8" w:rsidRPr="005B5460">
        <w:rPr>
          <w:rFonts w:ascii="Times New Roman" w:hAnsi="Times New Roman" w:cs="Times New Roman"/>
          <w:noProof/>
        </w:rPr>
        <w:t>(38)</w:t>
      </w:r>
      <w:r w:rsidR="005D21B8" w:rsidRPr="005B5460">
        <w:rPr>
          <w:rFonts w:ascii="Times New Roman" w:hAnsi="Times New Roman" w:cs="Times New Roman"/>
        </w:rPr>
        <w:fldChar w:fldCharType="end"/>
      </w:r>
      <w:r w:rsidRPr="005B5460">
        <w:rPr>
          <w:rFonts w:ascii="Times New Roman" w:hAnsi="Times New Roman" w:cs="Times New Roman"/>
        </w:rPr>
        <w:t xml:space="preserve">, </w:t>
      </w:r>
      <w:r w:rsidR="006F0B43" w:rsidRPr="005B5460">
        <w:rPr>
          <w:rFonts w:ascii="Times New Roman" w:hAnsi="Times New Roman" w:cs="Times New Roman"/>
        </w:rPr>
        <w:t xml:space="preserve">showed </w:t>
      </w:r>
      <w:r w:rsidRPr="005B5460">
        <w:rPr>
          <w:rFonts w:ascii="Times New Roman" w:hAnsi="Times New Roman" w:cs="Times New Roman"/>
        </w:rPr>
        <w:t xml:space="preserve">four participants (20% of the sample) aged between 10 and 50 years had a fair MSTS score, especially for walking, pain and support components. The patients reported that limited functional levels are due to moderate pain experienced with walking, requiring them to use a cane in outdoor activities. The lowest scores for walking ability and support components are consistent with the findings of </w:t>
      </w:r>
      <w:r w:rsidR="004337D8" w:rsidRPr="005B5460">
        <w:rPr>
          <w:rFonts w:ascii="Times New Roman" w:hAnsi="Times New Roman" w:cs="Times New Roman"/>
        </w:rPr>
        <w:t>v</w:t>
      </w:r>
      <w:r w:rsidRPr="005B5460">
        <w:rPr>
          <w:rFonts w:ascii="Times New Roman" w:hAnsi="Times New Roman" w:cs="Times New Roman"/>
        </w:rPr>
        <w:t xml:space="preserve">an </w:t>
      </w:r>
      <w:proofErr w:type="spellStart"/>
      <w:r w:rsidR="0093785F" w:rsidRPr="005B5460">
        <w:rPr>
          <w:rFonts w:ascii="Times New Roman" w:hAnsi="Times New Roman" w:cs="Times New Roman"/>
        </w:rPr>
        <w:t>Egmond</w:t>
      </w:r>
      <w:proofErr w:type="spellEnd"/>
      <w:r w:rsidR="0093785F" w:rsidRPr="005B5460">
        <w:rPr>
          <w:rFonts w:ascii="Times New Roman" w:hAnsi="Times New Roman" w:cs="Times New Roman"/>
        </w:rPr>
        <w:t xml:space="preserve">-van Dam </w:t>
      </w:r>
      <w:r w:rsidRPr="005B5460">
        <w:rPr>
          <w:rFonts w:ascii="Times New Roman" w:hAnsi="Times New Roman" w:cs="Times New Roman"/>
        </w:rPr>
        <w:t>et al</w:t>
      </w:r>
      <w:r w:rsidR="006F0B43" w:rsidRPr="005B5460">
        <w:rPr>
          <w:rFonts w:ascii="Times New Roman" w:hAnsi="Times New Roman" w:cs="Times New Roman"/>
        </w:rPr>
        <w:t xml:space="preserve"> </w:t>
      </w:r>
      <w:r w:rsidR="005D21B8" w:rsidRPr="005B5460">
        <w:rPr>
          <w:rFonts w:ascii="Times New Roman" w:hAnsi="Times New Roman" w:cs="Times New Roman"/>
        </w:rPr>
        <w:fldChar w:fldCharType="begin" w:fldLock="1"/>
      </w:r>
      <w:r w:rsidR="005D21B8" w:rsidRPr="005B5460">
        <w:rPr>
          <w:rFonts w:ascii="Times New Roman" w:hAnsi="Times New Roman" w:cs="Times New Roman"/>
        </w:rPr>
        <w:instrText>ADDIN CSL_CITATION {"citationItems":[{"id":"ITEM-1","itemData":{"DOI":"10.1002/jso.24618","ISSN":"1096-9098 (Electronic)","PMID":"28384378","abstract":"BACKGROUND AND OBJECTIVES: In a previous conducted study functional outcome of young  patients with bone sarcoma located around the knee was longitudinally evaluated during the first 2 years postoperatively. Functional outcome improved significantly over the first 2 years. The purpose of this descriptive study was to evaluate the functional outcome of these patients at long-term follow-up of 7 years. METHODS: Functional outcome was assessed with the TESS, MSTS, Baecke questionnaire, and three functional performance tests: time up and down stairs (TUDS), various walking activities (VWA), and the 6-min walking test (6MWT). Linear Mixed Model has been employed for the repeated measurements. RESULTS: Twenty patients of the original study (n = 44) participated in the current study. Fifteen limb-salvage and five ablative surgery patients, median follow-up 7.4 years (6.8-8.0) (CI 95%), mean age 22.3 years (18.2-31.6). Between 2 and 7 years after surgery, 8 limb-salvage patients (53%) encountered surgery related complications. Questionnaires and functional performance tests showed no significant difference in functional outcome between 2 years and 7 years after surgery (P &lt; 0.05). CONCLUSIONS: Between 2 years and follow-up at average 7 years after surgery no further improvements were noticed at young patients with a bone sarcoma located around the knee.","author":[{"dropping-particle":"","family":"Egmond-van Dam","given":"Janneke C","non-dropping-particle":"van","parse-names":false,"suffix":""},{"dropping-particle":"","family":"Bekkering","given":"W Peter","non-dropping-particle":"","parse-names":false,"suffix":""},{"dropping-particle":"","family":"Bramer","given":"Jos A M","non-dropping-particle":"","parse-names":false,"suffix":""},{"dropping-particle":"","family":"Beishuizen","given":"Auke","non-dropping-particle":"","parse-names":false,"suffix":""},{"dropping-particle":"","family":"Fiocco","given":"Marta","non-dropping-particle":"","parse-names":false,"suffix":""},{"dropping-particle":"","family":"Dijkstra","given":"P D Sander","non-dropping-particle":"","parse-names":false,"suffix":""}],"container-title":"Journal of surgical oncology","id":"ITEM-1","issue":"8","issued":{"date-parts":[["2017","6"]]},"language":"eng","page":"1028-1032","title":"Functional outcome after surgery in patients with bone sarcoma around the knee;  results from a long-term prospective study.","type":"article-journal","volume":"115"},"uris":["http://www.mendeley.com/documents/?uuid=d0dd1dc4-c702-4d78-bb3f-fc5899a688ed"]}],"mendeley":{"formattedCitation":"(17)","plainTextFormattedCitation":"(17)","previouslyFormattedCitation":"(17)"},"properties":{"noteIndex":0},"schema":"https://github.com/citation-style-language/schema/raw/master/csl-citation.json"}</w:instrText>
      </w:r>
      <w:r w:rsidR="005D21B8" w:rsidRPr="005B5460">
        <w:rPr>
          <w:rFonts w:ascii="Times New Roman" w:hAnsi="Times New Roman" w:cs="Times New Roman"/>
        </w:rPr>
        <w:fldChar w:fldCharType="separate"/>
      </w:r>
      <w:r w:rsidR="005D21B8" w:rsidRPr="005B5460">
        <w:rPr>
          <w:rFonts w:ascii="Times New Roman" w:hAnsi="Times New Roman" w:cs="Times New Roman"/>
          <w:noProof/>
        </w:rPr>
        <w:t>(17)</w:t>
      </w:r>
      <w:r w:rsidR="005D21B8" w:rsidRPr="005B5460">
        <w:rPr>
          <w:rFonts w:ascii="Times New Roman" w:hAnsi="Times New Roman" w:cs="Times New Roman"/>
        </w:rPr>
        <w:fldChar w:fldCharType="end"/>
      </w:r>
      <w:r w:rsidRPr="005B5460">
        <w:rPr>
          <w:rFonts w:ascii="Times New Roman" w:hAnsi="Times New Roman" w:cs="Times New Roman"/>
        </w:rPr>
        <w:t xml:space="preserve"> and </w:t>
      </w:r>
      <w:proofErr w:type="spellStart"/>
      <w:r w:rsidRPr="005B5460">
        <w:rPr>
          <w:rFonts w:ascii="Times New Roman" w:hAnsi="Times New Roman" w:cs="Times New Roman"/>
        </w:rPr>
        <w:t>Ieguchi</w:t>
      </w:r>
      <w:proofErr w:type="spellEnd"/>
      <w:r w:rsidRPr="005B5460">
        <w:rPr>
          <w:rFonts w:ascii="Times New Roman" w:hAnsi="Times New Roman" w:cs="Times New Roman"/>
        </w:rPr>
        <w:t xml:space="preserve"> et al</w:t>
      </w:r>
      <w:r w:rsidR="006F0B43" w:rsidRPr="005B5460">
        <w:rPr>
          <w:rFonts w:ascii="Times New Roman" w:hAnsi="Times New Roman" w:cs="Times New Roman"/>
        </w:rPr>
        <w:t xml:space="preserve"> </w:t>
      </w:r>
      <w:r w:rsidR="005D21B8"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{"citationItems":[{"id":"ITEM-1","itemData":{"DOI":"10.1093/jjco/hyu093","ISSN":"1465-3621 (Electronic)","PMID":"25057091","abstract":"OBJECTIVE: Extra-articular resection is necessary to obtain a wide margin for  primary osteosarcomas invading the knee joint, and the limb is often reconstructed using a prosthesis. Here, outcomes of extra-articular and intra-articular procedures were compared. METHODS: Between 1999 and 2012, 14 patients with osteosarcoma underwent extra-articular excision (n = 6; ages 23-65 years; mean follow-up 82.8 months) or intra-articular excision (n = 8; ages 8-58 years; mean follow-up 96.4 months). In the extra-articular group, there was one Enneking Stage IIA case and five Enneking Stage IIB cases. No local recurrences were noted in either group. RESULTS: Patient outcomes were as follows (extra-articular cases vs. intra-articular cases): continuous disease-free (2 vs. 7), alive with disease (2 vs. 0) and death from disease (1 vs. 1). Average Musculoskeletal Tumor Society functional scores were 69.4% (range 63.3-83.3%) and 88.3% (range 70.0-96.7%) in the extra-articular and intra-articular groups, respectively, constituting a significant difference (P &lt; 0.05). The 5-year oncological overall survival exceeded 80% in both groups. Amputation was necessary for one patient in the extra-articular group. The 5-year event-free prosthesis survival rates in the extra-articular and intra-articular groups were 33.3 and 75.0%, respectively (P &lt; 0.05). CONCLUSION: The extra-articular excision group developed more complications than the intra-articular excision group, as a result of extensive bone and muscle excision. The limb survival rates were similar in both groups. Our results suggest that extra-articular resection was a necessary and clinically acceptable procedure.","author":[{"dropping-particle":"","family":"Ieguchi","given":"Makoto","non-dropping-particle":"","parse-names":false,"suffix":""},{"dropping-particle":"","family":"Hoshi","given":"Manabu","non-dropping-particle":"","parse-names":false,"suffix":""},{"dropping-particle":"","family":"Aono","given":"Masanari","non-dropping-particle":"","parse-names":false,"suffix":""},{"dropping-particle":"","family":"Takada","given":"Jun","non-dropping-particle":"","parse-names":false,"suffix":""},{"dropping-particle":"","family":"Ohebisu","given":"Naoto","non-dropping-particle":"","parse-names":false,"suffix":""},{"dropping-particle":"","family":"Kudawara","given":"Ikuo","non-dropping-particle":"","parse-names":false,"suffix":""},{"dropping-particle":"","family":"Nakamura","given":"Hiroaki","non-dropping-particle":"","parse-names":false,"suffix":""}],"container-title":"Japanese journal of clinical oncology","id":"ITEM-1","issue":"9","issued":{"date-parts":[["2014","9"]]},"language":"eng","page":"812-817","publisher-place":"England","title":"Knee reconstruction with endoprosthesis after extra-articular and intra-articular  resection of osteosarcoma.","type":"article-journal","volume":"44"},"uris":["http://www.mendeley.com/documents/?uuid=67433737-0661-46b4-aabd-8e287e8aefd4"]}],"mendeley":{"formattedCitation":"(40)","plainTextFormattedCitation":"(40)","previouslyFormattedCitation":"(41)"},"properties":{"noteIndex":0},"schema":"https://github.com/citation-style-language/schema/raw/master/csl-citation.json"}</w:instrText>
      </w:r>
      <w:r w:rsidR="005D21B8" w:rsidRPr="005B5460">
        <w:rPr>
          <w:rFonts w:ascii="Times New Roman" w:hAnsi="Times New Roman" w:cs="Times New Roman"/>
        </w:rPr>
        <w:fldChar w:fldCharType="separate"/>
      </w:r>
      <w:r w:rsidR="009D0EA8" w:rsidRPr="005B5460">
        <w:rPr>
          <w:rFonts w:ascii="Times New Roman" w:hAnsi="Times New Roman" w:cs="Times New Roman"/>
          <w:noProof/>
        </w:rPr>
        <w:t>(40)</w:t>
      </w:r>
      <w:r w:rsidR="005D21B8" w:rsidRPr="005B5460">
        <w:rPr>
          <w:rFonts w:ascii="Times New Roman" w:hAnsi="Times New Roman" w:cs="Times New Roman"/>
        </w:rPr>
        <w:fldChar w:fldCharType="end"/>
      </w:r>
      <w:r w:rsidRPr="005B5460">
        <w:rPr>
          <w:rFonts w:ascii="Times New Roman" w:hAnsi="Times New Roman" w:cs="Times New Roman"/>
        </w:rPr>
        <w:t>. However, the pain component contradicts the results of Carty et al</w:t>
      </w:r>
      <w:r w:rsidR="006F0B43" w:rsidRPr="005B5460">
        <w:rPr>
          <w:rFonts w:ascii="Times New Roman" w:hAnsi="Times New Roman" w:cs="Times New Roman"/>
        </w:rPr>
        <w:t xml:space="preserve"> </w:t>
      </w:r>
      <w:r w:rsidR="007F6660" w:rsidRPr="005B5460">
        <w:rPr>
          <w:rFonts w:ascii="Times New Roman" w:hAnsi="Times New Roman" w:cs="Times New Roman"/>
        </w:rPr>
        <w:fldChar w:fldCharType="begin" w:fldLock="1"/>
      </w:r>
      <w:r w:rsidR="007F6660" w:rsidRPr="005B5460">
        <w:rPr>
          <w:rFonts w:ascii="Times New Roman" w:hAnsi="Times New Roman" w:cs="Times New Roman"/>
        </w:rPr>
        <w:instrText>ADDIN CSL_CITATION {"citationItems":[{"id":"ITEM-1","itemData":{"DOI":"10.1016/j.knee.2009.02.006","ISSN":"1873-5800 (Electronic)","PMID":"19269182","abstract":"Bone sarcomas are the fourth most common cancer in individuals under 25 years. Limb  salvage procedures are popular for the treatment of osteosarcomas as they have functional and physiological benefits over traditional amputative procedures. The objective of this study was to apply disease specific measures to a group of intra-articular knee osteosarcoma patients and to evaluate structural and treatment variables predictive of the functional outcome scores. Twenty patients (10 female, 10 male) treated with tumour resection and endoprosthetic knee arthroplasty took part in the study. The Musculoskeletal Tumour Society (MSTS) rating scale and the Toronto Extremity Salvage Score (TESS) were used to assess impairment and disability respectively. Impairment was recorded as 83% and disability was recorded as 86% suggesting moderate to high function following limb salvage surgery. Task difficulty was shown to increase for activities requiring large knee flexion angles, presumably due to increased patellofemoral forces. Bivariate correlations revealed that loss of quadriceps musculature, knee extension strength and knee flexion range of motion were parameters moderately associated with the assessment instruments. ANOVA revealed no significant differences in impairment (P=0.962) or disability (P=0.411) between the differing types of prostheses. In conclusion clinicians and therapists should emphasise restoration of post-surgical range of motion and strength in order to enhance functional recovery.","author":[{"dropping-particle":"","family":"Carty","given":"Christopher P","non-dropping-particle":"","parse-names":false,"suffix":""},{"dropping-particle":"","family":"Dickinson","given":"Ian C","non-dropping-particle":"","parse-names":false,"suffix":""},{"dropping-particle":"","family":"Watts","given":"Mark C","non-dropping-particle":"","parse-names":false,"suffix":""},{"dropping-particle":"","family":"Crawford","given":"Ross W","non-dropping-particle":"","parse-names":false,"suffix":""},{"dropping-particle":"","family":"Steadman","given":"Peter","non-dropping-particle":"","parse-names":false,"suffix":""}],"container-title":"The Knee","id":"ITEM-1","issue":"5","issued":{"date-parts":[["2009","10"]]},"language":"eng","page":"405-408","publisher-place":"Netherlands","title":"Impairment and disability following limb salvage procedures for bone sarcoma.","type":"article-journal","volume":"16"},"uris":["http://www.mendeley.com/documents/?uuid=f0acb2b8-fdb8-4093-97e7-40e9515dd570"]}],"mendeley":{"formattedCitation":"(20)","plainTextFormattedCitation":"(20)","previouslyFormattedCitation":"(20)"},"properties":{"noteIndex":0},"schema":"https://github.com/citation-style-language/schema/raw/master/csl-citation.json"}</w:instrText>
      </w:r>
      <w:r w:rsidR="007F6660" w:rsidRPr="005B5460">
        <w:rPr>
          <w:rFonts w:ascii="Times New Roman" w:hAnsi="Times New Roman" w:cs="Times New Roman"/>
        </w:rPr>
        <w:fldChar w:fldCharType="separate"/>
      </w:r>
      <w:r w:rsidR="007F6660" w:rsidRPr="005B5460">
        <w:rPr>
          <w:rFonts w:ascii="Times New Roman" w:hAnsi="Times New Roman" w:cs="Times New Roman"/>
          <w:noProof/>
        </w:rPr>
        <w:t>(20)</w:t>
      </w:r>
      <w:r w:rsidR="007F6660" w:rsidRPr="005B5460">
        <w:rPr>
          <w:rFonts w:ascii="Times New Roman" w:hAnsi="Times New Roman" w:cs="Times New Roman"/>
        </w:rPr>
        <w:fldChar w:fldCharType="end"/>
      </w:r>
      <w:r w:rsidRPr="005B5460">
        <w:rPr>
          <w:rFonts w:ascii="Times New Roman" w:hAnsi="Times New Roman" w:cs="Times New Roman"/>
        </w:rPr>
        <w:t xml:space="preserve"> and Tan et al</w:t>
      </w:r>
      <w:r w:rsidR="006F0B43" w:rsidRPr="005B5460">
        <w:rPr>
          <w:rFonts w:ascii="Times New Roman" w:hAnsi="Times New Roman" w:cs="Times New Roman"/>
        </w:rPr>
        <w:t xml:space="preserve"> </w:t>
      </w:r>
      <w:r w:rsidR="007F6660"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{"citationItems":[{"id":"ITEM-1","itemData":{"DOI":"10.1016/j.ejso.2012.07.003","ISSN":"1532-2157 (Electronic)","PMID":"22809860","abstract":"AIM: Limb-salvage surgery has become the standard of care for extremity  osteosarcoma. In this study, we investigated the survival and functional outcomes of patients with osteosarcoma around the knee who were treated with limb-salvage surgery. METHODS: We retrospectively reviewed the clinical data for 120 patients with osteosarcoma around the knee who were treated with limb-salvage surgery between 1998 and 2008. The sample included 75 males and 45 females. The mean age of the patients was 18.9 years. Osteosarcoma was diagnosed in the distal femur in 78 patients and in the proximal tibia in 42 patients. Statistical analyses were conducted to process and record the patient data and analyse the surgery's efficacy, prognosis and survival rates. RESULTS: All patients were followed for 6-144 months (mean of 56.8 months). The overall 5-year survival rate was 61.8%. Lung metastasis developed in 31 patients. Local recurrence developed in 9 patients. The average Musculoskeletal Tumor Society Score (MSTS) was 25.5 points on a 30-point scale. Sixteen patients underwent prosthesis revision and twelve patients underwent amputation. The overall survivorship of the prosthesis based on Kaplan-Meier estimates was 77% at five years and 71% at ten years. There was a higher incidence of extensor lag for the patients with osteosarcoma in the proximal tibia than for those with osteosarcoma in the distal femur (P &lt; 0.01). CONCLUSIONS: Treating osteosarcoma around the knee with limb-salvage surgery can preserve most of the knee's functionality. Attention must be paid to prevent the relatively high incidence of postoperative complications.","author":[{"dropping-particle":"","family":"Tan","given":"P X","non-dropping-particle":"","parse-names":false,"suffix":""},{"dropping-particle":"","family":"Yong","given":"B C","non-dropping-particle":"","parse-names":false,"suffix":""},{"dropping-particle":"","family":"Wang","given":"J","non-dropping-particle":"","parse-names":false,"suffix":""},{"dropping-particle":"","family":"Huang","given":"G","non-dropping-particle":"","parse-names":false,"suffix":""},{"dropping-particle":"","family":"Yin","given":"J Q","non-dropping-particle":"","parse-names":false,"suffix":""},{"dropping-particle":"","family":"Zou","given":"C Y","non-dropping-particle":"","parse-names":false,"suffix":""},{"dropping-particle":"","family":"Xie","given":"X B","non-dropping-particle":"","parse-names":false,"suffix":""},{"dropping-particle":"","family":"Tang","given":"Q L","non-dropping-particle":"","parse-names":false,"suffix":""},{"dropping-particle":"","family":"Shen","given":"J N","non-dropping-particle":"","parse-names":false,"suffix":""}],"container-title":"European journal of surgical oncology : the journal of the European Society of  Surgical Oncology and the British Association of Surgical Oncology","id":"ITEM-1","issue":"12","issued":{"date-parts":[["2012","12"]]},"language":"eng","page":"1171-1177","publisher-place":"England","title":"Analysis of the efficacy and prognosis of limb-salvage surgery for osteosarcoma  around the knee.","type":"article-journal","volume":"38"},"uris":["http://www.mendeley.com/documents/?uuid=ba59065b-75e0-4ba0-9ab8-7e2c83b0d0ec"]}],"mendeley":{"formattedCitation":"(41)","plainTextFormattedCitation":"(41)","previouslyFormattedCitation":"(42)"},"properties":{"noteIndex":0},"schema":"https://github.com/citation-style-language/schema/raw/master/csl-citation.json"}</w:instrText>
      </w:r>
      <w:r w:rsidR="007F6660" w:rsidRPr="005B5460">
        <w:rPr>
          <w:rFonts w:ascii="Times New Roman" w:hAnsi="Times New Roman" w:cs="Times New Roman"/>
        </w:rPr>
        <w:fldChar w:fldCharType="separate"/>
      </w:r>
      <w:r w:rsidR="009D0EA8" w:rsidRPr="005B5460">
        <w:rPr>
          <w:rFonts w:ascii="Times New Roman" w:hAnsi="Times New Roman" w:cs="Times New Roman"/>
          <w:noProof/>
        </w:rPr>
        <w:t>(41)</w:t>
      </w:r>
      <w:r w:rsidR="007F6660" w:rsidRPr="005B5460">
        <w:rPr>
          <w:rFonts w:ascii="Times New Roman" w:hAnsi="Times New Roman" w:cs="Times New Roman"/>
        </w:rPr>
        <w:fldChar w:fldCharType="end"/>
      </w:r>
      <w:r w:rsidRPr="005B5460">
        <w:rPr>
          <w:rFonts w:ascii="Times New Roman" w:hAnsi="Times New Roman" w:cs="Times New Roman"/>
        </w:rPr>
        <w:t xml:space="preserve">, where the pain score was the highest of the components. </w:t>
      </w:r>
      <w:r w:rsidR="006F0B43" w:rsidRPr="005B5460">
        <w:rPr>
          <w:rFonts w:ascii="Times New Roman" w:hAnsi="Times New Roman" w:cs="Times New Roman"/>
        </w:rPr>
        <w:t>I</w:t>
      </w:r>
      <w:r w:rsidRPr="005B5460">
        <w:rPr>
          <w:rFonts w:ascii="Times New Roman" w:hAnsi="Times New Roman" w:cs="Times New Roman"/>
        </w:rPr>
        <w:t>nconsistent MSTS scores can be due to confounding factors, as reported by Davis et al</w:t>
      </w:r>
      <w:r w:rsidR="006F0B43" w:rsidRPr="005B5460">
        <w:rPr>
          <w:rFonts w:ascii="Times New Roman" w:hAnsi="Times New Roman" w:cs="Times New Roman"/>
        </w:rPr>
        <w:t xml:space="preserve"> </w:t>
      </w:r>
      <w:r w:rsidR="007F6660" w:rsidRPr="005B5460">
        <w:rPr>
          <w:rFonts w:ascii="Times New Roman" w:hAnsi="Times New Roman" w:cs="Times New Roman"/>
        </w:rPr>
        <w:fldChar w:fldCharType="begin" w:fldLock="1"/>
      </w:r>
      <w:r w:rsidR="005F4DC8" w:rsidRPr="005B5460">
        <w:rPr>
          <w:rFonts w:ascii="Times New Roman" w:hAnsi="Times New Roman" w:cs="Times New Roman"/>
        </w:rPr>
        <w:instrText>ADDIN CSL_CITATION {"citationItems":[{"id":"ITEM-1","itemData":{"DOI":"10.1002/(sici)1096-9098(200004)73:4&lt;206::aid-jso4&gt;3.0.co;2-5","ISSN":"0022-4790 (Print)","PMID":"10797333","abstract":"BACKGROUND AND OBJECTIVES: Patient function has been conceptualized by clinical  measures such as joint motion, muscle strength, disability, and general health status. The purpose of the current study was to evaluate tumor and treatment variables predictive of these conceptually different posttreatment functional outcomes in patients treated with limb preservation surgery for lower-extremity soft tissue sarcoma. METHODS: One hundred seventy-two patients with minimum 1-year follow-up were evaluated using the following outcomes: impairment, measured by the 1987 and 1993 versions of the Musculoskeletal Tumor Society Rating Scale (MSTS); disability, measured by the Toronto Extremity Salvage Score (TESS); and general health status, using the Short Form-36 (SF-36). Tumor and treatment-related variables (age, gender, presenting disease status, anatomic site, tumor size, grade, depth, prior excision, irradiation, bone resection, motor nerve sacrifice, and complications) were extracted from the STS database. RESULTS: Large tumor size, bone resection, motor nerve resection, and complications were predictive of lower MSTS 1987 and 1993 scores. Patients with large, high-grade tumors who required motor nerve resection were more disabled, as reflected by lower TESS scores. Only age and prior surgery were adverse predictors of SF-36 score. CONCLUSIONS: These results demonstrate that different factors are predictive of different patient outcomes, specifically, impairment, disability, and general health status. It is important to define function when counseling patients regarding their potential recovery based on tumor and treatment-related variables. J. Surg. Oncol. 2000;73:206-211.","author":[{"dropping-particle":"","family":"Davis","given":"A M","non-dropping-particle":"","parse-names":false,"suffix":""},{"dropping-particle":"","family":"Sennik","given":"S","non-dropping-particle":"","parse-names":false,"suffix":""},{"dropping-particle":"","family":"Griffin","given":"A M","non-dropping-particle":"","parse-names":false,"suffix":""},{"dropping-particle":"","family":"Wunder","given":"J S","non-dropping-particle":"","parse-names":false,"suffix":""},{"dropping-particle":"","family":"O'Sullivan","given":"B","non-dropping-particle":"","parse-names":false,"suffix":""},{"dropping-particle":"","family":"Catton","given":"C N","non-dropping-particle":"","parse-names":false,"suffix":""},{"dropping-particle":"","family":"Bell","given":"R S","non-dropping-particle":"","parse-names":false,"suffix":""}],"container-title":"Journal of surgical oncology","id":"ITEM-1","issue":"4","issued":{"date-parts":[["2000","4"]]},"language":"eng","page":"206-211","publisher-place":"United States","title":"Predictors of functional outcomes following limb salvage surgery for lower-extremity  soft tissue sarcoma.","type":"article-journal","volume":"73"},"uris":["http://www.mendeley.com/documents/?uuid=4e4d506b-fbd4-421b-bc56-30d22d4f365f"]}],"mendeley":{"formattedCitation":"(52)","plainTextFormattedCitation":"(52)","previouslyFormattedCitation":"(52)"},"properties":{"noteIndex":0},"schema":"https://github.com/citation-style-language/schema/raw/master/csl-citation.json"}</w:instrText>
      </w:r>
      <w:r w:rsidR="007F6660" w:rsidRPr="005B5460">
        <w:rPr>
          <w:rFonts w:ascii="Times New Roman" w:hAnsi="Times New Roman" w:cs="Times New Roman"/>
        </w:rPr>
        <w:fldChar w:fldCharType="separate"/>
      </w:r>
      <w:r w:rsidR="005F4DC8" w:rsidRPr="005B5460">
        <w:rPr>
          <w:rFonts w:ascii="Times New Roman" w:hAnsi="Times New Roman" w:cs="Times New Roman"/>
          <w:noProof/>
        </w:rPr>
        <w:t>(52)</w:t>
      </w:r>
      <w:r w:rsidR="007F6660" w:rsidRPr="005B5460">
        <w:rPr>
          <w:rFonts w:ascii="Times New Roman" w:hAnsi="Times New Roman" w:cs="Times New Roman"/>
        </w:rPr>
        <w:fldChar w:fldCharType="end"/>
      </w:r>
      <w:r w:rsidRPr="005B5460">
        <w:rPr>
          <w:rFonts w:ascii="Times New Roman" w:hAnsi="Times New Roman" w:cs="Times New Roman"/>
        </w:rPr>
        <w:t xml:space="preserve">, who found the MSTS and TESS scores to be affected by tumour size, percentage of bone resected and the involvement of nervous tissue. These factors were not analysed </w:t>
      </w:r>
      <w:r w:rsidR="006F0B43" w:rsidRPr="005B5460">
        <w:rPr>
          <w:rFonts w:ascii="Times New Roman" w:hAnsi="Times New Roman" w:cs="Times New Roman"/>
        </w:rPr>
        <w:t xml:space="preserve">or reported </w:t>
      </w:r>
      <w:r w:rsidRPr="005B5460">
        <w:rPr>
          <w:rFonts w:ascii="Times New Roman" w:hAnsi="Times New Roman" w:cs="Times New Roman"/>
        </w:rPr>
        <w:t xml:space="preserve">in the reviewed papers, yet some papers surmised that other factors affected the functional levels, such as the type of LSS procedure (IAR vs EAR), as was reported by four studies </w:t>
      </w:r>
      <w:r w:rsidR="00F55022"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{"citationItems":[{"id":"ITEM-1","itemData":{"DOI":"10.1016/j.knee.2009.02.006","ISSN":"1873-5800 (Electronic)","PMID":"19269182","abstract":"Bone sarcomas are the fourth most common cancer in individuals under 25 years. Limb  salvage procedures are popular for the treatment of osteosarcomas as they have functional and physiological benefits over traditional amputative procedures. The objective of this study was to apply disease specific measures to a group of intra-articular knee osteosarcoma patients and to evaluate structural and treatment variables predictive of the functional outcome scores. Twenty patients (10 female, 10 male) treated with tumour resection and endoprosthetic knee arthroplasty took part in the study. The Musculoskeletal Tumour Society (MSTS) rating scale and the Toronto Extremity Salvage Score (TESS) were used to assess impairment and disability respectively. Impairment was recorded as 83% and disability was recorded as 86% suggesting moderate to high function following limb salvage surgery. Task difficulty was shown to increase for activities requiring large knee flexion angles, presumably due to increased patellofemoral forces. Bivariate correlations revealed that loss of quadriceps musculature, knee extension strength and knee flexion range of motion were parameters moderately associated with the assessment instruments. ANOVA revealed no significant differences in impairment (P=0.962) or disability (P=0.411) between the differing types of prostheses. In conclusion clinicians and therapists should emphasise restoration of post-surgical range of motion and strength in order to enhance functional recovery.","author":[{"dropping-particle":"","family":"Carty","given":"Christopher P","non-dropping-particle":"","parse-names":false,"suffix":""},{"dropping-particle":"","family":"Dickinson","given":"Ian C","non-dropping-particle":"","parse-names":false,"suffix":""},{"dropping-particle":"","family":"Watts","given":"Mark C","non-dropping-particle":"","parse-names":false,"suffix":""},{"dropping-particle":"","family":"Crawford","given":"Ross W","non-dropping-particle":"","parse-names":false,"suffix":""},{"dropping-particle":"","family":"Steadman","given":"Peter","non-dropping-particle":"","parse-names":false,"suffix":""}],"container-title":"The Knee","id":"ITEM-1","issue":"5","issued":{"date-parts":[["2009","10"]]},"language":"eng","page":"405-408","publisher-place":"Netherlands","title":"Impairment and disability following limb salvage procedures for bone sarcoma.","type":"article-journal","volume":"16"},"uris":["http://www.mendeley.com/documents/?uuid=f0acb2b8-fdb8-4093-97e7-40e9515dd570"]},{"id":"ITEM-2","itemData":{"DOI":"10.1016/j.ejso.2016.05.018","ISSN":"1532-2157 (Electronic)","PMID":"27266818","abstract":"We reviewed the oncological and functional outcomes of patients treated for a  primary sarcoma possibly involving the knee joint and present an algorithm to guide treatment. The records of 76 patients who had a primary bone or soft tissue sarcoma possibly invading the knee between 1996 and 2012 were identified. Mean age and follow-up was 32 years (9-74) and 64 months (12-195), respectively. Patients were grouped according to the resection (Intra-articular [IAR] vs. Extra-articular [EAR] vs. Amputation/rotationplasty) for survival and functional outcomes. Overall 5 and 10 year survival was 61% and 53%, respectively. No differences in survival were found between the 3 groups (p = 0.55). Sixteen patients developed local recurrence with no difference between the groups. Mean MSTS score was 24.5 (12-30). Mean flexion at final follow-up was 106° (70-130°). We conclude that EAR of the knee allows for good oncologic and functional outcomes but with an increased risk of complications compared to IAR. Intra-operative assessment of joint involvement can be done in patients where joint infiltration by the tumour is not clear to avoid an unnecessary EAR. For chondrosarcoma patients with joint involvement, an EAR should be carefully considered because they present a significantly higher local recurrence risk.","author":[{"dropping-particle":"","family":"Shahid","given":"M","non-dropping-particle":"","parse-names":false,"suffix":""},{"dropping-particle":"","family":"Albergo","given":"N","non-dropping-particle":"","parse-names":false,"suffix":""},{"dropping-particle":"","family":"Purvis","given":"T","non-dropping-particle":"","parse-names":false,"suffix":""},{"dropping-particle":"","family":"Heron","given":"K","non-dropping-particle":"","parse-names":false,"suffix":""},{"dropping-particle":"","family":"Gaston","given":"L","non-dropping-particle":"","parse-names":false,"suffix":""},{"dropping-particle":"","family":"Carter","given":"S","non-dropping-particle":"","parse-names":false,"suffix":""},{"dropping-particle":"","family":"Grimer","given":"R","non-dropping-particle":"","parse-names":false,"suffix":""},{"dropping-particle":"","family":"Jeys","given":"L","non-dropping-particle":"","parse-names":false,"suffix":""}],"container-title":"European journal of surgical oncology : the journal of the European Society of  Surgical Oncology and the British Association of Surgical Oncology","id":"ITEM-2","issue":"1","issued":{"date-parts":[["2017","1"]]},"language":"eng","page":"175-180","publisher-place":"England","title":"Management of sarcomas possibly involving the knee joint when to perform  extra-articular resection of the knee joint and is it safe?","type":"article-journal","volume":"43"},"uris":["http://www.mendeley.com/documents/?uuid=1308600d-eee4-499a-b8e8-37c6fc6e3528"]},{"id":"ITEM-3","itemData":{"DOI":"10.1093/jjco/hyu093","ISSN":"1465-3621 (Electronic)","PMID":"25057091","abstract":"OBJECTIVE: Extra-articular resection is necessary to obtain a wide margin for  primary osteosarcomas invading the knee joint, and the limb is often reconstructed using a prosthesis. Here, outcomes of extra-articular and intra-articular procedures were compared. METHODS: Between 1999 and 2012, 14 patients with osteosarcoma underwent extra-articular excision (n = 6; ages 23-65 years; mean follow-up 82.8 months) or intra-articular excision (n = 8; ages 8-58 years; mean follow-up 96.4 months). In the extra-articular group, there was one Enneking Stage IIA case and five Enneking Stage IIB cases. No local recurrences were noted in either group. RESULTS: Patient outcomes were as follows (extra-articular cases vs. intra-articular cases): continuous disease-free (2 vs. 7), alive with disease (2 vs. 0) and death from disease (1 vs. 1). Average Musculoskeletal Tumor Society functional scores were 69.4% (range 63.3-83.3%) and 88.3% (range 70.0-96.7%) in the extra-articular and intra-articular groups, respectively, constituting a significant difference (P &lt; 0.05). The 5-year oncological overall survival exceeded 80% in both groups. Amputation was necessary for one patient in the extra-articular group. The 5-year event-free prosthesis survival rates in the extra-articular and intra-articular groups were 33.3 and 75.0%, respectively (P &lt; 0.05). CONCLUSION: The extra-articular excision group developed more complications than the intra-articular excision group, as a result of extensive bone and muscle excision. The limb survival rates were similar in both groups. Our results suggest that extra-articular resection was a necessary and clinically acceptable procedure.","author":[{"dropping-particle":"","family":"Ieguchi","given":"Makoto","non-dropping-particle":"","parse-names":false,"suffix":""},{"dropping-particle":"","family":"Hoshi","given":"Manabu","non-dropping-particle":"","parse-names":false,"suffix":""},{"dropping-particle":"","family":"Aono","given":"Masanari","non-dropping-particle":"","parse-names":false,"suffix":""},{"dropping-particle":"","family":"Takada","given":"Jun","non-dropping-particle":"","parse-names":false,"suffix":""},{"dropping-particle":"","family":"Ohebisu","given":"Naoto","non-dropping-particle":"","parse-names":false,"suffix":""},{"dropping-particle":"","family":"Kudawara","given":"Ikuo","non-dropping-particle":"","parse-names":false,"suffix":""},{"dropping-particle":"","family":"Nakamura","given":"Hiroaki","non-dropping-particle":"","parse-names":false,"suffix":""}],"container-title":"Japanese journal of clinical oncology","id":"ITEM-3","issue":"9","issued":{"date-parts":[["2014","9"]]},"language":"eng","page":"812-817","publisher-place":"England","title":"Knee reconstruction with endoprosthesis after extra-articular and intra-articular  resection of osteosarcoma.","type":"article-journal","volume":"44"},"uris":["http://www.mendeley.com/documents/?uuid=67433737-0661-46b4-aabd-8e287e8aefd4"]},{"id":"ITEM-4","itemData":{"DOI":"10.1302/0301-620X.95B10.31740","ISSN":"2049-4408 (Electronic)","PMID":"24078544","abstract":"We evaluated the clinical results and complications after extra-articular resection  of the distal femur and/or proximal tibia and reconstruction with a tumour endoprosthesis (MUTARS) in 59 patients (mean age 33 years (11 to 74)) with malignant bone or soft-tissue tumours. According to a Kaplan-Meier analysis, limb survival was 76% (95% confidence interval (CI) 64.1 to 88.5) after a mean follow-up of 4.7 years (one month to 17 years). Peri-prosthetic infection was the most common indication for subsequent amputation (eight patients). Survival of the prosthesis without revision was 48% (95% CI 34.8 to 62.0) at two years and 25% (95% CI 11.1 to 39.9) at five years post-operatively. Failure of the prosthesis was due to deep infection in 22 patients (37%), aseptic loosening in ten patients (17%), and peri-prosthetic fracture in six patients (10%). Wear of the bearings made a minor revision necessary in 12 patients (20%). The mean Musculoskeletal Tumor Society score was 23 (10 to 29). An extensor lag &gt; 10° was noted in ten patients (17%). These results suggest that limb salvage after extra-articular resection with a tumour prosthesis can achieve good functional results in most patients, although the rates of complications and subsequent amputation are higher than in patients treated with intra-articular resection.","author":[{"dropping-particle":"","family":"Hardes","given":"J","non-dropping-particle":"","parse-names":false,"suffix":""},{"dropping-particle":"","family":"Henrichs","given":"M P","non-dropping-particle":"","parse-names":false,"suffix":""},{"dropping-particle":"","family":"Gosheger","given":"G","non-dropping-particle":"","parse-names":false,"suffix":""},{"dropping-particle":"","family":"Gebert","given":"C","non-dropping-particle":"","parse-names":false,"suffix":""},{"dropping-particle":"","family":"Höll","given":"S","non-dropping-particle":"","parse-names":false,"suffix":""},{"dropping-particle":"","family":"Dieckmann","given":"R","non-dropping-particle":"","parse-names":false,"suffix":""},{"dropping-particle":"","family":"Hauschild","given":"G","non-dropping-particle":"","parse-names":false,"suffix":""},{"dropping-particle":"","family":"Streitbürger","given":"A","non-dropping-particle":"","parse-names":false,"suffix":""}],"container-title":"The bone &amp; joint journal","id":"ITEM-4","issue":"10","issued":{"date-parts":[["2013","10"]]},"language":"eng","page":"1425-1431","publisher-place":"England","title":"Endoprosthetic replacement after extra-articular resection of bone and soft-tissue  tumours around the knee.","type":"article-journal","volume":"95-B"},"uris":["http://www.mendeley.com/documents/?uuid=910cd0ad-117c-448d-8ff7-d41f29f39e12"]}],"mendeley":{"formattedCitation":"(20,35,40,42)","plainTextFormattedCitation":"(20,35,40,42)","previouslyFormattedCitation":"(20,35,41,43)"},"properties":{"noteIndex":0},"schema":"https://github.com/citation-style-language/schema/raw/master/csl-citation.json"}</w:instrText>
      </w:r>
      <w:r w:rsidR="00F55022" w:rsidRPr="005B5460">
        <w:rPr>
          <w:rFonts w:ascii="Times New Roman" w:hAnsi="Times New Roman" w:cs="Times New Roman"/>
        </w:rPr>
        <w:fldChar w:fldCharType="separate"/>
      </w:r>
      <w:r w:rsidR="009D0EA8" w:rsidRPr="005B5460">
        <w:rPr>
          <w:rFonts w:ascii="Times New Roman" w:hAnsi="Times New Roman" w:cs="Times New Roman"/>
          <w:noProof/>
        </w:rPr>
        <w:t>(20,35,40,42)</w:t>
      </w:r>
      <w:r w:rsidR="00F55022" w:rsidRPr="005B5460">
        <w:rPr>
          <w:rFonts w:ascii="Times New Roman" w:hAnsi="Times New Roman" w:cs="Times New Roman"/>
        </w:rPr>
        <w:fldChar w:fldCharType="end"/>
      </w:r>
      <w:r w:rsidRPr="005B5460">
        <w:rPr>
          <w:rFonts w:ascii="Times New Roman" w:hAnsi="Times New Roman" w:cs="Times New Roman"/>
        </w:rPr>
        <w:t xml:space="preserve">. </w:t>
      </w:r>
      <w:proofErr w:type="spellStart"/>
      <w:r w:rsidRPr="005B5460">
        <w:rPr>
          <w:rFonts w:ascii="Times New Roman" w:hAnsi="Times New Roman" w:cs="Times New Roman"/>
        </w:rPr>
        <w:t>Ieguchi</w:t>
      </w:r>
      <w:proofErr w:type="spellEnd"/>
      <w:r w:rsidRPr="005B5460">
        <w:rPr>
          <w:rFonts w:ascii="Times New Roman" w:hAnsi="Times New Roman" w:cs="Times New Roman"/>
        </w:rPr>
        <w:t xml:space="preserve"> et al</w:t>
      </w:r>
      <w:r w:rsidR="006F0B43" w:rsidRPr="005B5460">
        <w:rPr>
          <w:rFonts w:ascii="Times New Roman" w:hAnsi="Times New Roman" w:cs="Times New Roman"/>
        </w:rPr>
        <w:t xml:space="preserve"> </w:t>
      </w:r>
      <w:r w:rsidR="00EE0974"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{"citationItems":[{"id":"ITEM-1","itemData":{"DOI":"10.1093/jjco/hyu093","ISSN":"1465-3621 (Electronic)","PMID":"25057091","abstract":"OBJECTIVE: Extra-articular resection is necessary to obtain a wide margin for  primary osteosarcomas invading the knee joint, and the limb is often reconstructed using a prosthesis. Here, outcomes of extra-articular and intra-articular procedures were compared. METHODS: Between 1999 and 2012, 14 patients with osteosarcoma underwent extra-articular excision (n = 6; ages 23-65 years; mean follow-up 82.8 months) or intra-articular excision (n = 8; ages 8-58 years; mean follow-up 96.4 months). In the extra-articular group, there was one Enneking Stage IIA case and five Enneking Stage IIB cases. No local recurrences were noted in either group. RESULTS: Patient outcomes were as follows (extra-articular cases vs. intra-articular cases): continuous disease-free (2 vs. 7), alive with disease (2 vs. 0) and death from disease (1 vs. 1). Average Musculoskeletal Tumor Society functional scores were 69.4% (range 63.3-83.3%) and 88.3% (range 70.0-96.7%) in the extra-articular and intra-articular groups, respectively, constituting a significant difference (P &lt; 0.05). The 5-year oncological overall survival exceeded 80% in both groups. Amputation was necessary for one patient in the extra-articular group. The 5-year event-free prosthesis survival rates in the extra-articular and intra-articular groups were 33.3 and 75.0%, respectively (P &lt; 0.05). CONCLUSION: The extra-articular excision group developed more complications than the intra-articular excision group, as a result of extensive bone and muscle excision. The limb survival rates were similar in both groups. Our results suggest that extra-articular resection was a necessary and clinically acceptable procedure.","author":[{"dropping-particle":"","family":"Ieguchi","given":"Makoto","non-dropping-particle":"","parse-names":false,"suffix":""},{"dropping-particle":"","family":"Hoshi","given":"Manabu","non-dropping-particle":"","parse-names":false,"suffix":""},{"dropping-particle":"","family":"Aono","given":"Masanari","non-dropping-particle":"","parse-names":false,"suffix":""},{"dropping-particle":"","family":"Takada","given":"Jun","non-dropping-particle":"","parse-names":false,"suffix":""},{"dropping-particle":"","family":"Ohebisu","given":"Naoto","non-dropping-particle":"","parse-names":false,"suffix":""},{"dropping-particle":"","family":"Kudawara","given":"Ikuo","non-dropping-particle":"","parse-names":false,"suffix":""},{"dropping-particle":"","family":"Nakamura","given":"Hiroaki","non-dropping-particle":"","parse-names":false,"suffix":""}],"container-title":"Japanese journal of clinical oncology","id":"ITEM-1","issue":"9","issued":{"date-parts":[["2014","9"]]},"language":"eng","page":"812-817","publisher-place":"England","title":"Knee reconstruction with endoprosthesis after extra-articular and intra-articular  resection of osteosarcoma.","type":"article-journal","volume":"44"},"uris":["http://www.mendeley.com/documents/?uuid=67433737-0661-46b4-aabd-8e287e8aefd4"]}],"mendeley":{"formattedCitation":"(40)","plainTextFormattedCitation":"(40)","previouslyFormattedCitation":"(41)"},"properties":{"noteIndex":0},"schema":"https://github.com/citation-style-language/schema/raw/master/csl-citation.json"}</w:instrText>
      </w:r>
      <w:r w:rsidR="00EE0974" w:rsidRPr="005B5460">
        <w:rPr>
          <w:rFonts w:ascii="Times New Roman" w:hAnsi="Times New Roman" w:cs="Times New Roman"/>
        </w:rPr>
        <w:fldChar w:fldCharType="separate"/>
      </w:r>
      <w:r w:rsidR="009D0EA8" w:rsidRPr="005B5460">
        <w:rPr>
          <w:rFonts w:ascii="Times New Roman" w:hAnsi="Times New Roman" w:cs="Times New Roman"/>
          <w:noProof/>
        </w:rPr>
        <w:t>(40)</w:t>
      </w:r>
      <w:r w:rsidR="00EE0974" w:rsidRPr="005B5460">
        <w:rPr>
          <w:rFonts w:ascii="Times New Roman" w:hAnsi="Times New Roman" w:cs="Times New Roman"/>
        </w:rPr>
        <w:fldChar w:fldCharType="end"/>
      </w:r>
      <w:r w:rsidRPr="005B5460">
        <w:rPr>
          <w:rFonts w:ascii="Times New Roman" w:hAnsi="Times New Roman" w:cs="Times New Roman"/>
        </w:rPr>
        <w:t xml:space="preserve"> was the only study </w:t>
      </w:r>
      <w:r w:rsidR="006F0B43" w:rsidRPr="005B5460">
        <w:rPr>
          <w:rFonts w:ascii="Times New Roman" w:hAnsi="Times New Roman" w:cs="Times New Roman"/>
        </w:rPr>
        <w:t xml:space="preserve">that reported </w:t>
      </w:r>
      <w:r w:rsidRPr="005B5460">
        <w:rPr>
          <w:rFonts w:ascii="Times New Roman" w:hAnsi="Times New Roman" w:cs="Times New Roman"/>
        </w:rPr>
        <w:t xml:space="preserve">EAR to have </w:t>
      </w:r>
      <w:r w:rsidR="006F0B43" w:rsidRPr="005B5460">
        <w:rPr>
          <w:rFonts w:ascii="Times New Roman" w:hAnsi="Times New Roman" w:cs="Times New Roman"/>
        </w:rPr>
        <w:t xml:space="preserve">reduced </w:t>
      </w:r>
      <w:r w:rsidRPr="005B5460">
        <w:rPr>
          <w:rFonts w:ascii="Times New Roman" w:hAnsi="Times New Roman" w:cs="Times New Roman"/>
        </w:rPr>
        <w:t xml:space="preserve">functional outcomes than IAR. This is consistent with the findings </w:t>
      </w:r>
      <w:r w:rsidR="00A52A68" w:rsidRPr="005B5460">
        <w:rPr>
          <w:rFonts w:ascii="Times New Roman" w:hAnsi="Times New Roman" w:cs="Times New Roman"/>
        </w:rPr>
        <w:t>in</w:t>
      </w:r>
      <w:r w:rsidRPr="005B5460">
        <w:rPr>
          <w:rFonts w:ascii="Times New Roman" w:hAnsi="Times New Roman" w:cs="Times New Roman"/>
        </w:rPr>
        <w:t xml:space="preserve"> related literature </w:t>
      </w:r>
      <w:r w:rsidR="00E02056" w:rsidRPr="005B5460">
        <w:rPr>
          <w:rFonts w:ascii="Times New Roman" w:hAnsi="Times New Roman" w:cs="Times New Roman"/>
        </w:rPr>
        <w:fldChar w:fldCharType="begin" w:fldLock="1"/>
      </w:r>
      <w:r w:rsidR="005F4DC8" w:rsidRPr="005B5460">
        <w:rPr>
          <w:rFonts w:ascii="Times New Roman" w:hAnsi="Times New Roman" w:cs="Times New Roman"/>
        </w:rPr>
        <w:instrText>ADDIN CSL_CITATION {"citationItems":[{"id":"ITEM-1","itemData":{"DOI":"10.1002/jso.21441","ISSN":"1096-9098 (Electronic)","PMID":"19924724","abstract":"BACKGROUND AND OBJECTIVES: Limb salvage and reconstruction with tumor endoprostheses  is considered as therapeutic standard in the treatment of bone defects at the knee. Few studies report long-term results so far. METHODS: Seventy-seven patients who had a cementless or cemented MUTARS endoprosthesis implanted were followed-up for a mean period of 46 months (3-128 months). The defects were due to primary tumor lesions in 69 cases or metastases in 8 cases. The distal femur (n = 49) or the proximal tibia (n = 28) was reconstructed predominantly with cementless implants (femur: 69%, tibia: 92%). The resection of the tumor was intraarticular in 46 and extraarticular in 31 patients. RESULTS: After 10 years probability of limb salvage was 92% with a recurrence rate of 3%. Complications were frequent with a revision rate of 58% and lead to a cumulative probability of survival of the initially implanted prosthesis of 57% after 5 years. Locking mechanism failure (n = 15) and aseptic loosening (n = 13) were the most frequent failure modes. CONCLUSIONS: Regardless of achieving a low recurrence rate and satisfactory functional results, we found a high complication rate after implantation of a megaprosthesis. This was particularly evident for extraarticular resections and cemented fixation, which should be avoided when possible.","author":[{"dropping-particle":"","family":"Kinkel","given":"S","non-dropping-particle":"","parse-names":false,"suffix":""},{"dropping-particle":"","family":"Lehner","given":"B","non-dropping-particle":"","parse-names":false,"suffix":""},{"dropping-particle":"","family":"Kleinhans","given":"J A","non-dropping-particle":"","parse-names":false,"suffix":""},{"dropping-particle":"","family":"Jakubowitz","given":"E","non-dropping-particle":"","parse-names":false,"suffix":""},{"dropping-particle":"","family":"Ewerbeck","given":"V","non-dropping-particle":"","parse-names":false,"suffix":""},{"dropping-particle":"","family":"Heisel","given":"C","non-dropping-particle":"","parse-names":false,"suffix":""}],"container-title":"Journal of surgical oncology","id":"ITEM-1","issue":"2","issued":{"date-parts":[["2010","2"]]},"language":"eng","page":"166-169","publisher-place":"United States","title":"Medium to long-term results after reconstruction of bone defects at the knee with  tumor endoprostheses.","type":"article-journal","volume":"101"},"uris":["http://www.mendeley.com/documents/?uuid=b2ab6420-4ba7-44f6-b925-510148c9d836"]},{"id":"ITEM-2","itemData":{"DOI":"10.3892/or.8.2.365","ISSN":"1021-335X (Print)","PMID":"11182057","abstract":"We demonstrate our procedure of extra-articular wide tumor resection and its  clinical outcome. The knee joint including the femorotibial, patellofemoral and the proximal tibiofibular joints was totally resected without any view of articular cartilage and synovium. The resected limb was reconstructed with endoprosthesis of the knee joint. The average score of the limb function evaluated by ISOLS criteria was 69.3% in all patients. The limb function of these patients was almost the same as that of the patients who received the intra-articular procedure. The procedure of extra-articular resection was theoretically necessary and clinically practical.","author":[{"dropping-particle":"","family":"Nakamura","given":"S","non-dropping-particle":"","parse-names":false,"suffix":""},{"dropping-particle":"","family":"Kusuzaki","given":"K","non-dropping-particle":"","parse-names":false,"suffix":""},{"dropping-particle":"","family":"Murata","given":"H","non-dropping-particle":"","parse-names":false,"suffix":""},{"dropping-particle":"","family":"Takeshita","given":"H","non-dropping-particle":"","parse-names":false,"suffix":""},{"dropping-particle":"","family":"Hirata","given":"M","non-dropping-particle":"","parse-names":false,"suffix":""},{"dropping-particle":"","family":"Hashiguchi","given":"S","non-dropping-particle":"","parse-names":false,"suffix":""},{"dropping-particle":"","family":"Hirasawa","given":"Y","non-dropping-particle":"","parse-names":false,"suffix":""}],"container-title":"Oncology reports","id":"ITEM-2","issue":"2","issued":{"date-parts":[["2001"]]},"language":"eng","page":"365-368","publisher-place":"Greece","title":"Extra-articular wide tumor resection and limb reconstruction in malignant bone  tumors invading the knee joint.","type":"article-journal","volume":"8"},"uris":["http://www.mendeley.com/documents/?uuid=9996617e-80ce-4fa6-bc76-cf37c277eabb"]}],"mendeley":{"formattedCitation":"(53,54)","plainTextFormattedCitation":"(53,54)","previouslyFormattedCitation":"(53,54)"},"properties":{"noteIndex":0},"schema":"https://github.com/citation-style-language/schema/raw/master/csl-citation.json"}</w:instrText>
      </w:r>
      <w:r w:rsidR="00E02056" w:rsidRPr="005B5460">
        <w:rPr>
          <w:rFonts w:ascii="Times New Roman" w:hAnsi="Times New Roman" w:cs="Times New Roman"/>
        </w:rPr>
        <w:fldChar w:fldCharType="separate"/>
      </w:r>
      <w:r w:rsidR="005F4DC8" w:rsidRPr="005B5460">
        <w:rPr>
          <w:rFonts w:ascii="Times New Roman" w:hAnsi="Times New Roman" w:cs="Times New Roman"/>
          <w:noProof/>
        </w:rPr>
        <w:t>(53,54)</w:t>
      </w:r>
      <w:r w:rsidR="00E02056" w:rsidRPr="005B5460">
        <w:rPr>
          <w:rFonts w:ascii="Times New Roman" w:hAnsi="Times New Roman" w:cs="Times New Roman"/>
        </w:rPr>
        <w:fldChar w:fldCharType="end"/>
      </w:r>
      <w:r w:rsidRPr="005B5460">
        <w:rPr>
          <w:rFonts w:ascii="Times New Roman" w:hAnsi="Times New Roman" w:cs="Times New Roman"/>
        </w:rPr>
        <w:t xml:space="preserve">. </w:t>
      </w:r>
    </w:p>
    <w:p w14:paraId="54C4E7AD" w14:textId="2BD208B0" w:rsidR="00E86027" w:rsidRPr="005B5460" w:rsidRDefault="007E3529" w:rsidP="007E3529">
      <w:pPr>
        <w:spacing w:line="480" w:lineRule="auto"/>
        <w:rPr>
          <w:rFonts w:ascii="Times New Roman" w:hAnsi="Times New Roman" w:cs="Times New Roman"/>
        </w:rPr>
      </w:pPr>
      <w:r w:rsidRPr="005B5460">
        <w:rPr>
          <w:rFonts w:ascii="Times New Roman" w:hAnsi="Times New Roman" w:cs="Times New Roman"/>
        </w:rPr>
        <w:t xml:space="preserve">Age was widely heterogeneous in most of the reviewed </w:t>
      </w:r>
      <w:r w:rsidR="006A21DE" w:rsidRPr="005B5460">
        <w:rPr>
          <w:rFonts w:ascii="Times New Roman" w:hAnsi="Times New Roman" w:cs="Times New Roman"/>
        </w:rPr>
        <w:t>papers;</w:t>
      </w:r>
      <w:r w:rsidR="006F0B43" w:rsidRPr="005B5460">
        <w:rPr>
          <w:rFonts w:ascii="Times New Roman" w:hAnsi="Times New Roman" w:cs="Times New Roman"/>
        </w:rPr>
        <w:t xml:space="preserve"> however</w:t>
      </w:r>
      <w:r w:rsidR="006A21DE" w:rsidRPr="005B5460">
        <w:rPr>
          <w:rFonts w:ascii="Times New Roman" w:hAnsi="Times New Roman" w:cs="Times New Roman"/>
        </w:rPr>
        <w:t>,</w:t>
      </w:r>
      <w:r w:rsidRPr="005B5460">
        <w:rPr>
          <w:rFonts w:ascii="Times New Roman" w:hAnsi="Times New Roman" w:cs="Times New Roman"/>
        </w:rPr>
        <w:t xml:space="preserve"> two studies were dedicated to paediatric and young adult patients </w:t>
      </w:r>
      <w:r w:rsidR="0052012A" w:rsidRPr="005B5460">
        <w:rPr>
          <w:rFonts w:ascii="Times New Roman" w:hAnsi="Times New Roman" w:cs="Times New Roman"/>
        </w:rPr>
        <w:fldChar w:fldCharType="begin" w:fldLock="1"/>
      </w:r>
      <w:r w:rsidR="00BB268F" w:rsidRPr="005B5460">
        <w:rPr>
          <w:rFonts w:ascii="Times New Roman" w:hAnsi="Times New Roman" w:cs="Times New Roman"/>
        </w:rPr>
        <w:instrText>ADDIN CSL_CITATION {"citationItems":[{"id":"ITEM-1","itemData":{"DOI":"10.1016/j.knee.2009.02.006","ISSN":"1873-5800 (Electronic)","PMID":"19269182","abstract":"Bone sarcomas are the fourth most common cancer in individuals under 25 years. Limb  salvage procedures are popular for the treatment of osteosarcomas as they have functional and physiological benefits over traditional amputative procedures. The objective of this study was to apply disease specific measures to a group of intra-articular knee osteosarcoma patients and to evaluate structural and treatment variables predictive of the functional outcome scores. Twenty patients (10 female, 10 male) treated with tumour resection and endoprosthetic knee arthroplasty took part in the study. The Musculoskeletal Tumour Society (MSTS) rating scale and the Toronto Extremity Salvage Score (TESS) were used to assess impairment and disability respectively. Impairment was recorded as 83% and disability was recorded as 86% suggesting moderate to high function following limb salvage surgery. Task difficulty was shown to increase for activities requiring large knee flexion angles, presumably due to increased patellofemoral forces. Bivariate correlations revealed that loss of quadriceps musculature, knee extension strength and knee flexion range of motion were parameters moderately associated with the assessment instruments. ANOVA revealed no significant differences in impairment (P=0.962) or disability (P=0.411) between the differing types of prostheses. In conclusion clinicians and therapists should emphasise restoration of post-surgical range of motion and strength in order to enhance functional recovery.","author":[{"dropping-particle":"","family":"Carty","given":"Christopher P","non-dropping-particle":"","parse-names":false,"suffix":""},{"dropping-particle":"","family":"Dickinson","given":"Ian C","non-dropping-particle":"","parse-names":false,"suffix":""},{"dropping-particle":"","family":"Watts","given":"Mark C","non-dropping-particle":"","parse-names":false,"suffix":""},{"dropping-particle":"","family":"Crawford","given":"Ross W","non-dropping-particle":"","parse-names":false,"suffix":""},{"dropping-particle":"","family":"Steadman","given":"Peter","non-dropping-particle":"","parse-names":false,"suffix":""}],"container-title":"The Knee","id":"ITEM-1","issue":"5","issued":{"date-parts":[["2009","10"]]},"language":"eng","page":"405-408","publisher-place":"Netherlands","title":"Impairment and disability following limb salvage procedures for bone sarcoma.","type":"article-journal","volume":"16"},"uris":["http://www.mendeley.com/documents/?uuid=f0acb2b8-fdb8-4093-97e7-40e9515dd570"]},{"id":"ITEM-2","itemData":{"DOI":"10.3892/etm.2014.1744","ISSN":"1792-0981","abstract":"In this study, the effects of surgical removal of malignant metaphyseal bone tumors with epiphysis preservation and knee arthroplasty were analyzed. A total of 15 patients with malignant metaphyseal bone tumors were investigated. Six of these patients underwent epiphyseal preservation surgery with preoperative physeal distraction, termed the physeal distraction (PD) group. Nine patients underwent resection of the knee joint, combined with metal prosthesis transfer, termed the knee arthroplasty (KA) group. Tumor control, limb length discrepancy, range of movement (ROM) of the knee and functional outcome of lower limb [Musculoskeletal Tumor Society (MSTS) score and the Toronto extremity salvage score (TESS)] were assessed for these two groups. All 15 patients were followed-up after the surgery. One patient in the PD group was found to have lung tumor metastasis; however, no local tumor recurrence was found. In the KA group, local tumor recurrence was found in one patient, and lung metastases were observed in two cases postoperatively. The limb length discrepancy in patients of the PD group was 2.58±0.27 cm, which was significantly less compared with that in patients in the KA group (4.01±0.13 cm; P&lt;0.05). In addition, the lower limb knee ROM in patients in the PD group was 127.70±14.63°, which was increased compared to that in patients in the KA group (105.70±15.48°; P&lt;0.05). The mean MSTS score was 86.67% with a mean TESS of 82.33% in patients from the PD group, which showed no significant difference compared with the respective scores for patients in the KA group (P&gt;0.05). Therefore, epiphyseal sparing limb-saving surgeries should be considered for the treatment of malignant metaphyseal bone tumors in children, when certain indications are satisfied.","author":[{"dropping-particle":"","family":"Zhang","given":"Peng","non-dropping-particle":"","parse-names":false,"suffix":""},{"dropping-particle":"","family":"Feng","given":"Feifei","non-dropping-particle":"","parse-names":false,"suffix":""},{"dropping-particle":"","family":"Cai","given":"Qiqing","non-dropping-particle":"","parse-names":false,"suffix":""},{"dropping-particle":"","family":"Yao","given":"Weitao","non-dropping-particle":"","parse-names":false,"suffix":""},{"dropping-particle":"","family":"Gao","given":"Songtao","non-dropping-particle":"","parse-names":false,"suffix":""},{"dropping-particle":"","family":"Wang","given":"Jiaqiang","non-dropping-particle":"","parse-names":false,"suffix":""},{"dropping-particle":"","family":"Wang","given":"Xin","non-dropping-particle":"","parse-names":false,"suffix":""}],"container-title":"Experimental and therapeutic medicine","edition":"2014/05/28","id":"ITEM-2","issue":"2","issued":{"date-parts":[["2014","8"]]},"language":"eng","page":"567-572","publisher":"D.A. Spandidos","title":"Effects of metaphyseal bone tumor removal with preservation of the epiphysis and knee arthroplasty","type":"article-journal","volume":"8"},"uris":["http://www.mendeley.com/documents/?uuid=d539b6a2-627a-467e-86c8-4c9e75ef76c0"]}],"mendeley":{"formattedCitation":"(18,20)","plainTextFormattedCitation":"(18,20)","previouslyFormattedCitation":"(18,20)"},"properties":{"noteIndex":0},"schema":"https://github.com/citation-style-language/schema/raw/master/csl-citation.json"}</w:instrText>
      </w:r>
      <w:r w:rsidR="0052012A" w:rsidRPr="005B5460">
        <w:rPr>
          <w:rFonts w:ascii="Times New Roman" w:hAnsi="Times New Roman" w:cs="Times New Roman"/>
        </w:rPr>
        <w:fldChar w:fldCharType="separate"/>
      </w:r>
      <w:r w:rsidR="00BB268F" w:rsidRPr="005B5460">
        <w:rPr>
          <w:rFonts w:ascii="Times New Roman" w:hAnsi="Times New Roman" w:cs="Times New Roman"/>
          <w:noProof/>
        </w:rPr>
        <w:t>(18,20)</w:t>
      </w:r>
      <w:r w:rsidR="0052012A" w:rsidRPr="005B5460">
        <w:rPr>
          <w:rFonts w:ascii="Times New Roman" w:hAnsi="Times New Roman" w:cs="Times New Roman"/>
        </w:rPr>
        <w:fldChar w:fldCharType="end"/>
      </w:r>
      <w:r w:rsidRPr="005B5460">
        <w:rPr>
          <w:rFonts w:ascii="Times New Roman" w:hAnsi="Times New Roman" w:cs="Times New Roman"/>
        </w:rPr>
        <w:t xml:space="preserve"> and demonstrated that some aspects of the functional levels, gait and QoL outcomes were within acceptable ranges</w:t>
      </w:r>
      <w:r w:rsidR="00E86027" w:rsidRPr="005B5460">
        <w:rPr>
          <w:rFonts w:ascii="Times New Roman" w:hAnsi="Times New Roman" w:cs="Times New Roman"/>
        </w:rPr>
        <w:t xml:space="preserve"> for this subpopulation</w:t>
      </w:r>
      <w:r w:rsidRPr="005B5460">
        <w:rPr>
          <w:rFonts w:ascii="Times New Roman" w:hAnsi="Times New Roman" w:cs="Times New Roman"/>
        </w:rPr>
        <w:t xml:space="preserve">. </w:t>
      </w:r>
      <w:r w:rsidR="00E86027" w:rsidRPr="005B5460">
        <w:rPr>
          <w:rFonts w:ascii="Times New Roman" w:hAnsi="Times New Roman" w:cs="Times New Roman"/>
        </w:rPr>
        <w:t xml:space="preserve">Activity in the </w:t>
      </w:r>
      <w:r w:rsidRPr="005B5460">
        <w:rPr>
          <w:rFonts w:ascii="Times New Roman" w:hAnsi="Times New Roman" w:cs="Times New Roman"/>
        </w:rPr>
        <w:t>sport domain</w:t>
      </w:r>
      <w:r w:rsidR="00E86027" w:rsidRPr="005B5460">
        <w:rPr>
          <w:rFonts w:ascii="Times New Roman" w:hAnsi="Times New Roman" w:cs="Times New Roman"/>
        </w:rPr>
        <w:t>,</w:t>
      </w:r>
      <w:r w:rsidRPr="005B5460">
        <w:rPr>
          <w:rFonts w:ascii="Times New Roman" w:hAnsi="Times New Roman" w:cs="Times New Roman"/>
        </w:rPr>
        <w:t xml:space="preserve"> </w:t>
      </w:r>
      <w:r w:rsidR="00E86027" w:rsidRPr="005B5460">
        <w:rPr>
          <w:rFonts w:ascii="Times New Roman" w:hAnsi="Times New Roman" w:cs="Times New Roman"/>
        </w:rPr>
        <w:t xml:space="preserve">as measured using </w:t>
      </w:r>
      <w:r w:rsidRPr="005B5460">
        <w:rPr>
          <w:rFonts w:ascii="Times New Roman" w:hAnsi="Times New Roman" w:cs="Times New Roman"/>
        </w:rPr>
        <w:t xml:space="preserve">the </w:t>
      </w:r>
      <w:proofErr w:type="spellStart"/>
      <w:r w:rsidRPr="005B5460">
        <w:rPr>
          <w:rFonts w:ascii="Times New Roman" w:hAnsi="Times New Roman" w:cs="Times New Roman"/>
        </w:rPr>
        <w:t>Baecke</w:t>
      </w:r>
      <w:proofErr w:type="spellEnd"/>
      <w:r w:rsidRPr="005B5460">
        <w:rPr>
          <w:rFonts w:ascii="Times New Roman" w:hAnsi="Times New Roman" w:cs="Times New Roman"/>
        </w:rPr>
        <w:t xml:space="preserve"> questionnaire</w:t>
      </w:r>
      <w:r w:rsidR="00E86027" w:rsidRPr="005B5460">
        <w:rPr>
          <w:rFonts w:ascii="Times New Roman" w:hAnsi="Times New Roman" w:cs="Times New Roman"/>
        </w:rPr>
        <w:t>,</w:t>
      </w:r>
      <w:r w:rsidRPr="005B5460">
        <w:rPr>
          <w:rFonts w:ascii="Times New Roman" w:hAnsi="Times New Roman" w:cs="Times New Roman"/>
        </w:rPr>
        <w:t xml:space="preserve"> was lowest in </w:t>
      </w:r>
      <w:r w:rsidR="00BB268F" w:rsidRPr="005B5460">
        <w:rPr>
          <w:rFonts w:ascii="Times New Roman" w:hAnsi="Times New Roman" w:cs="Times New Roman"/>
        </w:rPr>
        <w:fldChar w:fldCharType="begin" w:fldLock="1"/>
      </w:r>
      <w:r w:rsidR="00BB268F" w:rsidRPr="005B5460">
        <w:rPr>
          <w:rFonts w:ascii="Times New Roman" w:hAnsi="Times New Roman" w:cs="Times New Roman"/>
        </w:rPr>
        <w:instrText>ADDIN CSL_CITATION {"citationItems":[{"id":"ITEM-1","itemData":{"DOI":"10.1002/jso.21828","ISSN":"1096-9098 (Electronic)","PMID":"21337557","abstract":"BACKGROUND: Aim of our study was to compare functional ability and physical activity  in children and young adults who underwent surgery for a malignant bone tumor that was located around the knee. METHODS: This cross-sectional study included 82 patients aged 8-25 years with a follow-up of 1-5 years. The functional ability and the amount of physical activity were evaluated by means of questionnaires and objective instruments. RESULTS: Thirty nine patients underwent limb-salvage surgery (24 allograft and 15 endoprosthesis) and 43 underwent ablative surgery (27 amputations and 16 rotationplasty). Patients in the limb-salvage group were significantly older at the time of surgery than patients in the ablative group (mean age 15.2 years vs. 13.2 years, P = 0.03). Apart from significantly better scores for the timed up and down stairs and various walking activities in the limb-salvage group as compared to the ablative surgery group, no significant differences were seen for any of the outcome measures. CONCLUSIONS: One to 5 years after limb-salvage and ablative surgery due to a malignant bone tumor children and young adults do, apart from a few activities involving walking and climbing stairs, not differ with respect to overall functional ability and physical activity.","author":[{"dropping-particle":"","family":"Bekkering","given":"W Peter","non-dropping-particle":"","parse-names":false,"suffix":""},{"dropping-particle":"","family":"Vliet Vlieland","given":"Theodora P M","non-dropping-particle":"","parse-names":false,"suffix":""},{"dropping-particle":"","family":"Koopman","given":"Hendrik M","non-dropping-particle":"","parse-names":false,"suffix":""},{"dropping-particle":"","family":"Schaap","given":"Gerard R","non-dropping-particle":"","parse-names":false,"suffix":""},{"dropping-particle":"","family":"Bart Schreuder","given":"H W","non-dropping-particle":"","parse-names":false,"suffix":""},{"dropping-particle":"","family":"Beishuizen","given":"Auke","non-dropping-particle":"","parse-names":false,"suffix":""},{"dropping-particle":"","family":"Jutte","given":"Paul C","non-dropping-particle":"","parse-names":false,"suffix":""},{"dropping-particle":"","family":"Hoogerbrugge","given":"Peter M","non-dropping-particle":"","parse-names":false,"suffix":""},{"dropping-particle":"","family":"Anninga","given":"Jacob K","non-dropping-particle":"","parse-names":false,"suffix":""},{"dropping-particle":"","family":"Nelissen","given":"Rob G H H","non-dropping-particle":"","parse-names":false,"suffix":""},{"dropping-particle":"","family":"Taminiau","given":"Antonie H M","non-dropping-particle":"","parse-names":false,"suffix":""}],"container-title":"Journal of surgical oncology","id":"ITEM-1","issue":"3","issued":{"date-parts":[["2011","3"]]},"language":"eng","page":"276-282","publisher-place":"United States","title":"Functional ability and physical activity in children and young adults after  limb-salvage or ablative surgery for lower extremity bone tumors.","type":"article-journal","volume":"103"},"uris":["http://www.mendeley.com/documents/?uuid=46086f6e-f63d-4ad9-82d8-9ecafd272161"]}],"mendeley":{"formattedCitation":"(21)","plainTextFormattedCitation":"(21)","previouslyFormattedCitation":"(21)"},"properties":{"noteIndex":0},"schema":"https://github.com/citation-style-language/schema/raw/master/csl-citation.json"}</w:instrText>
      </w:r>
      <w:r w:rsidR="00BB268F" w:rsidRPr="005B5460">
        <w:rPr>
          <w:rFonts w:ascii="Times New Roman" w:hAnsi="Times New Roman" w:cs="Times New Roman"/>
        </w:rPr>
        <w:fldChar w:fldCharType="separate"/>
      </w:r>
      <w:r w:rsidR="00BB268F" w:rsidRPr="005B5460">
        <w:rPr>
          <w:rFonts w:ascii="Times New Roman" w:hAnsi="Times New Roman" w:cs="Times New Roman"/>
          <w:noProof/>
        </w:rPr>
        <w:t>(21)</w:t>
      </w:r>
      <w:r w:rsidR="00BB268F" w:rsidRPr="005B5460">
        <w:rPr>
          <w:rFonts w:ascii="Times New Roman" w:hAnsi="Times New Roman" w:cs="Times New Roman"/>
        </w:rPr>
        <w:fldChar w:fldCharType="end"/>
      </w:r>
      <w:r w:rsidR="00E86027" w:rsidRPr="005B5460">
        <w:rPr>
          <w:rFonts w:ascii="Times New Roman" w:hAnsi="Times New Roman" w:cs="Times New Roman"/>
        </w:rPr>
        <w:t xml:space="preserve"> for this subpopulation</w:t>
      </w:r>
      <w:r w:rsidRPr="005B5460">
        <w:rPr>
          <w:rFonts w:ascii="Times New Roman" w:hAnsi="Times New Roman" w:cs="Times New Roman"/>
        </w:rPr>
        <w:t xml:space="preserve">; this is consistent with the findings of related papers </w:t>
      </w:r>
      <w:r w:rsidR="00BB268F" w:rsidRPr="005B5460">
        <w:rPr>
          <w:rFonts w:ascii="Times New Roman" w:hAnsi="Times New Roman" w:cs="Times New Roman"/>
        </w:rPr>
        <w:fldChar w:fldCharType="begin" w:fldLock="1"/>
      </w:r>
      <w:r w:rsidR="005F4DC8" w:rsidRPr="005B5460">
        <w:rPr>
          <w:rFonts w:ascii="Times New Roman" w:hAnsi="Times New Roman" w:cs="Times New Roman"/>
        </w:rPr>
        <w:instrText>ADDIN CSL_CITATION {"citationItems":[{"id":"ITEM-1","itemData":{"ISSN":"0009-921X (Print)","PMID":"6590160","abstract":"Limb salvage was previously described for patients with osteogenic sarcoma who had  resectable lesions. In the very young child the usual methods of reconstruction are not applicable due to the resulting major leg-length inequality. One solution is to resect the lesion in accordance with good cancer surgery guidelines and then perform a rotationplasty of the Van Nes type. The ankle then functions as a knee joint, and the final result is a below-knee amputation rather than a high above-knee amputation. Functional results in two patients were remarkably good.","author":[{"dropping-particle":"","family":"Jacobs","given":"P A","non-dropping-particle":"","parse-names":false,"suffix":""}],"container-title":"Clinical orthopaedics and related research","id":"ITEM-1","issue":"188","issued":{"date-parts":[["1984","9"]]},"language":"eng","page":"217-222","publisher-place":"United States","title":"Limb salvage and rotationplasty for osteosarcoma in children.","type":"article-journal"},"uris":["http://www.mendeley.com/documents/?uuid=ae1c82f6-7650-49ae-9ce2-75bfe575bebb"]},{"id":"ITEM-2","itemData":{"DOI":"10.1080/13577149778461","ISSN":"1357-714X (Print)","PMID":"18521199","abstract":"Purpose. We report on the quality of life following treatment for a malignant  primary bone tumour around the knee in skeletally immature children.Patients. Patients (n = 41; mean age = 18 years; range 8-28) had all experienced chemotherapy in a neo-adjuvant setting, surgical excision of the tumour and endoprosthetic replacement.Methods. Interviews were conducted separately with the child and mother and focused on mobility, body image and the impact of treatment on schooling, employment and plans for the future.Results. Mobility in the group was variable. Only 12% reported that they could run with any confidence. The proportion who were able to swim (49%) or ride a bike (46%) was higher. All had experienced major disruption in schooling (mean absence following diagnosis = 12 months). Eight had repeated a school year and 41% patients reported that their schoolwork was affected. As a result of their experience, eight (six females and two males) chose health-related employment. Concerns for the future were highest among males and those with manual jobs. Three patients were receiving psychiatric support, in relation to extreme concern about the risk of recurrence. All expressed satisfaction with treatment, and older patients believed that the prosthesis gave a better quality of life than amputation.Discussion. Our data suggest that outcome following limb-salvage surgery is variable. Education is disrupted. Even so, only two left school with no qualifications. Employment is most restricted among males with few qualifications who may benefit from sensitive vocational counselling.","author":[{"dropping-particle":"","family":"Eiser","given":"C","non-dropping-particle":"","parse-names":false,"suffix":""},{"dropping-particle":"","family":"Cool","given":"P","non-dropping-particle":"","parse-names":false,"suffix":""},{"dropping-particle":"","family":"Grimer","given":"R J","non-dropping-particle":"","parse-names":false,"suffix":""},{"dropping-particle":"","family":"Carter","given":"S R","non-dropping-particle":"","parse-names":false,"suffix":""},{"dropping-particle":"","family":"Cotter","given":"I M","non-dropping-particle":"","parse-names":false,"suffix":""},{"dropping-particle":"","family":"Ellis","given":"A J","non-dropping-particle":"","parse-names":false,"suffix":""},{"dropping-particle":"","family":"Kopel","given":"S","non-dropping-particle":"","parse-names":false,"suffix":""}],"container-title":"Sarcoma","id":"ITEM-2","issue":"1","issued":{"date-parts":[["1997"]]},"language":"eng","page":"39-45","title":"Quality of life in children following treatment for a malignant primary bone tumour  around the knee.","type":"article-journal","volume":"1"},"uris":["http://www.mendeley.com/documents/?uuid=43c9a577-8623-4b6e-b862-3efb33fb0364"]},{"id":"ITEM-3","itemData":{"ISSN":"0009-921X","abstract":"Multimodal, limb-saving therapy is the treatment of choice in children with osteosarcoma. However, few data are available on long-term functional problems and disabilities in surviving patients. Seventy-eight children treated for Stage II-B osteosarcoma who were treated between 1970 and 1997 were evaluated. Beyond the clinical examination, functional results were assessed using the scoring system of the Musculoskeletal Tumor Society. Patients reported their physical disabilities when completing the Toronto Extremity Salvage Score. The most recent cohort of patients who had tumor resection combined with preoperative and postoperative chemotherapy had the best 10-year survival rate at 70%. Thirty-four children (44%) were treated by limb-sparing therapy with 25 children requiring an endoprosthesis. Ten of these 25 children (40%) required one or in some cases several replacements of the endoprostheses because of complications. The original prostheses were in place for a median of 4.9 years before the first exchange (range, 2.0–12.0 years). Evaluations with rating scales showed that the subjective estimation of disabilities by the Toronto Extremity Salvage Score was significantly higher than a rating of limb functions by a doctor using the Musculoskeletal Tumor Society score. Best results were observed in children with an endoprosthesis of the distal femur who achieved as much as 90% ability to do their daily life routine. Limb-saving therapy in children with osteosarcoma enables a return to activities of daily living in long-term survivors with a minimum of remaining disability.","author":[{"dropping-particle":"","family":"Tunn","given":"Per-Ulf","non-dropping-particle":"","parse-names":false,"suffix":""},{"dropping-particle":"","family":"Schmidt-Peter","given":"Peter","non-dropping-particle":"","parse-names":false,"suffix":""},{"dropping-particle":"","family":"Pomraenke","given":"Doreen","non-dropping-particle":"","parse-names":false,"suffix":""},{"dropping-particle":"","family":"Hohenberger","given":"Peter","non-dropping-particle":"","parse-names":false,"suffix":""}],"container-title":"Clinical Orthopaedics and Related Research®","id":"ITEM-3","issued":{"date-parts":[["2004"]]},"title":"Osteosarcoma in Children: Long-Term Functional Analysis","type":"article-journal","volume":"421"},"uris":["http://www.mendeley.com/documents/?uuid=602f4313-6213-46fc-ad81-a6f7ac8dbfc3"]}],"mendeley":{"formattedCitation":"(55–57)","plainTextFormattedCitation":"(55–57)","previouslyFormattedCitation":"(55–57)"},"properties":{"noteIndex":0},"schema":"https://github.com/citation-style-language/schema/raw/master/csl-citation.json"}</w:instrText>
      </w:r>
      <w:r w:rsidR="00BB268F" w:rsidRPr="005B5460">
        <w:rPr>
          <w:rFonts w:ascii="Times New Roman" w:hAnsi="Times New Roman" w:cs="Times New Roman"/>
        </w:rPr>
        <w:fldChar w:fldCharType="separate"/>
      </w:r>
      <w:r w:rsidR="005F4DC8" w:rsidRPr="005B5460">
        <w:rPr>
          <w:rFonts w:ascii="Times New Roman" w:hAnsi="Times New Roman" w:cs="Times New Roman"/>
          <w:noProof/>
        </w:rPr>
        <w:t>(55–57)</w:t>
      </w:r>
      <w:r w:rsidR="00BB268F" w:rsidRPr="005B5460">
        <w:rPr>
          <w:rFonts w:ascii="Times New Roman" w:hAnsi="Times New Roman" w:cs="Times New Roman"/>
        </w:rPr>
        <w:fldChar w:fldCharType="end"/>
      </w:r>
      <w:r w:rsidRPr="005B5460">
        <w:rPr>
          <w:rFonts w:ascii="Times New Roman" w:hAnsi="Times New Roman" w:cs="Times New Roman"/>
        </w:rPr>
        <w:t xml:space="preserve">, where sport activity was the most affected aspect in the lives of these children. </w:t>
      </w:r>
      <w:r w:rsidR="00E86027" w:rsidRPr="005B5460">
        <w:rPr>
          <w:rFonts w:ascii="Times New Roman" w:hAnsi="Times New Roman" w:cs="Times New Roman"/>
        </w:rPr>
        <w:t xml:space="preserve">This is an </w:t>
      </w:r>
      <w:r w:rsidR="00E86027" w:rsidRPr="005B5460">
        <w:rPr>
          <w:rFonts w:ascii="Times New Roman" w:hAnsi="Times New Roman" w:cs="Times New Roman"/>
        </w:rPr>
        <w:lastRenderedPageBreak/>
        <w:t xml:space="preserve">important finding, as activity in </w:t>
      </w:r>
      <w:bookmarkStart w:id="0" w:name="OLE_LINK1"/>
      <w:bookmarkStart w:id="1" w:name="OLE_LINK2"/>
      <w:r w:rsidR="00E86027" w:rsidRPr="005B5460">
        <w:rPr>
          <w:rFonts w:ascii="Times New Roman" w:hAnsi="Times New Roman" w:cs="Times New Roman"/>
        </w:rPr>
        <w:t>sport is reported as an important child occupation to support health and well-being</w:t>
      </w:r>
      <w:bookmarkEnd w:id="0"/>
      <w:bookmarkEnd w:id="1"/>
      <w:r w:rsidR="00E86027" w:rsidRPr="005B5460">
        <w:rPr>
          <w:rFonts w:ascii="Times New Roman" w:hAnsi="Times New Roman" w:cs="Times New Roman"/>
        </w:rPr>
        <w:t xml:space="preserve">, but also social interaction </w:t>
      </w:r>
      <w:r w:rsidR="008C18D9" w:rsidRPr="005B5460">
        <w:rPr>
          <w:rFonts w:ascii="Times New Roman" w:hAnsi="Times New Roman" w:cs="Times New Roman"/>
        </w:rPr>
        <w:fldChar w:fldCharType="begin" w:fldLock="1"/>
      </w:r>
      <w:r w:rsidR="005F4DC8" w:rsidRPr="005B5460">
        <w:rPr>
          <w:rFonts w:ascii="Times New Roman" w:hAnsi="Times New Roman" w:cs="Times New Roman"/>
        </w:rPr>
        <w:instrText>ADDIN CSL_CITATION {"citationItems":[{"id":"ITEM-1","itemData":{"DOI":"10.1186/1479-5868-10-135","ISSN":"1479-5868 (Electronic)","PMID":"24313992","abstract":"BACKGROUND: The definition of health incorporates the physical, social and mental  domains, however the Physical Activity (PA) guidelines do not address social health. Furthermore, there is insufficient evidence about the levels or types of PA associated specifically with psychological health. This paper first presents the results of a systematic review of the psychological and social health benefits of participation in sport by adults. Secondly, the information arising from the systematic review has been used to develop a conceptual model of Health through Sport. METHODS: A systematic review of 14 electronic databases was conducted in June 2012, and studies published since 1990 were considered for inclusion. Studies that addressed mental and/or social health benefits from participation in sport were included. RESULTS: A total of 3668 publications were initially identified, of which 11 met the selection criteria. There were many different psychological and social health benefits reported, with the most commonly being wellbeing and reduced distress and stress. Sport may be associated with improved psychosocial health in addition to improvements attributable to participation in PA. Specifically, club-based or team-based sport seems to be associated with improved health outcomes compared to individual activities, due to the social nature of the participation. Notwithstanding this, individuals who prefer to participate in sport by themselves can still derive mental health benefits which can enhance the development of true-self-awareness and personal growth which is essential for social health. A conceptual model, Health through Sport, is proposed. The model depicts the relationship between psychological, psychosocial and social health domains, and their positive associations with sport participation, as reported in the literature. However, it is acknowledged that the capacity to determine the existence and direction of causal links between participation and health is limited by the cross-sectional nature of studies to date. CONCLUSION: It is recommended that participation in sport is advocated as a form of leisure-time PA for adults which can produce a range of health benefits. It is also recommended that the causal link between participation in sport and psycho-social health be further investigated and the conceptual model of Health through Sport tested.","author":[{"dropping-particle":"","family":"Eime","given":"Rochelle M","non-dropping-particle":"","parse-names":false,"suffix":""},{"dropping-particle":"","family":"Young","given":"Janet A","non-dropping-particle":"","parse-names":false,"suffix":""},{"dropping-particle":"","family":"Harvey","given":"Jack T","non-dropping-particle":"","parse-names":false,"suffix":""},{"dropping-particle":"","family":"Charity","given":"Melanie J","non-dropping-particle":"","parse-names":false,"suffix":""},{"dropping-particle":"","family":"Payne","given":"Warren R","non-dropping-particle":"","parse-names":false,"suffix":""}],"container-title":"The international journal of behavioral nutrition and physical activity","id":"ITEM-1","issued":{"date-parts":[["2013","12"]]},"language":"eng","page":"135","title":"A systematic review of the psychological and social benefits of participation in  sport for adults: informing development of a conceptual model of health through sport.","type":"article-journal","volume":"10"},"uris":["http://www.mendeley.com/documents/?uuid=00b3a680-0648-4382-ab24-0a952646bee0"]},{"id":"ITEM-2","itemData":{"DOI":"10.1080/14427591.2006.9726514","ISSN":"1442-7591","abstract":"There is concern that children's health is being compromised by a decline in physical activity occurring as a result of the changing nature of the occupations of childhood. This article reports the findings of in-depth interviews conducted with six children and their parents when the children were between 7 and 8 years and then again when they were between 9 and 10 years. This longitudinal perspective highlighted features associated with children remaining engaged in physical occupations. Factors found to contribute to continued involvement in exercise and sports were: the initial introduction to the activity being pleasurable; same-sex parents or older siblings being directly involved; and the skills required by the occupations being commensurate with children's developmental level. These findings help inform occupational scientists about the nature of recreational and leisure occupations, and how they are introduced and framed within the context of children's occupational roles.","author":[{"dropping-particle":"","family":"Ziviani","given":"Jenny","non-dropping-particle":"","parse-names":false,"suffix":""},{"dropping-particle":"","family":"Macdonald","given":"Doune","non-dropping-particle":"","parse-names":false,"suffix":""},{"dropping-particle":"","family":"Ward","given":"Heather","non-dropping-particle":"","parse-names":false,"suffix":""},{"dropping-particle":"","family":"Jenkins","given":"David","non-dropping-particle":"","parse-names":false,"suffix":""},{"dropping-particle":"","family":"Rodger","given":"Sylvia","non-dropping-particle":"","parse-names":false,"suffix":""}],"container-title":"Journal of Occupational Science","id":"ITEM-2","issue":"2-3","issued":{"date-parts":[["2006","7","1"]]},"note":"doi: 10.1080/14427591.2006.9726514","page":"180-187","publisher":"Taylor &amp; Francis","title":"Physical Activity and the Occupations of Children: Perspectives of Parents and Children","type":"article-journal","volume":"13"},"uris":["http://www.mendeley.com/documents/?uuid=3abc24db-4105-43ed-a400-e1fec93fc360"]},{"id":"ITEM-3","itemData":{"DOI":"https://doi.org/10.1007/978-3-319-75529-8_8","author":[{"dropping-particle":"","family":"Feldhacker","given":"Diana","non-dropping-particle":"","parse-names":false,"suffix":""},{"dropping-particle":"","family":"Cerny","given":"Shana","non-dropping-particle":"","parse-names":false,"suffix":""},{"dropping-particle":"","family":"Brockevelt","given":"Barbara","non-dropping-particle":"","parse-names":false,"suffix":""},{"dropping-particle":"","family":"Lawler","given":"Michael","non-dropping-particle":"","parse-names":false,"suffix":""}],"chapter-number":"8","container-title":"Handbook f leisure, physical activity, sports, recreation and quality of life","editor":[{"dropping-particle":"la","family":"Vega","given":"Toscano Rodriguez de","non-dropping-particle":"","parse-names":false,"suffix":""}],"id":"ITEM-3","issued":{"date-parts":[["2018"]]},"page":"119-138","publisher":"Springer, Cham","title":"Occupations and well-being in children and youth","type":"chapter"},"uris":["http://www.mendeley.com/documents/?uuid=2c7d6848-3026-4a07-9eb1-cb8524072658"]}],"mendeley":{"formattedCitation":"(58–60)","plainTextFormattedCitation":"(58–60)","previouslyFormattedCitation":"(58–60)"},"properties":{"noteIndex":0},"schema":"https://github.com/citation-style-language/schema/raw/master/csl-citation.json"}</w:instrText>
      </w:r>
      <w:r w:rsidR="008C18D9" w:rsidRPr="005B5460">
        <w:rPr>
          <w:rFonts w:ascii="Times New Roman" w:hAnsi="Times New Roman" w:cs="Times New Roman"/>
        </w:rPr>
        <w:fldChar w:fldCharType="separate"/>
      </w:r>
      <w:r w:rsidR="005F4DC8" w:rsidRPr="005B5460">
        <w:rPr>
          <w:rFonts w:ascii="Times New Roman" w:hAnsi="Times New Roman" w:cs="Times New Roman"/>
          <w:noProof/>
        </w:rPr>
        <w:t>(58–60)</w:t>
      </w:r>
      <w:r w:rsidR="008C18D9" w:rsidRPr="005B5460">
        <w:rPr>
          <w:rFonts w:ascii="Times New Roman" w:hAnsi="Times New Roman" w:cs="Times New Roman"/>
        </w:rPr>
        <w:fldChar w:fldCharType="end"/>
      </w:r>
      <w:r w:rsidR="00E86027" w:rsidRPr="005B5460">
        <w:rPr>
          <w:rFonts w:ascii="Times New Roman" w:hAnsi="Times New Roman" w:cs="Times New Roman"/>
        </w:rPr>
        <w:t xml:space="preserve">. </w:t>
      </w:r>
    </w:p>
    <w:p w14:paraId="41E9AB9D" w14:textId="6EC64BDA" w:rsidR="00E86027" w:rsidRPr="005B5460" w:rsidRDefault="00E86027" w:rsidP="007E3529">
      <w:pPr>
        <w:spacing w:line="480" w:lineRule="auto"/>
        <w:rPr>
          <w:rFonts w:ascii="Times New Roman" w:hAnsi="Times New Roman" w:cs="Times New Roman"/>
          <w:i/>
          <w:iCs/>
        </w:rPr>
      </w:pPr>
      <w:r w:rsidRPr="005B5460">
        <w:rPr>
          <w:rFonts w:ascii="Times New Roman" w:hAnsi="Times New Roman" w:cs="Times New Roman"/>
          <w:i/>
          <w:iCs/>
        </w:rPr>
        <w:t>Surgical Outcomes</w:t>
      </w:r>
    </w:p>
    <w:p w14:paraId="223F8DE0" w14:textId="69BA0FF5" w:rsidR="00F47002" w:rsidRPr="005B5460" w:rsidRDefault="007E3529" w:rsidP="007E3529">
      <w:pPr>
        <w:spacing w:line="480" w:lineRule="auto"/>
        <w:rPr>
          <w:rFonts w:ascii="Times New Roman" w:hAnsi="Times New Roman" w:cs="Times New Roman"/>
        </w:rPr>
      </w:pPr>
      <w:r w:rsidRPr="005B5460">
        <w:rPr>
          <w:rFonts w:ascii="Times New Roman" w:hAnsi="Times New Roman" w:cs="Times New Roman"/>
        </w:rPr>
        <w:t>LSS was compared with ablative surgeries in four papers</w:t>
      </w:r>
      <w:r w:rsidR="00E86027" w:rsidRPr="005B5460">
        <w:rPr>
          <w:rFonts w:ascii="Times New Roman" w:hAnsi="Times New Roman" w:cs="Times New Roman"/>
        </w:rPr>
        <w:t xml:space="preserve"> and</w:t>
      </w:r>
      <w:r w:rsidRPr="005B5460">
        <w:rPr>
          <w:rFonts w:ascii="Times New Roman" w:hAnsi="Times New Roman" w:cs="Times New Roman"/>
        </w:rPr>
        <w:t xml:space="preserve"> </w:t>
      </w:r>
      <w:r w:rsidR="00E86027" w:rsidRPr="005B5460">
        <w:rPr>
          <w:rFonts w:ascii="Times New Roman" w:hAnsi="Times New Roman" w:cs="Times New Roman"/>
        </w:rPr>
        <w:t>t</w:t>
      </w:r>
      <w:r w:rsidRPr="005B5460">
        <w:rPr>
          <w:rFonts w:ascii="Times New Roman" w:hAnsi="Times New Roman" w:cs="Times New Roman"/>
        </w:rPr>
        <w:t>he findings were contradictory</w:t>
      </w:r>
      <w:r w:rsidR="00E86027" w:rsidRPr="005B5460">
        <w:rPr>
          <w:rFonts w:ascii="Times New Roman" w:hAnsi="Times New Roman" w:cs="Times New Roman"/>
        </w:rPr>
        <w:t>;</w:t>
      </w:r>
      <w:r w:rsidRPr="005B5460">
        <w:rPr>
          <w:rFonts w:ascii="Times New Roman" w:hAnsi="Times New Roman" w:cs="Times New Roman"/>
        </w:rPr>
        <w:t xml:space="preserve"> Shahid et al</w:t>
      </w:r>
      <w:r w:rsidR="00E86027" w:rsidRPr="005B5460">
        <w:rPr>
          <w:rFonts w:ascii="Times New Roman" w:hAnsi="Times New Roman" w:cs="Times New Roman"/>
        </w:rPr>
        <w:t xml:space="preserve"> </w:t>
      </w:r>
      <w:r w:rsidR="00293A7A" w:rsidRPr="005B5460">
        <w:rPr>
          <w:rFonts w:ascii="Times New Roman" w:hAnsi="Times New Roman" w:cs="Times New Roman"/>
        </w:rPr>
        <w:fldChar w:fldCharType="begin" w:fldLock="1"/>
      </w:r>
      <w:r w:rsidR="00293A7A" w:rsidRPr="005B5460">
        <w:rPr>
          <w:rFonts w:ascii="Times New Roman" w:hAnsi="Times New Roman" w:cs="Times New Roman"/>
        </w:rPr>
        <w:instrText>ADDIN CSL_CITATION {"citationItems":[{"id":"ITEM-1","itemData":{"DOI":"10.1016/j.ejso.2016.05.018","ISSN":"1532-2157 (Electronic)","PMID":"27266818","abstract":"We reviewed the oncological and functional outcomes of patients treated for a  primary sarcoma possibly involving the knee joint and present an algorithm to guide treatment. The records of 76 patients who had a primary bone or soft tissue sarcoma possibly invading the knee between 1996 and 2012 were identified. Mean age and follow-up was 32 years (9-74) and 64 months (12-195), respectively. Patients were grouped according to the resection (Intra-articular [IAR] vs. Extra-articular [EAR] vs. Amputation/rotationplasty) for survival and functional outcomes. Overall 5 and 10 year survival was 61% and 53%, respectively. No differences in survival were found between the 3 groups (p = 0.55). Sixteen patients developed local recurrence with no difference between the groups. Mean MSTS score was 24.5 (12-30). Mean flexion at final follow-up was 106° (70-130°). We conclude that EAR of the knee allows for good oncologic and functional outcomes but with an increased risk of complications compared to IAR. Intra-operative assessment of joint involvement can be done in patients where joint infiltration by the tumour is not clear to avoid an unnecessary EAR. For chondrosarcoma patients with joint involvement, an EAR should be carefully considered because they present a significantly higher local recurrence risk.","author":[{"dropping-particle":"","family":"Shahid","given":"M","non-dropping-particle":"","parse-names":false,"suffix":""},{"dropping-particle":"","family":"Albergo","given":"N","non-dropping-particle":"","parse-names":false,"suffix":""},{"dropping-particle":"","family":"Purvis","given":"T","non-dropping-particle":"","parse-names":false,"suffix":""},{"dropping-particle":"","family":"Heron","given":"K","non-dropping-particle":"","parse-names":false,"suffix":""},{"dropping-particle":"","family":"Gaston","given":"L","non-dropping-particle":"","parse-names":false,"suffix":""},{"dropping-particle":"","family":"Carter","given":"S","non-dropping-particle":"","parse-names":false,"suffix":""},{"dropping-particle":"","family":"Grimer","given":"R","non-dropping-particle":"","parse-names":false,"suffix":""},{"dropping-particle":"","family":"Jeys","given":"L","non-dropping-particle":"","parse-names":false,"suffix":""}],"container-title":"European journal of surgical oncology : the journal of the European Society of  Surgical Oncology and the British Association of Surgical Oncology","id":"ITEM-1","issue":"1","issued":{"date-parts":[["2017","1"]]},"language":"eng","page":"175-180","publisher-place":"England","title":"Management of sarcomas possibly involving the knee joint when to perform  extra-articular resection of the knee joint and is it safe?","type":"article-journal","volume":"43"},"uris":["http://www.mendeley.com/documents/?uuid=1308600d-eee4-499a-b8e8-37c6fc6e3528"]}],"mendeley":{"formattedCitation":"(35)","plainTextFormattedCitation":"(35)","previouslyFormattedCitation":"(35)"},"properties":{"noteIndex":0},"schema":"https://github.com/citation-style-language/schema/raw/master/csl-citation.json"}</w:instrText>
      </w:r>
      <w:r w:rsidR="00293A7A" w:rsidRPr="005B5460">
        <w:rPr>
          <w:rFonts w:ascii="Times New Roman" w:hAnsi="Times New Roman" w:cs="Times New Roman"/>
        </w:rPr>
        <w:fldChar w:fldCharType="separate"/>
      </w:r>
      <w:r w:rsidR="00293A7A" w:rsidRPr="005B5460">
        <w:rPr>
          <w:rFonts w:ascii="Times New Roman" w:hAnsi="Times New Roman" w:cs="Times New Roman"/>
          <w:noProof/>
        </w:rPr>
        <w:t>(35)</w:t>
      </w:r>
      <w:r w:rsidR="00293A7A" w:rsidRPr="005B5460">
        <w:rPr>
          <w:rFonts w:ascii="Times New Roman" w:hAnsi="Times New Roman" w:cs="Times New Roman"/>
        </w:rPr>
        <w:fldChar w:fldCharType="end"/>
      </w:r>
      <w:r w:rsidRPr="005B5460">
        <w:rPr>
          <w:rFonts w:ascii="Times New Roman" w:hAnsi="Times New Roman" w:cs="Times New Roman"/>
        </w:rPr>
        <w:t xml:space="preserve"> and Malek et al</w:t>
      </w:r>
      <w:r w:rsidR="00293A7A" w:rsidRPr="005B5460">
        <w:rPr>
          <w:rFonts w:ascii="Times New Roman" w:hAnsi="Times New Roman" w:cs="Times New Roman"/>
        </w:rPr>
        <w:t xml:space="preserve"> </w:t>
      </w:r>
      <w:r w:rsidR="00293A7A" w:rsidRPr="005B5460">
        <w:rPr>
          <w:rFonts w:ascii="Times New Roman" w:hAnsi="Times New Roman" w:cs="Times New Roman"/>
        </w:rPr>
        <w:fldChar w:fldCharType="begin" w:fldLock="1"/>
      </w:r>
      <w:r w:rsidR="003C5868" w:rsidRPr="005B5460">
        <w:rPr>
          <w:rFonts w:ascii="Times New Roman" w:hAnsi="Times New Roman" w:cs="Times New Roman"/>
        </w:rPr>
        <w:instrText>ADDIN CSL_CITATION {"citationItems":[{"id":"ITEM-1","itemData":{"DOI":"10.1007/s11999-012-2271-1","ISSN":"1528-1132 (Electronic)","PMID":"22302658","abstract":"INTRODUCTION: Patients with aggressive lower extremity musculoskeletal tumors may be  candidates for either above-knee amputation or limb-salvage surgery. However, the subjective and objective benefits of limb-salvage surgery compared with amputation are not fully clear. QUESTIONS/PURPOSES: We therefore compared functional status and quality of life for patients treated with above-knee amputation versus limb-salvage surgery. METHODS: We reviewed 20 of 51 patients aged 15 years and older treated with above-knee amputation or limb-salvage surgery for aggressive musculoskeletal tumors around the knee between 1994 and 2004 as a retrospective cohort study. At last followup we obtained the Physiological Cost Index, the Reintegration to Normal Living Index, SF-36, and the Toronto Extremity Salvage Score questionnaires. The minimum followup was 12 months (median, 56 months; range, 12-108 months). RESULTS: Compared with patients having above-knee amputation, patients undergoing limb-salvage surgery had superior Physiological Cost Index scores and Reintegration to Normal Living Index. The Toronto Extremity Salvage scores and SF-36 scores were similar in the two groups. CONCLUSION: These data suggest that limb-salvage surgery offers better gait efficiency and return to normal living compared with above-knee amputation, but does not improve the patient's perception of quality of life.","author":[{"dropping-particle":"","family":"Malek","given":"Farbod","non-dropping-particle":"","parse-names":false,"suffix":""},{"dropping-particle":"","family":"Somerson","given":"Jeremy S","non-dropping-particle":"","parse-names":false,"suffix":""},{"dropping-particle":"","family":"Mitchel","given":"Shannon","non-dropping-particle":"","parse-names":false,"suffix":""},{"dropping-particle":"","family":"Williams","given":"Ronald P","non-dropping-particle":"","parse-names":false,"suffix":""}],"container-title":"Clinical orthopaedics and related research","id":"ITEM-1","issue":"7","issued":{"date-parts":[["2012","7"]]},"language":"eng","page":"2000-2006","title":"Does limb-salvage surgery offer patients better quality of life and functional  capacity than amputation?","type":"article-journal","volume":"470"},"uris":["http://www.mendeley.com/documents/?uuid=b18c2b7e-1ca3-4eef-8e44-d2b03c031b23"]}],"mendeley":{"formattedCitation":"(19)","plainTextFormattedCitation":"(19)","previouslyFormattedCitation":"(19)"},"properties":{"noteIndex":0},"schema":"https://github.com/citation-style-language/schema/raw/master/csl-citation.json"}</w:instrText>
      </w:r>
      <w:r w:rsidR="00293A7A" w:rsidRPr="005B5460">
        <w:rPr>
          <w:rFonts w:ascii="Times New Roman" w:hAnsi="Times New Roman" w:cs="Times New Roman"/>
        </w:rPr>
        <w:fldChar w:fldCharType="separate"/>
      </w:r>
      <w:r w:rsidR="00293A7A" w:rsidRPr="005B5460">
        <w:rPr>
          <w:rFonts w:ascii="Times New Roman" w:hAnsi="Times New Roman" w:cs="Times New Roman"/>
          <w:noProof/>
        </w:rPr>
        <w:t>(19)</w:t>
      </w:r>
      <w:r w:rsidR="00293A7A" w:rsidRPr="005B5460">
        <w:rPr>
          <w:rFonts w:ascii="Times New Roman" w:hAnsi="Times New Roman" w:cs="Times New Roman"/>
        </w:rPr>
        <w:fldChar w:fldCharType="end"/>
      </w:r>
      <w:r w:rsidRPr="005B5460">
        <w:rPr>
          <w:rFonts w:ascii="Times New Roman" w:hAnsi="Times New Roman" w:cs="Times New Roman"/>
        </w:rPr>
        <w:t xml:space="preserve"> reported better functional and gait outcomes, </w:t>
      </w:r>
      <w:r w:rsidR="00E86027" w:rsidRPr="005B5460">
        <w:rPr>
          <w:rFonts w:ascii="Times New Roman" w:hAnsi="Times New Roman" w:cs="Times New Roman"/>
        </w:rPr>
        <w:t xml:space="preserve">where </w:t>
      </w:r>
      <w:r w:rsidR="007712FE" w:rsidRPr="005B5460">
        <w:rPr>
          <w:rFonts w:ascii="Times New Roman" w:hAnsi="Times New Roman" w:cs="Times New Roman"/>
        </w:rPr>
        <w:t>v</w:t>
      </w:r>
      <w:r w:rsidRPr="005B5460">
        <w:rPr>
          <w:rFonts w:ascii="Times New Roman" w:hAnsi="Times New Roman" w:cs="Times New Roman"/>
        </w:rPr>
        <w:t xml:space="preserve">an </w:t>
      </w:r>
      <w:proofErr w:type="spellStart"/>
      <w:r w:rsidR="00490C12" w:rsidRPr="005B5460">
        <w:rPr>
          <w:rFonts w:ascii="Times New Roman" w:hAnsi="Times New Roman" w:cs="Times New Roman"/>
        </w:rPr>
        <w:t>Egmond</w:t>
      </w:r>
      <w:proofErr w:type="spellEnd"/>
      <w:r w:rsidR="00490C12" w:rsidRPr="005B5460">
        <w:rPr>
          <w:rFonts w:ascii="Times New Roman" w:hAnsi="Times New Roman" w:cs="Times New Roman"/>
        </w:rPr>
        <w:t xml:space="preserve">-van Dam </w:t>
      </w:r>
      <w:r w:rsidRPr="005B5460">
        <w:rPr>
          <w:rFonts w:ascii="Times New Roman" w:hAnsi="Times New Roman" w:cs="Times New Roman"/>
        </w:rPr>
        <w:t>et al</w:t>
      </w:r>
      <w:r w:rsidR="00E86027" w:rsidRPr="005B5460">
        <w:rPr>
          <w:rFonts w:ascii="Times New Roman" w:hAnsi="Times New Roman" w:cs="Times New Roman"/>
        </w:rPr>
        <w:t xml:space="preserve"> </w:t>
      </w:r>
      <w:r w:rsidR="003C5868" w:rsidRPr="005B5460">
        <w:rPr>
          <w:rFonts w:ascii="Times New Roman" w:hAnsi="Times New Roman" w:cs="Times New Roman"/>
        </w:rPr>
        <w:fldChar w:fldCharType="begin" w:fldLock="1"/>
      </w:r>
      <w:r w:rsidR="003C5868" w:rsidRPr="005B5460">
        <w:rPr>
          <w:rFonts w:ascii="Times New Roman" w:hAnsi="Times New Roman" w:cs="Times New Roman"/>
        </w:rPr>
        <w:instrText>ADDIN CSL_CITATION {"citationItems":[{"id":"ITEM-1","itemData":{"DOI":"10.1002/jso.24618","ISSN":"1096-9098 (Electronic)","PMID":"28384378","abstract":"BACKGROUND AND OBJECTIVES: In a previous conducted study functional outcome of young  patients with bone sarcoma located around the knee was longitudinally evaluated during the first 2 years postoperatively. Functional outcome improved significantly over the first 2 years. The purpose of this descriptive study was to evaluate the functional outcome of these patients at long-term follow-up of 7 years. METHODS: Functional outcome was assessed with the TESS, MSTS, Baecke questionnaire, and three functional performance tests: time up and down stairs (TUDS), various walking activities (VWA), and the 6-min walking test (6MWT). Linear Mixed Model has been employed for the repeated measurements. RESULTS: Twenty patients of the original study (n = 44) participated in the current study. Fifteen limb-salvage and five ablative surgery patients, median follow-up 7.4 years (6.8-8.0) (CI 95%), mean age 22.3 years (18.2-31.6). Between 2 and 7 years after surgery, 8 limb-salvage patients (53%) encountered surgery related complications. Questionnaires and functional performance tests showed no significant difference in functional outcome between 2 years and 7 years after surgery (P &lt; 0.05). CONCLUSIONS: Between 2 years and follow-up at average 7 years after surgery no further improvements were noticed at young patients with a bone sarcoma located around the knee.","author":[{"dropping-particle":"","family":"Egmond-van Dam","given":"Janneke C","non-dropping-particle":"van","parse-names":false,"suffix":""},{"dropping-particle":"","family":"Bekkering","given":"W Peter","non-dropping-particle":"","parse-names":false,"suffix":""},{"dropping-particle":"","family":"Bramer","given":"Jos A M","non-dropping-particle":"","parse-names":false,"suffix":""},{"dropping-particle":"","family":"Beishuizen","given":"Auke","non-dropping-particle":"","parse-names":false,"suffix":""},{"dropping-particle":"","family":"Fiocco","given":"Marta","non-dropping-particle":"","parse-names":false,"suffix":""},{"dropping-particle":"","family":"Dijkstra","given":"P D Sander","non-dropping-particle":"","parse-names":false,"suffix":""}],"container-title":"Journal of surgical oncology","id":"ITEM-1","issue":"8","issued":{"date-parts":[["2017","6"]]},"language":"eng","page":"1028-1032","title":"Functional outcome after surgery in patients with bone sarcoma around the knee;  results from a long-term prospective study.","type":"article-journal","volume":"115"},"uris":["http://www.mendeley.com/documents/?uuid=d0dd1dc4-c702-4d78-bb3f-fc5899a688ed"]}],"mendeley":{"formattedCitation":"(17)","plainTextFormattedCitation":"(17)","previouslyFormattedCitation":"(17)"},"properties":{"noteIndex":0},"schema":"https://github.com/citation-style-language/schema/raw/master/csl-citation.json"}</w:instrText>
      </w:r>
      <w:r w:rsidR="003C5868" w:rsidRPr="005B5460">
        <w:rPr>
          <w:rFonts w:ascii="Times New Roman" w:hAnsi="Times New Roman" w:cs="Times New Roman"/>
        </w:rPr>
        <w:fldChar w:fldCharType="separate"/>
      </w:r>
      <w:r w:rsidR="003C5868" w:rsidRPr="005B5460">
        <w:rPr>
          <w:rFonts w:ascii="Times New Roman" w:hAnsi="Times New Roman" w:cs="Times New Roman"/>
          <w:noProof/>
        </w:rPr>
        <w:t>(17)</w:t>
      </w:r>
      <w:r w:rsidR="003C5868" w:rsidRPr="005B5460">
        <w:rPr>
          <w:rFonts w:ascii="Times New Roman" w:hAnsi="Times New Roman" w:cs="Times New Roman"/>
        </w:rPr>
        <w:fldChar w:fldCharType="end"/>
      </w:r>
      <w:r w:rsidRPr="005B5460">
        <w:rPr>
          <w:rFonts w:ascii="Times New Roman" w:hAnsi="Times New Roman" w:cs="Times New Roman"/>
        </w:rPr>
        <w:t xml:space="preserve"> and </w:t>
      </w:r>
      <w:proofErr w:type="spellStart"/>
      <w:r w:rsidRPr="005B5460">
        <w:rPr>
          <w:rFonts w:ascii="Times New Roman" w:hAnsi="Times New Roman" w:cs="Times New Roman"/>
        </w:rPr>
        <w:t>Bekkering</w:t>
      </w:r>
      <w:proofErr w:type="spellEnd"/>
      <w:r w:rsidRPr="005B5460">
        <w:rPr>
          <w:rFonts w:ascii="Times New Roman" w:hAnsi="Times New Roman" w:cs="Times New Roman"/>
        </w:rPr>
        <w:t xml:space="preserve"> et al</w:t>
      </w:r>
      <w:r w:rsidR="00E86027" w:rsidRPr="005B5460">
        <w:rPr>
          <w:rFonts w:ascii="Times New Roman" w:hAnsi="Times New Roman" w:cs="Times New Roman"/>
        </w:rPr>
        <w:t xml:space="preserve"> </w:t>
      </w:r>
      <w:r w:rsidR="003C5868" w:rsidRPr="005B5460">
        <w:rPr>
          <w:rFonts w:ascii="Times New Roman" w:hAnsi="Times New Roman" w:cs="Times New Roman"/>
        </w:rPr>
        <w:fldChar w:fldCharType="begin" w:fldLock="1"/>
      </w:r>
      <w:r w:rsidR="003C5868" w:rsidRPr="005B5460">
        <w:rPr>
          <w:rFonts w:ascii="Times New Roman" w:hAnsi="Times New Roman" w:cs="Times New Roman"/>
        </w:rPr>
        <w:instrText>ADDIN CSL_CITATION {"citationItems":[{"id":"ITEM-1","itemData":{"DOI":"10.1002/jso.21828","ISSN":"1096-9098 (Electronic)","PMID":"21337557","abstract":"BACKGROUND: Aim of our study was to compare functional ability and physical activity  in children and young adults who underwent surgery for a malignant bone tumor that was located around the knee. METHODS: This cross-sectional study included 82 patients aged 8-25 years with a follow-up of 1-5 years. The functional ability and the amount of physical activity were evaluated by means of questionnaires and objective instruments. RESULTS: Thirty nine patients underwent limb-salvage surgery (24 allograft and 15 endoprosthesis) and 43 underwent ablative surgery (27 amputations and 16 rotationplasty). Patients in the limb-salvage group were significantly older at the time of surgery than patients in the ablative group (mean age 15.2 years vs. 13.2 years, P = 0.03). Apart from significantly better scores for the timed up and down stairs and various walking activities in the limb-salvage group as compared to the ablative surgery group, no significant differences were seen for any of the outcome measures. CONCLUSIONS: One to 5 years after limb-salvage and ablative surgery due to a malignant bone tumor children and young adults do, apart from a few activities involving walking and climbing stairs, not differ with respect to overall functional ability and physical activity.","author":[{"dropping-particle":"","family":"Bekkering","given":"W Peter","non-dropping-particle":"","parse-names":false,"suffix":""},{"dropping-particle":"","family":"Vliet Vlieland","given":"Theodora P M","non-dropping-particle":"","parse-names":false,"suffix":""},{"dropping-particle":"","family":"Koopman","given":"Hendrik M","non-dropping-particle":"","parse-names":false,"suffix":""},{"dropping-particle":"","family":"Schaap","given":"Gerard R","non-dropping-particle":"","parse-names":false,"suffix":""},{"dropping-particle":"","family":"Bart Schreuder","given":"H W","non-dropping-particle":"","parse-names":false,"suffix":""},{"dropping-particle":"","family":"Beishuizen","given":"Auke","non-dropping-particle":"","parse-names":false,"suffix":""},{"dropping-particle":"","family":"Jutte","given":"Paul C","non-dropping-particle":"","parse-names":false,"suffix":""},{"dropping-particle":"","family":"Hoogerbrugge","given":"Peter M","non-dropping-particle":"","parse-names":false,"suffix":""},{"dropping-particle":"","family":"Anninga","given":"Jacob K","non-dropping-particle":"","parse-names":false,"suffix":""},{"dropping-particle":"","family":"Nelissen","given":"Rob G H H","non-dropping-particle":"","parse-names":false,"suffix":""},{"dropping-particle":"","family":"Taminiau","given":"Antonie H M","non-dropping-particle":"","parse-names":false,"suffix":""}],"container-title":"Journal of surgical oncology","id":"ITEM-1","issue":"3","issued":{"date-parts":[["2011","3"]]},"language":"eng","page":"276-282","publisher-place":"United States","title":"Functional ability and physical activity in children and young adults after  limb-salvage or ablative surgery for lower extremity bone tumors.","type":"article-journal","volume":"103"},"uris":["http://www.mendeley.com/documents/?uuid=46086f6e-f63d-4ad9-82d8-9ecafd272161"]}],"mendeley":{"formattedCitation":"(21)","plainTextFormattedCitation":"(21)","previouslyFormattedCitation":"(21)"},"properties":{"noteIndex":0},"schema":"https://github.com/citation-style-language/schema/raw/master/csl-citation.json"}</w:instrText>
      </w:r>
      <w:r w:rsidR="003C5868" w:rsidRPr="005B5460">
        <w:rPr>
          <w:rFonts w:ascii="Times New Roman" w:hAnsi="Times New Roman" w:cs="Times New Roman"/>
        </w:rPr>
        <w:fldChar w:fldCharType="separate"/>
      </w:r>
      <w:r w:rsidR="003C5868" w:rsidRPr="005B5460">
        <w:rPr>
          <w:rFonts w:ascii="Times New Roman" w:hAnsi="Times New Roman" w:cs="Times New Roman"/>
          <w:noProof/>
        </w:rPr>
        <w:t>(21)</w:t>
      </w:r>
      <w:r w:rsidR="003C5868" w:rsidRPr="005B5460">
        <w:rPr>
          <w:rFonts w:ascii="Times New Roman" w:hAnsi="Times New Roman" w:cs="Times New Roman"/>
        </w:rPr>
        <w:fldChar w:fldCharType="end"/>
      </w:r>
      <w:r w:rsidRPr="005B5460">
        <w:rPr>
          <w:rFonts w:ascii="Times New Roman" w:hAnsi="Times New Roman" w:cs="Times New Roman"/>
        </w:rPr>
        <w:t xml:space="preserve"> reported no differences. However, </w:t>
      </w:r>
      <w:r w:rsidR="003C5868" w:rsidRPr="005B5460">
        <w:rPr>
          <w:rFonts w:ascii="Times New Roman" w:hAnsi="Times New Roman" w:cs="Times New Roman"/>
        </w:rPr>
        <w:t>these</w:t>
      </w:r>
      <w:r w:rsidRPr="005B5460">
        <w:rPr>
          <w:rFonts w:ascii="Times New Roman" w:hAnsi="Times New Roman" w:cs="Times New Roman"/>
        </w:rPr>
        <w:t xml:space="preserve"> four studies repor</w:t>
      </w:r>
      <w:r w:rsidR="00F47002" w:rsidRPr="005B5460">
        <w:rPr>
          <w:rFonts w:ascii="Times New Roman" w:hAnsi="Times New Roman" w:cs="Times New Roman"/>
        </w:rPr>
        <w:t>ted</w:t>
      </w:r>
      <w:r w:rsidRPr="005B5460">
        <w:rPr>
          <w:rFonts w:ascii="Times New Roman" w:hAnsi="Times New Roman" w:cs="Times New Roman"/>
        </w:rPr>
        <w:t xml:space="preserve"> no differences for QoL aspects between the </w:t>
      </w:r>
      <w:r w:rsidR="00F47002" w:rsidRPr="005B5460">
        <w:rPr>
          <w:rFonts w:ascii="Times New Roman" w:hAnsi="Times New Roman" w:cs="Times New Roman"/>
        </w:rPr>
        <w:t>LSS and ablative surgery</w:t>
      </w:r>
      <w:r w:rsidRPr="005B5460">
        <w:rPr>
          <w:rFonts w:ascii="Times New Roman" w:hAnsi="Times New Roman" w:cs="Times New Roman"/>
        </w:rPr>
        <w:t xml:space="preserve">. </w:t>
      </w:r>
      <w:r w:rsidR="00FD6D66" w:rsidRPr="005B5460">
        <w:rPr>
          <w:rFonts w:ascii="Times New Roman" w:hAnsi="Times New Roman" w:cs="Times New Roman"/>
        </w:rPr>
        <w:t xml:space="preserve">The Toronto Extremity Salvage Score (TESS) is a valid and reliable outcome measure used to assess disability in sarcoma patients aged 12 to 85 years </w:t>
      </w:r>
      <w:r w:rsidR="003C5868" w:rsidRPr="005B5460">
        <w:rPr>
          <w:rFonts w:ascii="Times New Roman" w:hAnsi="Times New Roman" w:cs="Times New Roman"/>
        </w:rPr>
        <w:fldChar w:fldCharType="begin" w:fldLock="1"/>
      </w:r>
      <w:r w:rsidR="005F4DC8" w:rsidRPr="005B5460">
        <w:rPr>
          <w:rFonts w:ascii="Times New Roman" w:hAnsi="Times New Roman" w:cs="Times New Roman"/>
        </w:rPr>
        <w:instrText>ADDIN CSL_CITATION {"citationItems":[{"id":"ITEM-1","itemData":{"DOI":"10.1097/00005768-200208000-00021","ISSN":"0195-9131 (Print)","PMID":"12165695","abstract":"PURPOSE: To examine sources of variance in objective measures of physical activity  in a group of healthy adults (N = 92) participating in a physical activity measurement study. METHODS: Physical activity was assessed for up to 21 consecutive days using the Computer Science Applications (CSA) accelerometer. Day-of-the-week effects were evaluated for activity counts (ct.min(-1).d(-1), ct.d(-1)) and time (min.d(-1)) spent in inactivity (0-499 ct), moderate-1 (500-1951 ct), and moderate-2-vigorous activity (&gt; or =1952 ct). Random effects models were employed to estimate variance components for subject, day of the week, and residual error from which the number of days of assessment required to achieve 80% reliability were estimated. RESULTS: Physical inactivity was lower on weekend days, and Saturday was the least inactive day of the week for both men and women. Inter-individual variation, or differences between subjects, was proportionally the largest source of variance (55-60% of total) in accelerometer counts and time spent in moderate to vigorous activity. Differences within subjects (intra-individual variation) accounted for 30-45% of the overall variance, and day-of-the-week effects accounted for 1-8%. For activity counts, and time spent in moderate to vigorous activity, at least 3-4 d of monitoring were required to achieve 80% reliability. Reliable measures of physical inactivity required at least 7 d of monitoring. CONCLUSION: These findings provide insight for understanding the behavioral variability in the activity patterns of adults and suggest that reliable measures of activity behaviors require at least 7 d of monitoring.","author":[{"dropping-particle":"","family":"Matthews","given":"Charles E","non-dropping-particle":"","parse-names":false,"suffix":""},{"dropping-particle":"","family":"Ainsworth","given":"Barbara E","non-dropping-particle":"","parse-names":false,"suffix":""},{"dropping-particle":"","family":"Thompson","given":"Raymond W","non-dropping-particle":"","parse-names":false,"suffix":""},{"dropping-particle":"","family":"Bassett","given":"David R Jr","non-dropping-particle":"","parse-names":false,"suffix":""}],"container-title":"Medicine and science in sports and exercise","id":"ITEM-1","issue":"8","issued":{"date-parts":[["2002","8"]]},"language":"eng","page":"1376-1381","publisher-place":"United States","title":"Sources of variance in daily physical activity levels as measured by an  accelerometer.","type":"article-journal","volume":"34"},"uris":["http://www.mendeley.com/documents/?uuid=5ba3c471-2cbe-4079-b33d-fbee5434be63"]}],"mendeley":{"formattedCitation":"(61)","plainTextFormattedCitation":"(61)","previouslyFormattedCitation":"(61)"},"properties":{"noteIndex":0},"schema":"https://github.com/citation-style-language/schema/raw/master/csl-citation.json"}</w:instrText>
      </w:r>
      <w:r w:rsidR="003C5868" w:rsidRPr="005B5460">
        <w:rPr>
          <w:rFonts w:ascii="Times New Roman" w:hAnsi="Times New Roman" w:cs="Times New Roman"/>
        </w:rPr>
        <w:fldChar w:fldCharType="separate"/>
      </w:r>
      <w:r w:rsidR="005F4DC8" w:rsidRPr="005B5460">
        <w:rPr>
          <w:rFonts w:ascii="Times New Roman" w:hAnsi="Times New Roman" w:cs="Times New Roman"/>
          <w:noProof/>
        </w:rPr>
        <w:t>(61)</w:t>
      </w:r>
      <w:r w:rsidR="003C5868" w:rsidRPr="005B5460">
        <w:rPr>
          <w:rFonts w:ascii="Times New Roman" w:hAnsi="Times New Roman" w:cs="Times New Roman"/>
        </w:rPr>
        <w:fldChar w:fldCharType="end"/>
      </w:r>
      <w:r w:rsidR="00FD6D66" w:rsidRPr="005B5460">
        <w:rPr>
          <w:rFonts w:ascii="Times New Roman" w:hAnsi="Times New Roman" w:cs="Times New Roman"/>
        </w:rPr>
        <w:t xml:space="preserve">. TESS is a </w:t>
      </w:r>
      <w:r w:rsidR="00D055D4" w:rsidRPr="005B5460">
        <w:rPr>
          <w:rFonts w:ascii="Times New Roman" w:hAnsi="Times New Roman" w:cs="Times New Roman"/>
        </w:rPr>
        <w:t>procedure</w:t>
      </w:r>
      <w:r w:rsidR="00FD6D66" w:rsidRPr="005B5460">
        <w:rPr>
          <w:rFonts w:ascii="Times New Roman" w:hAnsi="Times New Roman" w:cs="Times New Roman"/>
        </w:rPr>
        <w:t xml:space="preserve">-specific and self-reported questionnaire for patients </w:t>
      </w:r>
      <w:r w:rsidR="00D055D4" w:rsidRPr="005B5460">
        <w:rPr>
          <w:rFonts w:ascii="Times New Roman" w:hAnsi="Times New Roman" w:cs="Times New Roman"/>
        </w:rPr>
        <w:t>following LSS</w:t>
      </w:r>
      <w:r w:rsidR="00FD6D66" w:rsidRPr="005B5460">
        <w:rPr>
          <w:rFonts w:ascii="Times New Roman" w:hAnsi="Times New Roman" w:cs="Times New Roman"/>
        </w:rPr>
        <w:t>. The score consists of 30 questions reporting the difficulty level of performing tasks related to dressing, grooming, mobility, work, sport and leisure</w:t>
      </w:r>
      <w:r w:rsidR="008D6E4D" w:rsidRPr="005B5460">
        <w:rPr>
          <w:rFonts w:ascii="Times New Roman" w:hAnsi="Times New Roman" w:cs="Times New Roman"/>
        </w:rPr>
        <w:t>.</w:t>
      </w:r>
      <w:r w:rsidR="00FD6D66" w:rsidRPr="005B5460">
        <w:rPr>
          <w:rFonts w:ascii="Times New Roman" w:hAnsi="Times New Roman" w:cs="Times New Roman"/>
        </w:rPr>
        <w:t xml:space="preserve"> The score is calculated between 0–100, with higher scores indicating better outcomes </w:t>
      </w:r>
      <w:r w:rsidR="0085497F" w:rsidRPr="005B5460">
        <w:rPr>
          <w:rFonts w:ascii="Times New Roman" w:hAnsi="Times New Roman" w:cs="Times New Roman"/>
        </w:rPr>
        <w:fldChar w:fldCharType="begin" w:fldLock="1"/>
      </w:r>
      <w:r w:rsidR="005F4DC8" w:rsidRPr="005B5460">
        <w:rPr>
          <w:rFonts w:ascii="Times New Roman" w:hAnsi="Times New Roman" w:cs="Times New Roman"/>
        </w:rPr>
        <w:instrText>ADDIN CSL_CITATION {"citationItems":[{"id":"ITEM-1","itemData":{"DOI":"10.1097/00005768-200208000-00021","ISSN":"0195-9131 (Print)","PMID":"12165695","abstract":"PURPOSE: To examine sources of variance in objective measures of physical activity  in a group of healthy adults (N = 92) participating in a physical activity measurement study. METHODS: Physical activity was assessed for up to 21 consecutive days using the Computer Science Applications (CSA) accelerometer. Day-of-the-week effects were evaluated for activity counts (ct.min(-1).d(-1), ct.d(-1)) and time (min.d(-1)) spent in inactivity (0-499 ct), moderate-1 (500-1951 ct), and moderate-2-vigorous activity (&gt; or =1952 ct). Random effects models were employed to estimate variance components for subject, day of the week, and residual error from which the number of days of assessment required to achieve 80% reliability were estimated. RESULTS: Physical inactivity was lower on weekend days, and Saturday was the least inactive day of the week for both men and women. Inter-individual variation, or differences between subjects, was proportionally the largest source of variance (55-60% of total) in accelerometer counts and time spent in moderate to vigorous activity. Differences within subjects (intra-individual variation) accounted for 30-45% of the overall variance, and day-of-the-week effects accounted for 1-8%. For activity counts, and time spent in moderate to vigorous activity, at least 3-4 d of monitoring were required to achieve 80% reliability. Reliable measures of physical inactivity required at least 7 d of monitoring. CONCLUSION: These findings provide insight for understanding the behavioral variability in the activity patterns of adults and suggest that reliable measures of activity behaviors require at least 7 d of monitoring.","author":[{"dropping-particle":"","family":"Matthews","given":"Charles E","non-dropping-particle":"","parse-names":false,"suffix":""},{"dropping-particle":"","family":"Ainsworth","given":"Barbara E","non-dropping-particle":"","parse-names":false,"suffix":""},{"dropping-particle":"","family":"Thompson","given":"Raymond W","non-dropping-particle":"","parse-names":false,"suffix":""},{"dropping-particle":"","family":"Bassett","given":"David R Jr","non-dropping-particle":"","parse-names":false,"suffix":""}],"container-title":"Medicine and science in sports and exercise","id":"ITEM-1","issue":"8","issued":{"date-parts":[["2002","8"]]},"language":"eng","page":"1376-1381","publisher-place":"United States","title":"Sources of variance in daily physical activity levels as measured by an  accelerometer.","type":"article-journal","volume":"34"},"uris":["http://www.mendeley.com/documents/?uuid=5ba3c471-2cbe-4079-b33d-fbee5434be63"]}],"mendeley":{"formattedCitation":"(61)","plainTextFormattedCitation":"(61)","previouslyFormattedCitation":"(61)"},"properties":{"noteIndex":0},"schema":"https://github.com/citation-style-language/schema/raw/master/csl-citation.json"}</w:instrText>
      </w:r>
      <w:r w:rsidR="0085497F" w:rsidRPr="005B5460">
        <w:rPr>
          <w:rFonts w:ascii="Times New Roman" w:hAnsi="Times New Roman" w:cs="Times New Roman"/>
        </w:rPr>
        <w:fldChar w:fldCharType="separate"/>
      </w:r>
      <w:r w:rsidR="005F4DC8" w:rsidRPr="005B5460">
        <w:rPr>
          <w:rFonts w:ascii="Times New Roman" w:hAnsi="Times New Roman" w:cs="Times New Roman"/>
          <w:noProof/>
        </w:rPr>
        <w:t>(61)</w:t>
      </w:r>
      <w:r w:rsidR="0085497F" w:rsidRPr="005B5460">
        <w:rPr>
          <w:rFonts w:ascii="Times New Roman" w:hAnsi="Times New Roman" w:cs="Times New Roman"/>
        </w:rPr>
        <w:fldChar w:fldCharType="end"/>
      </w:r>
      <w:r w:rsidR="00FD6D66" w:rsidRPr="005B5460">
        <w:rPr>
          <w:rFonts w:ascii="Times New Roman" w:hAnsi="Times New Roman" w:cs="Times New Roman"/>
        </w:rPr>
        <w:t>.</w:t>
      </w:r>
    </w:p>
    <w:p w14:paraId="610793C0" w14:textId="2B4646F9" w:rsidR="00CA22C8" w:rsidRPr="005B5460" w:rsidRDefault="007E3529" w:rsidP="007E3529">
      <w:pPr>
        <w:spacing w:line="480" w:lineRule="auto"/>
        <w:rPr>
          <w:rFonts w:ascii="Times New Roman" w:hAnsi="Times New Roman" w:cs="Times New Roman"/>
        </w:rPr>
      </w:pPr>
      <w:r w:rsidRPr="005B5460">
        <w:rPr>
          <w:rFonts w:ascii="Times New Roman" w:hAnsi="Times New Roman" w:cs="Times New Roman"/>
        </w:rPr>
        <w:t>Robert et al</w:t>
      </w:r>
      <w:r w:rsidR="00F47002" w:rsidRPr="005B5460">
        <w:rPr>
          <w:rFonts w:ascii="Times New Roman" w:hAnsi="Times New Roman" w:cs="Times New Roman"/>
        </w:rPr>
        <w:t xml:space="preserve"> </w:t>
      </w:r>
      <w:r w:rsidR="0085497F" w:rsidRPr="005B5460">
        <w:rPr>
          <w:rFonts w:ascii="Times New Roman" w:hAnsi="Times New Roman" w:cs="Times New Roman"/>
        </w:rPr>
        <w:fldChar w:fldCharType="begin" w:fldLock="1"/>
      </w:r>
      <w:r w:rsidR="005F4DC8" w:rsidRPr="005B5460">
        <w:rPr>
          <w:rFonts w:ascii="Times New Roman" w:hAnsi="Times New Roman" w:cs="Times New Roman"/>
        </w:rPr>
        <w:instrText>ADDIN CSL_CITATION {"citationItems":[{"id":"ITEM-1","itemData":{"DOI":"10.1002/pbc.22419","ISSN":"1545-5017 (Electronic)","PMID":"20135700","abstract":"BACKGROUND: Traditionally, physicians have believed that limb-salvage surgery has  functional and cosmetic advantages over amputation, yet the literature is equivocal. Therefore, we sought to compare the psychosocial and functional outcomes in osteosarcoma survivors after limb-salvage surgery and amputation. We hypothesized there to be neither psychosocial nor functional outcome differences between groups. PROCEDURE: Participants received treatment of extremity osteosarcoma, had received their cancer diagnosis at least 2 years prior, and were at least 16 years old. A comprehensive set of validated psychosocial and functional measures was used to assess outcome. RESULTS: Fifty-seven patients participated in this study (33 who underwent limb-salvage surgery and 24 who underwent amputation). Participants had gone 12-24 years since diagnosis and were 16-52 years old at study participation. We used multiple linear regression models to examine differences in quality of life, body image, self-esteem, and social support between the two groups and found no differences. Lower limb function was a significant predictor of quality of life (P &lt; 0.001), whereas surgery type did not impact this relationship. Body image was rated significantly worse by those who underwent late amputation, amputation after failed limb salvage, than by those who did not. CONCLUSIONS: Participants with more functional lower limbs had better quality of life than did those with less functional lower limbs regardless of whether they underwent amputation or limb-salvage surgery.","author":[{"dropping-particle":"","family":"Robert","given":"Rhonda S","non-dropping-particle":"","parse-names":false,"suffix":""},{"dropping-particle":"","family":"Ottaviani","given":"Giulia","non-dropping-particle":"","parse-names":false,"suffix":""},{"dropping-particle":"","family":"Huh","given":"Winston W","non-dropping-particle":"","parse-names":false,"suffix":""},{"dropping-particle":"","family":"Palla","given":"Shana","non-dropping-particle":"","parse-names":false,"suffix":""},{"dropping-particle":"","family":"Jaffe","given":"Norman","non-dropping-particle":"","parse-names":false,"suffix":""}],"container-title":"Pediatric blood &amp; cancer","id":"ITEM-1","issue":"7","issued":{"date-parts":[["2010","7"]]},"language":"eng","page":"990-999","title":"Psychosocial and functional outcomes in long-term survivors of osteosarcoma: a  comparison of limb-salvage surgery and amputation.","type":"article-journal","volume":"54"},"uris":["http://www.mendeley.com/documents/?uuid=34b622ed-27d7-42e8-8471-6c3bedc1981d"]}],"mendeley":{"formattedCitation":"(62)","plainTextFormattedCitation":"(62)","previouslyFormattedCitation":"(62)"},"properties":{"noteIndex":0},"schema":"https://github.com/citation-style-language/schema/raw/master/csl-citation.json"}</w:instrText>
      </w:r>
      <w:r w:rsidR="0085497F" w:rsidRPr="005B5460">
        <w:rPr>
          <w:rFonts w:ascii="Times New Roman" w:hAnsi="Times New Roman" w:cs="Times New Roman"/>
        </w:rPr>
        <w:fldChar w:fldCharType="separate"/>
      </w:r>
      <w:r w:rsidR="005F4DC8" w:rsidRPr="005B5460">
        <w:rPr>
          <w:rFonts w:ascii="Times New Roman" w:hAnsi="Times New Roman" w:cs="Times New Roman"/>
          <w:noProof/>
        </w:rPr>
        <w:t>(62)</w:t>
      </w:r>
      <w:r w:rsidR="0085497F" w:rsidRPr="005B5460">
        <w:rPr>
          <w:rFonts w:ascii="Times New Roman" w:hAnsi="Times New Roman" w:cs="Times New Roman"/>
        </w:rPr>
        <w:fldChar w:fldCharType="end"/>
      </w:r>
      <w:r w:rsidRPr="005B5460">
        <w:rPr>
          <w:rFonts w:ascii="Times New Roman" w:hAnsi="Times New Roman" w:cs="Times New Roman"/>
        </w:rPr>
        <w:t xml:space="preserve"> demonstrated that the QoL </w:t>
      </w:r>
      <w:r w:rsidR="00F47002" w:rsidRPr="005B5460">
        <w:rPr>
          <w:rFonts w:ascii="Times New Roman" w:hAnsi="Times New Roman" w:cs="Times New Roman"/>
        </w:rPr>
        <w:t>did not substantially differ between</w:t>
      </w:r>
      <w:r w:rsidRPr="005B5460">
        <w:rPr>
          <w:rFonts w:ascii="Times New Roman" w:hAnsi="Times New Roman" w:cs="Times New Roman"/>
        </w:rPr>
        <w:t xml:space="preserve"> the </w:t>
      </w:r>
      <w:r w:rsidR="00F47002" w:rsidRPr="005B5460">
        <w:rPr>
          <w:rFonts w:ascii="Times New Roman" w:hAnsi="Times New Roman" w:cs="Times New Roman"/>
        </w:rPr>
        <w:t xml:space="preserve">LSS and </w:t>
      </w:r>
      <w:r w:rsidRPr="005B5460">
        <w:rPr>
          <w:rFonts w:ascii="Times New Roman" w:hAnsi="Times New Roman" w:cs="Times New Roman"/>
        </w:rPr>
        <w:t>ablative surgery groups</w:t>
      </w:r>
      <w:r w:rsidR="00F47002" w:rsidRPr="005B5460">
        <w:rPr>
          <w:rFonts w:ascii="Times New Roman" w:hAnsi="Times New Roman" w:cs="Times New Roman"/>
        </w:rPr>
        <w:t>,</w:t>
      </w:r>
      <w:r w:rsidRPr="005B5460">
        <w:rPr>
          <w:rFonts w:ascii="Times New Roman" w:hAnsi="Times New Roman" w:cs="Times New Roman"/>
        </w:rPr>
        <w:t xml:space="preserve"> </w:t>
      </w:r>
      <w:r w:rsidR="00F47002" w:rsidRPr="005B5460">
        <w:rPr>
          <w:rFonts w:ascii="Times New Roman" w:hAnsi="Times New Roman" w:cs="Times New Roman"/>
        </w:rPr>
        <w:t>i</w:t>
      </w:r>
      <w:r w:rsidRPr="005B5460">
        <w:rPr>
          <w:rFonts w:ascii="Times New Roman" w:hAnsi="Times New Roman" w:cs="Times New Roman"/>
        </w:rPr>
        <w:t>nstead</w:t>
      </w:r>
      <w:r w:rsidR="00F47002" w:rsidRPr="005B5460">
        <w:rPr>
          <w:rFonts w:ascii="Times New Roman" w:hAnsi="Times New Roman" w:cs="Times New Roman"/>
        </w:rPr>
        <w:t xml:space="preserve"> they reported patients were</w:t>
      </w:r>
      <w:r w:rsidRPr="005B5460">
        <w:rPr>
          <w:rFonts w:ascii="Times New Roman" w:hAnsi="Times New Roman" w:cs="Times New Roman"/>
        </w:rPr>
        <w:t xml:space="preserve"> mainly affected by the </w:t>
      </w:r>
      <w:r w:rsidR="00F47002" w:rsidRPr="005B5460">
        <w:rPr>
          <w:rFonts w:ascii="Times New Roman" w:hAnsi="Times New Roman" w:cs="Times New Roman"/>
        </w:rPr>
        <w:t xml:space="preserve">functional </w:t>
      </w:r>
      <w:r w:rsidRPr="005B5460">
        <w:rPr>
          <w:rFonts w:ascii="Times New Roman" w:hAnsi="Times New Roman" w:cs="Times New Roman"/>
        </w:rPr>
        <w:t xml:space="preserve">level and </w:t>
      </w:r>
      <w:r w:rsidR="00F47002" w:rsidRPr="005B5460">
        <w:rPr>
          <w:rFonts w:ascii="Times New Roman" w:hAnsi="Times New Roman" w:cs="Times New Roman"/>
        </w:rPr>
        <w:t xml:space="preserve">body </w:t>
      </w:r>
      <w:r w:rsidRPr="005B5460">
        <w:rPr>
          <w:rFonts w:ascii="Times New Roman" w:hAnsi="Times New Roman" w:cs="Times New Roman"/>
        </w:rPr>
        <w:t xml:space="preserve">image issues. </w:t>
      </w:r>
      <w:r w:rsidR="00CA22C8" w:rsidRPr="005B5460">
        <w:rPr>
          <w:rFonts w:ascii="Times New Roman" w:hAnsi="Times New Roman" w:cs="Times New Roman"/>
        </w:rPr>
        <w:t xml:space="preserve">Primary findings were supported by </w:t>
      </w:r>
      <w:r w:rsidR="0085497F" w:rsidRPr="005B5460">
        <w:rPr>
          <w:rFonts w:ascii="Times New Roman" w:hAnsi="Times New Roman" w:cs="Times New Roman"/>
        </w:rPr>
        <w:fldChar w:fldCharType="begin" w:fldLock="1"/>
      </w:r>
      <w:r w:rsidR="005F4DC8" w:rsidRPr="005B5460">
        <w:rPr>
          <w:rFonts w:ascii="Times New Roman" w:hAnsi="Times New Roman" w:cs="Times New Roman"/>
        </w:rPr>
        <w:instrText>ADDIN CSL_CITATION {"citationItems":[{"id":"ITEM-1","itemData":{"DOI":"10.1002/jso.2930510113","ISSN":"0022-4790 (Print)","PMID":"1518295","abstract":"In 33 long-term survivors of lower extremity bone cancer quality-of-life data were  studied following limb salvage compared to amputation. Self-report questionnaires, semistructured interviews and visual analog scales were used to measure psychoneurotic and somatical distress, activities of daily living, self-esteem, and adjustment to illness. Fourteen patients with limb salvage (age 13-56 years, median 24) and 19 patients with an amputation (age 21-53 years, median 27) were evaluated 2-17 years (median 10 years) after surgery. The differences between the two groups were not statistically significant. However, physical complaints were reported more often by limb salvage patients, whereas the amputees showed a trend toward lower self-esteem and isolation in social life, due to their disability. Both groups felt equal diminution of quality of life and disability as measured on the visual analog scale. These findings could support the cosmetic advantage of limb salvage compared to amputation.","author":[{"dropping-particle":"","family":"Postma","given":"A","non-dropping-particle":"","parse-names":false,"suffix":""},{"dropping-particle":"","family":"Kingma","given":"A","non-dropping-particle":"","parse-names":false,"suffix":""},{"dropping-particle":"","family":"Ruiter","given":"J H","non-dropping-particle":"De","parse-names":false,"suffix":""},{"dropping-particle":"","family":"Schraffordt Koops","given":"H","non-dropping-particle":"","parse-names":false,"suffix":""},{"dropping-particle":"","family":"Veth","given":"R P","non-dropping-particle":"","parse-names":false,"suffix":""},{"dropping-particle":"","family":"Goëken","given":"L N","non-dropping-particle":"","parse-names":false,"suffix":""},{"dropping-particle":"","family":"Kamps","given":"W A","non-dropping-particle":"","parse-names":false,"suffix":""}],"container-title":"Journal of surgical oncology","id":"ITEM-1","issue":"1","issued":{"date-parts":[["1992","9"]]},"language":"eng","page":"47-51","publisher-place":"United States","title":"Quality of life in bone tumor patients comparing limb salvage and amputation of the  lower extremity.","type":"article-journal","volume":"51"},"uris":["http://www.mendeley.com/documents/?uuid=8f36494b-7a9f-464f-87c8-3962e64f1c27"]},{"id":"ITEM-2","itemData":{"DOI":"10.1038/sj.bjc.6602220","ISSN":"0007-0920 (Print)","PMID":"15534610","abstract":"Limb-sparing surgeries have been performed more frequently than amputation based on  the belief that limb-sparing surgeries provide improved function and quality-of-life (QOL). However, this has not been extensively studied in the paediatric population, which has unique characteristics that have implications for function and QOL. Using the Childhood Cancer Survivor Study, 528 adult long-term survivors of pediatric lower extremity bone tumours, diagnosed between 1970 and 1986, were contacted and completed questionnaries assessing function and QOL. Survivors were an average of 21 years from diagnosis with an average age of 35 years. Overall they reported excellent function and QOL. Compared to those who had a limb-sparing procedure, amputees were not more likely to have lower function and QOL scores and self-perception of disability included general health status, lower educational attainment, older age and female gender. Findings from this study suggest that, over time, amputees do as well as those who underwent limb-sparing surgeries between 1970 and 1986. However, female gender, lower educational attainment and older current age appear to influence function, QOL and disability.","author":[{"dropping-particle":"","family":"Nagarajan","given":"R","non-dropping-particle":"","parse-names":false,"suffix":""},{"dropping-particle":"","family":"Clohisy","given":"D R","non-dropping-particle":"","parse-names":false,"suffix":""},{"dropping-particle":"","family":"Neglia","given":"J P","non-dropping-particle":"","parse-names":false,"suffix":""},{"dropping-particle":"","family":"Yasui","given":"Y","non-dropping-particle":"","parse-names":false,"suffix":""},{"dropping-particle":"","family":"Mitby","given":"P A","non-dropping-particle":"","parse-names":false,"suffix":""},{"dropping-particle":"","family":"Sklar","given":"C","non-dropping-particle":"","parse-names":false,"suffix":""},{"dropping-particle":"","family":"Finklestein","given":"J Z","non-dropping-particle":"","parse-names":false,"suffix":""},{"dropping-particle":"","family":"Greenberg","given":"M","non-dropping-particle":"","parse-names":false,"suffix":""},{"dropping-particle":"","family":"Reaman","given":"G H","non-dropping-particle":"","parse-names":false,"suffix":""},{"dropping-particle":"","family":"Zeltzer","given":"L","non-dropping-particle":"","parse-names":false,"suffix":""},{"dropping-particle":"","family":"Robison","given":"L L","non-dropping-particle":"","parse-names":false,"suffix":""}],"container-title":"British journal of cancer","id":"ITEM-2","issue":"11","issued":{"date-parts":[["2004","11"]]},"language":"eng","page":"1858-1865","title":"Function and quality-of-life of survivors of pelvic and lower extremity osteosarcoma  and Ewing's sarcoma: the Childhood Cancer Survivor Study.","type":"article-journal","volume":"91"},"uris":["http://www.mendeley.com/documents/?uuid=8b6914b2-dd3c-4937-85e5-37834566c231"]},{"id":"ITEM-3","itemData":{"DOI":"10.1302/0301-620X.90B6.19805","ISSN":"0301-620X (Print)","PMID":"18539673","abstract":"We evaluated the long-term functional outcome in 118 patients treated for  osteosarcoma or Ewing's sarcoma in the extremities a minimum of five years after treatment. We also examined if impaired function influenced their quality of life and ability to work. The function was evaluated according to the Musculoskeletal Tumor Society (MSTS) score and the Toronto Extremity Salvage Score (TESS). Quality of life was assessed by using the Short Form-36 (SF-36). The mean age at follow-up was 31 years (15 to 57) and the mean follow-up was for 13 years (6 to 22). A total of 67 patients (57%) initially had limb-sparing surgery, but four had a secondary amputation. The median MSTS score was 70% (17% to 100%) and the median TESS was 89% (43% to 100%). The amputees had a significantly lower MSTS score than those with limb-sparing surgery (p &lt; 0.001), but there was no difference for the TESS. Tumour localisation above knee level resulted in significantly lower MSTS scores and TESS (p = 0.003 and p = 0.02, respectively). There were no significant differences in quality of life between amputees and those with limb-sparing surgery except in physical functioning. Of the patients 11% (13) did not work or study. In multivariate analysis, amputation, tumour location above the knee and having muscular pain were associated with low physical function. We conclude that most of the bone tumour survivors managed well after adjustment to their physical limitations. A total of 105 are able to work and have an overall good quality of life.","author":[{"dropping-particle":"","family":"Aksnes","given":"L H","non-dropping-particle":"","parse-names":false,"suffix":""},{"dropping-particle":"","family":"Bauer","given":"H C F","non-dropping-particle":"","parse-names":false,"suffix":""},{"dropping-particle":"","family":"Jebsen","given":"N L","non-dropping-particle":"","parse-names":false,"suffix":""},{"dropping-particle":"","family":"Follerås","given":"G","non-dropping-particle":"","parse-names":false,"suffix":""},{"dropping-particle":"","family":"Allert","given":"C","non-dropping-particle":"","parse-names":false,"suffix":""},{"dropping-particle":"","family":"Haugen","given":"G S","non-dropping-particle":"","parse-names":false,"suffix":""},{"dropping-particle":"","family":"Hall","given":"K S","non-dropping-particle":"","parse-names":false,"suffix":""}],"container-title":"The Journal of bone and joint surgery. British volume","id":"ITEM-3","issue":"6","issued":{"date-parts":[["2008","6"]]},"language":"eng","page":"786-794","publisher-place":"England","title":"Limb-sparing surgery preserves more function than amputation: a Scandinavian sarcoma  group study of 118 patients.","type":"article-journal","volume":"90"},"uris":["http://www.mendeley.com/documents/?uuid=19ecd901-ae3f-4542-afdc-1d2798cc3ad5"]}],"mendeley":{"formattedCitation":"(63–65)","plainTextFormattedCitation":"(63–65)","previouslyFormattedCitation":"(63–65)"},"properties":{"noteIndex":0},"schema":"https://github.com/citation-style-language/schema/raw/master/csl-citation.json"}</w:instrText>
      </w:r>
      <w:r w:rsidR="0085497F" w:rsidRPr="005B5460">
        <w:rPr>
          <w:rFonts w:ascii="Times New Roman" w:hAnsi="Times New Roman" w:cs="Times New Roman"/>
        </w:rPr>
        <w:fldChar w:fldCharType="separate"/>
      </w:r>
      <w:r w:rsidR="005F4DC8" w:rsidRPr="005B5460">
        <w:rPr>
          <w:rFonts w:ascii="Times New Roman" w:hAnsi="Times New Roman" w:cs="Times New Roman"/>
          <w:noProof/>
        </w:rPr>
        <w:t>(63–65)</w:t>
      </w:r>
      <w:r w:rsidR="0085497F" w:rsidRPr="005B5460">
        <w:rPr>
          <w:rFonts w:ascii="Times New Roman" w:hAnsi="Times New Roman" w:cs="Times New Roman"/>
        </w:rPr>
        <w:fldChar w:fldCharType="end"/>
      </w:r>
      <w:r w:rsidR="00CA22C8" w:rsidRPr="005B5460">
        <w:rPr>
          <w:rFonts w:ascii="Times New Roman" w:hAnsi="Times New Roman" w:cs="Times New Roman"/>
        </w:rPr>
        <w:t>,</w:t>
      </w:r>
      <w:r w:rsidRPr="005B5460">
        <w:rPr>
          <w:rFonts w:ascii="Times New Roman" w:hAnsi="Times New Roman" w:cs="Times New Roman"/>
        </w:rPr>
        <w:t xml:space="preserve"> repor</w:t>
      </w:r>
      <w:r w:rsidR="00CA22C8" w:rsidRPr="005B5460">
        <w:rPr>
          <w:rFonts w:ascii="Times New Roman" w:hAnsi="Times New Roman" w:cs="Times New Roman"/>
        </w:rPr>
        <w:t>ting</w:t>
      </w:r>
      <w:r w:rsidRPr="005B5460">
        <w:rPr>
          <w:rFonts w:ascii="Times New Roman" w:hAnsi="Times New Roman" w:cs="Times New Roman"/>
        </w:rPr>
        <w:t xml:space="preserve"> no differences in QoL between groups. Postma et al</w:t>
      </w:r>
      <w:r w:rsidR="00CA22C8" w:rsidRPr="005B5460">
        <w:rPr>
          <w:rFonts w:ascii="Times New Roman" w:hAnsi="Times New Roman" w:cs="Times New Roman"/>
        </w:rPr>
        <w:t xml:space="preserve"> </w:t>
      </w:r>
      <w:r w:rsidR="001216F5" w:rsidRPr="005B5460">
        <w:rPr>
          <w:rFonts w:ascii="Times New Roman" w:hAnsi="Times New Roman" w:cs="Times New Roman"/>
        </w:rPr>
        <w:fldChar w:fldCharType="begin" w:fldLock="1"/>
      </w:r>
      <w:r w:rsidR="005F4DC8" w:rsidRPr="005B5460">
        <w:rPr>
          <w:rFonts w:ascii="Times New Roman" w:hAnsi="Times New Roman" w:cs="Times New Roman"/>
        </w:rPr>
        <w:instrText>ADDIN CSL_CITATION {"citationItems":[{"id":"ITEM-1","itemData":{"DOI":"10.1002/jso.2930510113","ISSN":"0022-4790 (Print)","PMID":"1518295","abstract":"In 33 long-term survivors of lower extremity bone cancer quality-of-life data were  studied following limb salvage compared to amputation. Self-report questionnaires, semistructured interviews and visual analog scales were used to measure psychoneurotic and somatical distress, activities of daily living, self-esteem, and adjustment to illness. Fourteen patients with limb salvage (age 13-56 years, median 24) and 19 patients with an amputation (age 21-53 years, median 27) were evaluated 2-17 years (median 10 years) after surgery. The differences between the two groups were not statistically significant. However, physical complaints were reported more often by limb salvage patients, whereas the amputees showed a trend toward lower self-esteem and isolation in social life, due to their disability. Both groups felt equal diminution of quality of life and disability as measured on the visual analog scale. These findings could support the cosmetic advantage of limb salvage compared to amputation.","author":[{"dropping-particle":"","family":"Postma","given":"A","non-dropping-particle":"","parse-names":false,"suffix":""},{"dropping-particle":"","family":"Kingma","given":"A","non-dropping-particle":"","parse-names":false,"suffix":""},{"dropping-particle":"","family":"Ruiter","given":"J H","non-dropping-particle":"De","parse-names":false,"suffix":""},{"dropping-particle":"","family":"Schraffordt Koops","given":"H","non-dropping-particle":"","parse-names":false,"suffix":""},{"dropping-particle":"","family":"Veth","given":"R P","non-dropping-particle":"","parse-names":false,"suffix":""},{"dropping-particle":"","family":"Goëken","given":"L N","non-dropping-particle":"","parse-names":false,"suffix":""},{"dropping-particle":"","family":"Kamps","given":"W A","non-dropping-particle":"","parse-names":false,"suffix":""}],"container-title":"Journal of surgical oncology","id":"ITEM-1","issue":"1","issued":{"date-parts":[["1992","9"]]},"language":"eng","page":"47-51","publisher-place":"United States","title":"Quality of life in bone tumor patients comparing limb salvage and amputation of the  lower extremity.","type":"article-journal","volume":"51"},"uris":["http://www.mendeley.com/documents/?uuid=8f36494b-7a9f-464f-87c8-3962e64f1c27"]}],"mendeley":{"formattedCitation":"(63)","plainTextFormattedCitation":"(63)","previouslyFormattedCitation":"(63)"},"properties":{"noteIndex":0},"schema":"https://github.com/citation-style-language/schema/raw/master/csl-citation.json"}</w:instrText>
      </w:r>
      <w:r w:rsidR="001216F5" w:rsidRPr="005B5460">
        <w:rPr>
          <w:rFonts w:ascii="Times New Roman" w:hAnsi="Times New Roman" w:cs="Times New Roman"/>
        </w:rPr>
        <w:fldChar w:fldCharType="separate"/>
      </w:r>
      <w:r w:rsidR="005F4DC8" w:rsidRPr="005B5460">
        <w:rPr>
          <w:rFonts w:ascii="Times New Roman" w:hAnsi="Times New Roman" w:cs="Times New Roman"/>
          <w:noProof/>
        </w:rPr>
        <w:t>(63)</w:t>
      </w:r>
      <w:r w:rsidR="001216F5" w:rsidRPr="005B5460">
        <w:rPr>
          <w:rFonts w:ascii="Times New Roman" w:hAnsi="Times New Roman" w:cs="Times New Roman"/>
        </w:rPr>
        <w:fldChar w:fldCharType="end"/>
      </w:r>
      <w:r w:rsidRPr="005B5460">
        <w:rPr>
          <w:rFonts w:ascii="Times New Roman" w:hAnsi="Times New Roman" w:cs="Times New Roman"/>
        </w:rPr>
        <w:t xml:space="preserve"> </w:t>
      </w:r>
      <w:r w:rsidR="00CA22C8" w:rsidRPr="005B5460">
        <w:rPr>
          <w:rFonts w:ascii="Times New Roman" w:hAnsi="Times New Roman" w:cs="Times New Roman"/>
        </w:rPr>
        <w:t xml:space="preserve">further </w:t>
      </w:r>
      <w:r w:rsidRPr="005B5460">
        <w:rPr>
          <w:rFonts w:ascii="Times New Roman" w:hAnsi="Times New Roman" w:cs="Times New Roman"/>
        </w:rPr>
        <w:t xml:space="preserve">reported that </w:t>
      </w:r>
      <w:r w:rsidR="00CA22C8" w:rsidRPr="005B5460">
        <w:rPr>
          <w:rFonts w:ascii="Times New Roman" w:hAnsi="Times New Roman" w:cs="Times New Roman"/>
        </w:rPr>
        <w:t>body</w:t>
      </w:r>
      <w:r w:rsidRPr="005B5460">
        <w:rPr>
          <w:rFonts w:ascii="Times New Roman" w:hAnsi="Times New Roman" w:cs="Times New Roman"/>
        </w:rPr>
        <w:t xml:space="preserve">-image </w:t>
      </w:r>
      <w:r w:rsidR="00CA22C8" w:rsidRPr="005B5460">
        <w:rPr>
          <w:rFonts w:ascii="Times New Roman" w:hAnsi="Times New Roman" w:cs="Times New Roman"/>
        </w:rPr>
        <w:t>was</w:t>
      </w:r>
      <w:r w:rsidRPr="005B5460">
        <w:rPr>
          <w:rFonts w:ascii="Times New Roman" w:hAnsi="Times New Roman" w:cs="Times New Roman"/>
        </w:rPr>
        <w:t xml:space="preserve"> the main </w:t>
      </w:r>
      <w:r w:rsidR="00CA22C8" w:rsidRPr="005B5460">
        <w:rPr>
          <w:rFonts w:ascii="Times New Roman" w:hAnsi="Times New Roman" w:cs="Times New Roman"/>
        </w:rPr>
        <w:t xml:space="preserve">issue </w:t>
      </w:r>
      <w:r w:rsidRPr="005B5460">
        <w:rPr>
          <w:rFonts w:ascii="Times New Roman" w:hAnsi="Times New Roman" w:cs="Times New Roman"/>
        </w:rPr>
        <w:t>in an amputee group, whereas the LSS group experienced more physical problems</w:t>
      </w:r>
      <w:r w:rsidR="00DA406D" w:rsidRPr="005B5460">
        <w:rPr>
          <w:rFonts w:ascii="Times New Roman" w:hAnsi="Times New Roman" w:cs="Times New Roman"/>
        </w:rPr>
        <w:t>, such as pain, distress and ADL</w:t>
      </w:r>
      <w:r w:rsidRPr="005B5460">
        <w:rPr>
          <w:rFonts w:ascii="Times New Roman" w:hAnsi="Times New Roman" w:cs="Times New Roman"/>
        </w:rPr>
        <w:t xml:space="preserve">. </w:t>
      </w:r>
    </w:p>
    <w:p w14:paraId="0DABC5B0" w14:textId="76E012CE" w:rsidR="007E3529" w:rsidRPr="005B5460" w:rsidRDefault="007E3529" w:rsidP="007E3529">
      <w:pPr>
        <w:spacing w:line="480" w:lineRule="auto"/>
        <w:rPr>
          <w:rFonts w:ascii="Times New Roman" w:hAnsi="Times New Roman" w:cs="Times New Roman"/>
        </w:rPr>
      </w:pPr>
      <w:r w:rsidRPr="005B5460">
        <w:rPr>
          <w:rFonts w:ascii="Times New Roman" w:hAnsi="Times New Roman" w:cs="Times New Roman"/>
        </w:rPr>
        <w:t>Nagarajan et al</w:t>
      </w:r>
      <w:r w:rsidR="00CA22C8" w:rsidRPr="005B5460">
        <w:rPr>
          <w:rFonts w:ascii="Times New Roman" w:hAnsi="Times New Roman" w:cs="Times New Roman"/>
        </w:rPr>
        <w:t xml:space="preserve"> </w:t>
      </w:r>
      <w:r w:rsidR="00FC3F8D" w:rsidRPr="005B5460">
        <w:rPr>
          <w:rFonts w:ascii="Times New Roman" w:hAnsi="Times New Roman" w:cs="Times New Roman"/>
        </w:rPr>
        <w:fldChar w:fldCharType="begin" w:fldLock="1"/>
      </w:r>
      <w:r w:rsidR="005F4DC8" w:rsidRPr="005B5460">
        <w:rPr>
          <w:rFonts w:ascii="Times New Roman" w:hAnsi="Times New Roman" w:cs="Times New Roman"/>
        </w:rPr>
        <w:instrText>ADDIN CSL_CITATION {"citationItems":[{"id":"ITEM-1","itemData":{"DOI":"10.1038/sj.bjc.6602220","ISSN":"0007-0920 (Print)","PMID":"15534610","abstract":"Limb-sparing surgeries have been performed more frequently than amputation based on  the belief that limb-sparing surgeries provide improved function and quality-of-life (QOL). However, this has not been extensively studied in the paediatric population, which has unique characteristics that have implications for function and QOL. Using the Childhood Cancer Survivor Study, 528 adult long-term survivors of pediatric lower extremity bone tumours, diagnosed between 1970 and 1986, were contacted and completed questionnaries assessing function and QOL. Survivors were an average of 21 years from diagnosis with an average age of 35 years. Overall they reported excellent function and QOL. Compared to those who had a limb-sparing procedure, amputees were not more likely to have lower function and QOL scores and self-perception of disability included general health status, lower educational attainment, older age and female gender. Findings from this study suggest that, over time, amputees do as well as those who underwent limb-sparing surgeries between 1970 and 1986. However, female gender, lower educational attainment and older current age appear to influence function, QOL and disability.","author":[{"dropping-particle":"","family":"Nagarajan","given":"R","non-dropping-particle":"","parse-names":false,"suffix":""},{"dropping-particle":"","family":"Clohisy","given":"D R","non-dropping-particle":"","parse-names":false,"suffix":""},{"dropping-particle":"","family":"Neglia","given":"J P","non-dropping-particle":"","parse-names":false,"suffix":""},{"dropping-particle":"","family":"Yasui","given":"Y","non-dropping-particle":"","parse-names":false,"suffix":""},{"dropping-particle":"","family":"Mitby","given":"P A","non-dropping-particle":"","parse-names":false,"suffix":""},{"dropping-particle":"","family":"Sklar","given":"C","non-dropping-particle":"","parse-names":false,"suffix":""},{"dropping-particle":"","family":"Finklestein","given":"J Z","non-dropping-particle":"","parse-names":false,"suffix":""},{"dropping-particle":"","family":"Greenberg","given":"M","non-dropping-particle":"","parse-names":false,"suffix":""},{"dropping-particle":"","family":"Reaman","given":"G H","non-dropping-particle":"","parse-names":false,"suffix":""},{"dropping-particle":"","family":"Zeltzer","given":"L","non-dropping-particle":"","parse-names":false,"suffix":""},{"dropping-particle":"","family":"Robison","given":"L L","non-dropping-particle":"","parse-names":false,"suffix":""}],"container-title":"British journal of cancer","id":"ITEM-1","issue":"11","issued":{"date-parts":[["2004","11"]]},"language":"eng","page":"1858-1865","title":"Function and quality-of-life of survivors of pelvic and lower extremity osteosarcoma  and Ewing's sarcoma: the Childhood Cancer Survivor Study.","type":"article-journal","volume":"91"},"uris":["http://www.mendeley.com/documents/?uuid=8b6914b2-dd3c-4937-85e5-37834566c231"]}],"mendeley":{"formattedCitation":"(64)","plainTextFormattedCitation":"(64)","previouslyFormattedCitation":"(64)"},"properties":{"noteIndex":0},"schema":"https://github.com/citation-style-language/schema/raw/master/csl-citation.json"}</w:instrText>
      </w:r>
      <w:r w:rsidR="00FC3F8D" w:rsidRPr="005B5460">
        <w:rPr>
          <w:rFonts w:ascii="Times New Roman" w:hAnsi="Times New Roman" w:cs="Times New Roman"/>
        </w:rPr>
        <w:fldChar w:fldCharType="separate"/>
      </w:r>
      <w:r w:rsidR="005F4DC8" w:rsidRPr="005B5460">
        <w:rPr>
          <w:rFonts w:ascii="Times New Roman" w:hAnsi="Times New Roman" w:cs="Times New Roman"/>
          <w:noProof/>
        </w:rPr>
        <w:t>(64)</w:t>
      </w:r>
      <w:r w:rsidR="00FC3F8D" w:rsidRPr="005B5460">
        <w:rPr>
          <w:rFonts w:ascii="Times New Roman" w:hAnsi="Times New Roman" w:cs="Times New Roman"/>
        </w:rPr>
        <w:fldChar w:fldCharType="end"/>
      </w:r>
      <w:r w:rsidRPr="005B5460">
        <w:rPr>
          <w:rFonts w:ascii="Times New Roman" w:hAnsi="Times New Roman" w:cs="Times New Roman"/>
        </w:rPr>
        <w:t xml:space="preserve"> found that low level</w:t>
      </w:r>
      <w:r w:rsidR="00CA22C8" w:rsidRPr="005B5460">
        <w:rPr>
          <w:rFonts w:ascii="Times New Roman" w:hAnsi="Times New Roman" w:cs="Times New Roman"/>
        </w:rPr>
        <w:t>s</w:t>
      </w:r>
      <w:r w:rsidRPr="005B5460">
        <w:rPr>
          <w:rFonts w:ascii="Times New Roman" w:hAnsi="Times New Roman" w:cs="Times New Roman"/>
        </w:rPr>
        <w:t xml:space="preserve"> of education </w:t>
      </w:r>
      <w:r w:rsidR="00DA406D" w:rsidRPr="005B5460">
        <w:rPr>
          <w:rFonts w:ascii="Times New Roman" w:hAnsi="Times New Roman" w:cs="Times New Roman"/>
        </w:rPr>
        <w:t xml:space="preserve">(attainment rather than literacy levels) </w:t>
      </w:r>
      <w:r w:rsidRPr="005B5460">
        <w:rPr>
          <w:rFonts w:ascii="Times New Roman" w:hAnsi="Times New Roman" w:cs="Times New Roman"/>
        </w:rPr>
        <w:t xml:space="preserve">significantly affected QoL. </w:t>
      </w:r>
      <w:proofErr w:type="spellStart"/>
      <w:r w:rsidRPr="005B5460">
        <w:rPr>
          <w:rFonts w:ascii="Times New Roman" w:hAnsi="Times New Roman" w:cs="Times New Roman"/>
        </w:rPr>
        <w:t>Aksnes</w:t>
      </w:r>
      <w:proofErr w:type="spellEnd"/>
      <w:r w:rsidRPr="005B5460">
        <w:rPr>
          <w:rFonts w:ascii="Times New Roman" w:hAnsi="Times New Roman" w:cs="Times New Roman"/>
        </w:rPr>
        <w:t xml:space="preserve"> et al</w:t>
      </w:r>
      <w:r w:rsidR="00DA406D" w:rsidRPr="005B5460">
        <w:rPr>
          <w:rFonts w:ascii="Times New Roman" w:hAnsi="Times New Roman" w:cs="Times New Roman"/>
        </w:rPr>
        <w:t xml:space="preserve"> </w:t>
      </w:r>
      <w:r w:rsidR="00FC3F8D" w:rsidRPr="005B5460">
        <w:rPr>
          <w:rFonts w:ascii="Times New Roman" w:hAnsi="Times New Roman" w:cs="Times New Roman"/>
        </w:rPr>
        <w:fldChar w:fldCharType="begin" w:fldLock="1"/>
      </w:r>
      <w:r w:rsidR="005F4DC8" w:rsidRPr="005B5460">
        <w:rPr>
          <w:rFonts w:ascii="Times New Roman" w:hAnsi="Times New Roman" w:cs="Times New Roman"/>
        </w:rPr>
        <w:instrText>ADDIN CSL_CITATION {"citationItems":[{"id":"ITEM-1","itemData":{"DOI":"10.1302/0301-620X.90B6.19805","ISSN":"0301-620X (Print)","PMID":"18539673","abstract":"We evaluated the long-term functional outcome in 118 patients treated for  osteosarcoma or Ewing's sarcoma in the extremities a minimum of five years after treatment. We also examined if impaired function influenced their quality of life and ability to work. The function was evaluated according to the Musculoskeletal Tumor Society (MSTS) score and the Toronto Extremity Salvage Score (TESS). Quality of life was assessed by using the Short Form-36 (SF-36). The mean age at follow-up was 31 years (15 to 57) and the mean follow-up was for 13 years (6 to 22). A total of 67 patients (57%) initially had limb-sparing surgery, but four had a secondary amputation. The median MSTS score was 70% (17% to 100%) and the median TESS was 89% (43% to 100%). The amputees had a significantly lower MSTS score than those with limb-sparing surgery (p &lt; 0.001), but there was no difference for the TESS. Tumour localisation above knee level resulted in significantly lower MSTS scores and TESS (p = 0.003 and p = 0.02, respectively). There were no significant differences in quality of life between amputees and those with limb-sparing surgery except in physical functioning. Of the patients 11% (13) did not work or study. In multivariate analysis, amputation, tumour location above the knee and having muscular pain were associated with low physical function. We conclude that most of the bone tumour survivors managed well after adjustment to their physical limitations. A total of 105 are able to work and have an overall good quality of life.","author":[{"dropping-particle":"","family":"Aksnes","given":"L H","non-dropping-particle":"","parse-names":false,"suffix":""},{"dropping-particle":"","family":"Bauer","given":"H C F","non-dropping-particle":"","parse-names":false,"suffix":""},{"dropping-particle":"","family":"Jebsen","given":"N L","non-dropping-particle":"","parse-names":false,"suffix":""},{"dropping-particle":"","family":"Follerås","given":"G","non-dropping-particle":"","parse-names":false,"suffix":""},{"dropping-particle":"","family":"Allert","given":"C","non-dropping-particle":"","parse-names":false,"suffix":""},{"dropping-particle":"","family":"Haugen","given":"G S","non-dropping-particle":"","parse-names":false,"suffix":""},{"dropping-particle":"","family":"Hall","given":"K S","non-dropping-particle":"","parse-names":false,"suffix":""}],"container-title":"The Journal of bone and joint surgery. British volume","id":"ITEM-1","issue":"6","issued":{"date-parts":[["2008","6"]]},"language":"eng","page":"786-794","publisher-place":"England","title":"Limb-sparing surgery preserves more function than amputation: a Scandinavian sarcoma  group study of 118 patients.","type":"article-journal","volume":"90"},"uris":["http://www.mendeley.com/documents/?uuid=19ecd901-ae3f-4542-afdc-1d2798cc3ad5"]}],"mendeley":{"formattedCitation":"(65)","plainTextFormattedCitation":"(65)","previouslyFormattedCitation":"(65)"},"properties":{"noteIndex":0},"schema":"https://github.com/citation-style-language/schema/raw/master/csl-citation.json"}</w:instrText>
      </w:r>
      <w:r w:rsidR="00FC3F8D" w:rsidRPr="005B5460">
        <w:rPr>
          <w:rFonts w:ascii="Times New Roman" w:hAnsi="Times New Roman" w:cs="Times New Roman"/>
        </w:rPr>
        <w:fldChar w:fldCharType="separate"/>
      </w:r>
      <w:r w:rsidR="005F4DC8" w:rsidRPr="005B5460">
        <w:rPr>
          <w:rFonts w:ascii="Times New Roman" w:hAnsi="Times New Roman" w:cs="Times New Roman"/>
          <w:noProof/>
        </w:rPr>
        <w:t>(65)</w:t>
      </w:r>
      <w:r w:rsidR="00FC3F8D" w:rsidRPr="005B5460">
        <w:rPr>
          <w:rFonts w:ascii="Times New Roman" w:hAnsi="Times New Roman" w:cs="Times New Roman"/>
        </w:rPr>
        <w:fldChar w:fldCharType="end"/>
      </w:r>
      <w:r w:rsidRPr="005B5460">
        <w:rPr>
          <w:rFonts w:ascii="Times New Roman" w:hAnsi="Times New Roman" w:cs="Times New Roman"/>
        </w:rPr>
        <w:t xml:space="preserve">, a study by the Scandinavian Sarcoma Group in Norway and Sweden, found QoL to be similar; however, physical functioning was significantly better in the LSS group. </w:t>
      </w:r>
    </w:p>
    <w:p w14:paraId="198E4DB9" w14:textId="4DA7EAFD" w:rsidR="00E54E73" w:rsidRPr="005B5460" w:rsidRDefault="00E54E73" w:rsidP="007E3529">
      <w:pPr>
        <w:spacing w:line="480" w:lineRule="auto"/>
        <w:rPr>
          <w:rFonts w:ascii="Times New Roman" w:hAnsi="Times New Roman" w:cs="Times New Roman"/>
          <w:i/>
          <w:iCs/>
        </w:rPr>
      </w:pPr>
      <w:r w:rsidRPr="005B5460">
        <w:rPr>
          <w:rFonts w:ascii="Times New Roman" w:hAnsi="Times New Roman" w:cs="Times New Roman"/>
          <w:i/>
          <w:iCs/>
        </w:rPr>
        <w:t>Other Considerations</w:t>
      </w:r>
    </w:p>
    <w:p w14:paraId="5654BC31" w14:textId="3A401BE0" w:rsidR="00E54E73" w:rsidRPr="005B5460" w:rsidRDefault="007E3529" w:rsidP="007E3529">
      <w:pPr>
        <w:spacing w:line="480" w:lineRule="auto"/>
        <w:rPr>
          <w:rFonts w:ascii="Times New Roman" w:hAnsi="Times New Roman" w:cs="Times New Roman"/>
        </w:rPr>
      </w:pPr>
      <w:r w:rsidRPr="005B5460">
        <w:rPr>
          <w:rFonts w:ascii="Times New Roman" w:hAnsi="Times New Roman" w:cs="Times New Roman"/>
        </w:rPr>
        <w:lastRenderedPageBreak/>
        <w:t>The findings presented here can vary based on cultural, financial and educational factors. Tan et al</w:t>
      </w:r>
      <w:r w:rsidR="00E54E73" w:rsidRPr="005B5460">
        <w:rPr>
          <w:rFonts w:ascii="Times New Roman" w:hAnsi="Times New Roman" w:cs="Times New Roman"/>
        </w:rPr>
        <w:t xml:space="preserve"> </w:t>
      </w:r>
      <w:r w:rsidR="00FC3F8D"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{"citationItems":[{"id":"ITEM-1","itemData":{"DOI":"10.1016/j.ejso.2012.07.003","ISSN":"1532-2157 (Electronic)","PMID":"22809860","abstract":"AIM: Limb-salvage surgery has become the standard of care for extremity  osteosarcoma. In this study, we investigated the survival and functional outcomes of patients with osteosarcoma around the knee who were treated with limb-salvage surgery. METHODS: We retrospectively reviewed the clinical data for 120 patients with osteosarcoma around the knee who were treated with limb-salvage surgery between 1998 and 2008. The sample included 75 males and 45 females. The mean age of the patients was 18.9 years. Osteosarcoma was diagnosed in the distal femur in 78 patients and in the proximal tibia in 42 patients. Statistical analyses were conducted to process and record the patient data and analyse the surgery's efficacy, prognosis and survival rates. RESULTS: All patients were followed for 6-144 months (mean of 56.8 months). The overall 5-year survival rate was 61.8%. Lung metastasis developed in 31 patients. Local recurrence developed in 9 patients. The average Musculoskeletal Tumor Society Score (MSTS) was 25.5 points on a 30-point scale. Sixteen patients underwent prosthesis revision and twelve patients underwent amputation. The overall survivorship of the prosthesis based on Kaplan-Meier estimates was 77% at five years and 71% at ten years. There was a higher incidence of extensor lag for the patients with osteosarcoma in the proximal tibia than for those with osteosarcoma in the distal femur (P &lt; 0.01). CONCLUSIONS: Treating osteosarcoma around the knee with limb-salvage surgery can preserve most of the knee's functionality. Attention must be paid to prevent the relatively high incidence of postoperative complications.","author":[{"dropping-particle":"","family":"Tan","given":"P X","non-dropping-particle":"","parse-names":false,"suffix":""},{"dropping-particle":"","family":"Yong","given":"B C","non-dropping-particle":"","parse-names":false,"suffix":""},{"dropping-particle":"","family":"Wang","given":"J","non-dropping-particle":"","parse-names":false,"suffix":""},{"dropping-particle":"","family":"Huang","given":"G","non-dropping-particle":"","parse-names":false,"suffix":""},{"dropping-particle":"","family":"Yin","given":"J Q","non-dropping-particle":"","parse-names":false,"suffix":""},{"dropping-particle":"","family":"Zou","given":"C Y","non-dropping-particle":"","parse-names":false,"suffix":""},{"dropping-particle":"","family":"Xie","given":"X B","non-dropping-particle":"","parse-names":false,"suffix":""},{"dropping-particle":"","family":"Tang","given":"Q L","non-dropping-particle":"","parse-names":false,"suffix":""},{"dropping-particle":"","family":"Shen","given":"J N","non-dropping-particle":"","parse-names":false,"suffix":""}],"container-title":"European journal of surgical oncology : the journal of the European Society of  Surgical Oncology and the British Association of Surgical Oncology","id":"ITEM-1","issue":"12","issued":{"date-parts":[["2012","12"]]},"language":"eng","page":"1171-1177","publisher-place":"England","title":"Analysis of the efficacy and prognosis of limb-salvage surgery for osteosarcoma  around the knee.","type":"article-journal","volume":"38"},"uris":["http://www.mendeley.com/documents/?uuid=ba59065b-75e0-4ba0-9ab8-7e2c83b0d0ec"]}],"mendeley":{"formattedCitation":"(41)","plainTextFormattedCitation":"(41)","previouslyFormattedCitation":"(42)"},"properties":{"noteIndex":0},"schema":"https://github.com/citation-style-language/schema/raw/master/csl-citation.json"}</w:instrText>
      </w:r>
      <w:r w:rsidR="00FC3F8D" w:rsidRPr="005B5460">
        <w:rPr>
          <w:rFonts w:ascii="Times New Roman" w:hAnsi="Times New Roman" w:cs="Times New Roman"/>
        </w:rPr>
        <w:fldChar w:fldCharType="separate"/>
      </w:r>
      <w:r w:rsidR="009D0EA8" w:rsidRPr="005B5460">
        <w:rPr>
          <w:rFonts w:ascii="Times New Roman" w:hAnsi="Times New Roman" w:cs="Times New Roman"/>
          <w:noProof/>
        </w:rPr>
        <w:t>(41)</w:t>
      </w:r>
      <w:r w:rsidR="00FC3F8D" w:rsidRPr="005B5460">
        <w:rPr>
          <w:rFonts w:ascii="Times New Roman" w:hAnsi="Times New Roman" w:cs="Times New Roman"/>
        </w:rPr>
        <w:fldChar w:fldCharType="end"/>
      </w:r>
      <w:r w:rsidRPr="005B5460">
        <w:rPr>
          <w:rFonts w:ascii="Times New Roman" w:hAnsi="Times New Roman" w:cs="Times New Roman"/>
        </w:rPr>
        <w:t xml:space="preserve"> discussed finances as an important factor in deciding the treatment protocol. Patients who were candidates for LSS with </w:t>
      </w:r>
      <w:r w:rsidR="00E54E73" w:rsidRPr="005B5460">
        <w:rPr>
          <w:rFonts w:ascii="Times New Roman" w:hAnsi="Times New Roman" w:cs="Times New Roman"/>
        </w:rPr>
        <w:t>a required</w:t>
      </w:r>
      <w:r w:rsidRPr="005B5460">
        <w:rPr>
          <w:rFonts w:ascii="Times New Roman" w:hAnsi="Times New Roman" w:cs="Times New Roman"/>
        </w:rPr>
        <w:t xml:space="preserve"> chemotherapy regimen</w:t>
      </w:r>
      <w:r w:rsidR="00E54E73" w:rsidRPr="005B5460">
        <w:rPr>
          <w:rFonts w:ascii="Times New Roman" w:hAnsi="Times New Roman" w:cs="Times New Roman"/>
        </w:rPr>
        <w:t>,</w:t>
      </w:r>
      <w:r w:rsidRPr="005B5460">
        <w:rPr>
          <w:rFonts w:ascii="Times New Roman" w:hAnsi="Times New Roman" w:cs="Times New Roman"/>
        </w:rPr>
        <w:t xml:space="preserve"> but who struggled financially</w:t>
      </w:r>
      <w:r w:rsidR="00E54E73" w:rsidRPr="005B5460">
        <w:rPr>
          <w:rFonts w:ascii="Times New Roman" w:hAnsi="Times New Roman" w:cs="Times New Roman"/>
        </w:rPr>
        <w:t>,</w:t>
      </w:r>
      <w:r w:rsidRPr="005B5460">
        <w:rPr>
          <w:rFonts w:ascii="Times New Roman" w:hAnsi="Times New Roman" w:cs="Times New Roman"/>
        </w:rPr>
        <w:t xml:space="preserve"> chose to undergo amputation, as they could not afford the standard treatment protocol. </w:t>
      </w:r>
      <w:r w:rsidR="00E54E73" w:rsidRPr="005B5460">
        <w:rPr>
          <w:rFonts w:ascii="Times New Roman" w:hAnsi="Times New Roman" w:cs="Times New Roman"/>
        </w:rPr>
        <w:t xml:space="preserve">However, this would potentially have longer financial implications to the patient due to the life-long post-amputation rehabilitation, possible prostheses service provision and medical device supply, maintenance and repair requirements. </w:t>
      </w:r>
    </w:p>
    <w:p w14:paraId="1DDAAAB2" w14:textId="157A5027" w:rsidR="0086192F" w:rsidRPr="005B5460" w:rsidRDefault="007E3529" w:rsidP="007E3529">
      <w:pPr>
        <w:spacing w:line="480" w:lineRule="auto"/>
        <w:rPr>
          <w:rFonts w:ascii="Times New Roman" w:hAnsi="Times New Roman" w:cs="Times New Roman"/>
        </w:rPr>
      </w:pPr>
      <w:r w:rsidRPr="005B5460">
        <w:rPr>
          <w:rFonts w:ascii="Times New Roman" w:hAnsi="Times New Roman" w:cs="Times New Roman"/>
        </w:rPr>
        <w:t>Jauregui et al</w:t>
      </w:r>
      <w:r w:rsidR="00E54E73" w:rsidRPr="005B5460">
        <w:rPr>
          <w:rFonts w:ascii="Times New Roman" w:hAnsi="Times New Roman" w:cs="Times New Roman"/>
        </w:rPr>
        <w:t xml:space="preserve"> </w:t>
      </w:r>
      <w:r w:rsidR="004E4DE5" w:rsidRPr="005B5460">
        <w:rPr>
          <w:rFonts w:ascii="Times New Roman" w:hAnsi="Times New Roman" w:cs="Times New Roman"/>
        </w:rPr>
        <w:fldChar w:fldCharType="begin" w:fldLock="1"/>
      </w:r>
      <w:r w:rsidR="005F4DC8" w:rsidRPr="005B5460">
        <w:rPr>
          <w:rFonts w:ascii="Times New Roman" w:hAnsi="Times New Roman" w:cs="Times New Roman"/>
        </w:rPr>
        <w:instrText>ADDIN CSL_CITATION {"citationItems":[{"id":"ITEM-1","itemData":{"DOI":"10.1007/s13193-018-0725-y","ISSN":"0975-7651 (Print)","PMID":"29887707","abstract":"The overall survivorship in patients with appendicular osteosarcoma has increased in  the past few decades. However, controversies and questions about performing an amputation or a limb salvage procedure still remain. Using three peer-reviewed library databases, a systematic review of the literature was performed to evaluate all studies that have evaluated the outcomes of appendicular osteosarcoma, either with limb salvage or amputation. The mean 5-year overall survivorship was 62% for salvage and 58% for amputation (p &gt; 0.05). At mean 6-year follow-up, the local recurrence rates were 8.2% for salvage and 3.0% for amputation (p &gt; 0.05). Additionally, at mean 6-year follow-up, the rate for metastasis was 33% for salvage and 38% for amputation (p &gt; 0.05). The revision rates were higher with salvage (31 vs. 28%), and there were more complications in the salvage groups (52 vs. 34%; p &gt; 0.05). Despite the heterogeneity of studies available for review, we observed similar survival rates between the two procedures. Although there was no significant statistical difference between rates of recurrence and metastasis, the local recurrence rate and risk of complications were higher for limb salvage as compared to amputation. Cosmetic satisfaction is often higher with limb salvage, whereas long-term expense is higher with amputation. Overall, current literature supports limb salvage procedures when wide surgical margins can be achieved while still retaining a functional limb.","author":[{"dropping-particle":"","family":"Jauregui","given":"Julio J","non-dropping-particle":"","parse-names":false,"suffix":""},{"dropping-particle":"","family":"Nadarajah","given":"Vidushan","non-dropping-particle":"","parse-names":false,"suffix":""},{"dropping-particle":"","family":"Munn","given":"Joseph","non-dropping-particle":"","parse-names":false,"suffix":""},{"dropping-particle":"","family":"Pivec","given":"Robert","non-dropping-particle":"","parse-names":false,"suffix":""},{"dropping-particle":"","family":"Kapadia","given":"Bhaveen H","non-dropping-particle":"","parse-names":false,"suffix":""},{"dropping-particle":"","family":"Lerman","given":"Daniel M","non-dropping-particle":"","parse-names":false,"suffix":""},{"dropping-particle":"V","family":"Maheshwari","given":"Aditya","non-dropping-particle":"","parse-names":false,"suffix":""}],"container-title":"Indian journal of surgical oncology","id":"ITEM-1","issue":"2","issued":{"date-parts":[["2018","6"]]},"language":"eng","page":"232-240","title":"Limb Salvage Versus Amputation in Conventional Appendicular Osteosarcoma: a  Systematic Review.","type":"article-journal","volume":"9"},"uris":["http://www.mendeley.com/documents/?uuid=d237631e-7a85-47b9-af44-2ce2a93bc2fd"]}],"mendeley":{"formattedCitation":"(66)","plainTextFormattedCitation":"(66)","previouslyFormattedCitation":"(66)"},"properties":{"noteIndex":0},"schema":"https://github.com/citation-style-language/schema/raw/master/csl-citation.json"}</w:instrText>
      </w:r>
      <w:r w:rsidR="004E4DE5" w:rsidRPr="005B5460">
        <w:rPr>
          <w:rFonts w:ascii="Times New Roman" w:hAnsi="Times New Roman" w:cs="Times New Roman"/>
        </w:rPr>
        <w:fldChar w:fldCharType="separate"/>
      </w:r>
      <w:r w:rsidR="005F4DC8" w:rsidRPr="005B5460">
        <w:rPr>
          <w:rFonts w:ascii="Times New Roman" w:hAnsi="Times New Roman" w:cs="Times New Roman"/>
          <w:noProof/>
        </w:rPr>
        <w:t>(66)</w:t>
      </w:r>
      <w:r w:rsidR="004E4DE5" w:rsidRPr="005B5460">
        <w:rPr>
          <w:rFonts w:ascii="Times New Roman" w:hAnsi="Times New Roman" w:cs="Times New Roman"/>
        </w:rPr>
        <w:fldChar w:fldCharType="end"/>
      </w:r>
      <w:r w:rsidR="006D7404" w:rsidRPr="005B5460">
        <w:rPr>
          <w:rFonts w:ascii="Times New Roman" w:hAnsi="Times New Roman" w:cs="Times New Roman"/>
          <w:vertAlign w:val="superscript"/>
        </w:rPr>
        <w:t xml:space="preserve"> </w:t>
      </w:r>
      <w:r w:rsidR="0086192F" w:rsidRPr="005B5460">
        <w:rPr>
          <w:rFonts w:ascii="Times New Roman" w:hAnsi="Times New Roman" w:cs="Times New Roman"/>
        </w:rPr>
        <w:t xml:space="preserve">confirmed this assertion </w:t>
      </w:r>
      <w:r w:rsidRPr="005B5460">
        <w:rPr>
          <w:rFonts w:ascii="Times New Roman" w:hAnsi="Times New Roman" w:cs="Times New Roman"/>
        </w:rPr>
        <w:t>that the long-term care of amputation is slightly higher than LSS because the amputee requires life-long prosthesis maintenance, check-ups and stump care. However, this finding was positively correlated with age and the cost of the prosthesis. Therefore, the cost aspect of both procedures may vary based on demographics, the healthcare system</w:t>
      </w:r>
      <w:r w:rsidR="0086192F" w:rsidRPr="005B5460">
        <w:rPr>
          <w:rFonts w:ascii="Times New Roman" w:hAnsi="Times New Roman" w:cs="Times New Roman"/>
        </w:rPr>
        <w:t xml:space="preserve"> supporting the patient</w:t>
      </w:r>
      <w:r w:rsidRPr="005B5460">
        <w:rPr>
          <w:rFonts w:ascii="Times New Roman" w:hAnsi="Times New Roman" w:cs="Times New Roman"/>
        </w:rPr>
        <w:t>, functional levels and the type of prosthesis</w:t>
      </w:r>
      <w:r w:rsidR="0086192F" w:rsidRPr="005B5460">
        <w:rPr>
          <w:rFonts w:ascii="Times New Roman" w:hAnsi="Times New Roman" w:cs="Times New Roman"/>
        </w:rPr>
        <w:t xml:space="preserve"> device available</w:t>
      </w:r>
      <w:r w:rsidRPr="005B5460">
        <w:rPr>
          <w:rFonts w:ascii="Times New Roman" w:hAnsi="Times New Roman" w:cs="Times New Roman"/>
        </w:rPr>
        <w:t xml:space="preserve">. </w:t>
      </w:r>
    </w:p>
    <w:p w14:paraId="4F9FA373" w14:textId="0A95BA2B" w:rsidR="007E3529" w:rsidRPr="005B5460" w:rsidRDefault="007E3529" w:rsidP="007E3529">
      <w:pPr>
        <w:spacing w:line="480" w:lineRule="auto"/>
        <w:rPr>
          <w:rFonts w:ascii="Times New Roman" w:hAnsi="Times New Roman" w:cs="Times New Roman"/>
        </w:rPr>
      </w:pPr>
      <w:r w:rsidRPr="005B5460">
        <w:rPr>
          <w:rFonts w:ascii="Times New Roman" w:hAnsi="Times New Roman" w:cs="Times New Roman"/>
        </w:rPr>
        <w:t>The overall heterogeneity of the papers made the synthes</w:t>
      </w:r>
      <w:r w:rsidR="0086192F" w:rsidRPr="005B5460">
        <w:rPr>
          <w:rFonts w:ascii="Times New Roman" w:hAnsi="Times New Roman" w:cs="Times New Roman"/>
        </w:rPr>
        <w:t>i</w:t>
      </w:r>
      <w:r w:rsidRPr="005B5460">
        <w:rPr>
          <w:rFonts w:ascii="Times New Roman" w:hAnsi="Times New Roman" w:cs="Times New Roman"/>
        </w:rPr>
        <w:t>s of finding</w:t>
      </w:r>
      <w:r w:rsidR="0086192F" w:rsidRPr="005B5460">
        <w:rPr>
          <w:rFonts w:ascii="Times New Roman" w:hAnsi="Times New Roman" w:cs="Times New Roman"/>
        </w:rPr>
        <w:t>s</w:t>
      </w:r>
      <w:r w:rsidRPr="005B5460">
        <w:rPr>
          <w:rFonts w:ascii="Times New Roman" w:hAnsi="Times New Roman" w:cs="Times New Roman"/>
        </w:rPr>
        <w:t xml:space="preserve"> difficult</w:t>
      </w:r>
      <w:r w:rsidR="00F57AE8" w:rsidRPr="005B5460">
        <w:rPr>
          <w:rFonts w:ascii="Times New Roman" w:hAnsi="Times New Roman" w:cs="Times New Roman"/>
        </w:rPr>
        <w:t>.</w:t>
      </w:r>
      <w:r w:rsidRPr="005B5460">
        <w:rPr>
          <w:rFonts w:ascii="Times New Roman" w:hAnsi="Times New Roman" w:cs="Times New Roman"/>
        </w:rPr>
        <w:t xml:space="preserve"> </w:t>
      </w:r>
      <w:r w:rsidR="00434579" w:rsidRPr="005B5460">
        <w:rPr>
          <w:rFonts w:ascii="Times New Roman" w:hAnsi="Times New Roman" w:cs="Times New Roman"/>
        </w:rPr>
        <w:t xml:space="preserve">This was due primarily to the resultant papers </w:t>
      </w:r>
      <w:r w:rsidR="00B2179F" w:rsidRPr="005B5460">
        <w:rPr>
          <w:rFonts w:ascii="Times New Roman" w:hAnsi="Times New Roman" w:cs="Times New Roman"/>
        </w:rPr>
        <w:t xml:space="preserve">using different outcome measures and crucially, knowing what </w:t>
      </w:r>
      <w:proofErr w:type="gramStart"/>
      <w:r w:rsidR="00B2179F" w:rsidRPr="005B5460">
        <w:rPr>
          <w:rFonts w:ascii="Times New Roman" w:hAnsi="Times New Roman" w:cs="Times New Roman"/>
        </w:rPr>
        <w:t>are important outcomes to measure</w:t>
      </w:r>
      <w:proofErr w:type="gramEnd"/>
      <w:r w:rsidR="00B2179F" w:rsidRPr="005B5460">
        <w:rPr>
          <w:rFonts w:ascii="Times New Roman" w:hAnsi="Times New Roman" w:cs="Times New Roman"/>
        </w:rPr>
        <w:t xml:space="preserve">. </w:t>
      </w:r>
      <w:r w:rsidR="00FB6BC3" w:rsidRPr="005B5460">
        <w:rPr>
          <w:rFonts w:ascii="Times New Roman" w:hAnsi="Times New Roman" w:cs="Times New Roman"/>
        </w:rPr>
        <w:t>In such a population</w:t>
      </w:r>
      <w:r w:rsidR="000510EF" w:rsidRPr="005B5460">
        <w:rPr>
          <w:rFonts w:ascii="Times New Roman" w:hAnsi="Times New Roman" w:cs="Times New Roman"/>
        </w:rPr>
        <w:t xml:space="preserve">, one could argue that the patients themselves </w:t>
      </w:r>
      <w:r w:rsidR="00F56B1C" w:rsidRPr="005B5460">
        <w:rPr>
          <w:rFonts w:ascii="Times New Roman" w:hAnsi="Times New Roman" w:cs="Times New Roman"/>
        </w:rPr>
        <w:t xml:space="preserve">could help determine what is important to measure in non-oncological </w:t>
      </w:r>
      <w:r w:rsidR="00CD5108" w:rsidRPr="005B5460">
        <w:rPr>
          <w:rFonts w:ascii="Times New Roman" w:hAnsi="Times New Roman" w:cs="Times New Roman"/>
        </w:rPr>
        <w:t xml:space="preserve">recovery outcomes as it directly affects their ability to engage in meaningful occupation and </w:t>
      </w:r>
      <w:r w:rsidR="00741D74" w:rsidRPr="005B5460">
        <w:rPr>
          <w:rFonts w:ascii="Times New Roman" w:hAnsi="Times New Roman" w:cs="Times New Roman"/>
        </w:rPr>
        <w:t xml:space="preserve">improve the quality of their life. </w:t>
      </w:r>
      <w:r w:rsidR="00F61B23" w:rsidRPr="005B5460">
        <w:rPr>
          <w:rFonts w:ascii="Times New Roman" w:hAnsi="Times New Roman" w:cs="Times New Roman"/>
        </w:rPr>
        <w:t>T</w:t>
      </w:r>
      <w:r w:rsidRPr="005B5460">
        <w:rPr>
          <w:rFonts w:ascii="Times New Roman" w:hAnsi="Times New Roman" w:cs="Times New Roman"/>
        </w:rPr>
        <w:t xml:space="preserve">he findings presented here </w:t>
      </w:r>
      <w:r w:rsidR="00F61B23" w:rsidRPr="005B5460">
        <w:rPr>
          <w:rFonts w:ascii="Times New Roman" w:hAnsi="Times New Roman" w:cs="Times New Roman"/>
        </w:rPr>
        <w:t xml:space="preserve">therefore </w:t>
      </w:r>
      <w:r w:rsidR="00DA603D" w:rsidRPr="005B5460">
        <w:rPr>
          <w:rFonts w:ascii="Times New Roman" w:hAnsi="Times New Roman" w:cs="Times New Roman"/>
        </w:rPr>
        <w:t xml:space="preserve">identify and synthesise knowledge on non-oncological outcomes associated with LSS in patients with sarcoma around the knee, </w:t>
      </w:r>
      <w:r w:rsidRPr="005B5460">
        <w:rPr>
          <w:rFonts w:ascii="Times New Roman" w:hAnsi="Times New Roman" w:cs="Times New Roman"/>
        </w:rPr>
        <w:t>provid</w:t>
      </w:r>
      <w:r w:rsidR="00DA603D" w:rsidRPr="005B5460">
        <w:rPr>
          <w:rFonts w:ascii="Times New Roman" w:hAnsi="Times New Roman" w:cs="Times New Roman"/>
        </w:rPr>
        <w:t>ing</w:t>
      </w:r>
      <w:r w:rsidR="00721F42" w:rsidRPr="005B5460">
        <w:rPr>
          <w:rFonts w:ascii="Times New Roman" w:hAnsi="Times New Roman" w:cs="Times New Roman"/>
        </w:rPr>
        <w:t xml:space="preserve"> a summary </w:t>
      </w:r>
      <w:r w:rsidR="003752F7" w:rsidRPr="005B5460">
        <w:rPr>
          <w:rFonts w:ascii="Times New Roman" w:hAnsi="Times New Roman" w:cs="Times New Roman"/>
        </w:rPr>
        <w:t xml:space="preserve">of </w:t>
      </w:r>
      <w:r w:rsidR="00721F42" w:rsidRPr="005B5460">
        <w:rPr>
          <w:rFonts w:ascii="Times New Roman" w:hAnsi="Times New Roman" w:cs="Times New Roman"/>
        </w:rPr>
        <w:t xml:space="preserve">the evidence </w:t>
      </w:r>
      <w:r w:rsidR="00A559E7" w:rsidRPr="005B5460">
        <w:rPr>
          <w:rFonts w:ascii="Times New Roman" w:hAnsi="Times New Roman" w:cs="Times New Roman"/>
        </w:rPr>
        <w:t>to</w:t>
      </w:r>
      <w:r w:rsidR="00721F42" w:rsidRPr="005B5460">
        <w:rPr>
          <w:rFonts w:ascii="Times New Roman" w:hAnsi="Times New Roman" w:cs="Times New Roman"/>
        </w:rPr>
        <w:t xml:space="preserve"> inform clinical decision making and identify future research </w:t>
      </w:r>
      <w:proofErr w:type="spellStart"/>
      <w:r w:rsidR="00721F42" w:rsidRPr="005B5460">
        <w:rPr>
          <w:rFonts w:ascii="Times New Roman" w:hAnsi="Times New Roman" w:cs="Times New Roman"/>
        </w:rPr>
        <w:t>priorities.</w:t>
      </w:r>
      <w:r w:rsidR="008C4F63" w:rsidRPr="005B5460">
        <w:rPr>
          <w:rFonts w:ascii="Times New Roman" w:hAnsi="Times New Roman" w:cs="Times New Roman"/>
        </w:rPr>
        <w:t>However</w:t>
      </w:r>
      <w:proofErr w:type="spellEnd"/>
      <w:r w:rsidR="008C4F63" w:rsidRPr="005B5460">
        <w:rPr>
          <w:rFonts w:ascii="Times New Roman" w:hAnsi="Times New Roman" w:cs="Times New Roman"/>
        </w:rPr>
        <w:t xml:space="preserve">, it is important to note that this is scoping review only included </w:t>
      </w:r>
      <w:proofErr w:type="spellStart"/>
      <w:r w:rsidR="008C4F63" w:rsidRPr="005B5460">
        <w:rPr>
          <w:rFonts w:ascii="Times New Roman" w:hAnsi="Times New Roman" w:cs="Times New Roman"/>
        </w:rPr>
        <w:t>pubished</w:t>
      </w:r>
      <w:proofErr w:type="spellEnd"/>
      <w:r w:rsidR="008C4F63" w:rsidRPr="005B5460">
        <w:rPr>
          <w:rFonts w:ascii="Times New Roman" w:hAnsi="Times New Roman" w:cs="Times New Roman"/>
        </w:rPr>
        <w:t xml:space="preserve"> academic research</w:t>
      </w:r>
      <w:r w:rsidR="00A254F8" w:rsidRPr="005B5460">
        <w:rPr>
          <w:rFonts w:ascii="Times New Roman" w:hAnsi="Times New Roman" w:cs="Times New Roman"/>
        </w:rPr>
        <w:t>.</w:t>
      </w:r>
      <w:r w:rsidR="008C4F63" w:rsidRPr="005B5460">
        <w:rPr>
          <w:rFonts w:ascii="Times New Roman" w:hAnsi="Times New Roman" w:cs="Times New Roman"/>
        </w:rPr>
        <w:t xml:space="preserve"> </w:t>
      </w:r>
      <w:r w:rsidR="00A254F8" w:rsidRPr="005B5460">
        <w:rPr>
          <w:rFonts w:ascii="Times New Roman" w:hAnsi="Times New Roman" w:cs="Times New Roman"/>
        </w:rPr>
        <w:t>It</w:t>
      </w:r>
      <w:r w:rsidR="008C4F63" w:rsidRPr="005B5460">
        <w:rPr>
          <w:rFonts w:ascii="Times New Roman" w:hAnsi="Times New Roman" w:cs="Times New Roman"/>
        </w:rPr>
        <w:t xml:space="preserve"> did not include a search of the grey literature, </w:t>
      </w:r>
      <w:proofErr w:type="gramStart"/>
      <w:r w:rsidR="007F7590" w:rsidRPr="005B5460">
        <w:rPr>
          <w:rFonts w:ascii="Times New Roman" w:hAnsi="Times New Roman" w:cs="Times New Roman"/>
        </w:rPr>
        <w:t>an</w:t>
      </w:r>
      <w:proofErr w:type="gramEnd"/>
      <w:r w:rsidR="007F7590" w:rsidRPr="005B5460">
        <w:rPr>
          <w:rFonts w:ascii="Times New Roman" w:hAnsi="Times New Roman" w:cs="Times New Roman"/>
        </w:rPr>
        <w:t xml:space="preserve"> therefore </w:t>
      </w:r>
      <w:r w:rsidR="008C4F63" w:rsidRPr="005B5460">
        <w:rPr>
          <w:rFonts w:ascii="Times New Roman" w:hAnsi="Times New Roman" w:cs="Times New Roman"/>
        </w:rPr>
        <w:t xml:space="preserve">there is a risk of ‘publication </w:t>
      </w:r>
      <w:proofErr w:type="spellStart"/>
      <w:r w:rsidR="008C4F63" w:rsidRPr="005B5460">
        <w:rPr>
          <w:rFonts w:ascii="Times New Roman" w:hAnsi="Times New Roman" w:cs="Times New Roman"/>
        </w:rPr>
        <w:t>bias’</w:t>
      </w:r>
      <w:proofErr w:type="spellEnd"/>
      <w:r w:rsidR="00C55E23" w:rsidRPr="005B5460">
        <w:rPr>
          <w:rFonts w:ascii="Times New Roman" w:hAnsi="Times New Roman" w:cs="Times New Roman"/>
        </w:rPr>
        <w:t xml:space="preserve"> </w:t>
      </w:r>
      <w:r w:rsidR="007F7590" w:rsidRPr="005B5460">
        <w:rPr>
          <w:rFonts w:ascii="Times New Roman" w:hAnsi="Times New Roman" w:cs="Times New Roman"/>
        </w:rPr>
        <w:t>as it</w:t>
      </w:r>
      <w:r w:rsidR="00C55E23" w:rsidRPr="005B5460">
        <w:rPr>
          <w:rFonts w:ascii="Times New Roman" w:hAnsi="Times New Roman" w:cs="Times New Roman"/>
        </w:rPr>
        <w:t xml:space="preserve"> may not representative of all the research carried out in this field. </w:t>
      </w:r>
    </w:p>
    <w:p w14:paraId="3A4E5F0D" w14:textId="6ED03A1F" w:rsidR="007E3529" w:rsidRPr="005B5460" w:rsidRDefault="007E3529" w:rsidP="007E3529">
      <w:pPr>
        <w:spacing w:line="480" w:lineRule="auto"/>
        <w:rPr>
          <w:rFonts w:ascii="Times New Roman" w:hAnsi="Times New Roman" w:cs="Times New Roman"/>
          <w:b/>
          <w:bCs/>
        </w:rPr>
      </w:pPr>
      <w:r w:rsidRPr="005B5460">
        <w:rPr>
          <w:rFonts w:ascii="Times New Roman" w:hAnsi="Times New Roman" w:cs="Times New Roman"/>
          <w:b/>
          <w:bCs/>
          <w:sz w:val="24"/>
          <w:szCs w:val="24"/>
        </w:rPr>
        <w:t>Conclusion</w:t>
      </w:r>
    </w:p>
    <w:p w14:paraId="6C727652" w14:textId="4905B63B" w:rsidR="00F371ED" w:rsidRDefault="007E3529" w:rsidP="00F371ED">
      <w:pPr>
        <w:spacing w:line="480" w:lineRule="auto"/>
        <w:rPr>
          <w:rFonts w:ascii="Times New Roman" w:hAnsi="Times New Roman" w:cs="Times New Roman"/>
        </w:rPr>
      </w:pPr>
      <w:r w:rsidRPr="005B5460">
        <w:rPr>
          <w:rFonts w:ascii="Times New Roman" w:hAnsi="Times New Roman" w:cs="Times New Roman"/>
        </w:rPr>
        <w:lastRenderedPageBreak/>
        <w:t xml:space="preserve">This </w:t>
      </w:r>
      <w:r w:rsidR="00DA603D" w:rsidRPr="005B5460">
        <w:rPr>
          <w:rFonts w:ascii="Times New Roman" w:hAnsi="Times New Roman" w:cs="Times New Roman"/>
        </w:rPr>
        <w:t xml:space="preserve">scoping </w:t>
      </w:r>
      <w:r w:rsidRPr="005B5460">
        <w:rPr>
          <w:rFonts w:ascii="Times New Roman" w:hAnsi="Times New Roman" w:cs="Times New Roman"/>
        </w:rPr>
        <w:t xml:space="preserve">review investigated the non-oncological outcomes of LSS in patients with sarcoma around the knee. The findings </w:t>
      </w:r>
      <w:r w:rsidR="00A95E09" w:rsidRPr="005B5460">
        <w:rPr>
          <w:rFonts w:ascii="Times New Roman" w:hAnsi="Times New Roman" w:cs="Times New Roman"/>
        </w:rPr>
        <w:t xml:space="preserve">were </w:t>
      </w:r>
      <w:proofErr w:type="gramStart"/>
      <w:r w:rsidR="00A95E09" w:rsidRPr="005B5460">
        <w:rPr>
          <w:rFonts w:ascii="Times New Roman" w:hAnsi="Times New Roman" w:cs="Times New Roman"/>
        </w:rPr>
        <w:t>summarise</w:t>
      </w:r>
      <w:proofErr w:type="gramEnd"/>
      <w:r w:rsidR="00A95E09" w:rsidRPr="005B5460">
        <w:rPr>
          <w:rFonts w:ascii="Times New Roman" w:hAnsi="Times New Roman" w:cs="Times New Roman"/>
        </w:rPr>
        <w:t xml:space="preserve"> in</w:t>
      </w:r>
      <w:r w:rsidR="00F57AE8" w:rsidRPr="005B5460">
        <w:rPr>
          <w:rFonts w:ascii="Times New Roman" w:hAnsi="Times New Roman" w:cs="Times New Roman"/>
        </w:rPr>
        <w:t>to three themes:</w:t>
      </w:r>
      <w:r w:rsidRPr="005B5460">
        <w:rPr>
          <w:rFonts w:ascii="Times New Roman" w:hAnsi="Times New Roman" w:cs="Times New Roman"/>
        </w:rPr>
        <w:t xml:space="preserve"> </w:t>
      </w:r>
      <w:r w:rsidR="00F57AE8" w:rsidRPr="005B5460">
        <w:rPr>
          <w:rFonts w:ascii="Times New Roman" w:hAnsi="Times New Roman" w:cs="Times New Roman"/>
        </w:rPr>
        <w:t xml:space="preserve">1) </w:t>
      </w:r>
      <w:r w:rsidRPr="005B5460">
        <w:rPr>
          <w:rFonts w:ascii="Times New Roman" w:hAnsi="Times New Roman" w:cs="Times New Roman"/>
        </w:rPr>
        <w:t xml:space="preserve">functional outcomes, </w:t>
      </w:r>
      <w:r w:rsidR="00F57AE8" w:rsidRPr="005B5460">
        <w:rPr>
          <w:rFonts w:ascii="Times New Roman" w:hAnsi="Times New Roman" w:cs="Times New Roman"/>
        </w:rPr>
        <w:t xml:space="preserve">2) </w:t>
      </w:r>
      <w:r w:rsidRPr="005B5460">
        <w:rPr>
          <w:rFonts w:ascii="Times New Roman" w:hAnsi="Times New Roman" w:cs="Times New Roman"/>
        </w:rPr>
        <w:t>QoL</w:t>
      </w:r>
      <w:r w:rsidR="00F57AE8" w:rsidRPr="005B5460">
        <w:rPr>
          <w:rFonts w:ascii="Times New Roman" w:hAnsi="Times New Roman" w:cs="Times New Roman"/>
        </w:rPr>
        <w:t xml:space="preserve">, and 3) </w:t>
      </w:r>
      <w:r w:rsidRPr="005B5460">
        <w:rPr>
          <w:rFonts w:ascii="Times New Roman" w:hAnsi="Times New Roman" w:cs="Times New Roman"/>
        </w:rPr>
        <w:t xml:space="preserve">gait </w:t>
      </w:r>
      <w:r w:rsidR="00F57AE8" w:rsidRPr="005B5460">
        <w:rPr>
          <w:rFonts w:ascii="Times New Roman" w:hAnsi="Times New Roman" w:cs="Times New Roman"/>
        </w:rPr>
        <w:t xml:space="preserve">and knee goniometry. </w:t>
      </w:r>
      <w:r w:rsidRPr="005B5460">
        <w:rPr>
          <w:rFonts w:ascii="Times New Roman" w:hAnsi="Times New Roman" w:cs="Times New Roman"/>
        </w:rPr>
        <w:t xml:space="preserve"> The functional outcomes demonstrated good-to-excellent levels for </w:t>
      </w:r>
      <w:r w:rsidR="00F57AE8" w:rsidRPr="005B5460">
        <w:rPr>
          <w:rFonts w:ascii="Times New Roman" w:hAnsi="Times New Roman" w:cs="Times New Roman"/>
        </w:rPr>
        <w:t xml:space="preserve">LSS </w:t>
      </w:r>
      <w:r w:rsidRPr="005B5460">
        <w:rPr>
          <w:rFonts w:ascii="Times New Roman" w:hAnsi="Times New Roman" w:cs="Times New Roman"/>
        </w:rPr>
        <w:t xml:space="preserve">patients and the type of </w:t>
      </w:r>
      <w:r w:rsidR="00F57AE8" w:rsidRPr="005B5460">
        <w:rPr>
          <w:rFonts w:ascii="Times New Roman" w:hAnsi="Times New Roman" w:cs="Times New Roman"/>
        </w:rPr>
        <w:t xml:space="preserve">surgical </w:t>
      </w:r>
      <w:r w:rsidRPr="005B5460">
        <w:rPr>
          <w:rFonts w:ascii="Times New Roman" w:hAnsi="Times New Roman" w:cs="Times New Roman"/>
        </w:rPr>
        <w:t xml:space="preserve">procedure may affect the level of functionality. </w:t>
      </w:r>
      <w:r w:rsidR="0025482A" w:rsidRPr="005B5460">
        <w:rPr>
          <w:rFonts w:ascii="Times New Roman" w:hAnsi="Times New Roman" w:cs="Times New Roman"/>
        </w:rPr>
        <w:t>QoL did not substantially differ between the LSS and ablative surgery groups</w:t>
      </w:r>
      <w:r w:rsidR="002E3352" w:rsidRPr="005B5460">
        <w:rPr>
          <w:rFonts w:ascii="Times New Roman" w:hAnsi="Times New Roman" w:cs="Times New Roman"/>
        </w:rPr>
        <w:t xml:space="preserve">. However, studies did report that </w:t>
      </w:r>
      <w:r w:rsidR="00324D13" w:rsidRPr="005B5460">
        <w:rPr>
          <w:rFonts w:ascii="Times New Roman" w:hAnsi="Times New Roman" w:cs="Times New Roman"/>
        </w:rPr>
        <w:t xml:space="preserve">the aspects of QoL that </w:t>
      </w:r>
      <w:r w:rsidR="0025482A" w:rsidRPr="005B5460">
        <w:rPr>
          <w:rFonts w:ascii="Times New Roman" w:hAnsi="Times New Roman" w:cs="Times New Roman"/>
        </w:rPr>
        <w:t xml:space="preserve">patients were mainly affected by </w:t>
      </w:r>
      <w:r w:rsidR="00324D13" w:rsidRPr="005B5460">
        <w:rPr>
          <w:rFonts w:ascii="Times New Roman" w:hAnsi="Times New Roman" w:cs="Times New Roman"/>
        </w:rPr>
        <w:t xml:space="preserve">were </w:t>
      </w:r>
      <w:r w:rsidR="00C1102C" w:rsidRPr="005B5460">
        <w:rPr>
          <w:rFonts w:ascii="Times New Roman" w:hAnsi="Times New Roman" w:cs="Times New Roman"/>
        </w:rPr>
        <w:t xml:space="preserve">pain, distress, </w:t>
      </w:r>
      <w:r w:rsidR="002E3352" w:rsidRPr="005B5460">
        <w:rPr>
          <w:rFonts w:ascii="Times New Roman" w:hAnsi="Times New Roman" w:cs="Times New Roman"/>
        </w:rPr>
        <w:t>reduced</w:t>
      </w:r>
      <w:r w:rsidR="0025482A" w:rsidRPr="005B5460">
        <w:rPr>
          <w:rFonts w:ascii="Times New Roman" w:hAnsi="Times New Roman" w:cs="Times New Roman"/>
        </w:rPr>
        <w:t xml:space="preserve"> functional level</w:t>
      </w:r>
      <w:r w:rsidR="002E3352" w:rsidRPr="005B5460">
        <w:rPr>
          <w:rFonts w:ascii="Times New Roman" w:hAnsi="Times New Roman" w:cs="Times New Roman"/>
        </w:rPr>
        <w:t>s</w:t>
      </w:r>
      <w:r w:rsidR="00C1102C" w:rsidRPr="005B5460">
        <w:rPr>
          <w:rFonts w:ascii="Times New Roman" w:hAnsi="Times New Roman" w:cs="Times New Roman"/>
        </w:rPr>
        <w:t xml:space="preserve"> (in ADLs particularly)</w:t>
      </w:r>
      <w:r w:rsidR="0025482A" w:rsidRPr="005B5460">
        <w:rPr>
          <w:rFonts w:ascii="Times New Roman" w:hAnsi="Times New Roman" w:cs="Times New Roman"/>
        </w:rPr>
        <w:t xml:space="preserve"> and body image issues. </w:t>
      </w:r>
      <w:r w:rsidRPr="005B5460">
        <w:rPr>
          <w:rFonts w:ascii="Times New Roman" w:hAnsi="Times New Roman" w:cs="Times New Roman"/>
        </w:rPr>
        <w:t xml:space="preserve">Gait patterns and walking ability were </w:t>
      </w:r>
      <w:r w:rsidR="002858BD" w:rsidRPr="005B5460">
        <w:rPr>
          <w:rFonts w:ascii="Times New Roman" w:hAnsi="Times New Roman" w:cs="Times New Roman"/>
        </w:rPr>
        <w:t xml:space="preserve">reported </w:t>
      </w:r>
      <w:r w:rsidR="00616667" w:rsidRPr="005B5460">
        <w:rPr>
          <w:rFonts w:ascii="Times New Roman" w:hAnsi="Times New Roman" w:cs="Times New Roman"/>
        </w:rPr>
        <w:t xml:space="preserve">to </w:t>
      </w:r>
      <w:r w:rsidRPr="005B5460">
        <w:rPr>
          <w:rFonts w:ascii="Times New Roman" w:hAnsi="Times New Roman" w:cs="Times New Roman"/>
        </w:rPr>
        <w:t xml:space="preserve">adapt by using a flexed knee and a walking aid in outdoor activities. Most patients were affected by ROM limitations in the form of extension lag or limited flexion. </w:t>
      </w:r>
      <w:r w:rsidR="00B34AF6" w:rsidRPr="005B5460">
        <w:rPr>
          <w:rFonts w:ascii="Times New Roman" w:hAnsi="Times New Roman" w:cs="Times New Roman"/>
        </w:rPr>
        <w:t xml:space="preserve">While understandable, more holistic outcomes must be considered if we are to fully </w:t>
      </w:r>
      <w:proofErr w:type="gramStart"/>
      <w:r w:rsidR="00B34AF6" w:rsidRPr="005B5460">
        <w:rPr>
          <w:rFonts w:ascii="Times New Roman" w:hAnsi="Times New Roman" w:cs="Times New Roman"/>
        </w:rPr>
        <w:t>understand  recovery</w:t>
      </w:r>
      <w:proofErr w:type="gramEnd"/>
      <w:r w:rsidR="00B34AF6" w:rsidRPr="005B5460">
        <w:rPr>
          <w:rFonts w:ascii="Times New Roman" w:hAnsi="Times New Roman" w:cs="Times New Roman"/>
        </w:rPr>
        <w:t xml:space="preserve"> following LSS from a  </w:t>
      </w:r>
      <w:proofErr w:type="spellStart"/>
      <w:r w:rsidR="00B34AF6" w:rsidRPr="005B5460">
        <w:rPr>
          <w:rFonts w:ascii="Times New Roman" w:hAnsi="Times New Roman" w:cs="Times New Roman"/>
        </w:rPr>
        <w:t>a</w:t>
      </w:r>
      <w:proofErr w:type="spellEnd"/>
      <w:r w:rsidR="00B34AF6" w:rsidRPr="005B5460">
        <w:rPr>
          <w:rFonts w:ascii="Times New Roman" w:hAnsi="Times New Roman" w:cs="Times New Roman"/>
        </w:rPr>
        <w:t xml:space="preserve"> biopsychosocial and patient-centred perspective. </w:t>
      </w:r>
      <w:r w:rsidRPr="005B5460">
        <w:rPr>
          <w:rFonts w:ascii="Times New Roman" w:hAnsi="Times New Roman" w:cs="Times New Roman"/>
        </w:rPr>
        <w:t>Th</w:t>
      </w:r>
      <w:r w:rsidR="007D0609" w:rsidRPr="005B5460">
        <w:rPr>
          <w:rFonts w:ascii="Times New Roman" w:hAnsi="Times New Roman" w:cs="Times New Roman"/>
        </w:rPr>
        <w:t>is</w:t>
      </w:r>
      <w:r w:rsidRPr="005B5460">
        <w:rPr>
          <w:rFonts w:ascii="Times New Roman" w:hAnsi="Times New Roman" w:cs="Times New Roman"/>
        </w:rPr>
        <w:t xml:space="preserve"> </w:t>
      </w:r>
      <w:r w:rsidR="00117C6B" w:rsidRPr="005B5460">
        <w:rPr>
          <w:rFonts w:ascii="Times New Roman" w:hAnsi="Times New Roman" w:cs="Times New Roman"/>
        </w:rPr>
        <w:t xml:space="preserve">scoping </w:t>
      </w:r>
      <w:r w:rsidRPr="005B5460">
        <w:rPr>
          <w:rFonts w:ascii="Times New Roman" w:hAnsi="Times New Roman" w:cs="Times New Roman"/>
        </w:rPr>
        <w:t xml:space="preserve">review </w:t>
      </w:r>
      <w:r w:rsidR="007D0609" w:rsidRPr="005B5460">
        <w:rPr>
          <w:rFonts w:ascii="Times New Roman" w:hAnsi="Times New Roman" w:cs="Times New Roman"/>
        </w:rPr>
        <w:t xml:space="preserve">highlighted </w:t>
      </w:r>
      <w:r w:rsidRPr="005B5460">
        <w:rPr>
          <w:rFonts w:ascii="Times New Roman" w:hAnsi="Times New Roman" w:cs="Times New Roman"/>
        </w:rPr>
        <w:t>incons</w:t>
      </w:r>
      <w:r w:rsidR="00786C9B" w:rsidRPr="005B5460">
        <w:rPr>
          <w:rFonts w:ascii="Times New Roman" w:hAnsi="Times New Roman" w:cs="Times New Roman"/>
        </w:rPr>
        <w:t>istencies and confounding</w:t>
      </w:r>
      <w:r w:rsidRPr="005B5460">
        <w:rPr>
          <w:rFonts w:ascii="Times New Roman" w:hAnsi="Times New Roman" w:cs="Times New Roman"/>
        </w:rPr>
        <w:t xml:space="preserve"> factors</w:t>
      </w:r>
      <w:r w:rsidR="00121129" w:rsidRPr="005B5460">
        <w:rPr>
          <w:rFonts w:ascii="Times New Roman" w:hAnsi="Times New Roman" w:cs="Times New Roman"/>
        </w:rPr>
        <w:t xml:space="preserve"> that emphasise</w:t>
      </w:r>
      <w:r w:rsidRPr="005B5460">
        <w:rPr>
          <w:rFonts w:ascii="Times New Roman" w:hAnsi="Times New Roman" w:cs="Times New Roman"/>
        </w:rPr>
        <w:t xml:space="preserve"> </w:t>
      </w:r>
      <w:r w:rsidR="005F1C3C" w:rsidRPr="005B5460">
        <w:rPr>
          <w:rFonts w:ascii="Times New Roman" w:hAnsi="Times New Roman" w:cs="Times New Roman"/>
        </w:rPr>
        <w:t>the importan</w:t>
      </w:r>
      <w:r w:rsidR="00DC6FD4" w:rsidRPr="005B5460">
        <w:rPr>
          <w:rFonts w:ascii="Times New Roman" w:hAnsi="Times New Roman" w:cs="Times New Roman"/>
        </w:rPr>
        <w:t>ce</w:t>
      </w:r>
      <w:r w:rsidR="005F1C3C" w:rsidRPr="005B5460">
        <w:rPr>
          <w:rFonts w:ascii="Times New Roman" w:hAnsi="Times New Roman" w:cs="Times New Roman"/>
        </w:rPr>
        <w:t xml:space="preserve"> of </w:t>
      </w:r>
      <w:r w:rsidR="00F371ED" w:rsidRPr="005B5460">
        <w:rPr>
          <w:rFonts w:ascii="Times New Roman" w:hAnsi="Times New Roman" w:cs="Times New Roman"/>
        </w:rPr>
        <w:t xml:space="preserve">evidence-based guidance to support and inform healthcare providers </w:t>
      </w:r>
      <w:r w:rsidR="005F1C3C" w:rsidRPr="005B5460">
        <w:rPr>
          <w:rFonts w:ascii="Times New Roman" w:hAnsi="Times New Roman" w:cs="Times New Roman"/>
        </w:rPr>
        <w:t>during</w:t>
      </w:r>
      <w:r w:rsidR="00F371ED" w:rsidRPr="005B5460">
        <w:rPr>
          <w:rFonts w:ascii="Times New Roman" w:hAnsi="Times New Roman" w:cs="Times New Roman"/>
        </w:rPr>
        <w:t xml:space="preserve"> clinical decision-making. </w:t>
      </w:r>
    </w:p>
    <w:p w14:paraId="7B2CD676" w14:textId="30CC0DDE" w:rsidR="00580AC8" w:rsidRDefault="00CA198C" w:rsidP="00F371ED">
      <w:pPr>
        <w:spacing w:line="480" w:lineRule="auto"/>
        <w:rPr>
          <w:rFonts w:ascii="Times New Roman" w:hAnsi="Times New Roman" w:cs="Times New Roman"/>
        </w:rPr>
      </w:pPr>
      <w:r>
        <w:rPr>
          <w:noProof/>
        </w:rPr>
        <w:lastRenderedPageBreak/>
        <w:drawing>
          <wp:inline distT="0" distB="0" distL="0" distR="0" wp14:anchorId="7CFCD2F9" wp14:editId="1747992D">
            <wp:extent cx="5242560" cy="4884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560" cy="4884420"/>
                    </a:xfrm>
                    <a:prstGeom prst="rect">
                      <a:avLst/>
                    </a:prstGeom>
                    <a:noFill/>
                    <a:ln>
                      <a:noFill/>
                    </a:ln>
                  </pic:spPr>
                </pic:pic>
              </a:graphicData>
            </a:graphic>
          </wp:inline>
        </w:drawing>
      </w:r>
    </w:p>
    <w:p w14:paraId="7EABAE7C" w14:textId="6DB6F002" w:rsidR="00580AC8" w:rsidRPr="005B5460" w:rsidRDefault="00580AC8" w:rsidP="00F371ED">
      <w:pPr>
        <w:spacing w:line="480" w:lineRule="auto"/>
        <w:rPr>
          <w:rFonts w:ascii="Times New Roman" w:hAnsi="Times New Roman" w:cs="Times New Roman"/>
        </w:rPr>
      </w:pPr>
    </w:p>
    <w:p w14:paraId="7E398062" w14:textId="77777777" w:rsidR="00AC61D6" w:rsidRPr="005B5460" w:rsidRDefault="00AC61D6">
      <w:pPr>
        <w:spacing w:after="0" w:line="240" w:lineRule="auto"/>
        <w:rPr>
          <w:rFonts w:ascii="Times New Roman" w:hAnsi="Times New Roman" w:cs="Times New Roman"/>
          <w:b/>
          <w:bCs/>
        </w:rPr>
      </w:pPr>
      <w:r w:rsidRPr="005B5460">
        <w:rPr>
          <w:rFonts w:ascii="Times New Roman" w:hAnsi="Times New Roman" w:cs="Times New Roman"/>
          <w:b/>
          <w:bCs/>
        </w:rPr>
        <w:br w:type="page"/>
      </w:r>
    </w:p>
    <w:p w14:paraId="3BAC8C9A" w14:textId="483A1561" w:rsidR="007E3529" w:rsidRPr="005B5460" w:rsidRDefault="007E3529" w:rsidP="004B664B">
      <w:pPr>
        <w:spacing w:after="0" w:line="240" w:lineRule="auto"/>
        <w:rPr>
          <w:rFonts w:ascii="Times New Roman" w:hAnsi="Times New Roman" w:cs="Times New Roman"/>
          <w:b/>
          <w:bCs/>
        </w:rPr>
      </w:pPr>
      <w:r w:rsidRPr="005B5460">
        <w:rPr>
          <w:rFonts w:ascii="Times New Roman" w:hAnsi="Times New Roman" w:cs="Times New Roman"/>
          <w:b/>
          <w:bCs/>
        </w:rPr>
        <w:lastRenderedPageBreak/>
        <w:t>Acknowledgements</w:t>
      </w:r>
    </w:p>
    <w:p w14:paraId="1C1C6324" w14:textId="77777777" w:rsidR="00AC61D6" w:rsidRPr="005B5460" w:rsidRDefault="00AC61D6" w:rsidP="007E3529">
      <w:pPr>
        <w:spacing w:line="480" w:lineRule="auto"/>
        <w:jc w:val="both"/>
        <w:rPr>
          <w:rFonts w:ascii="Times New Roman" w:hAnsi="Times New Roman" w:cs="Times New Roman"/>
        </w:rPr>
      </w:pPr>
    </w:p>
    <w:p w14:paraId="0BE5868F" w14:textId="7EFF1D85" w:rsidR="007D0609" w:rsidRPr="005B5460" w:rsidRDefault="007D0609" w:rsidP="007E3529">
      <w:pPr>
        <w:spacing w:line="480" w:lineRule="auto"/>
        <w:jc w:val="both"/>
        <w:rPr>
          <w:rFonts w:ascii="Times New Roman" w:hAnsi="Times New Roman" w:cs="Times New Roman"/>
        </w:rPr>
      </w:pPr>
      <w:r w:rsidRPr="005B5460">
        <w:rPr>
          <w:rFonts w:ascii="Times New Roman" w:hAnsi="Times New Roman" w:cs="Times New Roman"/>
        </w:rPr>
        <w:t xml:space="preserve">The Authors would like to thank </w:t>
      </w:r>
      <w:r w:rsidR="00D01459" w:rsidRPr="005B5460">
        <w:rPr>
          <w:rFonts w:ascii="Times New Roman" w:hAnsi="Times New Roman" w:cs="Times New Roman"/>
        </w:rPr>
        <w:t xml:space="preserve">King Fahad Specialist Hospital, Dammam City, Saudi Arabia for </w:t>
      </w:r>
      <w:r w:rsidR="00EE0B64" w:rsidRPr="005B5460">
        <w:rPr>
          <w:rFonts w:ascii="Times New Roman" w:hAnsi="Times New Roman" w:cs="Times New Roman"/>
        </w:rPr>
        <w:t>supporting N</w:t>
      </w:r>
      <w:r w:rsidR="008374C3" w:rsidRPr="005B5460">
        <w:rPr>
          <w:rFonts w:ascii="Times New Roman" w:hAnsi="Times New Roman" w:cs="Times New Roman"/>
        </w:rPr>
        <w:t>M</w:t>
      </w:r>
      <w:r w:rsidR="00EE0B64" w:rsidRPr="005B5460">
        <w:rPr>
          <w:rFonts w:ascii="Times New Roman" w:hAnsi="Times New Roman" w:cs="Times New Roman"/>
        </w:rPr>
        <w:t>AD’</w:t>
      </w:r>
      <w:r w:rsidR="0062710C" w:rsidRPr="005B5460">
        <w:rPr>
          <w:rFonts w:ascii="Times New Roman" w:hAnsi="Times New Roman" w:cs="Times New Roman"/>
        </w:rPr>
        <w:t>s</w:t>
      </w:r>
      <w:r w:rsidR="00EE0B64" w:rsidRPr="005B5460">
        <w:rPr>
          <w:rFonts w:ascii="Times New Roman" w:hAnsi="Times New Roman" w:cs="Times New Roman"/>
        </w:rPr>
        <w:t xml:space="preserve"> studentship</w:t>
      </w:r>
      <w:r w:rsidR="0062710C" w:rsidRPr="005B5460">
        <w:rPr>
          <w:rFonts w:ascii="Times New Roman" w:hAnsi="Times New Roman" w:cs="Times New Roman"/>
        </w:rPr>
        <w:t xml:space="preserve"> to attend the University of Southampton</w:t>
      </w:r>
      <w:r w:rsidR="00DE49A9" w:rsidRPr="005B5460">
        <w:rPr>
          <w:rFonts w:ascii="Times New Roman" w:hAnsi="Times New Roman" w:cs="Times New Roman"/>
        </w:rPr>
        <w:t>, UK.</w:t>
      </w:r>
      <w:r w:rsidR="00EE0B64" w:rsidRPr="005B5460">
        <w:rPr>
          <w:rFonts w:ascii="Times New Roman" w:hAnsi="Times New Roman" w:cs="Times New Roman"/>
        </w:rPr>
        <w:t xml:space="preserve"> </w:t>
      </w:r>
      <w:r w:rsidR="00D01459" w:rsidRPr="005B5460">
        <w:rPr>
          <w:rFonts w:ascii="Times New Roman" w:hAnsi="Times New Roman" w:cs="Times New Roman"/>
        </w:rPr>
        <w:t xml:space="preserve"> </w:t>
      </w:r>
    </w:p>
    <w:p w14:paraId="5A62E6AD" w14:textId="552AB0B1" w:rsidR="007E3529" w:rsidRPr="005B5460" w:rsidRDefault="007E3529" w:rsidP="007E3529">
      <w:pPr>
        <w:spacing w:line="480" w:lineRule="auto"/>
        <w:jc w:val="both"/>
        <w:rPr>
          <w:rFonts w:ascii="Times New Roman" w:hAnsi="Times New Roman" w:cs="Times New Roman"/>
        </w:rPr>
      </w:pPr>
      <w:r w:rsidRPr="005B5460">
        <w:rPr>
          <w:rFonts w:ascii="Times New Roman" w:hAnsi="Times New Roman" w:cs="Times New Roman"/>
        </w:rPr>
        <w:t xml:space="preserve">The Authors would </w:t>
      </w:r>
      <w:r w:rsidR="0062710C" w:rsidRPr="005B5460">
        <w:rPr>
          <w:rFonts w:ascii="Times New Roman" w:hAnsi="Times New Roman" w:cs="Times New Roman"/>
        </w:rPr>
        <w:t xml:space="preserve">also </w:t>
      </w:r>
      <w:r w:rsidRPr="005B5460">
        <w:rPr>
          <w:rFonts w:ascii="Times New Roman" w:hAnsi="Times New Roman" w:cs="Times New Roman"/>
        </w:rPr>
        <w:t xml:space="preserve">like to acknowledge the </w:t>
      </w:r>
      <w:r w:rsidR="00FF3CC0" w:rsidRPr="005B5460">
        <w:rPr>
          <w:rFonts w:ascii="Times New Roman" w:hAnsi="Times New Roman" w:cs="Times New Roman"/>
        </w:rPr>
        <w:t xml:space="preserve">international research consortium, </w:t>
      </w:r>
      <w:r w:rsidRPr="005B5460">
        <w:rPr>
          <w:rFonts w:ascii="Times New Roman" w:hAnsi="Times New Roman" w:cs="Times New Roman"/>
        </w:rPr>
        <w:t>Exceed Research Network (ERN)</w:t>
      </w:r>
      <w:r w:rsidR="00FF3CC0" w:rsidRPr="005B5460">
        <w:rPr>
          <w:rFonts w:ascii="Times New Roman" w:hAnsi="Times New Roman" w:cs="Times New Roman"/>
        </w:rPr>
        <w:t xml:space="preserve">, coordinated by the </w:t>
      </w:r>
      <w:r w:rsidR="00C52499" w:rsidRPr="005B5460">
        <w:rPr>
          <w:rFonts w:ascii="Times New Roman" w:hAnsi="Times New Roman" w:cs="Times New Roman"/>
        </w:rPr>
        <w:t xml:space="preserve">International </w:t>
      </w:r>
      <w:r w:rsidR="00FF3CC0" w:rsidRPr="005B5460">
        <w:rPr>
          <w:rFonts w:ascii="Times New Roman" w:hAnsi="Times New Roman" w:cs="Times New Roman"/>
        </w:rPr>
        <w:t>N</w:t>
      </w:r>
      <w:r w:rsidR="00C52499" w:rsidRPr="005B5460">
        <w:rPr>
          <w:rFonts w:ascii="Times New Roman" w:hAnsi="Times New Roman" w:cs="Times New Roman"/>
        </w:rPr>
        <w:t>on-</w:t>
      </w:r>
      <w:r w:rsidR="00FF3CC0" w:rsidRPr="005B5460">
        <w:rPr>
          <w:rFonts w:ascii="Times New Roman" w:hAnsi="Times New Roman" w:cs="Times New Roman"/>
        </w:rPr>
        <w:t>G</w:t>
      </w:r>
      <w:r w:rsidR="00C52499" w:rsidRPr="005B5460">
        <w:rPr>
          <w:rFonts w:ascii="Times New Roman" w:hAnsi="Times New Roman" w:cs="Times New Roman"/>
        </w:rPr>
        <w:t xml:space="preserve">overnment </w:t>
      </w:r>
      <w:r w:rsidR="00FF3CC0" w:rsidRPr="005B5460">
        <w:rPr>
          <w:rFonts w:ascii="Times New Roman" w:hAnsi="Times New Roman" w:cs="Times New Roman"/>
        </w:rPr>
        <w:t>O</w:t>
      </w:r>
      <w:r w:rsidR="00C52499" w:rsidRPr="005B5460">
        <w:rPr>
          <w:rFonts w:ascii="Times New Roman" w:hAnsi="Times New Roman" w:cs="Times New Roman"/>
        </w:rPr>
        <w:t>rganisation,</w:t>
      </w:r>
      <w:r w:rsidR="00FF3CC0" w:rsidRPr="005B5460">
        <w:rPr>
          <w:rFonts w:ascii="Times New Roman" w:hAnsi="Times New Roman" w:cs="Times New Roman"/>
        </w:rPr>
        <w:t xml:space="preserve"> Exceed Worldwide, based in Lisburn, Northern Ireland,</w:t>
      </w:r>
      <w:r w:rsidRPr="005B5460">
        <w:rPr>
          <w:rFonts w:ascii="Times New Roman" w:hAnsi="Times New Roman" w:cs="Times New Roman"/>
        </w:rPr>
        <w:t xml:space="preserve"> for providing </w:t>
      </w:r>
      <w:r w:rsidR="00B0770E" w:rsidRPr="005B5460">
        <w:rPr>
          <w:rFonts w:ascii="Times New Roman" w:hAnsi="Times New Roman" w:cs="Times New Roman"/>
        </w:rPr>
        <w:t xml:space="preserve">substantial </w:t>
      </w:r>
      <w:r w:rsidR="00FF3CC0" w:rsidRPr="005B5460">
        <w:rPr>
          <w:rFonts w:ascii="Times New Roman" w:hAnsi="Times New Roman" w:cs="Times New Roman"/>
        </w:rPr>
        <w:t xml:space="preserve">support to MDH, CO and CM. </w:t>
      </w:r>
    </w:p>
    <w:p w14:paraId="5BB5E67F" w14:textId="77777777" w:rsidR="00923B99" w:rsidRPr="005B5460" w:rsidRDefault="00923B99" w:rsidP="00923B99">
      <w:pPr>
        <w:spacing w:line="480" w:lineRule="auto"/>
        <w:rPr>
          <w:rFonts w:ascii="Times New Roman" w:hAnsi="Times New Roman" w:cs="Times New Roman"/>
        </w:rPr>
      </w:pPr>
    </w:p>
    <w:p w14:paraId="634890FA" w14:textId="3F35492F" w:rsidR="00923B99" w:rsidRPr="005B5460" w:rsidRDefault="00923B99" w:rsidP="00923B99">
      <w:pPr>
        <w:spacing w:line="480" w:lineRule="auto"/>
        <w:rPr>
          <w:rFonts w:ascii="Times New Roman" w:hAnsi="Times New Roman" w:cs="Times New Roman"/>
        </w:rPr>
      </w:pPr>
      <w:r w:rsidRPr="005B5460">
        <w:rPr>
          <w:rFonts w:ascii="Times New Roman" w:hAnsi="Times New Roman" w:cs="Times New Roman"/>
        </w:rPr>
        <w:t xml:space="preserve">Conflicts of Interest: </w:t>
      </w:r>
      <w:r w:rsidR="00365705" w:rsidRPr="005B5460">
        <w:rPr>
          <w:rFonts w:ascii="Times New Roman" w:hAnsi="Times New Roman" w:cs="Times New Roman"/>
        </w:rPr>
        <w:t>The authors report no conflicts of interest.</w:t>
      </w:r>
      <w:r w:rsidRPr="005B5460">
        <w:rPr>
          <w:rFonts w:ascii="Times New Roman" w:hAnsi="Times New Roman" w:cs="Times New Roman"/>
        </w:rPr>
        <w:t xml:space="preserve"> </w:t>
      </w:r>
    </w:p>
    <w:p w14:paraId="246F4EEC" w14:textId="77777777" w:rsidR="00923B99" w:rsidRPr="005B5460" w:rsidRDefault="00923B99" w:rsidP="00923B99">
      <w:pPr>
        <w:rPr>
          <w:rFonts w:ascii="Times New Roman" w:hAnsi="Times New Roman" w:cs="Times New Roman"/>
        </w:rPr>
      </w:pPr>
    </w:p>
    <w:p w14:paraId="3FB98810" w14:textId="17318765" w:rsidR="00072473" w:rsidRPr="005B5460" w:rsidRDefault="00923B99" w:rsidP="00DE49A9">
      <w:pPr>
        <w:spacing w:line="480" w:lineRule="auto"/>
        <w:rPr>
          <w:rFonts w:ascii="Times New Roman" w:hAnsi="Times New Roman" w:cs="Times New Roman"/>
        </w:rPr>
      </w:pPr>
      <w:r w:rsidRPr="005B5460">
        <w:rPr>
          <w:rFonts w:ascii="Times New Roman" w:hAnsi="Times New Roman" w:cs="Times New Roman"/>
        </w:rPr>
        <w:t>Author contributions: NAMD conceptualised the topic and conducted the literature search and analysis of the literature.</w:t>
      </w:r>
    </w:p>
    <w:p w14:paraId="4F1210CE" w14:textId="0B960C55" w:rsidR="00923B99" w:rsidRPr="005B5460" w:rsidRDefault="00923B99" w:rsidP="00DE49A9">
      <w:pPr>
        <w:spacing w:line="480" w:lineRule="auto"/>
        <w:rPr>
          <w:rFonts w:ascii="Times New Roman" w:hAnsi="Times New Roman" w:cs="Times New Roman"/>
        </w:rPr>
      </w:pPr>
      <w:r w:rsidRPr="005B5460">
        <w:rPr>
          <w:rFonts w:ascii="Times New Roman" w:hAnsi="Times New Roman" w:cs="Times New Roman"/>
        </w:rPr>
        <w:t xml:space="preserve">CO provided content from a specialist physiotherapy perspective, provided a critical review and helped refine the </w:t>
      </w:r>
      <w:r w:rsidR="00DE49A9" w:rsidRPr="005B5460">
        <w:rPr>
          <w:rFonts w:ascii="Times New Roman" w:hAnsi="Times New Roman" w:cs="Times New Roman"/>
        </w:rPr>
        <w:t>manuscript for publication.</w:t>
      </w:r>
    </w:p>
    <w:p w14:paraId="1663DAD2" w14:textId="1DA97C3F" w:rsidR="00DE49A9" w:rsidRPr="005B5460" w:rsidRDefault="00DE49A9" w:rsidP="00DE49A9">
      <w:pPr>
        <w:spacing w:line="480" w:lineRule="auto"/>
        <w:rPr>
          <w:rFonts w:ascii="Times New Roman" w:hAnsi="Times New Roman" w:cs="Times New Roman"/>
        </w:rPr>
      </w:pPr>
      <w:r w:rsidRPr="005B5460">
        <w:rPr>
          <w:rFonts w:ascii="Times New Roman" w:hAnsi="Times New Roman" w:cs="Times New Roman"/>
        </w:rPr>
        <w:t>MDH provided perspective from a health psychology viewpoint and provided critical review prior to submission of the manuscript.</w:t>
      </w:r>
    </w:p>
    <w:p w14:paraId="063A748E" w14:textId="0A1048CB" w:rsidR="00DE49A9" w:rsidRPr="005B5460" w:rsidRDefault="00DE49A9" w:rsidP="00DE49A9">
      <w:pPr>
        <w:spacing w:line="480" w:lineRule="auto"/>
        <w:rPr>
          <w:rFonts w:ascii="Times New Roman" w:hAnsi="Times New Roman" w:cs="Times New Roman"/>
        </w:rPr>
      </w:pPr>
      <w:r w:rsidRPr="005B5460">
        <w:rPr>
          <w:rFonts w:ascii="Times New Roman" w:hAnsi="Times New Roman" w:cs="Times New Roman"/>
        </w:rPr>
        <w:t>CM provided guidance during the review process, refined and finalised the manuscript for publication.</w:t>
      </w:r>
    </w:p>
    <w:p w14:paraId="2DC5474C" w14:textId="044D0741" w:rsidR="00DE49A9" w:rsidRPr="005B5460" w:rsidRDefault="00DE49A9" w:rsidP="00DE49A9">
      <w:pPr>
        <w:spacing w:line="480" w:lineRule="auto"/>
        <w:rPr>
          <w:rFonts w:ascii="Times New Roman" w:hAnsi="Times New Roman" w:cs="Times New Roman"/>
        </w:rPr>
      </w:pPr>
    </w:p>
    <w:p w14:paraId="1A1BF785" w14:textId="3A056AA6" w:rsidR="00DE49A9" w:rsidRPr="005B5460" w:rsidRDefault="00DE49A9" w:rsidP="00DE49A9">
      <w:pPr>
        <w:spacing w:line="480" w:lineRule="auto"/>
        <w:rPr>
          <w:rFonts w:ascii="Times New Roman" w:hAnsi="Times New Roman" w:cs="Times New Roman"/>
        </w:rPr>
      </w:pPr>
      <w:r w:rsidRPr="005B5460">
        <w:rPr>
          <w:rFonts w:ascii="Times New Roman" w:hAnsi="Times New Roman" w:cs="Times New Roman"/>
        </w:rPr>
        <w:t xml:space="preserve">Funding support: Funding was provided by King Fahad Specialist Hospital, Dammam City, Saudi Arabia in support of NMAD’s studentship to attend the University of Southampton, UK. </w:t>
      </w:r>
    </w:p>
    <w:p w14:paraId="4650D121" w14:textId="77777777" w:rsidR="00DE49A9" w:rsidRPr="005B5460" w:rsidRDefault="00DE49A9" w:rsidP="00923B99">
      <w:pPr>
        <w:rPr>
          <w:rFonts w:ascii="Times New Roman" w:hAnsi="Times New Roman" w:cs="Times New Roman"/>
        </w:rPr>
      </w:pPr>
    </w:p>
    <w:p w14:paraId="442932AD" w14:textId="77777777" w:rsidR="00700DBA" w:rsidRPr="005B5460" w:rsidRDefault="00700DBA">
      <w:pPr>
        <w:spacing w:after="0" w:line="240" w:lineRule="auto"/>
        <w:rPr>
          <w:rFonts w:ascii="Times New Roman" w:hAnsi="Times New Roman" w:cs="Times New Roman"/>
          <w:b/>
          <w:bCs/>
          <w:sz w:val="24"/>
          <w:szCs w:val="24"/>
        </w:rPr>
      </w:pPr>
      <w:r w:rsidRPr="005B5460">
        <w:rPr>
          <w:rFonts w:ascii="Times New Roman" w:hAnsi="Times New Roman" w:cs="Times New Roman"/>
          <w:b/>
          <w:bCs/>
          <w:sz w:val="24"/>
          <w:szCs w:val="24"/>
        </w:rPr>
        <w:br w:type="page"/>
      </w:r>
    </w:p>
    <w:p w14:paraId="5FB5CEF8" w14:textId="4DAEC0D9" w:rsidR="0081009E" w:rsidRPr="005B5460" w:rsidRDefault="0081009E" w:rsidP="0081009E">
      <w:pPr>
        <w:spacing w:line="480" w:lineRule="auto"/>
        <w:rPr>
          <w:rFonts w:ascii="Times New Roman" w:hAnsi="Times New Roman" w:cs="Times New Roman"/>
          <w:b/>
          <w:bCs/>
        </w:rPr>
      </w:pPr>
      <w:bookmarkStart w:id="2" w:name="_Hlk49859958"/>
      <w:r w:rsidRPr="005B5460">
        <w:rPr>
          <w:rFonts w:ascii="Times New Roman" w:hAnsi="Times New Roman" w:cs="Times New Roman"/>
          <w:b/>
          <w:bCs/>
          <w:sz w:val="24"/>
          <w:szCs w:val="24"/>
        </w:rPr>
        <w:lastRenderedPageBreak/>
        <w:t>References</w:t>
      </w:r>
    </w:p>
    <w:bookmarkEnd w:id="2"/>
    <w:p w14:paraId="12CADDEE" w14:textId="1AC21621" w:rsidR="009D0EA8" w:rsidRPr="005B5460" w:rsidRDefault="004E4DE5"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rPr>
        <w:fldChar w:fldCharType="begin" w:fldLock="1"/>
      </w:r>
      <w:r w:rsidRPr="005B5460">
        <w:rPr>
          <w:rFonts w:ascii="Times New Roman" w:hAnsi="Times New Roman" w:cs="Times New Roman"/>
        </w:rPr>
        <w:instrText xml:space="preserve">ADDIN Mendeley Bibliography CSL_BIBLIOGRAPHY </w:instrText>
      </w:r>
      <w:r w:rsidRPr="005B5460">
        <w:rPr>
          <w:rFonts w:ascii="Times New Roman" w:hAnsi="Times New Roman" w:cs="Times New Roman"/>
        </w:rPr>
        <w:fldChar w:fldCharType="separate"/>
      </w:r>
      <w:r w:rsidR="009D0EA8" w:rsidRPr="005B5460">
        <w:rPr>
          <w:rFonts w:ascii="Times New Roman" w:hAnsi="Times New Roman" w:cs="Times New Roman"/>
          <w:noProof/>
        </w:rPr>
        <w:t xml:space="preserve">1. </w:t>
      </w:r>
      <w:r w:rsidR="009D0EA8" w:rsidRPr="005B5460">
        <w:rPr>
          <w:rFonts w:ascii="Times New Roman" w:hAnsi="Times New Roman" w:cs="Times New Roman"/>
          <w:noProof/>
        </w:rPr>
        <w:tab/>
        <w:t xml:space="preserve">Wittig JC, Bickels J, Priebat D, Jelinek J, Kellar-Graney K, Shmookler B, et al. Osteosarcoma: a multidisciplinary approach to diagnosis and treatment. Am Fam Physician. 2002 Mar;65(6):1123–32. </w:t>
      </w:r>
    </w:p>
    <w:p w14:paraId="0BB0A3F1"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2. </w:t>
      </w:r>
      <w:r w:rsidRPr="005B5460">
        <w:rPr>
          <w:rFonts w:ascii="Times New Roman" w:hAnsi="Times New Roman" w:cs="Times New Roman"/>
          <w:noProof/>
        </w:rPr>
        <w:tab/>
        <w:t xml:space="preserve">Taran SJ, Taran R, Malipatil NB. Pediatric Osteosarcoma: An Updated Review. Indian J Med Paediatr Oncol  Off J Indian  Soc Med Paediatr Oncol. 2017;38(1):33–43. </w:t>
      </w:r>
    </w:p>
    <w:p w14:paraId="128E1C09"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3. </w:t>
      </w:r>
      <w:r w:rsidRPr="005B5460">
        <w:rPr>
          <w:rFonts w:ascii="Times New Roman" w:hAnsi="Times New Roman" w:cs="Times New Roman"/>
          <w:noProof/>
        </w:rPr>
        <w:tab/>
        <w:t xml:space="preserve">Mirabello L, Troisi RJ, Savage SA. Osteosarcoma incidence and survival rates from 1973 to 2004: data from the  Surveillance, Epidemiology, and End Results Program. Cancer. 2009 Apr;115(7):1531–43. </w:t>
      </w:r>
    </w:p>
    <w:p w14:paraId="70D643AF"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4. </w:t>
      </w:r>
      <w:r w:rsidRPr="005B5460">
        <w:rPr>
          <w:rFonts w:ascii="Times New Roman" w:hAnsi="Times New Roman" w:cs="Times New Roman"/>
          <w:noProof/>
        </w:rPr>
        <w:tab/>
        <w:t xml:space="preserve">Valery PC, Laversanne M, Bray F. Bone cancer incidence by morphological subtype: a global assessment. Cancer Causes Control. 2015 Aug;26(8):1127–39. </w:t>
      </w:r>
    </w:p>
    <w:p w14:paraId="66EF762D"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5. </w:t>
      </w:r>
      <w:r w:rsidRPr="005B5460">
        <w:rPr>
          <w:rFonts w:ascii="Times New Roman" w:hAnsi="Times New Roman" w:cs="Times New Roman"/>
          <w:noProof/>
        </w:rPr>
        <w:tab/>
        <w:t xml:space="preserve">Jaffe N, Bruland O, Bielack S. Pediatric and Adolescent Osteosarcoma. 2010. </w:t>
      </w:r>
    </w:p>
    <w:p w14:paraId="0B9581E1"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6. </w:t>
      </w:r>
      <w:r w:rsidRPr="005B5460">
        <w:rPr>
          <w:rFonts w:ascii="Times New Roman" w:hAnsi="Times New Roman" w:cs="Times New Roman"/>
          <w:noProof/>
        </w:rPr>
        <w:tab/>
        <w:t>SHIU MANH, HAJDU SI, FORTNER JG. Surgical Treatment of 297 Soft Tissue Sarcomas of the Lower Extremity. Ann Surg [Internet]. 1975;182(5). Available from: https://journals.lww.com/annalsofsurgery/Fulltext/1975/11000/Surgical_Treatment_of_297_Soft_Tissue_Sarcomas_of.11.aspx</w:t>
      </w:r>
    </w:p>
    <w:p w14:paraId="01A44CF0"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7. </w:t>
      </w:r>
      <w:r w:rsidRPr="005B5460">
        <w:rPr>
          <w:rFonts w:ascii="Times New Roman" w:hAnsi="Times New Roman" w:cs="Times New Roman"/>
          <w:noProof/>
        </w:rPr>
        <w:tab/>
        <w:t xml:space="preserve">Clarke M, Thomas JM. Amputation for soft-tissue sarcoma. Lancet Oncol. 2003;4(6):335–42. </w:t>
      </w:r>
    </w:p>
    <w:p w14:paraId="17284F82"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8. </w:t>
      </w:r>
      <w:r w:rsidRPr="005B5460">
        <w:rPr>
          <w:rFonts w:ascii="Times New Roman" w:hAnsi="Times New Roman" w:cs="Times New Roman"/>
          <w:noProof/>
        </w:rPr>
        <w:tab/>
        <w:t>Carrle D, Bielack SS. Current strategies of chemotherapy in osteosarcoma. Int Orthop [Internet]. 2006/08/03. 2006 Dec;30(6):445–51. Available from: https://pubmed.ncbi.nlm.nih.gov/16896870</w:t>
      </w:r>
    </w:p>
    <w:p w14:paraId="007EEA2D"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9. </w:t>
      </w:r>
      <w:r w:rsidRPr="005B5460">
        <w:rPr>
          <w:rFonts w:ascii="Times New Roman" w:hAnsi="Times New Roman" w:cs="Times New Roman"/>
          <w:noProof/>
        </w:rPr>
        <w:tab/>
        <w:t xml:space="preserve">Delaney TF, Kepka L, Goldberg SI, Hornicek FJ, Gebhardt MC, Yoon SS, et al. Radiation therapy for control of soft-tissue sarcomas resected with positive  margins. Int J Radiat Oncol Biol Phys. 2007 Apr;67(5):1460–9. </w:t>
      </w:r>
    </w:p>
    <w:p w14:paraId="1FEA64F4"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10. </w:t>
      </w:r>
      <w:r w:rsidRPr="005B5460">
        <w:rPr>
          <w:rFonts w:ascii="Times New Roman" w:hAnsi="Times New Roman" w:cs="Times New Roman"/>
          <w:noProof/>
        </w:rPr>
        <w:tab/>
        <w:t xml:space="preserve">Steinau H-U, Daigeler A, Langer S, Steinsträsser L, Hauser J, Goertz O, et al. Limb salvage in malignant tumors. Semin Plast Surg. 2010 Feb;24(1):18–33. </w:t>
      </w:r>
    </w:p>
    <w:p w14:paraId="7E2FA0FE"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11. </w:t>
      </w:r>
      <w:r w:rsidRPr="005B5460">
        <w:rPr>
          <w:rFonts w:ascii="Times New Roman" w:hAnsi="Times New Roman" w:cs="Times New Roman"/>
          <w:noProof/>
        </w:rPr>
        <w:tab/>
        <w:t>Bielack SS, Kempf-Bielack B, Delling G, Exner GU, Flege S, Helmke K, et al. Prognostic Factors in High-Grade Osteosarcoma of the Extremities or Trunk: An Analysis of 1,702 Patients Treated on Neoadjuvant Cooperative Osteosarcoma Study Group Protocols. J Clin Oncol [Internet]. 2002 Feb 1;20(3):776–90. Available from: https://doi.org/10.1200/JCO.2002.20.3.776</w:t>
      </w:r>
    </w:p>
    <w:p w14:paraId="044034C0"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12. </w:t>
      </w:r>
      <w:r w:rsidRPr="005B5460">
        <w:rPr>
          <w:rFonts w:ascii="Times New Roman" w:hAnsi="Times New Roman" w:cs="Times New Roman"/>
          <w:noProof/>
        </w:rPr>
        <w:tab/>
        <w:t xml:space="preserve">Luetke A, Meyers PA, Lewis I, Juergens H. Osteosarcoma treatment - where do we stand? A state of the art review. Cancer Treat Rev. 2014 May;40(4):523–32. </w:t>
      </w:r>
    </w:p>
    <w:p w14:paraId="2E34629F"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13. </w:t>
      </w:r>
      <w:r w:rsidRPr="005B5460">
        <w:rPr>
          <w:rFonts w:ascii="Times New Roman" w:hAnsi="Times New Roman" w:cs="Times New Roman"/>
          <w:noProof/>
        </w:rPr>
        <w:tab/>
        <w:t xml:space="preserve">Zhang Y, He Z, Li Y, Yang Y, Shi J, Liu X, et al. Selection of Surgical Methods in the </w:t>
      </w:r>
      <w:r w:rsidRPr="005B5460">
        <w:rPr>
          <w:rFonts w:ascii="Times New Roman" w:hAnsi="Times New Roman" w:cs="Times New Roman"/>
          <w:noProof/>
        </w:rPr>
        <w:lastRenderedPageBreak/>
        <w:t>Treatment of Upper Tibia Osteosarcoma and Prognostic Analysis. Oncol Res Treat [Internet]. 2017;40(9):528–32. Available from: https://www.karger.com/DOI/10.1159/000477251</w:t>
      </w:r>
    </w:p>
    <w:p w14:paraId="2AB8426F"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14. </w:t>
      </w:r>
      <w:r w:rsidRPr="005B5460">
        <w:rPr>
          <w:rFonts w:ascii="Times New Roman" w:hAnsi="Times New Roman" w:cs="Times New Roman"/>
          <w:noProof/>
        </w:rPr>
        <w:tab/>
        <w:t xml:space="preserve">Brigman BE, Hornicek FJ, Gebhardt MC, Mankin HJ. Allografts about the Knee in Young Patients with High-Grade Sarcoma. Clin Orthop Relat Res. 2004 Apr;(421):232–9. </w:t>
      </w:r>
    </w:p>
    <w:p w14:paraId="79D9598A"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15. </w:t>
      </w:r>
      <w:r w:rsidRPr="005B5460">
        <w:rPr>
          <w:rFonts w:ascii="Times New Roman" w:hAnsi="Times New Roman" w:cs="Times New Roman"/>
          <w:noProof/>
        </w:rPr>
        <w:tab/>
        <w:t xml:space="preserve">Ek EW, Rozen WM, Ek ET, Rudiger HA. Surgical options for reconstruction of the extensor mechanism of the knee after  limb-sparing sarcoma surgery: an evidence-based review. Arch Orthop Trauma Surg. 2011 Apr;131(4):487–95. </w:t>
      </w:r>
    </w:p>
    <w:p w14:paraId="224CEC56"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16. </w:t>
      </w:r>
      <w:r w:rsidRPr="005B5460">
        <w:rPr>
          <w:rFonts w:ascii="Times New Roman" w:hAnsi="Times New Roman" w:cs="Times New Roman"/>
          <w:noProof/>
        </w:rPr>
        <w:tab/>
        <w:t xml:space="preserve">Jentzsch T, Erschbamer M, Seeli F, Fuchs B. Extensor function after medial gastrocnemius flap reconstruction of the proximal  tibia. Clin Orthop Relat Res. 2013 Jul;471(7):2333–9. </w:t>
      </w:r>
    </w:p>
    <w:p w14:paraId="7C13539D"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17. </w:t>
      </w:r>
      <w:r w:rsidRPr="005B5460">
        <w:rPr>
          <w:rFonts w:ascii="Times New Roman" w:hAnsi="Times New Roman" w:cs="Times New Roman"/>
          <w:noProof/>
        </w:rPr>
        <w:tab/>
        <w:t xml:space="preserve">van Egmond-van Dam JC, Bekkering WP, Bramer JAM, Beishuizen A, Fiocco M, Dijkstra PDS. Functional outcome after surgery in patients with bone sarcoma around the knee;  results from a long-term prospective study. J Surg Oncol. 2017 Jun;115(8):1028–32. </w:t>
      </w:r>
    </w:p>
    <w:p w14:paraId="0C7BACF8"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18. </w:t>
      </w:r>
      <w:r w:rsidRPr="005B5460">
        <w:rPr>
          <w:rFonts w:ascii="Times New Roman" w:hAnsi="Times New Roman" w:cs="Times New Roman"/>
          <w:noProof/>
        </w:rPr>
        <w:tab/>
        <w:t>Zhang P, Feng F, Cai Q, Yao W, Gao S, Wang J, et al. Effects of metaphyseal bone tumor removal with preservation of the epiphysis and knee arthroplasty. Exp Ther Med [Internet]. 2014/05/28. 2014 Aug;8(2):567–72. Available from: https://pubmed.ncbi.nlm.nih.gov/25009621</w:t>
      </w:r>
    </w:p>
    <w:p w14:paraId="7FA74E2D"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19. </w:t>
      </w:r>
      <w:r w:rsidRPr="005B5460">
        <w:rPr>
          <w:rFonts w:ascii="Times New Roman" w:hAnsi="Times New Roman" w:cs="Times New Roman"/>
          <w:noProof/>
        </w:rPr>
        <w:tab/>
        <w:t xml:space="preserve">Malek F, Somerson JS, Mitchel S, Williams RP. Does limb-salvage surgery offer patients better quality of life and functional  capacity than amputation? Clin Orthop Relat Res. 2012 Jul;470(7):2000–6. </w:t>
      </w:r>
    </w:p>
    <w:p w14:paraId="506F1B5E"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20. </w:t>
      </w:r>
      <w:r w:rsidRPr="005B5460">
        <w:rPr>
          <w:rFonts w:ascii="Times New Roman" w:hAnsi="Times New Roman" w:cs="Times New Roman"/>
          <w:noProof/>
        </w:rPr>
        <w:tab/>
        <w:t xml:space="preserve">Carty CP, Dickinson IC, Watts MC, Crawford RW, Steadman P. Impairment and disability following limb salvage procedures for bone sarcoma. Knee. 2009 Oct;16(5):405–8. </w:t>
      </w:r>
    </w:p>
    <w:p w14:paraId="5179CB46"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21. </w:t>
      </w:r>
      <w:r w:rsidRPr="005B5460">
        <w:rPr>
          <w:rFonts w:ascii="Times New Roman" w:hAnsi="Times New Roman" w:cs="Times New Roman"/>
          <w:noProof/>
        </w:rPr>
        <w:tab/>
        <w:t xml:space="preserve">Bekkering WP, Vliet Vlieland TPM, Koopman HM, Schaap GR, Bart Schreuder HW, Beishuizen A, et al. Functional ability and physical activity in children and young adults after  limb-salvage or ablative surgery for lower extremity bone tumors. J Surg Oncol. 2011 Mar;103(3):276–82. </w:t>
      </w:r>
    </w:p>
    <w:p w14:paraId="48782C5F"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22. </w:t>
      </w:r>
      <w:r w:rsidRPr="005B5460">
        <w:rPr>
          <w:rFonts w:ascii="Times New Roman" w:hAnsi="Times New Roman" w:cs="Times New Roman"/>
          <w:noProof/>
        </w:rPr>
        <w:tab/>
        <w:t xml:space="preserve">Fineout-Overholt E, Johnston L. Teaching EBP: asking searchable, answerable clinical questions. Worldviews evidence-based Nurs. 2005;2(3):157–60. </w:t>
      </w:r>
    </w:p>
    <w:p w14:paraId="454B2096"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23. </w:t>
      </w:r>
      <w:r w:rsidRPr="005B5460">
        <w:rPr>
          <w:rFonts w:ascii="Times New Roman" w:hAnsi="Times New Roman" w:cs="Times New Roman"/>
          <w:noProof/>
        </w:rPr>
        <w:tab/>
        <w:t>Arksey H, O’Malley L. Scoping studies: towards a methodological framework. Int J Soc Res Methodol [Internet]. 2005 Feb 1;8(1):19–32. Available from: https://doi.org/10.1080/1364557032000119616</w:t>
      </w:r>
    </w:p>
    <w:p w14:paraId="6E2DFFCB"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lastRenderedPageBreak/>
        <w:t xml:space="preserve">24. </w:t>
      </w:r>
      <w:r w:rsidRPr="005B5460">
        <w:rPr>
          <w:rFonts w:ascii="Times New Roman" w:hAnsi="Times New Roman" w:cs="Times New Roman"/>
          <w:noProof/>
        </w:rPr>
        <w:tab/>
        <w:t>Daudt HML, van Mossel C, Scott SJ. Enhancing the scoping study methodology: a large, inter-professional team’s experience with Arksey and O’Malley’s framework. BMC Med Res Methodol [Internet]. 2013;13(1):48. Available from: https://doi.org/10.1186/1471-2288-13-48</w:t>
      </w:r>
    </w:p>
    <w:p w14:paraId="75BAFEC3"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25. </w:t>
      </w:r>
      <w:r w:rsidRPr="005B5460">
        <w:rPr>
          <w:rFonts w:ascii="Times New Roman" w:hAnsi="Times New Roman" w:cs="Times New Roman"/>
          <w:noProof/>
        </w:rPr>
        <w:tab/>
        <w:t xml:space="preserve">Colquhoun HL, Levac D, O’Brien KK, Straus S, Tricco AC, Perrier L, et al. Scoping reviews: time for clarity in definition, methods, and reporting. J Clin Epidemiol. 2014 Dec;67(12):1291–4. </w:t>
      </w:r>
    </w:p>
    <w:p w14:paraId="21CC6DF6"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26. </w:t>
      </w:r>
      <w:r w:rsidRPr="005B5460">
        <w:rPr>
          <w:rFonts w:ascii="Times New Roman" w:hAnsi="Times New Roman" w:cs="Times New Roman"/>
          <w:noProof/>
        </w:rPr>
        <w:tab/>
        <w:t xml:space="preserve">Booth A, Sutton A, Papaioannou D. Systematic approaches to a successful literature review. 2nd ed. LA, USA: SAGE Publications Inc; 2016. </w:t>
      </w:r>
    </w:p>
    <w:p w14:paraId="3AA3383B"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27. </w:t>
      </w:r>
      <w:r w:rsidRPr="005B5460">
        <w:rPr>
          <w:rFonts w:ascii="Times New Roman" w:hAnsi="Times New Roman" w:cs="Times New Roman"/>
          <w:noProof/>
        </w:rPr>
        <w:tab/>
        <w:t xml:space="preserve">Hek G. Systematically searching and reviewing literature. Nurse Res. 2000;7(3):40–57. </w:t>
      </w:r>
    </w:p>
    <w:p w14:paraId="22B0FC50"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28. </w:t>
      </w:r>
      <w:r w:rsidRPr="005B5460">
        <w:rPr>
          <w:rFonts w:ascii="Times New Roman" w:hAnsi="Times New Roman" w:cs="Times New Roman"/>
          <w:noProof/>
        </w:rPr>
        <w:tab/>
        <w:t xml:space="preserve">Boland A, Cherry G, Dickson R. Doing a systematic review. 2nd ed. London, UK: SAGE Publications Ltd; 2017. </w:t>
      </w:r>
    </w:p>
    <w:p w14:paraId="7ACC4A79"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29. </w:t>
      </w:r>
      <w:r w:rsidRPr="005B5460">
        <w:rPr>
          <w:rFonts w:ascii="Times New Roman" w:hAnsi="Times New Roman" w:cs="Times New Roman"/>
          <w:noProof/>
        </w:rPr>
        <w:tab/>
        <w:t xml:space="preserve">Bielack S, Carrle D, Casali PG. Osteosarcoma: ESMO clinical recommendations for diagnosis, treatment and follow-up. Ann Oncol  Off J Eur Soc Med Oncol. 2009 May;20 Suppl 4:137–9. </w:t>
      </w:r>
    </w:p>
    <w:p w14:paraId="0A51F3C1"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30. </w:t>
      </w:r>
      <w:r w:rsidRPr="005B5460">
        <w:rPr>
          <w:rFonts w:ascii="Times New Roman" w:hAnsi="Times New Roman" w:cs="Times New Roman"/>
          <w:noProof/>
        </w:rPr>
        <w:tab/>
        <w:t xml:space="preserve">Aveyard H. Doing a Literature Review in Health and Social Care: A Practical Guide. Nurse Res. 2011 Jul;18(4):45. </w:t>
      </w:r>
    </w:p>
    <w:p w14:paraId="0500E6E5"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31. </w:t>
      </w:r>
      <w:r w:rsidRPr="005B5460">
        <w:rPr>
          <w:rFonts w:ascii="Times New Roman" w:hAnsi="Times New Roman" w:cs="Times New Roman"/>
          <w:noProof/>
        </w:rPr>
        <w:tab/>
        <w:t xml:space="preserve">CASP Checklists - CASP - critical appraisal skills programme. 2019. </w:t>
      </w:r>
    </w:p>
    <w:p w14:paraId="0EA68003"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32. </w:t>
      </w:r>
      <w:r w:rsidRPr="005B5460">
        <w:rPr>
          <w:rFonts w:ascii="Times New Roman" w:hAnsi="Times New Roman" w:cs="Times New Roman"/>
          <w:noProof/>
        </w:rPr>
        <w:tab/>
        <w:t xml:space="preserve">Critical Appraisal Tools. Joanna Briggs Institute. 2020. </w:t>
      </w:r>
    </w:p>
    <w:p w14:paraId="2489BBFF"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33. </w:t>
      </w:r>
      <w:r w:rsidRPr="005B5460">
        <w:rPr>
          <w:rFonts w:ascii="Times New Roman" w:hAnsi="Times New Roman" w:cs="Times New Roman"/>
          <w:noProof/>
        </w:rPr>
        <w:tab/>
        <w:t>Developing NICE Guidelines: Tools &amp; resources [Internet]. National Institute for Health and Care Excellence. 2020 [cited 2020 Dec 15]. Available from: https://www.nice.org.uk/process/pmg20/resources</w:t>
      </w:r>
    </w:p>
    <w:p w14:paraId="52FDF55C"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34. </w:t>
      </w:r>
      <w:r w:rsidRPr="005B5460">
        <w:rPr>
          <w:rFonts w:ascii="Times New Roman" w:hAnsi="Times New Roman" w:cs="Times New Roman"/>
          <w:noProof/>
        </w:rPr>
        <w:tab/>
        <w:t xml:space="preserve">Sanderson S, Tatt ID, Higgins JPT. Tools for assessing quality and susceptibility to bias in observational studies in  epidemiology: a systematic review and annotated bibliography. Int J Epidemiol. 2007 Jun;36(3):666–76. </w:t>
      </w:r>
    </w:p>
    <w:p w14:paraId="73BAAE73"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35. </w:t>
      </w:r>
      <w:r w:rsidRPr="005B5460">
        <w:rPr>
          <w:rFonts w:ascii="Times New Roman" w:hAnsi="Times New Roman" w:cs="Times New Roman"/>
          <w:noProof/>
        </w:rPr>
        <w:tab/>
        <w:t xml:space="preserve">Shahid M, Albergo N, Purvis T, Heron K, Gaston L, Carter S, et al. Management of sarcomas possibly involving the knee joint when to perform  extra-articular resection of the knee joint and is it safe? Eur J Surg Oncol  J Eur Soc  Surg Oncol Br Assoc Surg Oncol. 2017 Jan;43(1):175–80. </w:t>
      </w:r>
    </w:p>
    <w:p w14:paraId="5BC35E6C"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36. </w:t>
      </w:r>
      <w:r w:rsidRPr="005B5460">
        <w:rPr>
          <w:rFonts w:ascii="Times New Roman" w:hAnsi="Times New Roman" w:cs="Times New Roman"/>
          <w:noProof/>
        </w:rPr>
        <w:tab/>
        <w:t xml:space="preserve">Enneking WF, Dunham W, Gebhardt MC, Malawar M, Pritchard DJ. A system for the functional evaluation of reconstructive procedures after surgical  treatment of tumors of the musculoskeletal system. Clin Orthop Relat Res. 1993 Jan;(286):241–6. </w:t>
      </w:r>
    </w:p>
    <w:p w14:paraId="710A3DC2"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37. </w:t>
      </w:r>
      <w:r w:rsidRPr="005B5460">
        <w:rPr>
          <w:rFonts w:ascii="Times New Roman" w:hAnsi="Times New Roman" w:cs="Times New Roman"/>
          <w:noProof/>
        </w:rPr>
        <w:tab/>
        <w:t xml:space="preserve">Puerta-GarciaSandoval P, Lizaur-Utrilla A, Trigueros-Rentero MA, Lopez-Prats FA. Mid- to long-term results of allograft-prosthesis composite reconstruction after  removal of a distal femoral malignant tumor are comparable to those of the proximal tibia. Knee </w:t>
      </w:r>
      <w:r w:rsidRPr="005B5460">
        <w:rPr>
          <w:rFonts w:ascii="Times New Roman" w:hAnsi="Times New Roman" w:cs="Times New Roman"/>
          <w:noProof/>
        </w:rPr>
        <w:lastRenderedPageBreak/>
        <w:t xml:space="preserve">Surg Sports Traumatol Arthrosc. 2019 Jul;27(7):2218–25. </w:t>
      </w:r>
    </w:p>
    <w:p w14:paraId="30F0243A"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38. </w:t>
      </w:r>
      <w:r w:rsidRPr="005B5460">
        <w:rPr>
          <w:rFonts w:ascii="Times New Roman" w:hAnsi="Times New Roman" w:cs="Times New Roman"/>
          <w:noProof/>
        </w:rPr>
        <w:tab/>
        <w:t>Singh VA, Heng CW, Yasin NF. Gait Analysis in Patients with Wide Resection and Endoprosthesis Replacement Around the Knee. Indian J Orthop [Internet]. 2018;52(1):65–72. Available from: https://pubmed.ncbi.nlm.nih.gov/29416172</w:t>
      </w:r>
    </w:p>
    <w:p w14:paraId="07AA9C84"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39. </w:t>
      </w:r>
      <w:r w:rsidRPr="005B5460">
        <w:rPr>
          <w:rFonts w:ascii="Times New Roman" w:hAnsi="Times New Roman" w:cs="Times New Roman"/>
          <w:noProof/>
        </w:rPr>
        <w:tab/>
        <w:t xml:space="preserve">Zhang C, Hu J, Zhu K, Cai T, Ma X. Survival, complications and functional outcomes of cemented megaprostheses for  high-grade osteosarcoma around the knee. Int Orthop. 2018 Apr;42(4):927–38. </w:t>
      </w:r>
    </w:p>
    <w:p w14:paraId="37432675"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40. </w:t>
      </w:r>
      <w:r w:rsidRPr="005B5460">
        <w:rPr>
          <w:rFonts w:ascii="Times New Roman" w:hAnsi="Times New Roman" w:cs="Times New Roman"/>
          <w:noProof/>
        </w:rPr>
        <w:tab/>
        <w:t xml:space="preserve">Ieguchi M, Hoshi M, Aono M, Takada J, Ohebisu N, Kudawara I, et al. Knee reconstruction with endoprosthesis after extra-articular and intra-articular  resection of osteosarcoma. Jpn J Clin Oncol. 2014 Sep;44(9):812–7. </w:t>
      </w:r>
    </w:p>
    <w:p w14:paraId="26271A51"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41. </w:t>
      </w:r>
      <w:r w:rsidRPr="005B5460">
        <w:rPr>
          <w:rFonts w:ascii="Times New Roman" w:hAnsi="Times New Roman" w:cs="Times New Roman"/>
          <w:noProof/>
        </w:rPr>
        <w:tab/>
        <w:t xml:space="preserve">Tan PX, Yong BC, Wang J, Huang G, Yin JQ, Zou CY, et al. Analysis of the efficacy and prognosis of limb-salvage surgery for osteosarcoma  around the knee. Eur J Surg Oncol  J Eur Soc  Surg Oncol Br Assoc Surg Oncol. 2012 Dec;38(12):1171–7. </w:t>
      </w:r>
    </w:p>
    <w:p w14:paraId="452957AA"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42. </w:t>
      </w:r>
      <w:r w:rsidRPr="005B5460">
        <w:rPr>
          <w:rFonts w:ascii="Times New Roman" w:hAnsi="Times New Roman" w:cs="Times New Roman"/>
          <w:noProof/>
        </w:rPr>
        <w:tab/>
        <w:t xml:space="preserve">Hardes J, Henrichs MP, Gosheger G, Gebert C, Höll S, Dieckmann R, et al. Endoprosthetic replacement after extra-articular resection of bone and soft-tissue  tumours around the knee. Bone Joint J. 2013 Oct;95-B(10):1425–31. </w:t>
      </w:r>
    </w:p>
    <w:p w14:paraId="5E14DE1C"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43. </w:t>
      </w:r>
      <w:r w:rsidRPr="005B5460">
        <w:rPr>
          <w:rFonts w:ascii="Times New Roman" w:hAnsi="Times New Roman" w:cs="Times New Roman"/>
          <w:noProof/>
        </w:rPr>
        <w:tab/>
        <w:t xml:space="preserve">Carty CP, Bennett MB, Dickinson IC, Steadman P. Electromyographic assessment of Gait function following limb salvage procedures for  bone sarcoma. J Electromyogr Kinesiol  Off J Int  Soc Electrophysiol Kinesiol. 2010 Jun;20(3):502–7. </w:t>
      </w:r>
    </w:p>
    <w:p w14:paraId="6199D1B4"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44. </w:t>
      </w:r>
      <w:r w:rsidRPr="005B5460">
        <w:rPr>
          <w:rFonts w:ascii="Times New Roman" w:hAnsi="Times New Roman" w:cs="Times New Roman"/>
          <w:noProof/>
        </w:rPr>
        <w:tab/>
        <w:t xml:space="preserve">Declaration of Helsinki - ethical principles for medical research involving human subjects. World Medical Association. 2018. </w:t>
      </w:r>
    </w:p>
    <w:p w14:paraId="650ED80E"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45. </w:t>
      </w:r>
      <w:r w:rsidRPr="005B5460">
        <w:rPr>
          <w:rFonts w:ascii="Times New Roman" w:hAnsi="Times New Roman" w:cs="Times New Roman"/>
          <w:noProof/>
        </w:rPr>
        <w:tab/>
        <w:t xml:space="preserve">Janssen SJ, van Rein EAJ, Paulino Pereira NR, Raskin KA, Ferrone ML, Hornicek FJ, et al. The Discrepancy between Patient and Clinician Reported Function in Extremity Bone  Metastases. Sarcoma. 2016;2016:1014248. </w:t>
      </w:r>
    </w:p>
    <w:p w14:paraId="05837FFC"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46. </w:t>
      </w:r>
      <w:r w:rsidRPr="005B5460">
        <w:rPr>
          <w:rFonts w:ascii="Times New Roman" w:hAnsi="Times New Roman" w:cs="Times New Roman"/>
          <w:noProof/>
        </w:rPr>
        <w:tab/>
        <w:t xml:space="preserve">Ijzerman MJ, Nene A V. Feasibility of the physiological cost index as an outcome measure for the assessment  of energy expenditure during walking. Arch Phys Med Rehabil. 2002 Dec;83(12):1777–82. </w:t>
      </w:r>
    </w:p>
    <w:p w14:paraId="20D1936E"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47. </w:t>
      </w:r>
      <w:r w:rsidRPr="005B5460">
        <w:rPr>
          <w:rFonts w:ascii="Times New Roman" w:hAnsi="Times New Roman" w:cs="Times New Roman"/>
          <w:noProof/>
        </w:rPr>
        <w:tab/>
        <w:t xml:space="preserve">Graham RC, Smith NM, White CM. The reliability and validity of the physiological cost index in healthy subjects  while walking on 2 different tracks. Arch Phys Med Rehabil. 2005 Oct;86(10):2041–6. </w:t>
      </w:r>
    </w:p>
    <w:p w14:paraId="2311B53C"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48. </w:t>
      </w:r>
      <w:r w:rsidRPr="005B5460">
        <w:rPr>
          <w:rFonts w:ascii="Times New Roman" w:hAnsi="Times New Roman" w:cs="Times New Roman"/>
          <w:noProof/>
        </w:rPr>
        <w:tab/>
        <w:t>Webbe J, Sinha I, Gale C. Core Outcome Sets. Arch Dis Child - Educ &amp;amp;amp; Pract Ed [Internet]. 2018 Jun 1;103(3):163 LP – 166. Available from: http://ep.bmj.com/content/103/3/163.abstract</w:t>
      </w:r>
    </w:p>
    <w:p w14:paraId="79628334"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49. </w:t>
      </w:r>
      <w:r w:rsidRPr="005B5460">
        <w:rPr>
          <w:rFonts w:ascii="Times New Roman" w:hAnsi="Times New Roman" w:cs="Times New Roman"/>
          <w:noProof/>
        </w:rPr>
        <w:tab/>
        <w:t xml:space="preserve">Meeberg GA. Quality of life: a concept analysis. J Adv Nurs. 1993 Jan;18(1):32–8. </w:t>
      </w:r>
    </w:p>
    <w:p w14:paraId="53505BDF"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50. </w:t>
      </w:r>
      <w:r w:rsidRPr="005B5460">
        <w:rPr>
          <w:rFonts w:ascii="Times New Roman" w:hAnsi="Times New Roman" w:cs="Times New Roman"/>
          <w:noProof/>
        </w:rPr>
        <w:tab/>
        <w:t xml:space="preserve">McDonough J, Eliott J, Neuhaus S, Reid J, Butow P. Health-related quality of life, </w:t>
      </w:r>
      <w:r w:rsidRPr="005B5460">
        <w:rPr>
          <w:rFonts w:ascii="Times New Roman" w:hAnsi="Times New Roman" w:cs="Times New Roman"/>
          <w:noProof/>
        </w:rPr>
        <w:lastRenderedPageBreak/>
        <w:t>psychosocial functioning, and unmet health needs in patients with sarcoma: A systematic review. Psychooncology [Internet]. 2019 Apr 1;28(4):653–64. Available from: https://doi.org/10.1002/pon.5007</w:t>
      </w:r>
    </w:p>
    <w:p w14:paraId="4CE16F20"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51. </w:t>
      </w:r>
      <w:r w:rsidRPr="005B5460">
        <w:rPr>
          <w:rFonts w:ascii="Times New Roman" w:hAnsi="Times New Roman" w:cs="Times New Roman"/>
          <w:noProof/>
        </w:rPr>
        <w:tab/>
        <w:t xml:space="preserve">Sackett DL. Rules of evidence and clinical recommendations on the use of antithrombotic agents. Chest. 1989 Feb;95(2 Suppl):2S-4S. </w:t>
      </w:r>
    </w:p>
    <w:p w14:paraId="7F70F4CA"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52. </w:t>
      </w:r>
      <w:r w:rsidRPr="005B5460">
        <w:rPr>
          <w:rFonts w:ascii="Times New Roman" w:hAnsi="Times New Roman" w:cs="Times New Roman"/>
          <w:noProof/>
        </w:rPr>
        <w:tab/>
        <w:t xml:space="preserve">Davis AM, Sennik S, Griffin AM, Wunder JS, O’Sullivan B, Catton CN, et al. Predictors of functional outcomes following limb salvage surgery for lower-extremity  soft tissue sarcoma. J Surg Oncol. 2000 Apr;73(4):206–11. </w:t>
      </w:r>
    </w:p>
    <w:p w14:paraId="2B6BE53E"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53. </w:t>
      </w:r>
      <w:r w:rsidRPr="005B5460">
        <w:rPr>
          <w:rFonts w:ascii="Times New Roman" w:hAnsi="Times New Roman" w:cs="Times New Roman"/>
          <w:noProof/>
        </w:rPr>
        <w:tab/>
        <w:t xml:space="preserve">Kinkel S, Lehner B, Kleinhans JA, Jakubowitz E, Ewerbeck V, Heisel C. Medium to long-term results after reconstruction of bone defects at the knee with  tumor endoprostheses. J Surg Oncol. 2010 Feb;101(2):166–9. </w:t>
      </w:r>
    </w:p>
    <w:p w14:paraId="654638BD"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54. </w:t>
      </w:r>
      <w:r w:rsidRPr="005B5460">
        <w:rPr>
          <w:rFonts w:ascii="Times New Roman" w:hAnsi="Times New Roman" w:cs="Times New Roman"/>
          <w:noProof/>
        </w:rPr>
        <w:tab/>
        <w:t xml:space="preserve">Nakamura S, Kusuzaki K, Murata H, Takeshita H, Hirata M, Hashiguchi S, et al. Extra-articular wide tumor resection and limb reconstruction in malignant bone  tumors invading the knee joint. Oncol Rep. 2001;8(2):365–8. </w:t>
      </w:r>
    </w:p>
    <w:p w14:paraId="51FB93DC"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55. </w:t>
      </w:r>
      <w:r w:rsidRPr="005B5460">
        <w:rPr>
          <w:rFonts w:ascii="Times New Roman" w:hAnsi="Times New Roman" w:cs="Times New Roman"/>
          <w:noProof/>
        </w:rPr>
        <w:tab/>
        <w:t xml:space="preserve">Jacobs PA. Limb salvage and rotationplasty for osteosarcoma in children. Clin Orthop Relat Res. 1984 Sep;(188):217–22. </w:t>
      </w:r>
    </w:p>
    <w:p w14:paraId="3B6439A9"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56. </w:t>
      </w:r>
      <w:r w:rsidRPr="005B5460">
        <w:rPr>
          <w:rFonts w:ascii="Times New Roman" w:hAnsi="Times New Roman" w:cs="Times New Roman"/>
          <w:noProof/>
        </w:rPr>
        <w:tab/>
        <w:t xml:space="preserve">Eiser C, Cool P, Grimer RJ, Carter SR, Cotter IM, Ellis AJ, et al. Quality of life in children following treatment for a malignant primary bone tumour  around the knee. Sarcoma. 1997;1(1):39–45. </w:t>
      </w:r>
    </w:p>
    <w:p w14:paraId="0F04E0F7"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57. </w:t>
      </w:r>
      <w:r w:rsidRPr="005B5460">
        <w:rPr>
          <w:rFonts w:ascii="Times New Roman" w:hAnsi="Times New Roman" w:cs="Times New Roman"/>
          <w:noProof/>
        </w:rPr>
        <w:tab/>
        <w:t>Tunn P-U, Schmidt-Peter P, Pomraenke D, Hohenberger P. Osteosarcoma in Children: Long-Term Functional Analysis. Clin Orthop Relat Res [Internet]. 2004;421. Available from: https://journals.lww.com/clinorthop/Fulltext/2004/04000/Osteosarcoma_in_Children__Long_Term_Functional.35.aspx</w:t>
      </w:r>
    </w:p>
    <w:p w14:paraId="49370BAB"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58. </w:t>
      </w:r>
      <w:r w:rsidRPr="005B5460">
        <w:rPr>
          <w:rFonts w:ascii="Times New Roman" w:hAnsi="Times New Roman" w:cs="Times New Roman"/>
          <w:noProof/>
        </w:rPr>
        <w:tab/>
        <w:t xml:space="preserve">Eime RM, Young JA, Harvey JT, Charity MJ, Payne WR. A systematic review of the psychological and social benefits of participation in  sport for adults: informing development of a conceptual model of health through sport. Int J Behav Nutr Phys Act. 2013 Dec;10:135. </w:t>
      </w:r>
    </w:p>
    <w:p w14:paraId="5FC771D7"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59. </w:t>
      </w:r>
      <w:r w:rsidRPr="005B5460">
        <w:rPr>
          <w:rFonts w:ascii="Times New Roman" w:hAnsi="Times New Roman" w:cs="Times New Roman"/>
          <w:noProof/>
        </w:rPr>
        <w:tab/>
        <w:t>Ziviani J, Macdonald D, Ward H, Jenkins D, Rodger S. Physical Activity and the Occupations of Children: Perspectives of Parents and Children. J Occup Sci [Internet]. 2006 Jul 1;13(2–3):180–7. Available from: https://doi.org/10.1080/14427591.2006.9726514</w:t>
      </w:r>
    </w:p>
    <w:p w14:paraId="01673354"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60. </w:t>
      </w:r>
      <w:r w:rsidRPr="005B5460">
        <w:rPr>
          <w:rFonts w:ascii="Times New Roman" w:hAnsi="Times New Roman" w:cs="Times New Roman"/>
          <w:noProof/>
        </w:rPr>
        <w:tab/>
        <w:t xml:space="preserve">Feldhacker D, Cerny S, Brockevelt B, Lawler M. Occupations and well-being in children and youth. In: Vega TR de la, editor. Handbook f leisure, physical activity, sports, recreation and quality of life. Springer, Cham; 2018. p. 119–38. </w:t>
      </w:r>
    </w:p>
    <w:p w14:paraId="6F28D868"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lastRenderedPageBreak/>
        <w:t xml:space="preserve">61. </w:t>
      </w:r>
      <w:r w:rsidRPr="005B5460">
        <w:rPr>
          <w:rFonts w:ascii="Times New Roman" w:hAnsi="Times New Roman" w:cs="Times New Roman"/>
          <w:noProof/>
        </w:rPr>
        <w:tab/>
        <w:t xml:space="preserve">Matthews CE, Ainsworth BE, Thompson RW, Bassett DRJ. Sources of variance in daily physical activity levels as measured by an  accelerometer. Med Sci Sports Exerc. 2002 Aug;34(8):1376–81. </w:t>
      </w:r>
    </w:p>
    <w:p w14:paraId="0D030526"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62. </w:t>
      </w:r>
      <w:r w:rsidRPr="005B5460">
        <w:rPr>
          <w:rFonts w:ascii="Times New Roman" w:hAnsi="Times New Roman" w:cs="Times New Roman"/>
          <w:noProof/>
        </w:rPr>
        <w:tab/>
        <w:t xml:space="preserve">Robert RS, Ottaviani G, Huh WW, Palla S, Jaffe N. Psychosocial and functional outcomes in long-term survivors of osteosarcoma: a  comparison of limb-salvage surgery and amputation. Pediatr Blood Cancer. 2010 Jul;54(7):990–9. </w:t>
      </w:r>
    </w:p>
    <w:p w14:paraId="47E92918"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63. </w:t>
      </w:r>
      <w:r w:rsidRPr="005B5460">
        <w:rPr>
          <w:rFonts w:ascii="Times New Roman" w:hAnsi="Times New Roman" w:cs="Times New Roman"/>
          <w:noProof/>
        </w:rPr>
        <w:tab/>
        <w:t xml:space="preserve">Postma A, Kingma A, De Ruiter JH, Schraffordt Koops H, Veth RP, Goëken LN, et al. Quality of life in bone tumor patients comparing limb salvage and amputation of the  lower extremity. J Surg Oncol. 1992 Sep;51(1):47–51. </w:t>
      </w:r>
    </w:p>
    <w:p w14:paraId="56DA5097"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64. </w:t>
      </w:r>
      <w:r w:rsidRPr="005B5460">
        <w:rPr>
          <w:rFonts w:ascii="Times New Roman" w:hAnsi="Times New Roman" w:cs="Times New Roman"/>
          <w:noProof/>
        </w:rPr>
        <w:tab/>
        <w:t xml:space="preserve">Nagarajan R, Clohisy DR, Neglia JP, Yasui Y, Mitby PA, Sklar C, et al. Function and quality-of-life of survivors of pelvic and lower extremity osteosarcoma  and Ewing’s sarcoma: the Childhood Cancer Survivor Study. Br J Cancer. 2004 Nov;91(11):1858–65. </w:t>
      </w:r>
    </w:p>
    <w:p w14:paraId="105286A7"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65. </w:t>
      </w:r>
      <w:r w:rsidRPr="005B5460">
        <w:rPr>
          <w:rFonts w:ascii="Times New Roman" w:hAnsi="Times New Roman" w:cs="Times New Roman"/>
          <w:noProof/>
        </w:rPr>
        <w:tab/>
        <w:t xml:space="preserve">Aksnes LH, Bauer HCF, Jebsen NL, Follerås G, Allert C, Haugen GS, et al. Limb-sparing surgery preserves more function than amputation: a Scandinavian sarcoma  group study of 118 patients. J Bone Joint Surg Br. 2008 Jun;90(6):786–94. </w:t>
      </w:r>
    </w:p>
    <w:p w14:paraId="49046752" w14:textId="77777777" w:rsidR="009D0EA8" w:rsidRPr="005B5460" w:rsidRDefault="009D0EA8" w:rsidP="009D0EA8">
      <w:pPr>
        <w:widowControl w:val="0"/>
        <w:autoSpaceDE w:val="0"/>
        <w:autoSpaceDN w:val="0"/>
        <w:adjustRightInd w:val="0"/>
        <w:spacing w:after="0" w:line="360" w:lineRule="auto"/>
        <w:ind w:left="640" w:hanging="640"/>
        <w:rPr>
          <w:rFonts w:ascii="Times New Roman" w:hAnsi="Times New Roman" w:cs="Times New Roman"/>
          <w:noProof/>
        </w:rPr>
      </w:pPr>
      <w:r w:rsidRPr="005B5460">
        <w:rPr>
          <w:rFonts w:ascii="Times New Roman" w:hAnsi="Times New Roman" w:cs="Times New Roman"/>
          <w:noProof/>
        </w:rPr>
        <w:t xml:space="preserve">66. </w:t>
      </w:r>
      <w:r w:rsidRPr="005B5460">
        <w:rPr>
          <w:rFonts w:ascii="Times New Roman" w:hAnsi="Times New Roman" w:cs="Times New Roman"/>
          <w:noProof/>
        </w:rPr>
        <w:tab/>
        <w:t xml:space="preserve">Jauregui JJ, Nadarajah V, Munn J, Pivec R, Kapadia BH, Lerman DM, et al. Limb Salvage Versus Amputation in Conventional Appendicular Osteosarcoma: a  Systematic Review. Indian J Surg Oncol. 2018 Jun;9(2):232–40. </w:t>
      </w:r>
    </w:p>
    <w:p w14:paraId="6DAEAC66" w14:textId="48FC8689" w:rsidR="0081009E" w:rsidRPr="005B5460" w:rsidRDefault="004E4DE5" w:rsidP="009D0EA8">
      <w:pPr>
        <w:widowControl w:val="0"/>
        <w:autoSpaceDE w:val="0"/>
        <w:autoSpaceDN w:val="0"/>
        <w:adjustRightInd w:val="0"/>
        <w:spacing w:after="0" w:line="360" w:lineRule="auto"/>
        <w:ind w:left="640" w:hanging="640"/>
        <w:rPr>
          <w:rFonts w:ascii="Times New Roman" w:hAnsi="Times New Roman" w:cs="Times New Roman"/>
        </w:rPr>
      </w:pPr>
      <w:r w:rsidRPr="005B5460">
        <w:rPr>
          <w:rFonts w:ascii="Times New Roman" w:hAnsi="Times New Roman" w:cs="Times New Roman"/>
        </w:rPr>
        <w:fldChar w:fldCharType="end"/>
      </w:r>
      <w:r w:rsidR="0081009E" w:rsidRPr="005B5460">
        <w:rPr>
          <w:rFonts w:ascii="Times New Roman" w:hAnsi="Times New Roman" w:cs="Times New Roman"/>
        </w:rPr>
        <w:br w:type="page"/>
      </w:r>
    </w:p>
    <w:p w14:paraId="0EFDDF2C" w14:textId="4B527DBC" w:rsidR="0081009E" w:rsidRPr="005B5460" w:rsidRDefault="0081009E" w:rsidP="0081009E">
      <w:pPr>
        <w:spacing w:line="480" w:lineRule="auto"/>
        <w:rPr>
          <w:rFonts w:ascii="Times New Roman" w:hAnsi="Times New Roman" w:cs="Times New Roman"/>
        </w:rPr>
      </w:pPr>
      <w:r w:rsidRPr="005B5460">
        <w:rPr>
          <w:rFonts w:ascii="Times New Roman" w:hAnsi="Times New Roman" w:cs="Times New Roman"/>
        </w:rPr>
        <w:lastRenderedPageBreak/>
        <w:t>Table 1: PICO Table to define the research question and support the inclusion and exclusion criteria for the review.</w:t>
      </w:r>
    </w:p>
    <w:tbl>
      <w:tblPr>
        <w:tblStyle w:val="TableGrid"/>
        <w:tblW w:w="0" w:type="auto"/>
        <w:tblInd w:w="805" w:type="dxa"/>
        <w:tblLook w:val="04A0" w:firstRow="1" w:lastRow="0" w:firstColumn="1" w:lastColumn="0" w:noHBand="0" w:noVBand="1"/>
      </w:tblPr>
      <w:tblGrid>
        <w:gridCol w:w="3668"/>
        <w:gridCol w:w="4015"/>
      </w:tblGrid>
      <w:tr w:rsidR="0081009E" w:rsidRPr="005B5460" w14:paraId="44797452" w14:textId="77777777" w:rsidTr="0081009E">
        <w:tc>
          <w:tcPr>
            <w:tcW w:w="3668" w:type="dxa"/>
            <w:shd w:val="clear" w:color="auto" w:fill="D9D9D9" w:themeFill="background1" w:themeFillShade="D9"/>
          </w:tcPr>
          <w:p w14:paraId="0C6F85A1" w14:textId="77777777" w:rsidR="0081009E" w:rsidRPr="005B5460" w:rsidRDefault="0081009E" w:rsidP="00631CE9">
            <w:pPr>
              <w:pStyle w:val="ListParagraph"/>
              <w:spacing w:line="480" w:lineRule="auto"/>
              <w:ind w:left="0"/>
              <w:rPr>
                <w:rFonts w:ascii="Times New Roman" w:hAnsi="Times New Roman" w:cs="Times New Roman"/>
                <w:b/>
                <w:bCs/>
              </w:rPr>
            </w:pPr>
            <w:r w:rsidRPr="005B5460">
              <w:rPr>
                <w:rFonts w:ascii="Times New Roman" w:hAnsi="Times New Roman" w:cs="Times New Roman"/>
                <w:b/>
                <w:bCs/>
              </w:rPr>
              <w:t>Population</w:t>
            </w:r>
          </w:p>
        </w:tc>
        <w:tc>
          <w:tcPr>
            <w:tcW w:w="4015" w:type="dxa"/>
          </w:tcPr>
          <w:p w14:paraId="2D66312E" w14:textId="77777777" w:rsidR="0081009E" w:rsidRPr="005B5460" w:rsidRDefault="0081009E" w:rsidP="00631CE9">
            <w:pPr>
              <w:pStyle w:val="ListParagraph"/>
              <w:spacing w:line="480" w:lineRule="auto"/>
              <w:ind w:left="0"/>
              <w:rPr>
                <w:rFonts w:ascii="Times New Roman" w:hAnsi="Times New Roman" w:cs="Times New Roman"/>
              </w:rPr>
            </w:pPr>
            <w:r w:rsidRPr="005B5460">
              <w:rPr>
                <w:rFonts w:ascii="Times New Roman" w:hAnsi="Times New Roman" w:cs="Times New Roman"/>
              </w:rPr>
              <w:t xml:space="preserve">Adult and </w:t>
            </w:r>
            <w:proofErr w:type="spellStart"/>
            <w:r w:rsidRPr="005B5460">
              <w:rPr>
                <w:rFonts w:ascii="Times New Roman" w:hAnsi="Times New Roman" w:cs="Times New Roman"/>
              </w:rPr>
              <w:t>paediatric</w:t>
            </w:r>
            <w:proofErr w:type="spellEnd"/>
            <w:r w:rsidRPr="005B5460">
              <w:rPr>
                <w:rFonts w:ascii="Times New Roman" w:hAnsi="Times New Roman" w:cs="Times New Roman"/>
              </w:rPr>
              <w:t xml:space="preserve"> population diagnosed with bone or soft tissue malignant </w:t>
            </w:r>
            <w:proofErr w:type="spellStart"/>
            <w:r w:rsidRPr="005B5460">
              <w:rPr>
                <w:rFonts w:ascii="Times New Roman" w:hAnsi="Times New Roman" w:cs="Times New Roman"/>
              </w:rPr>
              <w:t>tumour</w:t>
            </w:r>
            <w:proofErr w:type="spellEnd"/>
            <w:r w:rsidRPr="005B5460">
              <w:rPr>
                <w:rFonts w:ascii="Times New Roman" w:hAnsi="Times New Roman" w:cs="Times New Roman"/>
              </w:rPr>
              <w:t xml:space="preserve"> around the knee</w:t>
            </w:r>
          </w:p>
        </w:tc>
      </w:tr>
      <w:tr w:rsidR="0081009E" w:rsidRPr="005B5460" w14:paraId="4460FE80" w14:textId="77777777" w:rsidTr="0081009E">
        <w:tc>
          <w:tcPr>
            <w:tcW w:w="3668" w:type="dxa"/>
            <w:shd w:val="clear" w:color="auto" w:fill="D9D9D9" w:themeFill="background1" w:themeFillShade="D9"/>
          </w:tcPr>
          <w:p w14:paraId="027059FD" w14:textId="77777777" w:rsidR="0081009E" w:rsidRPr="005B5460" w:rsidRDefault="0081009E" w:rsidP="00631CE9">
            <w:pPr>
              <w:pStyle w:val="ListParagraph"/>
              <w:spacing w:line="480" w:lineRule="auto"/>
              <w:ind w:left="0"/>
              <w:rPr>
                <w:rFonts w:ascii="Times New Roman" w:hAnsi="Times New Roman" w:cs="Times New Roman"/>
                <w:b/>
                <w:bCs/>
              </w:rPr>
            </w:pPr>
            <w:r w:rsidRPr="005B5460">
              <w:rPr>
                <w:rFonts w:ascii="Times New Roman" w:hAnsi="Times New Roman" w:cs="Times New Roman"/>
                <w:b/>
                <w:bCs/>
              </w:rPr>
              <w:t>Intervention</w:t>
            </w:r>
          </w:p>
        </w:tc>
        <w:tc>
          <w:tcPr>
            <w:tcW w:w="4015" w:type="dxa"/>
          </w:tcPr>
          <w:p w14:paraId="2B38FD7A" w14:textId="77777777" w:rsidR="0081009E" w:rsidRPr="005B5460" w:rsidRDefault="0081009E" w:rsidP="00631CE9">
            <w:pPr>
              <w:pStyle w:val="ListParagraph"/>
              <w:spacing w:line="480" w:lineRule="auto"/>
              <w:ind w:left="0"/>
              <w:rPr>
                <w:rFonts w:ascii="Times New Roman" w:hAnsi="Times New Roman" w:cs="Times New Roman"/>
              </w:rPr>
            </w:pPr>
            <w:r w:rsidRPr="005B5460">
              <w:rPr>
                <w:rFonts w:ascii="Times New Roman" w:hAnsi="Times New Roman" w:cs="Times New Roman"/>
              </w:rPr>
              <w:t>Limb salvage surgery (LSS)</w:t>
            </w:r>
          </w:p>
        </w:tc>
      </w:tr>
      <w:tr w:rsidR="0081009E" w:rsidRPr="005B5460" w14:paraId="2CA58592" w14:textId="77777777" w:rsidTr="0081009E">
        <w:tc>
          <w:tcPr>
            <w:tcW w:w="3668" w:type="dxa"/>
            <w:shd w:val="clear" w:color="auto" w:fill="D9D9D9" w:themeFill="background1" w:themeFillShade="D9"/>
          </w:tcPr>
          <w:p w14:paraId="5810426D" w14:textId="77777777" w:rsidR="0081009E" w:rsidRPr="005B5460" w:rsidRDefault="0081009E" w:rsidP="00631CE9">
            <w:pPr>
              <w:pStyle w:val="ListParagraph"/>
              <w:spacing w:line="480" w:lineRule="auto"/>
              <w:ind w:left="0"/>
              <w:rPr>
                <w:rFonts w:ascii="Times New Roman" w:hAnsi="Times New Roman" w:cs="Times New Roman"/>
                <w:b/>
                <w:bCs/>
              </w:rPr>
            </w:pPr>
            <w:r w:rsidRPr="005B5460">
              <w:rPr>
                <w:rFonts w:ascii="Times New Roman" w:hAnsi="Times New Roman" w:cs="Times New Roman"/>
                <w:b/>
                <w:bCs/>
              </w:rPr>
              <w:t>Comparison</w:t>
            </w:r>
          </w:p>
        </w:tc>
        <w:tc>
          <w:tcPr>
            <w:tcW w:w="4015" w:type="dxa"/>
          </w:tcPr>
          <w:p w14:paraId="02D125D8" w14:textId="77777777" w:rsidR="0081009E" w:rsidRPr="005B5460" w:rsidRDefault="0081009E" w:rsidP="00631CE9">
            <w:pPr>
              <w:pStyle w:val="ListParagraph"/>
              <w:spacing w:line="480" w:lineRule="auto"/>
              <w:ind w:left="0"/>
              <w:rPr>
                <w:rFonts w:ascii="Times New Roman" w:hAnsi="Times New Roman" w:cs="Times New Roman"/>
              </w:rPr>
            </w:pPr>
            <w:r w:rsidRPr="005B5460">
              <w:rPr>
                <w:rFonts w:ascii="Times New Roman" w:hAnsi="Times New Roman" w:cs="Times New Roman"/>
              </w:rPr>
              <w:t>None</w:t>
            </w:r>
          </w:p>
        </w:tc>
      </w:tr>
      <w:tr w:rsidR="0081009E" w:rsidRPr="005B5460" w14:paraId="400D49B9" w14:textId="77777777" w:rsidTr="0081009E">
        <w:tc>
          <w:tcPr>
            <w:tcW w:w="3668" w:type="dxa"/>
            <w:shd w:val="clear" w:color="auto" w:fill="D9D9D9" w:themeFill="background1" w:themeFillShade="D9"/>
          </w:tcPr>
          <w:p w14:paraId="6501EB0F" w14:textId="77777777" w:rsidR="0081009E" w:rsidRPr="005B5460" w:rsidRDefault="0081009E" w:rsidP="00631CE9">
            <w:pPr>
              <w:pStyle w:val="ListParagraph"/>
              <w:spacing w:line="480" w:lineRule="auto"/>
              <w:ind w:left="0"/>
              <w:rPr>
                <w:rFonts w:ascii="Times New Roman" w:hAnsi="Times New Roman" w:cs="Times New Roman"/>
                <w:b/>
                <w:bCs/>
              </w:rPr>
            </w:pPr>
            <w:r w:rsidRPr="005B5460">
              <w:rPr>
                <w:rFonts w:ascii="Times New Roman" w:hAnsi="Times New Roman" w:cs="Times New Roman"/>
                <w:b/>
                <w:bCs/>
              </w:rPr>
              <w:t>Outcome</w:t>
            </w:r>
          </w:p>
        </w:tc>
        <w:tc>
          <w:tcPr>
            <w:tcW w:w="4015" w:type="dxa"/>
          </w:tcPr>
          <w:p w14:paraId="15A39810" w14:textId="77777777" w:rsidR="0081009E" w:rsidRPr="005B5460" w:rsidRDefault="0081009E" w:rsidP="00631CE9">
            <w:pPr>
              <w:pStyle w:val="ListParagraph"/>
              <w:tabs>
                <w:tab w:val="right" w:pos="4092"/>
              </w:tabs>
              <w:spacing w:line="480" w:lineRule="auto"/>
              <w:ind w:left="0"/>
              <w:rPr>
                <w:rFonts w:ascii="Times New Roman" w:hAnsi="Times New Roman" w:cs="Times New Roman"/>
              </w:rPr>
            </w:pPr>
            <w:r w:rsidRPr="005B5460">
              <w:rPr>
                <w:rFonts w:ascii="Times New Roman" w:hAnsi="Times New Roman" w:cs="Times New Roman"/>
              </w:rPr>
              <w:t>Functional levels, physical activities, gait, mobility, quality of life, and return to work</w:t>
            </w:r>
          </w:p>
        </w:tc>
      </w:tr>
    </w:tbl>
    <w:p w14:paraId="34F3EA47" w14:textId="66BC287F" w:rsidR="0081009E" w:rsidRPr="005B5460" w:rsidRDefault="0081009E" w:rsidP="0081009E">
      <w:pPr>
        <w:spacing w:line="480" w:lineRule="auto"/>
        <w:rPr>
          <w:rFonts w:ascii="Times New Roman" w:hAnsi="Times New Roman" w:cs="Times New Roman"/>
        </w:rPr>
      </w:pPr>
    </w:p>
    <w:p w14:paraId="1AC64EDE" w14:textId="77777777" w:rsidR="00DE49A9" w:rsidRPr="005B5460" w:rsidRDefault="00DE49A9">
      <w:pPr>
        <w:spacing w:after="0" w:line="240" w:lineRule="auto"/>
        <w:rPr>
          <w:rFonts w:ascii="Times New Roman" w:hAnsi="Times New Roman" w:cs="Times New Roman"/>
        </w:rPr>
      </w:pPr>
      <w:r w:rsidRPr="005B5460">
        <w:rPr>
          <w:rFonts w:ascii="Times New Roman" w:hAnsi="Times New Roman" w:cs="Times New Roman"/>
        </w:rPr>
        <w:br w:type="page"/>
      </w:r>
    </w:p>
    <w:p w14:paraId="5B6A8EEA" w14:textId="53DE85F8" w:rsidR="00631CE9" w:rsidRPr="005B5460" w:rsidRDefault="00631CE9" w:rsidP="0081009E">
      <w:pPr>
        <w:spacing w:line="480" w:lineRule="auto"/>
        <w:rPr>
          <w:rFonts w:ascii="Times New Roman" w:hAnsi="Times New Roman" w:cs="Times New Roman"/>
        </w:rPr>
      </w:pPr>
      <w:r w:rsidRPr="005B5460">
        <w:rPr>
          <w:rFonts w:ascii="Times New Roman" w:hAnsi="Times New Roman" w:cs="Times New Roman"/>
        </w:rPr>
        <w:lastRenderedPageBreak/>
        <w:t>Table 2: Search terms included for the review.</w:t>
      </w:r>
    </w:p>
    <w:tbl>
      <w:tblPr>
        <w:tblStyle w:val="TableGrid"/>
        <w:tblW w:w="0" w:type="auto"/>
        <w:tblInd w:w="715" w:type="dxa"/>
        <w:tblLook w:val="04A0" w:firstRow="1" w:lastRow="0" w:firstColumn="1" w:lastColumn="0" w:noHBand="0" w:noVBand="1"/>
      </w:tblPr>
      <w:tblGrid>
        <w:gridCol w:w="3711"/>
        <w:gridCol w:w="4062"/>
      </w:tblGrid>
      <w:tr w:rsidR="00631CE9" w:rsidRPr="005B5460" w14:paraId="3DEA24ED" w14:textId="77777777" w:rsidTr="00631CE9">
        <w:tc>
          <w:tcPr>
            <w:tcW w:w="3711" w:type="dxa"/>
            <w:shd w:val="clear" w:color="auto" w:fill="auto"/>
          </w:tcPr>
          <w:p w14:paraId="2C4146BD" w14:textId="77777777" w:rsidR="00631CE9" w:rsidRPr="005B5460" w:rsidRDefault="00631CE9" w:rsidP="00631CE9">
            <w:pPr>
              <w:spacing w:line="480" w:lineRule="auto"/>
              <w:rPr>
                <w:rFonts w:ascii="Times New Roman" w:hAnsi="Times New Roman" w:cs="Times New Roman"/>
                <w:b/>
                <w:bCs/>
              </w:rPr>
            </w:pPr>
            <w:r w:rsidRPr="005B5460">
              <w:rPr>
                <w:rFonts w:ascii="Times New Roman" w:hAnsi="Times New Roman" w:cs="Times New Roman"/>
                <w:b/>
                <w:bCs/>
              </w:rPr>
              <w:t>Term</w:t>
            </w:r>
          </w:p>
        </w:tc>
        <w:tc>
          <w:tcPr>
            <w:tcW w:w="4062" w:type="dxa"/>
            <w:shd w:val="clear" w:color="auto" w:fill="auto"/>
          </w:tcPr>
          <w:p w14:paraId="5F438FA2" w14:textId="77777777" w:rsidR="00631CE9" w:rsidRPr="005B5460" w:rsidRDefault="00631CE9" w:rsidP="00631CE9">
            <w:pPr>
              <w:spacing w:line="480" w:lineRule="auto"/>
              <w:rPr>
                <w:rFonts w:ascii="Times New Roman" w:hAnsi="Times New Roman" w:cs="Times New Roman"/>
                <w:b/>
                <w:bCs/>
              </w:rPr>
            </w:pPr>
            <w:r w:rsidRPr="005B5460">
              <w:rPr>
                <w:rFonts w:ascii="Times New Roman" w:hAnsi="Times New Roman" w:cs="Times New Roman"/>
                <w:b/>
                <w:bCs/>
              </w:rPr>
              <w:t xml:space="preserve">Keywords/Synonym </w:t>
            </w:r>
          </w:p>
        </w:tc>
      </w:tr>
      <w:tr w:rsidR="00631CE9" w:rsidRPr="005B5460" w14:paraId="74BA0816" w14:textId="77777777" w:rsidTr="00631CE9">
        <w:tc>
          <w:tcPr>
            <w:tcW w:w="3711" w:type="dxa"/>
          </w:tcPr>
          <w:p w14:paraId="5A97613A"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Sarcoma</w:t>
            </w:r>
          </w:p>
        </w:tc>
        <w:tc>
          <w:tcPr>
            <w:tcW w:w="4062" w:type="dxa"/>
          </w:tcPr>
          <w:p w14:paraId="7C79D2B2"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 xml:space="preserve">Or Bone cancer </w:t>
            </w:r>
          </w:p>
          <w:p w14:paraId="6894F4B1"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 xml:space="preserve">Or </w:t>
            </w:r>
            <w:proofErr w:type="spellStart"/>
            <w:r w:rsidRPr="005B5460">
              <w:rPr>
                <w:rFonts w:ascii="Times New Roman" w:hAnsi="Times New Roman" w:cs="Times New Roman"/>
              </w:rPr>
              <w:t>Malignan</w:t>
            </w:r>
            <w:proofErr w:type="spellEnd"/>
            <w:r w:rsidRPr="005B5460">
              <w:rPr>
                <w:rFonts w:ascii="Times New Roman" w:hAnsi="Times New Roman" w:cs="Times New Roman"/>
              </w:rPr>
              <w:t>*</w:t>
            </w:r>
          </w:p>
          <w:p w14:paraId="357C1839"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Or Osteosarcoma</w:t>
            </w:r>
          </w:p>
        </w:tc>
      </w:tr>
      <w:tr w:rsidR="00631CE9" w:rsidRPr="005B5460" w14:paraId="526566B8" w14:textId="77777777" w:rsidTr="00631CE9">
        <w:tc>
          <w:tcPr>
            <w:tcW w:w="7773" w:type="dxa"/>
            <w:gridSpan w:val="2"/>
            <w:shd w:val="clear" w:color="auto" w:fill="D9D9D9" w:themeFill="background1" w:themeFillShade="D9"/>
          </w:tcPr>
          <w:p w14:paraId="1FD53BD7"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AND</w:t>
            </w:r>
          </w:p>
        </w:tc>
      </w:tr>
      <w:tr w:rsidR="00631CE9" w:rsidRPr="005B5460" w14:paraId="4AB293CA" w14:textId="77777777" w:rsidTr="00631CE9">
        <w:tc>
          <w:tcPr>
            <w:tcW w:w="3711" w:type="dxa"/>
            <w:shd w:val="clear" w:color="auto" w:fill="auto"/>
          </w:tcPr>
          <w:p w14:paraId="172282DA"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Knee</w:t>
            </w:r>
          </w:p>
        </w:tc>
        <w:tc>
          <w:tcPr>
            <w:tcW w:w="4062" w:type="dxa"/>
            <w:shd w:val="clear" w:color="auto" w:fill="auto"/>
          </w:tcPr>
          <w:p w14:paraId="2202AF27"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Or Distal femur</w:t>
            </w:r>
          </w:p>
          <w:p w14:paraId="5C06295B"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Or Proximal tibia</w:t>
            </w:r>
          </w:p>
          <w:p w14:paraId="736D7F1E"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Or Patella</w:t>
            </w:r>
          </w:p>
        </w:tc>
      </w:tr>
      <w:tr w:rsidR="00631CE9" w:rsidRPr="005B5460" w14:paraId="0AA0042D" w14:textId="77777777" w:rsidTr="00631CE9">
        <w:tc>
          <w:tcPr>
            <w:tcW w:w="7773" w:type="dxa"/>
            <w:gridSpan w:val="2"/>
            <w:shd w:val="clear" w:color="auto" w:fill="D9D9D9" w:themeFill="background1" w:themeFillShade="D9"/>
          </w:tcPr>
          <w:p w14:paraId="3FDC89D2"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AND</w:t>
            </w:r>
          </w:p>
        </w:tc>
      </w:tr>
      <w:tr w:rsidR="00631CE9" w:rsidRPr="005B5460" w14:paraId="772733F1" w14:textId="77777777" w:rsidTr="00631CE9">
        <w:tc>
          <w:tcPr>
            <w:tcW w:w="3711" w:type="dxa"/>
          </w:tcPr>
          <w:p w14:paraId="37CCDF61"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 xml:space="preserve">Limb salvage </w:t>
            </w:r>
          </w:p>
        </w:tc>
        <w:tc>
          <w:tcPr>
            <w:tcW w:w="4062" w:type="dxa"/>
          </w:tcPr>
          <w:p w14:paraId="49A26C72"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Or Limb sparing</w:t>
            </w:r>
          </w:p>
        </w:tc>
      </w:tr>
      <w:tr w:rsidR="00631CE9" w:rsidRPr="005B5460" w14:paraId="50EB7B60" w14:textId="77777777" w:rsidTr="00631CE9">
        <w:tc>
          <w:tcPr>
            <w:tcW w:w="7773" w:type="dxa"/>
            <w:gridSpan w:val="2"/>
            <w:shd w:val="clear" w:color="auto" w:fill="D9D9D9" w:themeFill="background1" w:themeFillShade="D9"/>
          </w:tcPr>
          <w:p w14:paraId="36009F49"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AND</w:t>
            </w:r>
          </w:p>
        </w:tc>
      </w:tr>
      <w:tr w:rsidR="00631CE9" w:rsidRPr="005B5460" w14:paraId="7E0A08A6" w14:textId="77777777" w:rsidTr="00631CE9">
        <w:tc>
          <w:tcPr>
            <w:tcW w:w="3711" w:type="dxa"/>
          </w:tcPr>
          <w:p w14:paraId="74E8F321"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Functional outcomes</w:t>
            </w:r>
          </w:p>
        </w:tc>
        <w:tc>
          <w:tcPr>
            <w:tcW w:w="4062" w:type="dxa"/>
          </w:tcPr>
          <w:p w14:paraId="27C4305A"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Or Rehabilitation outcomes</w:t>
            </w:r>
          </w:p>
          <w:p w14:paraId="2C7FADCF"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Or Physical activity</w:t>
            </w:r>
          </w:p>
          <w:p w14:paraId="393BB21F"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Or Gait</w:t>
            </w:r>
          </w:p>
          <w:p w14:paraId="422D1386"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Or Mobility</w:t>
            </w:r>
          </w:p>
          <w:p w14:paraId="5652C15D"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Or Participation</w:t>
            </w:r>
          </w:p>
          <w:p w14:paraId="3FD0E3C7"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Or Return to work (</w:t>
            </w:r>
            <w:proofErr w:type="spellStart"/>
            <w:r w:rsidRPr="005B5460">
              <w:rPr>
                <w:rFonts w:ascii="Times New Roman" w:hAnsi="Times New Roman" w:cs="Times New Roman"/>
              </w:rPr>
              <w:t>RtW</w:t>
            </w:r>
            <w:proofErr w:type="spellEnd"/>
            <w:r w:rsidRPr="005B5460">
              <w:rPr>
                <w:rFonts w:ascii="Times New Roman" w:hAnsi="Times New Roman" w:cs="Times New Roman"/>
              </w:rPr>
              <w:t>)</w:t>
            </w:r>
          </w:p>
          <w:p w14:paraId="4BBF1EB6"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OR Quality of life (QoL)</w:t>
            </w:r>
          </w:p>
        </w:tc>
      </w:tr>
    </w:tbl>
    <w:p w14:paraId="5590DF1A" w14:textId="35DFE9E9" w:rsidR="00631CE9" w:rsidRPr="005B5460" w:rsidRDefault="00631CE9" w:rsidP="0081009E">
      <w:pPr>
        <w:spacing w:line="480" w:lineRule="auto"/>
        <w:rPr>
          <w:rFonts w:ascii="Times New Roman" w:hAnsi="Times New Roman" w:cs="Times New Roman"/>
        </w:rPr>
      </w:pPr>
    </w:p>
    <w:p w14:paraId="6A1D6B48" w14:textId="62D379B5" w:rsidR="00631CE9" w:rsidRPr="005B5460" w:rsidRDefault="00631CE9" w:rsidP="0081009E">
      <w:pPr>
        <w:spacing w:line="480" w:lineRule="auto"/>
        <w:rPr>
          <w:rFonts w:ascii="Times New Roman" w:hAnsi="Times New Roman" w:cs="Times New Roman"/>
        </w:rPr>
      </w:pPr>
      <w:r w:rsidRPr="005B5460">
        <w:rPr>
          <w:rFonts w:ascii="Times New Roman" w:hAnsi="Times New Roman" w:cs="Times New Roman"/>
        </w:rPr>
        <w:lastRenderedPageBreak/>
        <w:t xml:space="preserve">Table 3: </w:t>
      </w:r>
      <w:r w:rsidR="00DE49A9" w:rsidRPr="005B5460">
        <w:rPr>
          <w:rFonts w:ascii="Times New Roman" w:hAnsi="Times New Roman" w:cs="Times New Roman"/>
        </w:rPr>
        <w:t>Inclusion/exclusion criteria for the review.</w:t>
      </w:r>
    </w:p>
    <w:tbl>
      <w:tblPr>
        <w:tblStyle w:val="TableGrid"/>
        <w:tblpPr w:leftFromText="180" w:rightFromText="180" w:vertAnchor="text" w:horzAnchor="margin" w:tblpX="-10" w:tblpY="2"/>
        <w:tblW w:w="8285" w:type="dxa"/>
        <w:tblLook w:val="04A0" w:firstRow="1" w:lastRow="0" w:firstColumn="1" w:lastColumn="0" w:noHBand="0" w:noVBand="1"/>
      </w:tblPr>
      <w:tblGrid>
        <w:gridCol w:w="1985"/>
        <w:gridCol w:w="6300"/>
      </w:tblGrid>
      <w:tr w:rsidR="00631CE9" w:rsidRPr="005B5460" w14:paraId="28D5E794" w14:textId="77777777" w:rsidTr="00631CE9">
        <w:trPr>
          <w:trHeight w:val="350"/>
        </w:trPr>
        <w:tc>
          <w:tcPr>
            <w:tcW w:w="1985" w:type="dxa"/>
            <w:shd w:val="clear" w:color="auto" w:fill="D9D9D9" w:themeFill="background1" w:themeFillShade="D9"/>
          </w:tcPr>
          <w:p w14:paraId="1E099F2D" w14:textId="77777777" w:rsidR="00631CE9" w:rsidRPr="005B5460" w:rsidRDefault="00631CE9" w:rsidP="00631CE9">
            <w:pPr>
              <w:spacing w:line="480" w:lineRule="auto"/>
              <w:rPr>
                <w:rFonts w:ascii="Times New Roman" w:hAnsi="Times New Roman" w:cs="Times New Roman"/>
                <w:b/>
                <w:bCs/>
              </w:rPr>
            </w:pPr>
            <w:r w:rsidRPr="005B5460">
              <w:rPr>
                <w:rFonts w:ascii="Times New Roman" w:hAnsi="Times New Roman" w:cs="Times New Roman"/>
                <w:b/>
                <w:bCs/>
              </w:rPr>
              <w:t>Inclusion</w:t>
            </w:r>
          </w:p>
        </w:tc>
        <w:tc>
          <w:tcPr>
            <w:tcW w:w="6300" w:type="dxa"/>
            <w:shd w:val="clear" w:color="auto" w:fill="D9D9D9" w:themeFill="background1" w:themeFillShade="D9"/>
          </w:tcPr>
          <w:p w14:paraId="722C4EBF" w14:textId="77777777" w:rsidR="00631CE9" w:rsidRPr="005B5460" w:rsidRDefault="00631CE9" w:rsidP="00631CE9">
            <w:pPr>
              <w:spacing w:line="480" w:lineRule="auto"/>
              <w:rPr>
                <w:rFonts w:ascii="Times New Roman" w:hAnsi="Times New Roman" w:cs="Times New Roman"/>
                <w:b/>
                <w:bCs/>
              </w:rPr>
            </w:pPr>
            <w:r w:rsidRPr="005B5460">
              <w:rPr>
                <w:rFonts w:ascii="Times New Roman" w:hAnsi="Times New Roman" w:cs="Times New Roman"/>
                <w:b/>
                <w:bCs/>
              </w:rPr>
              <w:t>Rationale</w:t>
            </w:r>
          </w:p>
        </w:tc>
      </w:tr>
      <w:tr w:rsidR="00631CE9" w:rsidRPr="005B5460" w14:paraId="60EF69A1" w14:textId="77777777" w:rsidTr="00631CE9">
        <w:trPr>
          <w:trHeight w:val="698"/>
        </w:trPr>
        <w:tc>
          <w:tcPr>
            <w:tcW w:w="1985" w:type="dxa"/>
          </w:tcPr>
          <w:p w14:paraId="3121EBB6"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English language literature</w:t>
            </w:r>
          </w:p>
        </w:tc>
        <w:tc>
          <w:tcPr>
            <w:tcW w:w="6300" w:type="dxa"/>
          </w:tcPr>
          <w:p w14:paraId="7D5C81E0"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Non-English papers require translation, which is not practical due to limited time and resources.</w:t>
            </w:r>
          </w:p>
        </w:tc>
      </w:tr>
      <w:tr w:rsidR="00631CE9" w:rsidRPr="005B5460" w14:paraId="71D3C0FF" w14:textId="77777777" w:rsidTr="00631CE9">
        <w:trPr>
          <w:trHeight w:val="710"/>
        </w:trPr>
        <w:tc>
          <w:tcPr>
            <w:tcW w:w="1985" w:type="dxa"/>
          </w:tcPr>
          <w:p w14:paraId="5BB43E0C"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2009 and onward</w:t>
            </w:r>
          </w:p>
        </w:tc>
        <w:tc>
          <w:tcPr>
            <w:tcW w:w="6300" w:type="dxa"/>
          </w:tcPr>
          <w:p w14:paraId="2CBD362A"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To focus on the quality of articles concerned with limb salvage after publication of the clinical recommendations from the European Society of Medical Oncology in 2009, which are widely accepted by global committees and institutions.</w:t>
            </w:r>
          </w:p>
        </w:tc>
      </w:tr>
      <w:tr w:rsidR="00631CE9" w:rsidRPr="005B5460" w14:paraId="1D038D28" w14:textId="77777777" w:rsidTr="00631CE9">
        <w:trPr>
          <w:trHeight w:val="818"/>
        </w:trPr>
        <w:tc>
          <w:tcPr>
            <w:tcW w:w="1985" w:type="dxa"/>
          </w:tcPr>
          <w:p w14:paraId="639FEB60"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 xml:space="preserve">Full access available </w:t>
            </w:r>
          </w:p>
        </w:tc>
        <w:tc>
          <w:tcPr>
            <w:tcW w:w="6300" w:type="dxa"/>
          </w:tcPr>
          <w:p w14:paraId="09159BB8"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Limited resources to access the unavailable articles.</w:t>
            </w:r>
          </w:p>
        </w:tc>
      </w:tr>
      <w:tr w:rsidR="00631CE9" w:rsidRPr="005B5460" w14:paraId="36FF101A" w14:textId="77777777" w:rsidTr="00631CE9">
        <w:trPr>
          <w:trHeight w:val="818"/>
        </w:trPr>
        <w:tc>
          <w:tcPr>
            <w:tcW w:w="1985" w:type="dxa"/>
          </w:tcPr>
          <w:p w14:paraId="2C4AEA8F" w14:textId="49787C1B"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 xml:space="preserve">Limb salvage for </w:t>
            </w:r>
            <w:r w:rsidR="00AB1C2F" w:rsidRPr="005B5460">
              <w:rPr>
                <w:rFonts w:ascii="Times New Roman" w:hAnsi="Times New Roman" w:cs="Times New Roman"/>
              </w:rPr>
              <w:t xml:space="preserve">primary </w:t>
            </w:r>
            <w:r w:rsidRPr="005B5460">
              <w:rPr>
                <w:rFonts w:ascii="Times New Roman" w:hAnsi="Times New Roman" w:cs="Times New Roman"/>
              </w:rPr>
              <w:t xml:space="preserve">bone </w:t>
            </w:r>
            <w:proofErr w:type="spellStart"/>
            <w:r w:rsidR="00AB1C2F" w:rsidRPr="005B5460">
              <w:rPr>
                <w:rFonts w:ascii="Times New Roman" w:hAnsi="Times New Roman" w:cs="Times New Roman"/>
              </w:rPr>
              <w:t>tumo</w:t>
            </w:r>
            <w:r w:rsidR="00CA1540" w:rsidRPr="005B5460">
              <w:rPr>
                <w:rFonts w:ascii="Times New Roman" w:hAnsi="Times New Roman" w:cs="Times New Roman"/>
              </w:rPr>
              <w:t>u</w:t>
            </w:r>
            <w:r w:rsidR="00AB1C2F" w:rsidRPr="005B5460">
              <w:rPr>
                <w:rFonts w:ascii="Times New Roman" w:hAnsi="Times New Roman" w:cs="Times New Roman"/>
              </w:rPr>
              <w:t>rs</w:t>
            </w:r>
            <w:proofErr w:type="spellEnd"/>
          </w:p>
        </w:tc>
        <w:tc>
          <w:tcPr>
            <w:tcW w:w="6300" w:type="dxa"/>
          </w:tcPr>
          <w:p w14:paraId="51153E2C"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The scope of this literature review focuses on outcomes of limb salvage with patients who were diagnosed with cancer; therefore, other conditions such as vascular, trauma and diabetes must be excluded.</w:t>
            </w:r>
          </w:p>
        </w:tc>
      </w:tr>
      <w:tr w:rsidR="00631CE9" w:rsidRPr="005B5460" w14:paraId="19836EED" w14:textId="77777777" w:rsidTr="00631CE9">
        <w:trPr>
          <w:trHeight w:val="818"/>
        </w:trPr>
        <w:tc>
          <w:tcPr>
            <w:tcW w:w="1985" w:type="dxa"/>
          </w:tcPr>
          <w:p w14:paraId="7219816B"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 xml:space="preserve">Mixed qualitative and quantitative in form of experimental and observational studies, </w:t>
            </w:r>
            <w:proofErr w:type="spellStart"/>
            <w:r w:rsidRPr="005B5460">
              <w:rPr>
                <w:rFonts w:ascii="Times New Roman" w:hAnsi="Times New Roman" w:cs="Times New Roman"/>
              </w:rPr>
              <w:t>randomised</w:t>
            </w:r>
            <w:proofErr w:type="spellEnd"/>
            <w:r w:rsidRPr="005B5460">
              <w:rPr>
                <w:rFonts w:ascii="Times New Roman" w:hAnsi="Times New Roman" w:cs="Times New Roman"/>
              </w:rPr>
              <w:t xml:space="preserve"> control trials, quasi-experimental research, cohort studies, case-</w:t>
            </w:r>
            <w:r w:rsidRPr="005B5460">
              <w:rPr>
                <w:rFonts w:ascii="Times New Roman" w:hAnsi="Times New Roman" w:cs="Times New Roman"/>
              </w:rPr>
              <w:lastRenderedPageBreak/>
              <w:t>control studies, cross-sectional studies and retrospective chart reviews</w:t>
            </w:r>
          </w:p>
        </w:tc>
        <w:tc>
          <w:tcPr>
            <w:tcW w:w="6300" w:type="dxa"/>
          </w:tcPr>
          <w:p w14:paraId="5786ED1E"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lastRenderedPageBreak/>
              <w:t xml:space="preserve">Both qualitative and quantitative outcomes were presented in the literature. Qualitative studies were included to consider the outcomes from a population point of view. </w:t>
            </w:r>
          </w:p>
          <w:p w14:paraId="6E436C7D"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 xml:space="preserve">As the scope of this literature review focused on exploring the outcomes of limb salvage intervention, observational longitudinal studies were limited to cohort studies, case-control studies and high-quality retrospective chart reviews in order to obtain valuable data from such studies (22). </w:t>
            </w:r>
          </w:p>
          <w:p w14:paraId="2BA5FA63"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lastRenderedPageBreak/>
              <w:t>Case series, case reports and expert opinions were excluded so as to focus on high-quality evidence-based practice articles.</w:t>
            </w:r>
          </w:p>
        </w:tc>
      </w:tr>
      <w:tr w:rsidR="00631CE9" w:rsidRPr="005B5460" w14:paraId="78D2C186" w14:textId="77777777" w:rsidTr="00631CE9">
        <w:trPr>
          <w:trHeight w:val="2870"/>
        </w:trPr>
        <w:tc>
          <w:tcPr>
            <w:tcW w:w="1985" w:type="dxa"/>
          </w:tcPr>
          <w:p w14:paraId="62432E19"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lastRenderedPageBreak/>
              <w:t>Limb salvage procedures including allograft, endoprostheses and both techniques</w:t>
            </w:r>
          </w:p>
        </w:tc>
        <w:tc>
          <w:tcPr>
            <w:tcW w:w="6300" w:type="dxa"/>
          </w:tcPr>
          <w:p w14:paraId="464C512B"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 xml:space="preserve">This literature review focused on limb salvage techniques intended to remove the </w:t>
            </w:r>
            <w:proofErr w:type="spellStart"/>
            <w:r w:rsidRPr="005B5460">
              <w:rPr>
                <w:rFonts w:ascii="Times New Roman" w:hAnsi="Times New Roman" w:cs="Times New Roman"/>
              </w:rPr>
              <w:t>tumour</w:t>
            </w:r>
            <w:proofErr w:type="spellEnd"/>
            <w:r w:rsidRPr="005B5460">
              <w:rPr>
                <w:rFonts w:ascii="Times New Roman" w:hAnsi="Times New Roman" w:cs="Times New Roman"/>
              </w:rPr>
              <w:t>, as defined in this literature review, with interventions for resuming functional levels. Articles that focused on outcomes or efficacies of procedures or interventions other than limb salvage techniques (which are supposed to reconstruct the limb or enhance the surgical procedure of the limb salvage) were excluded, as they are not the main objective of this literature review.</w:t>
            </w:r>
          </w:p>
        </w:tc>
      </w:tr>
      <w:tr w:rsidR="00631CE9" w:rsidRPr="005B5460" w14:paraId="76A09692" w14:textId="77777777" w:rsidTr="00631CE9">
        <w:trPr>
          <w:trHeight w:val="1160"/>
        </w:trPr>
        <w:tc>
          <w:tcPr>
            <w:tcW w:w="1985" w:type="dxa"/>
          </w:tcPr>
          <w:p w14:paraId="485728E4"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Limb salvage/sparing procedures</w:t>
            </w:r>
          </w:p>
        </w:tc>
        <w:tc>
          <w:tcPr>
            <w:tcW w:w="6300" w:type="dxa"/>
          </w:tcPr>
          <w:p w14:paraId="52C88C5E"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 xml:space="preserve">Other procedures which are considered ablative such as amputation and </w:t>
            </w:r>
            <w:proofErr w:type="spellStart"/>
            <w:r w:rsidRPr="005B5460">
              <w:rPr>
                <w:rFonts w:ascii="Times New Roman" w:hAnsi="Times New Roman" w:cs="Times New Roman"/>
              </w:rPr>
              <w:t>rotationplasty</w:t>
            </w:r>
            <w:proofErr w:type="spellEnd"/>
            <w:r w:rsidRPr="005B5460">
              <w:rPr>
                <w:rFonts w:ascii="Times New Roman" w:hAnsi="Times New Roman" w:cs="Times New Roman"/>
              </w:rPr>
              <w:t xml:space="preserve"> involve wearing an external prosthesis. These were excluded as they are not within the scope of this review.</w:t>
            </w:r>
          </w:p>
          <w:p w14:paraId="72BDCE4F"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However, articles that included ablative surgery as a comparison group were included.</w:t>
            </w:r>
          </w:p>
        </w:tc>
      </w:tr>
      <w:tr w:rsidR="00631CE9" w:rsidRPr="005B5460" w14:paraId="1C3E0174" w14:textId="77777777" w:rsidTr="00631CE9">
        <w:trPr>
          <w:trHeight w:val="1160"/>
        </w:trPr>
        <w:tc>
          <w:tcPr>
            <w:tcW w:w="1985" w:type="dxa"/>
          </w:tcPr>
          <w:p w14:paraId="09BD5235"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Articles with more than one measure for functional, physical or QoL outcomes</w:t>
            </w:r>
          </w:p>
        </w:tc>
        <w:tc>
          <w:tcPr>
            <w:tcW w:w="6300" w:type="dxa"/>
          </w:tcPr>
          <w:p w14:paraId="3F0775C6" w14:textId="77777777" w:rsidR="00631CE9" w:rsidRPr="005B5460" w:rsidRDefault="00631CE9" w:rsidP="00631CE9">
            <w:pPr>
              <w:spacing w:line="480" w:lineRule="auto"/>
              <w:rPr>
                <w:rFonts w:ascii="Times New Roman" w:hAnsi="Times New Roman" w:cs="Times New Roman"/>
              </w:rPr>
            </w:pPr>
            <w:r w:rsidRPr="005B5460">
              <w:rPr>
                <w:rFonts w:ascii="Times New Roman" w:hAnsi="Times New Roman" w:cs="Times New Roman"/>
              </w:rPr>
              <w:t>Single-outcome measurement scores do not provide sufficient context for functional, physical or QoL outcomes, as they might be either a patient-oriented or an objective measure. Therefore, more than one outcome measure was required in the articles concerned with non-oncological outcomes to provide sufficient data for inclusion.</w:t>
            </w:r>
          </w:p>
        </w:tc>
      </w:tr>
    </w:tbl>
    <w:p w14:paraId="23C8ED18" w14:textId="6E3C6BC9" w:rsidR="00631CE9" w:rsidRPr="005B5460" w:rsidRDefault="00631CE9" w:rsidP="0081009E">
      <w:pPr>
        <w:spacing w:line="480" w:lineRule="auto"/>
        <w:rPr>
          <w:rFonts w:ascii="Times New Roman" w:hAnsi="Times New Roman" w:cs="Times New Roman"/>
        </w:rPr>
      </w:pPr>
    </w:p>
    <w:p w14:paraId="230A002E" w14:textId="77777777" w:rsidR="00631CE9" w:rsidRPr="005B5460" w:rsidRDefault="00631CE9" w:rsidP="0081009E">
      <w:pPr>
        <w:spacing w:line="480" w:lineRule="auto"/>
        <w:rPr>
          <w:rFonts w:ascii="Times New Roman" w:hAnsi="Times New Roman" w:cs="Times New Roman"/>
        </w:rPr>
        <w:sectPr w:rsidR="00631CE9" w:rsidRPr="005B5460" w:rsidSect="0032329D">
          <w:headerReference w:type="even" r:id="rId10"/>
          <w:headerReference w:type="default" r:id="rId11"/>
          <w:footerReference w:type="even" r:id="rId12"/>
          <w:footerReference w:type="default" r:id="rId13"/>
          <w:pgSz w:w="11900" w:h="16840"/>
          <w:pgMar w:top="1701" w:right="1701" w:bottom="1701" w:left="1701" w:header="709" w:footer="709" w:gutter="0"/>
          <w:cols w:space="708"/>
          <w:docGrid w:linePitch="360"/>
        </w:sectPr>
      </w:pPr>
    </w:p>
    <w:p w14:paraId="1EFFF575" w14:textId="75E43B24" w:rsidR="00631CE9" w:rsidRPr="005B5460" w:rsidRDefault="00631CE9" w:rsidP="0081009E">
      <w:pPr>
        <w:spacing w:line="480" w:lineRule="auto"/>
        <w:rPr>
          <w:rFonts w:ascii="Times New Roman" w:hAnsi="Times New Roman" w:cs="Times New Roman"/>
        </w:rPr>
      </w:pPr>
      <w:r w:rsidRPr="005B5460">
        <w:rPr>
          <w:rFonts w:ascii="Times New Roman" w:hAnsi="Times New Roman" w:cs="Times New Roman"/>
        </w:rPr>
        <w:lastRenderedPageBreak/>
        <w:t xml:space="preserve">Table 4: </w:t>
      </w:r>
      <w:r w:rsidR="00A15183" w:rsidRPr="005B5460">
        <w:rPr>
          <w:rFonts w:ascii="Times New Roman" w:hAnsi="Times New Roman" w:cs="Times New Roman"/>
        </w:rPr>
        <w:t>Review results: Articles identified from methods described.</w:t>
      </w:r>
      <w:r w:rsidRPr="005B5460">
        <w:rPr>
          <w:rStyle w:val="FootnoteReference"/>
          <w:rFonts w:ascii="Times New Roman" w:hAnsi="Times New Roman" w:cs="Times New Roman"/>
        </w:rPr>
        <w:footnoteReference w:id="2"/>
      </w:r>
    </w:p>
    <w:tbl>
      <w:tblPr>
        <w:tblStyle w:val="TableGrid1"/>
        <w:tblW w:w="13865" w:type="dxa"/>
        <w:tblInd w:w="-545" w:type="dxa"/>
        <w:tblLayout w:type="fixed"/>
        <w:tblLook w:val="04A0" w:firstRow="1" w:lastRow="0" w:firstColumn="1" w:lastColumn="0" w:noHBand="0" w:noVBand="1"/>
      </w:tblPr>
      <w:tblGrid>
        <w:gridCol w:w="1533"/>
        <w:gridCol w:w="1134"/>
        <w:gridCol w:w="1559"/>
        <w:gridCol w:w="1418"/>
        <w:gridCol w:w="1701"/>
        <w:gridCol w:w="1700"/>
        <w:gridCol w:w="2552"/>
        <w:gridCol w:w="2268"/>
      </w:tblGrid>
      <w:tr w:rsidR="00DE49A9" w:rsidRPr="005B5460" w14:paraId="2EC31DED" w14:textId="77777777" w:rsidTr="00DE49A9">
        <w:trPr>
          <w:tblHeader/>
        </w:trPr>
        <w:tc>
          <w:tcPr>
            <w:tcW w:w="1533" w:type="dxa"/>
            <w:shd w:val="clear" w:color="auto" w:fill="D9D9D9" w:themeFill="background1" w:themeFillShade="D9"/>
          </w:tcPr>
          <w:p w14:paraId="51B5B6D5" w14:textId="290C3FE3" w:rsidR="00631CE9" w:rsidRPr="005B5460" w:rsidRDefault="00C42607" w:rsidP="00DE49A9">
            <w:pPr>
              <w:spacing w:line="240" w:lineRule="auto"/>
              <w:rPr>
                <w:rFonts w:ascii="Times New Roman" w:hAnsi="Times New Roman" w:cs="Times New Roman"/>
                <w:b/>
                <w:bCs/>
                <w:sz w:val="20"/>
                <w:szCs w:val="20"/>
              </w:rPr>
            </w:pPr>
            <w:r w:rsidRPr="005B5460">
              <w:rPr>
                <w:rFonts w:ascii="Times New Roman" w:hAnsi="Times New Roman" w:cs="Times New Roman"/>
                <w:b/>
                <w:bCs/>
                <w:sz w:val="20"/>
                <w:szCs w:val="20"/>
              </w:rPr>
              <w:t>Reference</w:t>
            </w:r>
            <w:r w:rsidR="00631CE9" w:rsidRPr="005B5460">
              <w:rPr>
                <w:rFonts w:ascii="Times New Roman" w:hAnsi="Times New Roman" w:cs="Times New Roman"/>
                <w:b/>
                <w:bCs/>
                <w:sz w:val="20"/>
                <w:szCs w:val="20"/>
              </w:rPr>
              <w:t>, Date of Publication</w:t>
            </w:r>
            <w:r w:rsidR="00F11B6F" w:rsidRPr="005B5460">
              <w:rPr>
                <w:rFonts w:ascii="Times New Roman" w:hAnsi="Times New Roman" w:cs="Times New Roman"/>
                <w:b/>
                <w:bCs/>
                <w:sz w:val="20"/>
                <w:szCs w:val="20"/>
              </w:rPr>
              <w:t xml:space="preserve"> &amp; Location</w:t>
            </w:r>
          </w:p>
        </w:tc>
        <w:tc>
          <w:tcPr>
            <w:tcW w:w="1134" w:type="dxa"/>
            <w:shd w:val="clear" w:color="auto" w:fill="D9D9D9" w:themeFill="background1" w:themeFillShade="D9"/>
          </w:tcPr>
          <w:p w14:paraId="4333E637" w14:textId="5F3D6812" w:rsidR="00631CE9" w:rsidRPr="005B5460" w:rsidRDefault="006F2C2C" w:rsidP="00DE49A9">
            <w:pPr>
              <w:spacing w:line="240" w:lineRule="auto"/>
              <w:rPr>
                <w:rFonts w:ascii="Times New Roman" w:hAnsi="Times New Roman" w:cs="Times New Roman"/>
                <w:b/>
                <w:bCs/>
                <w:sz w:val="20"/>
                <w:szCs w:val="20"/>
              </w:rPr>
            </w:pPr>
            <w:r w:rsidRPr="005B5460">
              <w:rPr>
                <w:rFonts w:ascii="Times New Roman" w:hAnsi="Times New Roman" w:cs="Times New Roman"/>
                <w:b/>
                <w:bCs/>
                <w:sz w:val="20"/>
                <w:szCs w:val="20"/>
              </w:rPr>
              <w:t>Sample</w:t>
            </w:r>
          </w:p>
        </w:tc>
        <w:tc>
          <w:tcPr>
            <w:tcW w:w="1559" w:type="dxa"/>
            <w:shd w:val="clear" w:color="auto" w:fill="D9D9D9" w:themeFill="background1" w:themeFillShade="D9"/>
          </w:tcPr>
          <w:p w14:paraId="3913A7D8" w14:textId="77777777" w:rsidR="00631CE9" w:rsidRPr="005B5460" w:rsidRDefault="00631CE9" w:rsidP="00DE49A9">
            <w:pPr>
              <w:spacing w:line="240" w:lineRule="auto"/>
              <w:rPr>
                <w:rFonts w:ascii="Times New Roman" w:hAnsi="Times New Roman" w:cs="Times New Roman"/>
                <w:b/>
                <w:bCs/>
                <w:sz w:val="20"/>
                <w:szCs w:val="20"/>
              </w:rPr>
            </w:pPr>
            <w:r w:rsidRPr="005B5460">
              <w:rPr>
                <w:rFonts w:ascii="Times New Roman" w:hAnsi="Times New Roman" w:cs="Times New Roman"/>
                <w:b/>
                <w:bCs/>
                <w:sz w:val="20"/>
                <w:szCs w:val="20"/>
              </w:rPr>
              <w:t>Type of Study</w:t>
            </w:r>
          </w:p>
        </w:tc>
        <w:tc>
          <w:tcPr>
            <w:tcW w:w="1418" w:type="dxa"/>
            <w:shd w:val="clear" w:color="auto" w:fill="D9D9D9" w:themeFill="background1" w:themeFillShade="D9"/>
          </w:tcPr>
          <w:p w14:paraId="421AD778" w14:textId="77777777" w:rsidR="00631CE9" w:rsidRPr="005B5460" w:rsidRDefault="00631CE9" w:rsidP="00DE49A9">
            <w:pPr>
              <w:spacing w:line="240" w:lineRule="auto"/>
              <w:rPr>
                <w:rFonts w:ascii="Times New Roman" w:hAnsi="Times New Roman" w:cs="Times New Roman"/>
                <w:b/>
                <w:bCs/>
                <w:sz w:val="20"/>
                <w:szCs w:val="20"/>
              </w:rPr>
            </w:pPr>
            <w:r w:rsidRPr="005B5460">
              <w:rPr>
                <w:rFonts w:ascii="Times New Roman" w:hAnsi="Times New Roman" w:cs="Times New Roman"/>
                <w:b/>
                <w:bCs/>
                <w:sz w:val="20"/>
                <w:szCs w:val="20"/>
              </w:rPr>
              <w:t>Method of Research</w:t>
            </w:r>
          </w:p>
        </w:tc>
        <w:tc>
          <w:tcPr>
            <w:tcW w:w="1701" w:type="dxa"/>
            <w:shd w:val="clear" w:color="auto" w:fill="D9D9D9" w:themeFill="background1" w:themeFillShade="D9"/>
          </w:tcPr>
          <w:p w14:paraId="1AC8F3CF" w14:textId="77777777" w:rsidR="00631CE9" w:rsidRPr="005B5460" w:rsidRDefault="00631CE9" w:rsidP="00DE49A9">
            <w:pPr>
              <w:spacing w:line="240" w:lineRule="auto"/>
              <w:rPr>
                <w:rFonts w:ascii="Times New Roman" w:hAnsi="Times New Roman" w:cs="Times New Roman"/>
                <w:b/>
                <w:bCs/>
                <w:sz w:val="20"/>
                <w:szCs w:val="20"/>
              </w:rPr>
            </w:pPr>
            <w:r w:rsidRPr="005B5460">
              <w:rPr>
                <w:rFonts w:ascii="Times New Roman" w:hAnsi="Times New Roman" w:cs="Times New Roman"/>
                <w:b/>
                <w:bCs/>
                <w:sz w:val="20"/>
                <w:szCs w:val="20"/>
              </w:rPr>
              <w:t xml:space="preserve">Outcome Measure </w:t>
            </w:r>
          </w:p>
        </w:tc>
        <w:tc>
          <w:tcPr>
            <w:tcW w:w="1700" w:type="dxa"/>
            <w:shd w:val="clear" w:color="auto" w:fill="D9D9D9" w:themeFill="background1" w:themeFillShade="D9"/>
          </w:tcPr>
          <w:p w14:paraId="2A3DFE2E" w14:textId="5F6BAFB0" w:rsidR="00631CE9" w:rsidRPr="005B5460" w:rsidRDefault="00631CE9" w:rsidP="00DE49A9">
            <w:pPr>
              <w:spacing w:line="240" w:lineRule="auto"/>
              <w:rPr>
                <w:rFonts w:ascii="Times New Roman" w:hAnsi="Times New Roman" w:cs="Times New Roman"/>
                <w:b/>
                <w:bCs/>
                <w:sz w:val="20"/>
                <w:szCs w:val="20"/>
              </w:rPr>
            </w:pPr>
            <w:r w:rsidRPr="005B5460">
              <w:rPr>
                <w:rFonts w:ascii="Times New Roman" w:hAnsi="Times New Roman" w:cs="Times New Roman"/>
                <w:b/>
                <w:bCs/>
                <w:sz w:val="20"/>
                <w:szCs w:val="20"/>
              </w:rPr>
              <w:t xml:space="preserve">Procedure Type </w:t>
            </w:r>
          </w:p>
        </w:tc>
        <w:tc>
          <w:tcPr>
            <w:tcW w:w="2552" w:type="dxa"/>
            <w:shd w:val="clear" w:color="auto" w:fill="D9D9D9" w:themeFill="background1" w:themeFillShade="D9"/>
          </w:tcPr>
          <w:p w14:paraId="274CE41C" w14:textId="77777777" w:rsidR="00631CE9" w:rsidRPr="005B5460" w:rsidRDefault="00631CE9" w:rsidP="00DE49A9">
            <w:pPr>
              <w:spacing w:line="240" w:lineRule="auto"/>
              <w:rPr>
                <w:rFonts w:ascii="Times New Roman" w:hAnsi="Times New Roman" w:cs="Times New Roman"/>
                <w:b/>
                <w:bCs/>
                <w:sz w:val="20"/>
                <w:szCs w:val="20"/>
              </w:rPr>
            </w:pPr>
            <w:r w:rsidRPr="005B5460">
              <w:rPr>
                <w:rFonts w:ascii="Times New Roman" w:hAnsi="Times New Roman" w:cs="Times New Roman"/>
                <w:b/>
                <w:bCs/>
                <w:sz w:val="20"/>
                <w:szCs w:val="20"/>
              </w:rPr>
              <w:t>Key Findings</w:t>
            </w:r>
          </w:p>
        </w:tc>
        <w:tc>
          <w:tcPr>
            <w:tcW w:w="2268" w:type="dxa"/>
            <w:shd w:val="clear" w:color="auto" w:fill="D9D9D9" w:themeFill="background1" w:themeFillShade="D9"/>
          </w:tcPr>
          <w:p w14:paraId="4BD7BEE4" w14:textId="77777777" w:rsidR="00631CE9" w:rsidRPr="005B5460" w:rsidRDefault="00631CE9" w:rsidP="00DE49A9">
            <w:pPr>
              <w:spacing w:line="240" w:lineRule="auto"/>
              <w:rPr>
                <w:rFonts w:ascii="Times New Roman" w:hAnsi="Times New Roman" w:cs="Times New Roman"/>
                <w:b/>
                <w:bCs/>
                <w:sz w:val="20"/>
                <w:szCs w:val="20"/>
              </w:rPr>
            </w:pPr>
            <w:r w:rsidRPr="005B5460">
              <w:rPr>
                <w:rFonts w:ascii="Times New Roman" w:hAnsi="Times New Roman" w:cs="Times New Roman"/>
                <w:b/>
                <w:bCs/>
                <w:sz w:val="20"/>
                <w:szCs w:val="20"/>
              </w:rPr>
              <w:t>Limitations</w:t>
            </w:r>
          </w:p>
        </w:tc>
      </w:tr>
      <w:tr w:rsidR="00DE49A9" w:rsidRPr="005B5460" w14:paraId="17704419" w14:textId="77777777" w:rsidTr="00DE49A9">
        <w:tc>
          <w:tcPr>
            <w:tcW w:w="1533" w:type="dxa"/>
          </w:tcPr>
          <w:p w14:paraId="0E5FD28F" w14:textId="1E32DBB0" w:rsidR="00631CE9" w:rsidRPr="005B5460" w:rsidRDefault="00631CE9" w:rsidP="00DE49A9">
            <w:pPr>
              <w:pStyle w:val="ListParagraph"/>
              <w:numPr>
                <w:ilvl w:val="0"/>
                <w:numId w:val="32"/>
              </w:numPr>
              <w:spacing w:after="0" w:line="240" w:lineRule="auto"/>
              <w:ind w:left="162" w:hanging="180"/>
              <w:rPr>
                <w:rFonts w:ascii="Times New Roman" w:hAnsi="Times New Roman" w:cs="Times New Roman"/>
                <w:sz w:val="20"/>
                <w:szCs w:val="20"/>
              </w:rPr>
            </w:pPr>
            <w:r w:rsidRPr="005B5460">
              <w:rPr>
                <w:rFonts w:ascii="Times New Roman" w:hAnsi="Times New Roman" w:cs="Times New Roman"/>
                <w:sz w:val="20"/>
                <w:szCs w:val="20"/>
              </w:rPr>
              <w:t xml:space="preserve"> </w:t>
            </w:r>
            <w:r w:rsidR="00CE2747" w:rsidRPr="005B5460">
              <w:rPr>
                <w:rFonts w:ascii="Times New Roman" w:hAnsi="Times New Roman" w:cs="Times New Roman"/>
                <w:sz w:val="20"/>
                <w:szCs w:val="20"/>
              </w:rPr>
              <w:fldChar w:fldCharType="begin" w:fldLock="1"/>
            </w:r>
            <w:r w:rsidR="00FE7C38" w:rsidRPr="005B5460">
              <w:rPr>
                <w:rFonts w:ascii="Times New Roman" w:hAnsi="Times New Roman" w:cs="Times New Roman"/>
                <w:sz w:val="20"/>
                <w:szCs w:val="20"/>
              </w:rPr>
              <w:instrText>ADDIN CSL_CITATION {"citationItems":[{"id":"ITEM-1","itemData":{"DOI":"10.1002/jso.24618","ISSN":"1096-9098 (Electronic)","PMID":"28384378","abstract":"BACKGROUND AND OBJECTIVES: In a previous conducted study functional outcome of young  patients with bone sarcoma located around the knee was longitudinally evaluated during the first 2 years postoperatively. Functional outcome improved significantly over the first 2 years. The purpose of this descriptive study was to evaluate the functional outcome of these patients at long-term follow-up of 7 years. METHODS: Functional outcome was assessed with the TESS, MSTS, Baecke questionnaire, and three functional performance tests: time up and down stairs (TUDS), various walking activities (VWA), and the 6-min walking test (6MWT). Linear Mixed Model has been employed for the repeated measurements. RESULTS: Twenty patients of the original study (n = 44) participated in the current study. Fifteen limb-salvage and five ablative surgery patients, median follow-up 7.4 years (6.8-8.0) (CI 95%), mean age 22.3 years (18.2-31.6). Between 2 and 7 years after surgery, 8 limb-salvage patients (53%) encountered surgery related complications. Questionnaires and functional performance tests showed no significant difference in functional outcome between 2 years and 7 years after surgery (P &lt; 0.05). CONCLUSIONS: Between 2 years and follow-up at average 7 years after surgery no further improvements were noticed at young patients with a bone sarcoma located around the knee.","author":[{"dropping-particle":"","family":"Egmond-van Dam","given":"Janneke C","non-dropping-particle":"van","parse-names":false,"suffix":""},{"dropping-particle":"","family":"Bekkering","given":"W Peter","non-dropping-particle":"","parse-names":false,"suffix":""},{"dropping-particle":"","family":"Bramer","given":"Jos A M","non-dropping-particle":"","parse-names":false,"suffix":""},{"dropping-particle":"","family":"Beishuizen","given":"Auke","non-dropping-particle":"","parse-names":false,"suffix":""},{"dropping-particle":"","family":"Fiocco","given":"Marta","non-dropping-particle":"","parse-names":false,"suffix":""},{"dropping-particle":"","family":"Dijkstra","given":"P D Sander","non-dropping-particle":"","parse-names":false,"suffix":""}],"container-title":"Journal of surgical oncology","id":"ITEM-1","issue":"8","issued":{"date-parts":[["2017","6"]]},"language":"eng","page":"1028-1032","title":"Functional outcome after surgery in patients with bone sarcoma around the knee;  results from a long-term prospective study.","type":"article-journal","volume":"115"},"uris":["http://www.mendeley.com/documents/?uuid=d0dd1dc4-c702-4d78-bb3f-fc5899a688ed"]}],"mendeley":{"formattedCitation":"(17)","plainTextFormattedCitation":"(17)","previouslyFormattedCitation":"(17)"},"properties":{"noteIndex":0},"schema":"https://github.com/citation-style-language/schema/raw/master/csl-citation.json"}</w:instrText>
            </w:r>
            <w:r w:rsidR="00CE2747" w:rsidRPr="005B5460">
              <w:rPr>
                <w:rFonts w:ascii="Times New Roman" w:hAnsi="Times New Roman" w:cs="Times New Roman"/>
                <w:sz w:val="20"/>
                <w:szCs w:val="20"/>
              </w:rPr>
              <w:fldChar w:fldCharType="separate"/>
            </w:r>
            <w:r w:rsidR="00CE2747" w:rsidRPr="005B5460">
              <w:rPr>
                <w:rFonts w:ascii="Times New Roman" w:hAnsi="Times New Roman" w:cs="Times New Roman"/>
                <w:noProof/>
                <w:sz w:val="20"/>
                <w:szCs w:val="20"/>
              </w:rPr>
              <w:t>(17)</w:t>
            </w:r>
            <w:r w:rsidR="00CE2747" w:rsidRPr="005B5460">
              <w:rPr>
                <w:rFonts w:ascii="Times New Roman" w:hAnsi="Times New Roman" w:cs="Times New Roman"/>
                <w:sz w:val="20"/>
                <w:szCs w:val="20"/>
              </w:rPr>
              <w:fldChar w:fldCharType="end"/>
            </w:r>
          </w:p>
          <w:p w14:paraId="0D1D7A0A" w14:textId="77777777" w:rsidR="00631CE9" w:rsidRPr="005B5460" w:rsidRDefault="00631CE9" w:rsidP="00DE49A9">
            <w:pPr>
              <w:spacing w:line="240" w:lineRule="auto"/>
              <w:ind w:left="162" w:hanging="180"/>
              <w:rPr>
                <w:rFonts w:ascii="Times New Roman" w:hAnsi="Times New Roman" w:cs="Times New Roman"/>
                <w:i/>
                <w:iCs/>
                <w:sz w:val="20"/>
                <w:szCs w:val="20"/>
              </w:rPr>
            </w:pPr>
            <w:r w:rsidRPr="005B5460">
              <w:rPr>
                <w:rFonts w:ascii="Times New Roman" w:hAnsi="Times New Roman" w:cs="Times New Roman"/>
                <w:i/>
                <w:iCs/>
                <w:sz w:val="20"/>
                <w:szCs w:val="20"/>
              </w:rPr>
              <w:t>2017</w:t>
            </w:r>
          </w:p>
          <w:p w14:paraId="3EDF8D0D" w14:textId="77777777" w:rsidR="00631CE9" w:rsidRPr="005B5460" w:rsidRDefault="00631CE9" w:rsidP="00DE49A9">
            <w:pPr>
              <w:spacing w:line="240" w:lineRule="auto"/>
              <w:ind w:left="162" w:hanging="180"/>
              <w:rPr>
                <w:rFonts w:ascii="Times New Roman" w:hAnsi="Times New Roman" w:cs="Times New Roman"/>
                <w:sz w:val="20"/>
                <w:szCs w:val="20"/>
              </w:rPr>
            </w:pPr>
            <w:r w:rsidRPr="005B5460">
              <w:rPr>
                <w:rFonts w:ascii="Times New Roman" w:hAnsi="Times New Roman" w:cs="Times New Roman"/>
                <w:i/>
                <w:iCs/>
                <w:sz w:val="20"/>
                <w:szCs w:val="20"/>
              </w:rPr>
              <w:t>Netherlands</w:t>
            </w:r>
          </w:p>
        </w:tc>
        <w:tc>
          <w:tcPr>
            <w:tcW w:w="1134" w:type="dxa"/>
          </w:tcPr>
          <w:p w14:paraId="748501FE" w14:textId="77777777" w:rsidR="000E18A2" w:rsidRPr="005B5460" w:rsidRDefault="000E18A2"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N = 20 </w:t>
            </w:r>
          </w:p>
          <w:p w14:paraId="78E4A05C" w14:textId="3B48C248" w:rsidR="00C42607" w:rsidRPr="005B5460" w:rsidRDefault="000E18A2"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Gender: Not specified</w:t>
            </w:r>
          </w:p>
          <w:p w14:paraId="7C640712" w14:textId="4B8643D2" w:rsidR="00C42607"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Mean age = 22.3 (18.2–31.6)</w:t>
            </w:r>
          </w:p>
          <w:p w14:paraId="1435EAA5" w14:textId="566BD55B" w:rsidR="00012604" w:rsidRPr="005B5460" w:rsidRDefault="00012604" w:rsidP="00DE49A9">
            <w:pPr>
              <w:spacing w:line="240" w:lineRule="auto"/>
              <w:rPr>
                <w:rFonts w:ascii="Times New Roman" w:hAnsi="Times New Roman" w:cs="Times New Roman"/>
                <w:sz w:val="20"/>
                <w:szCs w:val="20"/>
              </w:rPr>
            </w:pPr>
          </w:p>
        </w:tc>
        <w:tc>
          <w:tcPr>
            <w:tcW w:w="1559" w:type="dxa"/>
          </w:tcPr>
          <w:p w14:paraId="73776BAB"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Prospective cohort</w:t>
            </w:r>
          </w:p>
        </w:tc>
        <w:tc>
          <w:tcPr>
            <w:tcW w:w="1418" w:type="dxa"/>
          </w:tcPr>
          <w:p w14:paraId="476A7402" w14:textId="50F6CBAA"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Long-term study comparing functional outcomes of participants at 2</w:t>
            </w:r>
            <w:r w:rsidR="001F5CE3" w:rsidRPr="005B5460">
              <w:rPr>
                <w:rFonts w:ascii="Times New Roman" w:hAnsi="Times New Roman" w:cs="Times New Roman"/>
                <w:sz w:val="20"/>
                <w:szCs w:val="20"/>
              </w:rPr>
              <w:t>-</w:t>
            </w:r>
            <w:r w:rsidRPr="005B5460">
              <w:rPr>
                <w:rFonts w:ascii="Times New Roman" w:hAnsi="Times New Roman" w:cs="Times New Roman"/>
                <w:sz w:val="20"/>
                <w:szCs w:val="20"/>
              </w:rPr>
              <w:t xml:space="preserve"> and 7</w:t>
            </w:r>
            <w:r w:rsidR="001F5CE3" w:rsidRPr="005B5460">
              <w:rPr>
                <w:rFonts w:ascii="Times New Roman" w:hAnsi="Times New Roman" w:cs="Times New Roman"/>
                <w:sz w:val="20"/>
                <w:szCs w:val="20"/>
              </w:rPr>
              <w:t>-</w:t>
            </w:r>
            <w:r w:rsidRPr="005B5460">
              <w:rPr>
                <w:rFonts w:ascii="Times New Roman" w:hAnsi="Times New Roman" w:cs="Times New Roman"/>
                <w:sz w:val="20"/>
                <w:szCs w:val="20"/>
              </w:rPr>
              <w:t>years post-operation</w:t>
            </w:r>
          </w:p>
        </w:tc>
        <w:tc>
          <w:tcPr>
            <w:tcW w:w="1701" w:type="dxa"/>
          </w:tcPr>
          <w:p w14:paraId="59F1585A" w14:textId="77777777" w:rsidR="00631CE9" w:rsidRPr="005B5460" w:rsidRDefault="00631CE9" w:rsidP="00DE49A9">
            <w:pPr>
              <w:pStyle w:val="ListParagraph"/>
              <w:numPr>
                <w:ilvl w:val="0"/>
                <w:numId w:val="36"/>
              </w:numPr>
              <w:spacing w:after="0" w:line="240" w:lineRule="auto"/>
              <w:ind w:left="162" w:hanging="180"/>
              <w:contextualSpacing w:val="0"/>
              <w:rPr>
                <w:rFonts w:ascii="Times New Roman" w:hAnsi="Times New Roman" w:cs="Times New Roman"/>
                <w:sz w:val="20"/>
                <w:szCs w:val="20"/>
              </w:rPr>
            </w:pPr>
            <w:r w:rsidRPr="005B5460">
              <w:rPr>
                <w:rFonts w:ascii="Times New Roman" w:hAnsi="Times New Roman" w:cs="Times New Roman"/>
                <w:sz w:val="20"/>
                <w:szCs w:val="20"/>
              </w:rPr>
              <w:t xml:space="preserve">TESS </w:t>
            </w:r>
          </w:p>
          <w:p w14:paraId="1AD7568E" w14:textId="77777777" w:rsidR="00631CE9" w:rsidRPr="005B5460" w:rsidRDefault="00631CE9" w:rsidP="00DE49A9">
            <w:pPr>
              <w:pStyle w:val="ListParagraph"/>
              <w:numPr>
                <w:ilvl w:val="0"/>
                <w:numId w:val="36"/>
              </w:numPr>
              <w:spacing w:after="0" w:line="240" w:lineRule="auto"/>
              <w:ind w:left="162" w:hanging="180"/>
              <w:contextualSpacing w:val="0"/>
              <w:rPr>
                <w:rFonts w:ascii="Times New Roman" w:hAnsi="Times New Roman" w:cs="Times New Roman"/>
                <w:sz w:val="20"/>
                <w:szCs w:val="20"/>
              </w:rPr>
            </w:pPr>
            <w:r w:rsidRPr="005B5460">
              <w:rPr>
                <w:rFonts w:ascii="Times New Roman" w:hAnsi="Times New Roman" w:cs="Times New Roman"/>
                <w:sz w:val="20"/>
                <w:szCs w:val="20"/>
              </w:rPr>
              <w:t>MSTS</w:t>
            </w:r>
          </w:p>
          <w:p w14:paraId="5220419A" w14:textId="77777777" w:rsidR="00631CE9" w:rsidRPr="005B5460" w:rsidRDefault="00631CE9" w:rsidP="00DE49A9">
            <w:pPr>
              <w:pStyle w:val="ListParagraph"/>
              <w:numPr>
                <w:ilvl w:val="0"/>
                <w:numId w:val="36"/>
              </w:numPr>
              <w:spacing w:after="0" w:line="240" w:lineRule="auto"/>
              <w:ind w:left="162" w:hanging="180"/>
              <w:contextualSpacing w:val="0"/>
              <w:rPr>
                <w:rFonts w:ascii="Times New Roman" w:hAnsi="Times New Roman" w:cs="Times New Roman"/>
                <w:sz w:val="20"/>
                <w:szCs w:val="20"/>
              </w:rPr>
            </w:pPr>
            <w:proofErr w:type="spellStart"/>
            <w:r w:rsidRPr="005B5460">
              <w:rPr>
                <w:rFonts w:ascii="Times New Roman" w:hAnsi="Times New Roman" w:cs="Times New Roman"/>
                <w:sz w:val="20"/>
                <w:szCs w:val="20"/>
              </w:rPr>
              <w:t>Baecke</w:t>
            </w:r>
            <w:proofErr w:type="spellEnd"/>
            <w:r w:rsidRPr="005B5460">
              <w:rPr>
                <w:rFonts w:ascii="Times New Roman" w:hAnsi="Times New Roman" w:cs="Times New Roman"/>
                <w:sz w:val="20"/>
                <w:szCs w:val="20"/>
              </w:rPr>
              <w:t xml:space="preserve"> questionnaire</w:t>
            </w:r>
          </w:p>
          <w:p w14:paraId="3A819DBE" w14:textId="77777777" w:rsidR="00631CE9" w:rsidRPr="005B5460" w:rsidRDefault="00631CE9" w:rsidP="00DE49A9">
            <w:pPr>
              <w:pStyle w:val="ListParagraph"/>
              <w:numPr>
                <w:ilvl w:val="0"/>
                <w:numId w:val="36"/>
              </w:numPr>
              <w:spacing w:after="0" w:line="240" w:lineRule="auto"/>
              <w:ind w:left="162" w:hanging="180"/>
              <w:contextualSpacing w:val="0"/>
              <w:rPr>
                <w:rFonts w:ascii="Times New Roman" w:hAnsi="Times New Roman" w:cs="Times New Roman"/>
                <w:sz w:val="20"/>
                <w:szCs w:val="20"/>
              </w:rPr>
            </w:pPr>
            <w:r w:rsidRPr="005B5460">
              <w:rPr>
                <w:rFonts w:ascii="Times New Roman" w:hAnsi="Times New Roman" w:cs="Times New Roman"/>
                <w:sz w:val="20"/>
                <w:szCs w:val="20"/>
              </w:rPr>
              <w:t>Time up &amp; down stairs (TUDS)</w:t>
            </w:r>
          </w:p>
          <w:p w14:paraId="198D51F9" w14:textId="77777777" w:rsidR="00631CE9" w:rsidRPr="005B5460" w:rsidRDefault="00631CE9" w:rsidP="00DE49A9">
            <w:pPr>
              <w:pStyle w:val="ListParagraph"/>
              <w:numPr>
                <w:ilvl w:val="0"/>
                <w:numId w:val="36"/>
              </w:numPr>
              <w:spacing w:after="0" w:line="240" w:lineRule="auto"/>
              <w:ind w:left="162" w:hanging="180"/>
              <w:contextualSpacing w:val="0"/>
              <w:rPr>
                <w:rFonts w:ascii="Times New Roman" w:hAnsi="Times New Roman" w:cs="Times New Roman"/>
                <w:sz w:val="20"/>
                <w:szCs w:val="20"/>
              </w:rPr>
            </w:pPr>
            <w:r w:rsidRPr="005B5460">
              <w:rPr>
                <w:rFonts w:ascii="Times New Roman" w:hAnsi="Times New Roman" w:cs="Times New Roman"/>
                <w:sz w:val="20"/>
                <w:szCs w:val="20"/>
              </w:rPr>
              <w:t>Various walking activities (VWA)</w:t>
            </w:r>
          </w:p>
          <w:p w14:paraId="5D8E9007" w14:textId="77777777" w:rsidR="00631CE9" w:rsidRPr="005B5460" w:rsidRDefault="00631CE9" w:rsidP="00DE49A9">
            <w:pPr>
              <w:pStyle w:val="ListParagraph"/>
              <w:numPr>
                <w:ilvl w:val="0"/>
                <w:numId w:val="36"/>
              </w:numPr>
              <w:spacing w:after="0" w:line="240" w:lineRule="auto"/>
              <w:ind w:left="162" w:hanging="180"/>
              <w:contextualSpacing w:val="0"/>
              <w:rPr>
                <w:rFonts w:ascii="Times New Roman" w:hAnsi="Times New Roman" w:cs="Times New Roman"/>
                <w:sz w:val="20"/>
                <w:szCs w:val="20"/>
              </w:rPr>
            </w:pPr>
            <w:r w:rsidRPr="005B5460">
              <w:rPr>
                <w:rFonts w:ascii="Times New Roman" w:hAnsi="Times New Roman" w:cs="Times New Roman"/>
                <w:sz w:val="20"/>
                <w:szCs w:val="20"/>
              </w:rPr>
              <w:t>6 minutes walking test (6MWT)</w:t>
            </w:r>
          </w:p>
          <w:p w14:paraId="41383CD3" w14:textId="77777777" w:rsidR="00631CE9" w:rsidRPr="005B5460" w:rsidRDefault="00631CE9" w:rsidP="00DE49A9">
            <w:pPr>
              <w:spacing w:line="240" w:lineRule="auto"/>
              <w:ind w:left="162" w:hanging="180"/>
              <w:rPr>
                <w:rFonts w:ascii="Times New Roman" w:hAnsi="Times New Roman" w:cs="Times New Roman"/>
                <w:sz w:val="20"/>
                <w:szCs w:val="20"/>
              </w:rPr>
            </w:pPr>
          </w:p>
        </w:tc>
        <w:tc>
          <w:tcPr>
            <w:tcW w:w="1700" w:type="dxa"/>
          </w:tcPr>
          <w:p w14:paraId="321C101F" w14:textId="77777777" w:rsidR="00E9626B" w:rsidRPr="005B5460" w:rsidRDefault="00631CE9" w:rsidP="00DE49A9">
            <w:pPr>
              <w:numPr>
                <w:ilvl w:val="0"/>
                <w:numId w:val="24"/>
              </w:numPr>
              <w:tabs>
                <w:tab w:val="left" w:pos="252"/>
              </w:tabs>
              <w:spacing w:after="0" w:line="240" w:lineRule="auto"/>
              <w:ind w:left="162" w:right="-144" w:hanging="180"/>
              <w:rPr>
                <w:rFonts w:ascii="Times New Roman" w:hAnsi="Times New Roman" w:cs="Times New Roman"/>
                <w:sz w:val="20"/>
                <w:szCs w:val="20"/>
              </w:rPr>
            </w:pPr>
            <w:r w:rsidRPr="005B5460">
              <w:rPr>
                <w:rFonts w:ascii="Times New Roman" w:hAnsi="Times New Roman" w:cs="Times New Roman"/>
                <w:sz w:val="20"/>
                <w:szCs w:val="20"/>
              </w:rPr>
              <w:t xml:space="preserve">LSS = 15 </w:t>
            </w:r>
          </w:p>
          <w:p w14:paraId="246CDDC1" w14:textId="77777777" w:rsidR="00E9626B" w:rsidRPr="005B5460" w:rsidRDefault="00E9626B" w:rsidP="00DE49A9">
            <w:pPr>
              <w:tabs>
                <w:tab w:val="left" w:pos="252"/>
              </w:tabs>
              <w:spacing w:after="0" w:line="240" w:lineRule="auto"/>
              <w:ind w:left="-18" w:right="-144"/>
              <w:rPr>
                <w:rFonts w:ascii="Times New Roman" w:hAnsi="Times New Roman" w:cs="Times New Roman"/>
                <w:sz w:val="20"/>
                <w:szCs w:val="20"/>
              </w:rPr>
            </w:pPr>
            <w:r w:rsidRPr="005B5460">
              <w:rPr>
                <w:rFonts w:ascii="Times New Roman" w:hAnsi="Times New Roman" w:cs="Times New Roman"/>
                <w:sz w:val="20"/>
                <w:szCs w:val="20"/>
              </w:rPr>
              <w:t>(A</w:t>
            </w:r>
            <w:r w:rsidR="00631CE9" w:rsidRPr="005B5460">
              <w:rPr>
                <w:rFonts w:ascii="Times New Roman" w:hAnsi="Times New Roman" w:cs="Times New Roman"/>
                <w:sz w:val="20"/>
                <w:szCs w:val="20"/>
              </w:rPr>
              <w:t>llografts</w:t>
            </w:r>
            <w:r w:rsidRPr="005B5460">
              <w:rPr>
                <w:rFonts w:ascii="Times New Roman" w:hAnsi="Times New Roman" w:cs="Times New Roman"/>
                <w:sz w:val="20"/>
                <w:szCs w:val="20"/>
              </w:rPr>
              <w:t>= 6)</w:t>
            </w:r>
          </w:p>
          <w:p w14:paraId="13E32C6B" w14:textId="16F93DDB" w:rsidR="00631CE9" w:rsidRPr="005B5460" w:rsidRDefault="00E9626B" w:rsidP="00DE49A9">
            <w:pPr>
              <w:tabs>
                <w:tab w:val="left" w:pos="252"/>
              </w:tabs>
              <w:spacing w:after="0" w:line="240" w:lineRule="auto"/>
              <w:ind w:right="-144"/>
              <w:rPr>
                <w:rFonts w:ascii="Times New Roman" w:hAnsi="Times New Roman" w:cs="Times New Roman"/>
                <w:sz w:val="20"/>
                <w:szCs w:val="20"/>
              </w:rPr>
            </w:pPr>
            <w:r w:rsidRPr="005B5460">
              <w:rPr>
                <w:rFonts w:ascii="Times New Roman" w:hAnsi="Times New Roman" w:cs="Times New Roman"/>
                <w:sz w:val="20"/>
                <w:szCs w:val="20"/>
              </w:rPr>
              <w:t>(E</w:t>
            </w:r>
            <w:r w:rsidR="00631CE9" w:rsidRPr="005B5460">
              <w:rPr>
                <w:rFonts w:ascii="Times New Roman" w:hAnsi="Times New Roman" w:cs="Times New Roman"/>
                <w:sz w:val="20"/>
                <w:szCs w:val="20"/>
              </w:rPr>
              <w:t>ndoprostheses</w:t>
            </w:r>
            <w:r w:rsidRPr="005B5460">
              <w:rPr>
                <w:rFonts w:ascii="Times New Roman" w:hAnsi="Times New Roman" w:cs="Times New Roman"/>
                <w:sz w:val="20"/>
                <w:szCs w:val="20"/>
              </w:rPr>
              <w:t>= 9</w:t>
            </w:r>
            <w:r w:rsidR="00631CE9" w:rsidRPr="005B5460">
              <w:rPr>
                <w:rFonts w:ascii="Times New Roman" w:hAnsi="Times New Roman" w:cs="Times New Roman"/>
                <w:sz w:val="20"/>
                <w:szCs w:val="20"/>
              </w:rPr>
              <w:t>)</w:t>
            </w:r>
          </w:p>
          <w:p w14:paraId="0D2BCCF5" w14:textId="2619FD7B" w:rsidR="00631CE9" w:rsidRPr="005B5460" w:rsidRDefault="00631CE9" w:rsidP="00DE49A9">
            <w:pPr>
              <w:numPr>
                <w:ilvl w:val="0"/>
                <w:numId w:val="24"/>
              </w:numPr>
              <w:tabs>
                <w:tab w:val="left" w:pos="252"/>
              </w:tabs>
              <w:spacing w:after="0" w:line="240" w:lineRule="auto"/>
              <w:ind w:left="162" w:hanging="180"/>
              <w:rPr>
                <w:rFonts w:ascii="Times New Roman" w:hAnsi="Times New Roman" w:cs="Times New Roman"/>
                <w:sz w:val="20"/>
                <w:szCs w:val="20"/>
              </w:rPr>
            </w:pPr>
            <w:r w:rsidRPr="005B5460">
              <w:rPr>
                <w:rFonts w:ascii="Times New Roman" w:hAnsi="Times New Roman" w:cs="Times New Roman"/>
                <w:sz w:val="20"/>
                <w:szCs w:val="20"/>
              </w:rPr>
              <w:t>Ablative surgery</w:t>
            </w:r>
            <w:r w:rsidR="00B471E5" w:rsidRPr="005B5460">
              <w:rPr>
                <w:rFonts w:ascii="Times New Roman" w:hAnsi="Times New Roman" w:cs="Times New Roman"/>
                <w:sz w:val="20"/>
                <w:szCs w:val="20"/>
              </w:rPr>
              <w:t xml:space="preserve"> (Amputation and </w:t>
            </w:r>
            <w:proofErr w:type="spellStart"/>
            <w:r w:rsidR="00B471E5" w:rsidRPr="005B5460">
              <w:rPr>
                <w:rFonts w:ascii="Times New Roman" w:hAnsi="Times New Roman" w:cs="Times New Roman"/>
                <w:sz w:val="20"/>
                <w:szCs w:val="20"/>
              </w:rPr>
              <w:t>Rotationoplasty</w:t>
            </w:r>
            <w:proofErr w:type="spellEnd"/>
            <w:r w:rsidR="00B471E5" w:rsidRPr="005B5460">
              <w:rPr>
                <w:rFonts w:ascii="Times New Roman" w:hAnsi="Times New Roman" w:cs="Times New Roman"/>
                <w:sz w:val="20"/>
                <w:szCs w:val="20"/>
              </w:rPr>
              <w:t>)</w:t>
            </w:r>
            <w:r w:rsidRPr="005B5460">
              <w:rPr>
                <w:rFonts w:ascii="Times New Roman" w:hAnsi="Times New Roman" w:cs="Times New Roman"/>
                <w:sz w:val="20"/>
                <w:szCs w:val="20"/>
              </w:rPr>
              <w:t xml:space="preserve"> = 5.</w:t>
            </w:r>
          </w:p>
          <w:p w14:paraId="64627C70" w14:textId="77777777" w:rsidR="00631CE9" w:rsidRPr="005B5460" w:rsidRDefault="00631CE9" w:rsidP="00DE49A9">
            <w:pPr>
              <w:spacing w:line="240" w:lineRule="auto"/>
              <w:ind w:left="360"/>
              <w:rPr>
                <w:rFonts w:ascii="Times New Roman" w:hAnsi="Times New Roman" w:cs="Times New Roman"/>
                <w:sz w:val="20"/>
                <w:szCs w:val="20"/>
              </w:rPr>
            </w:pPr>
          </w:p>
          <w:p w14:paraId="314CBFB0" w14:textId="310F1A3E" w:rsidR="00631CE9" w:rsidRPr="005B5460" w:rsidRDefault="00631CE9" w:rsidP="00DE49A9">
            <w:pPr>
              <w:spacing w:line="240" w:lineRule="auto"/>
              <w:rPr>
                <w:rFonts w:ascii="Times New Roman" w:hAnsi="Times New Roman" w:cs="Times New Roman"/>
                <w:sz w:val="20"/>
                <w:szCs w:val="20"/>
              </w:rPr>
            </w:pPr>
          </w:p>
        </w:tc>
        <w:tc>
          <w:tcPr>
            <w:tcW w:w="2552" w:type="dxa"/>
          </w:tcPr>
          <w:p w14:paraId="68628519"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The study is an extension to a previous study concerned with young adults’ functional outcomes after surgical intervention (LSS or ablative) for bone sarcoma.</w:t>
            </w:r>
          </w:p>
          <w:p w14:paraId="2698F8D5"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Patients reached plateau phase at 2 years follow-up (f/u). No significant changes in functional outcome scores between 2 years and 7 years f/u.</w:t>
            </w:r>
          </w:p>
          <w:p w14:paraId="558EDAAB"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No deterioration noted in functional outcomes at 7 years f/u despite the presence of 1 or 2 complications.</w:t>
            </w:r>
          </w:p>
          <w:p w14:paraId="6467C369"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Mean score of covered walking distance outcome measure was 514 meters (471–556), which is lower </w:t>
            </w:r>
            <w:r w:rsidRPr="005B5460">
              <w:rPr>
                <w:rFonts w:ascii="Times New Roman" w:hAnsi="Times New Roman" w:cs="Times New Roman"/>
                <w:sz w:val="20"/>
                <w:szCs w:val="20"/>
              </w:rPr>
              <w:lastRenderedPageBreak/>
              <w:t>than the mean score (593) of healthy adult individuals.</w:t>
            </w:r>
          </w:p>
          <w:p w14:paraId="7BC0858F"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MSTS</w:t>
            </w:r>
            <w:r w:rsidRPr="005B5460">
              <w:rPr>
                <w:rFonts w:ascii="Times New Roman" w:hAnsi="Times New Roman" w:cs="Times New Roman"/>
                <w:sz w:val="20"/>
                <w:szCs w:val="20"/>
              </w:rPr>
              <w:t>: Mean score = 83%, CI (37-100)</w:t>
            </w:r>
          </w:p>
        </w:tc>
        <w:tc>
          <w:tcPr>
            <w:tcW w:w="2268" w:type="dxa"/>
          </w:tcPr>
          <w:p w14:paraId="23D0A6CD" w14:textId="65F10D29"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lastRenderedPageBreak/>
              <w:t>Small sample size, as nearly half of the participants in previous study are deceased due to the disease prognosis.</w:t>
            </w:r>
          </w:p>
          <w:p w14:paraId="6B92DA20" w14:textId="77777777" w:rsidR="00DE49A9" w:rsidRPr="005B5460" w:rsidRDefault="00DE49A9" w:rsidP="00DE49A9">
            <w:pPr>
              <w:spacing w:after="0" w:line="240" w:lineRule="auto"/>
              <w:rPr>
                <w:rFonts w:ascii="Times New Roman" w:hAnsi="Times New Roman" w:cs="Times New Roman"/>
                <w:sz w:val="20"/>
                <w:szCs w:val="20"/>
              </w:rPr>
            </w:pPr>
          </w:p>
          <w:p w14:paraId="169BD706" w14:textId="7BC6DD9B"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 xml:space="preserve">The study did not compare the results of the major variables such as the ablative and salvage surgeries, type and technique of the procedure, which leads to the </w:t>
            </w:r>
            <w:proofErr w:type="spellStart"/>
            <w:r w:rsidRPr="005B5460">
              <w:rPr>
                <w:rFonts w:ascii="Times New Roman" w:hAnsi="Times New Roman" w:cs="Times New Roman"/>
                <w:sz w:val="20"/>
                <w:szCs w:val="20"/>
              </w:rPr>
              <w:t>generalisability</w:t>
            </w:r>
            <w:proofErr w:type="spellEnd"/>
            <w:r w:rsidRPr="005B5460">
              <w:rPr>
                <w:rFonts w:ascii="Times New Roman" w:hAnsi="Times New Roman" w:cs="Times New Roman"/>
                <w:sz w:val="20"/>
                <w:szCs w:val="20"/>
              </w:rPr>
              <w:t xml:space="preserve"> of the findings with chances of bias.</w:t>
            </w:r>
          </w:p>
          <w:p w14:paraId="17307760" w14:textId="77777777" w:rsidR="00DE49A9" w:rsidRPr="005B5460" w:rsidRDefault="00DE49A9" w:rsidP="00DE49A9">
            <w:pPr>
              <w:spacing w:after="0" w:line="240" w:lineRule="auto"/>
              <w:rPr>
                <w:rFonts w:ascii="Times New Roman" w:hAnsi="Times New Roman" w:cs="Times New Roman"/>
                <w:sz w:val="20"/>
                <w:szCs w:val="20"/>
              </w:rPr>
            </w:pPr>
          </w:p>
          <w:p w14:paraId="7394BEC5"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 xml:space="preserve">MSTS score was taken only at 7 years f/u. </w:t>
            </w:r>
          </w:p>
          <w:p w14:paraId="2C67713F" w14:textId="77777777" w:rsidR="00631CE9" w:rsidRPr="005B5460" w:rsidRDefault="00631CE9" w:rsidP="00DE49A9">
            <w:pPr>
              <w:spacing w:line="240" w:lineRule="auto"/>
              <w:ind w:left="150" w:hanging="150"/>
              <w:rPr>
                <w:rFonts w:ascii="Times New Roman" w:hAnsi="Times New Roman" w:cs="Times New Roman"/>
                <w:sz w:val="20"/>
                <w:szCs w:val="20"/>
              </w:rPr>
            </w:pPr>
          </w:p>
        </w:tc>
      </w:tr>
      <w:tr w:rsidR="00DE49A9" w:rsidRPr="005B5460" w14:paraId="0890E1DE" w14:textId="77777777" w:rsidTr="00DE49A9">
        <w:trPr>
          <w:trHeight w:val="70"/>
        </w:trPr>
        <w:tc>
          <w:tcPr>
            <w:tcW w:w="1533" w:type="dxa"/>
          </w:tcPr>
          <w:p w14:paraId="48F12E20" w14:textId="0289C7C2" w:rsidR="00631CE9" w:rsidRPr="005B5460" w:rsidRDefault="00FE7C38" w:rsidP="00DE49A9">
            <w:pPr>
              <w:pStyle w:val="ListParagraph"/>
              <w:numPr>
                <w:ilvl w:val="0"/>
                <w:numId w:val="32"/>
              </w:numPr>
              <w:spacing w:after="0" w:line="240" w:lineRule="auto"/>
              <w:ind w:left="162" w:hanging="180"/>
              <w:rPr>
                <w:rFonts w:ascii="Times New Roman" w:hAnsi="Times New Roman" w:cs="Times New Roman"/>
                <w:sz w:val="20"/>
                <w:szCs w:val="20"/>
              </w:rPr>
            </w:pPr>
            <w:r w:rsidRPr="005B5460">
              <w:rPr>
                <w:rFonts w:ascii="Times New Roman" w:hAnsi="Times New Roman" w:cs="Times New Roman"/>
                <w:sz w:val="20"/>
                <w:szCs w:val="20"/>
              </w:rPr>
              <w:fldChar w:fldCharType="begin" w:fldLock="1"/>
            </w:r>
            <w:r w:rsidR="009B1822" w:rsidRPr="005B5460">
              <w:rPr>
                <w:rFonts w:ascii="Times New Roman" w:hAnsi="Times New Roman" w:cs="Times New Roman"/>
                <w:sz w:val="20"/>
                <w:szCs w:val="20"/>
              </w:rPr>
              <w:instrText>ADDIN CSL_CITATION {"citationItems":[{"id":"ITEM-1","itemData":{"DOI":"10.1016/j.ejso.2016.05.018","ISSN":"1532-2157 (Electronic)","PMID":"27266818","abstract":"We reviewed the oncological and functional outcomes of patients treated for a  primary sarcoma possibly involving the knee joint and present an algorithm to guide treatment. The records of 76 patients who had a primary bone or soft tissue sarcoma possibly invading the knee between 1996 and 2012 were identified. Mean age and follow-up was 32 years (9-74) and 64 months (12-195), respectively. Patients were grouped according to the resection (Intra-articular [IAR] vs. Extra-articular [EAR] vs. Amputation/rotationplasty) for survival and functional outcomes. Overall 5 and 10 year survival was 61% and 53%, respectively. No differences in survival were found between the 3 groups (p = 0.55). Sixteen patients developed local recurrence with no difference between the groups. Mean MSTS score was 24.5 (12-30). Mean flexion at final follow-up was 106° (70-130°). We conclude that EAR of the knee allows for good oncologic and functional outcomes but with an increased risk of complications compared to IAR. Intra-operative assessment of joint involvement can be done in patients where joint infiltration by the tumour is not clear to avoid an unnecessary EAR. For chondrosarcoma patients with joint involvement, an EAR should be carefully considered because they present a significantly higher local recurrence risk.","author":[{"dropping-particle":"","family":"Shahid","given":"M","non-dropping-particle":"","parse-names":false,"suffix":""},{"dropping-particle":"","family":"Albergo","given":"N","non-dropping-particle":"","parse-names":false,"suffix":""},{"dropping-particle":"","family":"Purvis","given":"T","non-dropping-particle":"","parse-names":false,"suffix":""},{"dropping-particle":"","family":"Heron","given":"K","non-dropping-particle":"","parse-names":false,"suffix":""},{"dropping-particle":"","family":"Gaston","given":"L","non-dropping-particle":"","parse-names":false,"suffix":""},{"dropping-particle":"","family":"Carter","given":"S","non-dropping-particle":"","parse-names":false,"suffix":""},{"dropping-particle":"","family":"Grimer","given":"R","non-dropping-particle":"","parse-names":false,"suffix":""},{"dropping-particle":"","family":"Jeys","given":"L","non-dropping-particle":"","parse-names":false,"suffix":""}],"container-title":"European journal of surgical oncology : the journal of the European Society of  Surgical Oncology and the British Association of Surgical Oncology","id":"ITEM-1","issue":"1","issued":{"date-parts":[["2017","1"]]},"language":"eng","page":"175-180","publisher-place":"England","title":"Management of sarcomas possibly involving the knee joint when to perform  extra-articular resection of the knee joint and is it safe?","type":"article-journal","volume":"43"},"uris":["http://www.mendeley.com/documents/?uuid=1308600d-eee4-499a-b8e8-37c6fc6e3528"]}],"mendeley":{"formattedCitation":"(35)","plainTextFormattedCitation":"(35)","previouslyFormattedCitation":"(35)"},"properties":{"noteIndex":0},"schema":"https://github.com/citation-style-language/schema/raw/master/csl-citation.json"}</w:instrText>
            </w:r>
            <w:r w:rsidRPr="005B5460">
              <w:rPr>
                <w:rFonts w:ascii="Times New Roman" w:hAnsi="Times New Roman" w:cs="Times New Roman"/>
                <w:sz w:val="20"/>
                <w:szCs w:val="20"/>
              </w:rPr>
              <w:fldChar w:fldCharType="separate"/>
            </w:r>
            <w:r w:rsidRPr="005B5460">
              <w:rPr>
                <w:rFonts w:ascii="Times New Roman" w:hAnsi="Times New Roman" w:cs="Times New Roman"/>
                <w:noProof/>
                <w:sz w:val="20"/>
                <w:szCs w:val="20"/>
              </w:rPr>
              <w:t>(35)</w:t>
            </w:r>
            <w:r w:rsidRPr="005B5460">
              <w:rPr>
                <w:rFonts w:ascii="Times New Roman" w:hAnsi="Times New Roman" w:cs="Times New Roman"/>
                <w:sz w:val="20"/>
                <w:szCs w:val="20"/>
              </w:rPr>
              <w:fldChar w:fldCharType="end"/>
            </w:r>
          </w:p>
          <w:p w14:paraId="6783608F" w14:textId="77777777" w:rsidR="00631CE9" w:rsidRPr="005B5460" w:rsidRDefault="00631CE9" w:rsidP="00DE49A9">
            <w:pPr>
              <w:spacing w:line="240" w:lineRule="auto"/>
              <w:ind w:left="162" w:hanging="180"/>
              <w:rPr>
                <w:rFonts w:ascii="Times New Roman" w:hAnsi="Times New Roman" w:cs="Times New Roman"/>
                <w:i/>
                <w:iCs/>
                <w:sz w:val="20"/>
                <w:szCs w:val="20"/>
              </w:rPr>
            </w:pPr>
            <w:r w:rsidRPr="005B5460">
              <w:rPr>
                <w:rFonts w:ascii="Times New Roman" w:hAnsi="Times New Roman" w:cs="Times New Roman"/>
                <w:i/>
                <w:iCs/>
                <w:sz w:val="20"/>
                <w:szCs w:val="20"/>
              </w:rPr>
              <w:t>2016</w:t>
            </w:r>
          </w:p>
          <w:p w14:paraId="361C2D1C" w14:textId="77777777" w:rsidR="00631CE9" w:rsidRPr="005B5460" w:rsidRDefault="00631CE9" w:rsidP="00DE49A9">
            <w:pPr>
              <w:spacing w:line="240" w:lineRule="auto"/>
              <w:ind w:left="162" w:hanging="180"/>
              <w:rPr>
                <w:rFonts w:ascii="Times New Roman" w:hAnsi="Times New Roman" w:cs="Times New Roman"/>
                <w:sz w:val="20"/>
                <w:szCs w:val="20"/>
              </w:rPr>
            </w:pPr>
            <w:r w:rsidRPr="005B5460">
              <w:rPr>
                <w:rFonts w:ascii="Times New Roman" w:hAnsi="Times New Roman" w:cs="Times New Roman"/>
                <w:i/>
                <w:iCs/>
                <w:sz w:val="20"/>
                <w:szCs w:val="20"/>
              </w:rPr>
              <w:t>United Kingdom</w:t>
            </w:r>
          </w:p>
        </w:tc>
        <w:tc>
          <w:tcPr>
            <w:tcW w:w="1134" w:type="dxa"/>
          </w:tcPr>
          <w:p w14:paraId="30240AA4" w14:textId="77777777" w:rsidR="00C42607"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N = 76</w:t>
            </w:r>
          </w:p>
          <w:p w14:paraId="71B90FB7" w14:textId="0F8E2350" w:rsidR="00C42607"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(43 Male &amp; 33 Female)</w:t>
            </w:r>
          </w:p>
          <w:p w14:paraId="6398290C" w14:textId="77777777" w:rsidR="00C42607"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Mean age = 32 (9–74)</w:t>
            </w:r>
          </w:p>
          <w:p w14:paraId="5AED7B18" w14:textId="77777777" w:rsidR="00C42607" w:rsidRPr="005B5460" w:rsidRDefault="00C42607" w:rsidP="00DE49A9">
            <w:pPr>
              <w:spacing w:line="240" w:lineRule="auto"/>
              <w:rPr>
                <w:rFonts w:ascii="Times New Roman" w:hAnsi="Times New Roman" w:cs="Times New Roman"/>
                <w:sz w:val="20"/>
                <w:szCs w:val="20"/>
              </w:rPr>
            </w:pPr>
          </w:p>
          <w:p w14:paraId="71FB58DF" w14:textId="715225EF" w:rsidR="00631CE9" w:rsidRPr="005B5460" w:rsidRDefault="00631CE9" w:rsidP="00DE49A9">
            <w:pPr>
              <w:spacing w:line="240" w:lineRule="auto"/>
              <w:rPr>
                <w:rFonts w:ascii="Times New Roman" w:hAnsi="Times New Roman" w:cs="Times New Roman"/>
                <w:sz w:val="20"/>
                <w:szCs w:val="20"/>
              </w:rPr>
            </w:pPr>
          </w:p>
        </w:tc>
        <w:tc>
          <w:tcPr>
            <w:tcW w:w="1559" w:type="dxa"/>
          </w:tcPr>
          <w:p w14:paraId="528D4AB6"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Retrospective cohort</w:t>
            </w:r>
          </w:p>
        </w:tc>
        <w:tc>
          <w:tcPr>
            <w:tcW w:w="1418" w:type="dxa"/>
          </w:tcPr>
          <w:p w14:paraId="117810F2"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Comparison between intra-articular resection and extra-articular resection in patients with bone and soft-tissue sarcoma</w:t>
            </w:r>
          </w:p>
        </w:tc>
        <w:tc>
          <w:tcPr>
            <w:tcW w:w="1701" w:type="dxa"/>
          </w:tcPr>
          <w:p w14:paraId="462ECBCF" w14:textId="51CE69CF" w:rsidR="00631CE9" w:rsidRPr="005B5460" w:rsidRDefault="00631CE9" w:rsidP="00DE49A9">
            <w:pPr>
              <w:spacing w:after="0" w:line="240" w:lineRule="auto"/>
              <w:ind w:left="-18"/>
              <w:rPr>
                <w:rFonts w:ascii="Times New Roman" w:hAnsi="Times New Roman" w:cs="Times New Roman"/>
                <w:sz w:val="20"/>
                <w:szCs w:val="20"/>
              </w:rPr>
            </w:pPr>
            <w:r w:rsidRPr="005B5460">
              <w:rPr>
                <w:rFonts w:ascii="Times New Roman" w:hAnsi="Times New Roman" w:cs="Times New Roman"/>
                <w:sz w:val="20"/>
                <w:szCs w:val="20"/>
              </w:rPr>
              <w:t>MSTS score</w:t>
            </w:r>
          </w:p>
          <w:p w14:paraId="76BDF9EB" w14:textId="77777777" w:rsidR="00DE49A9" w:rsidRPr="005B5460" w:rsidRDefault="00DE49A9" w:rsidP="00DE49A9">
            <w:pPr>
              <w:spacing w:after="0" w:line="240" w:lineRule="auto"/>
              <w:ind w:left="-18"/>
              <w:rPr>
                <w:rFonts w:ascii="Times New Roman" w:hAnsi="Times New Roman" w:cs="Times New Roman"/>
                <w:sz w:val="20"/>
                <w:szCs w:val="20"/>
              </w:rPr>
            </w:pPr>
          </w:p>
          <w:p w14:paraId="0C4DB160" w14:textId="77777777" w:rsidR="00631CE9" w:rsidRPr="005B5460" w:rsidRDefault="00631CE9" w:rsidP="00DE49A9">
            <w:pPr>
              <w:spacing w:after="0" w:line="240" w:lineRule="auto"/>
              <w:ind w:left="-18"/>
              <w:rPr>
                <w:rFonts w:ascii="Times New Roman" w:hAnsi="Times New Roman" w:cs="Times New Roman"/>
                <w:sz w:val="20"/>
                <w:szCs w:val="20"/>
              </w:rPr>
            </w:pPr>
            <w:r w:rsidRPr="005B5460">
              <w:rPr>
                <w:rFonts w:ascii="Times New Roman" w:hAnsi="Times New Roman" w:cs="Times New Roman"/>
                <w:sz w:val="20"/>
                <w:szCs w:val="20"/>
              </w:rPr>
              <w:t>Knee ROM</w:t>
            </w:r>
          </w:p>
        </w:tc>
        <w:tc>
          <w:tcPr>
            <w:tcW w:w="1700" w:type="dxa"/>
          </w:tcPr>
          <w:p w14:paraId="43A5B4EC" w14:textId="77777777" w:rsidR="00E9626B"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LSS = 63 </w:t>
            </w:r>
          </w:p>
          <w:p w14:paraId="2C6285E8" w14:textId="4A68A871" w:rsidR="00E9626B" w:rsidRPr="005B5460" w:rsidRDefault="00E9626B"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w:t>
            </w:r>
            <w:r w:rsidR="00631CE9" w:rsidRPr="005B5460">
              <w:rPr>
                <w:rFonts w:ascii="Times New Roman" w:hAnsi="Times New Roman" w:cs="Times New Roman"/>
                <w:sz w:val="20"/>
                <w:szCs w:val="20"/>
              </w:rPr>
              <w:t>EAR</w:t>
            </w:r>
            <w:r w:rsidRPr="005B5460">
              <w:rPr>
                <w:rFonts w:ascii="Times New Roman" w:hAnsi="Times New Roman" w:cs="Times New Roman"/>
                <w:sz w:val="20"/>
                <w:szCs w:val="20"/>
              </w:rPr>
              <w:t>= 42)</w:t>
            </w:r>
          </w:p>
          <w:p w14:paraId="444FF61C" w14:textId="71C87421" w:rsidR="00631CE9" w:rsidRPr="005B5460" w:rsidRDefault="00E9626B" w:rsidP="00DE49A9">
            <w:pPr>
              <w:spacing w:line="240" w:lineRule="auto"/>
              <w:rPr>
                <w:rFonts w:ascii="Times New Roman" w:hAnsi="Times New Roman" w:cs="Times New Roman"/>
                <w:sz w:val="20"/>
                <w:szCs w:val="20"/>
                <w:vertAlign w:val="superscript"/>
              </w:rPr>
            </w:pPr>
            <w:r w:rsidRPr="005B5460">
              <w:rPr>
                <w:rFonts w:ascii="Times New Roman" w:hAnsi="Times New Roman" w:cs="Times New Roman"/>
                <w:sz w:val="20"/>
                <w:szCs w:val="20"/>
              </w:rPr>
              <w:t>(</w:t>
            </w:r>
            <w:r w:rsidR="00631CE9" w:rsidRPr="005B5460">
              <w:rPr>
                <w:rFonts w:ascii="Times New Roman" w:hAnsi="Times New Roman" w:cs="Times New Roman"/>
                <w:sz w:val="20"/>
                <w:szCs w:val="20"/>
              </w:rPr>
              <w:t>IAR</w:t>
            </w:r>
            <w:r w:rsidRPr="005B5460">
              <w:rPr>
                <w:rFonts w:ascii="Times New Roman" w:hAnsi="Times New Roman" w:cs="Times New Roman"/>
                <w:sz w:val="20"/>
                <w:szCs w:val="20"/>
              </w:rPr>
              <w:t>=21</w:t>
            </w:r>
            <w:r w:rsidR="00631CE9" w:rsidRPr="005B5460">
              <w:rPr>
                <w:rFonts w:ascii="Times New Roman" w:hAnsi="Times New Roman" w:cs="Times New Roman"/>
                <w:sz w:val="20"/>
                <w:szCs w:val="20"/>
              </w:rPr>
              <w:t>)</w:t>
            </w:r>
            <w:r w:rsidR="00631CE9" w:rsidRPr="005B5460">
              <w:rPr>
                <w:rFonts w:ascii="Times New Roman" w:hAnsi="Times New Roman" w:cs="Times New Roman"/>
                <w:sz w:val="20"/>
                <w:szCs w:val="20"/>
                <w:vertAlign w:val="superscript"/>
              </w:rPr>
              <w:t xml:space="preserve"> </w:t>
            </w:r>
          </w:p>
          <w:p w14:paraId="4AA16810" w14:textId="77777777" w:rsidR="00631CE9" w:rsidRPr="005B5460" w:rsidRDefault="00631CE9" w:rsidP="00DE49A9">
            <w:pPr>
              <w:spacing w:line="240" w:lineRule="auto"/>
              <w:rPr>
                <w:rFonts w:ascii="Times New Roman" w:hAnsi="Times New Roman" w:cs="Times New Roman"/>
                <w:sz w:val="20"/>
                <w:szCs w:val="20"/>
              </w:rPr>
            </w:pPr>
          </w:p>
          <w:p w14:paraId="2D220A20" w14:textId="4E1E0CCF"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Ablative surgery </w:t>
            </w:r>
            <w:r w:rsidR="00B471E5" w:rsidRPr="005B5460">
              <w:rPr>
                <w:rFonts w:ascii="Times New Roman" w:hAnsi="Times New Roman" w:cs="Times New Roman"/>
                <w:sz w:val="20"/>
                <w:szCs w:val="20"/>
              </w:rPr>
              <w:t xml:space="preserve">(Amputation and </w:t>
            </w:r>
            <w:proofErr w:type="spellStart"/>
            <w:proofErr w:type="gramStart"/>
            <w:r w:rsidR="00B471E5" w:rsidRPr="005B5460">
              <w:rPr>
                <w:rFonts w:ascii="Times New Roman" w:hAnsi="Times New Roman" w:cs="Times New Roman"/>
                <w:sz w:val="20"/>
                <w:szCs w:val="20"/>
              </w:rPr>
              <w:t>Rotationoplasty</w:t>
            </w:r>
            <w:proofErr w:type="spellEnd"/>
            <w:r w:rsidR="00B471E5" w:rsidRPr="005B5460">
              <w:rPr>
                <w:rFonts w:ascii="Times New Roman" w:hAnsi="Times New Roman" w:cs="Times New Roman"/>
                <w:sz w:val="20"/>
                <w:szCs w:val="20"/>
              </w:rPr>
              <w:t>)</w:t>
            </w:r>
            <w:r w:rsidRPr="005B5460">
              <w:rPr>
                <w:rFonts w:ascii="Times New Roman" w:hAnsi="Times New Roman" w:cs="Times New Roman"/>
                <w:sz w:val="20"/>
                <w:szCs w:val="20"/>
              </w:rPr>
              <w:t>=</w:t>
            </w:r>
            <w:proofErr w:type="gramEnd"/>
            <w:r w:rsidRPr="005B5460">
              <w:rPr>
                <w:rFonts w:ascii="Times New Roman" w:hAnsi="Times New Roman" w:cs="Times New Roman"/>
                <w:sz w:val="20"/>
                <w:szCs w:val="20"/>
              </w:rPr>
              <w:t xml:space="preserve"> 13</w:t>
            </w:r>
          </w:p>
          <w:p w14:paraId="0DEB3F13" w14:textId="77777777" w:rsidR="00631CE9" w:rsidRPr="005B5460" w:rsidRDefault="00631CE9" w:rsidP="00DE49A9">
            <w:pPr>
              <w:spacing w:line="240" w:lineRule="auto"/>
              <w:rPr>
                <w:rFonts w:ascii="Times New Roman" w:hAnsi="Times New Roman" w:cs="Times New Roman"/>
                <w:sz w:val="20"/>
                <w:szCs w:val="20"/>
              </w:rPr>
            </w:pPr>
          </w:p>
          <w:p w14:paraId="5D4D308D" w14:textId="77777777" w:rsidR="00631CE9" w:rsidRPr="005B5460" w:rsidRDefault="00631CE9" w:rsidP="00DE49A9">
            <w:pPr>
              <w:spacing w:line="240" w:lineRule="auto"/>
              <w:rPr>
                <w:rFonts w:ascii="Times New Roman" w:hAnsi="Times New Roman" w:cs="Times New Roman"/>
                <w:sz w:val="20"/>
                <w:szCs w:val="20"/>
              </w:rPr>
            </w:pPr>
          </w:p>
        </w:tc>
        <w:tc>
          <w:tcPr>
            <w:tcW w:w="2552" w:type="dxa"/>
          </w:tcPr>
          <w:p w14:paraId="754C8236"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MSTS:</w:t>
            </w:r>
            <w:r w:rsidRPr="005B5460">
              <w:rPr>
                <w:rFonts w:ascii="Times New Roman" w:hAnsi="Times New Roman" w:cs="Times New Roman"/>
                <w:sz w:val="20"/>
                <w:szCs w:val="20"/>
              </w:rPr>
              <w:t xml:space="preserve"> Mean score in LSS = 26, with no significant difference between the intra-groups. However, both LSS intra-groups in general were significantly better than the ablative surgery group (P=0.04).</w:t>
            </w:r>
          </w:p>
          <w:p w14:paraId="132C4E87"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ROM:</w:t>
            </w:r>
            <w:r w:rsidRPr="005B5460">
              <w:rPr>
                <w:rFonts w:ascii="Times New Roman" w:hAnsi="Times New Roman" w:cs="Times New Roman"/>
                <w:sz w:val="20"/>
                <w:szCs w:val="20"/>
              </w:rPr>
              <w:t xml:space="preserve"> </w:t>
            </w:r>
          </w:p>
          <w:p w14:paraId="25CD3CBA" w14:textId="77777777" w:rsidR="00631CE9" w:rsidRPr="005B5460" w:rsidRDefault="00631CE9" w:rsidP="00DE49A9">
            <w:pPr>
              <w:spacing w:line="240" w:lineRule="auto"/>
              <w:ind w:left="360"/>
              <w:rPr>
                <w:rFonts w:ascii="Times New Roman" w:hAnsi="Times New Roman" w:cs="Times New Roman"/>
                <w:sz w:val="20"/>
                <w:szCs w:val="20"/>
              </w:rPr>
            </w:pPr>
            <w:r w:rsidRPr="005B5460">
              <w:rPr>
                <w:rFonts w:ascii="Times New Roman" w:hAnsi="Times New Roman" w:cs="Times New Roman"/>
                <w:sz w:val="20"/>
                <w:szCs w:val="20"/>
              </w:rPr>
              <w:t>IAR mean flexion = 106 (70-130)</w:t>
            </w:r>
          </w:p>
          <w:p w14:paraId="4D9F8170" w14:textId="77777777" w:rsidR="00631CE9" w:rsidRPr="005B5460" w:rsidRDefault="00631CE9" w:rsidP="00DE49A9">
            <w:pPr>
              <w:spacing w:line="240" w:lineRule="auto"/>
              <w:ind w:left="360"/>
              <w:rPr>
                <w:rFonts w:ascii="Times New Roman" w:hAnsi="Times New Roman" w:cs="Times New Roman"/>
                <w:sz w:val="20"/>
                <w:szCs w:val="20"/>
              </w:rPr>
            </w:pPr>
            <w:r w:rsidRPr="005B5460">
              <w:rPr>
                <w:rFonts w:ascii="Times New Roman" w:hAnsi="Times New Roman" w:cs="Times New Roman"/>
                <w:sz w:val="20"/>
                <w:szCs w:val="20"/>
              </w:rPr>
              <w:t xml:space="preserve">EAR mean flexion = 103 (60-130) </w:t>
            </w:r>
          </w:p>
          <w:p w14:paraId="7B3585AB"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No significant differences between groups</w:t>
            </w:r>
          </w:p>
        </w:tc>
        <w:tc>
          <w:tcPr>
            <w:tcW w:w="2268" w:type="dxa"/>
          </w:tcPr>
          <w:p w14:paraId="4F55E51C" w14:textId="7129B6C3"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Heterogeneous sample size in terms of surgical procedures, techniques and presence of adjuvant therapies without taking them into account as confounding factors during data analysis. This could lead to measurement or analysis bias.</w:t>
            </w:r>
          </w:p>
          <w:p w14:paraId="6855438F" w14:textId="77777777" w:rsidR="00DE49A9" w:rsidRPr="005B5460" w:rsidRDefault="00DE49A9" w:rsidP="00DE49A9">
            <w:pPr>
              <w:spacing w:after="0" w:line="240" w:lineRule="auto"/>
              <w:rPr>
                <w:rFonts w:ascii="Times New Roman" w:hAnsi="Times New Roman" w:cs="Times New Roman"/>
                <w:sz w:val="20"/>
                <w:szCs w:val="20"/>
              </w:rPr>
            </w:pPr>
          </w:p>
          <w:p w14:paraId="2D4343E8"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 xml:space="preserve">No data reported </w:t>
            </w:r>
            <w:proofErr w:type="gramStart"/>
            <w:r w:rsidRPr="005B5460">
              <w:rPr>
                <w:rFonts w:ascii="Times New Roman" w:hAnsi="Times New Roman" w:cs="Times New Roman"/>
                <w:sz w:val="20"/>
                <w:szCs w:val="20"/>
              </w:rPr>
              <w:t>in regards to</w:t>
            </w:r>
            <w:proofErr w:type="gramEnd"/>
            <w:r w:rsidRPr="005B5460">
              <w:rPr>
                <w:rFonts w:ascii="Times New Roman" w:hAnsi="Times New Roman" w:cs="Times New Roman"/>
                <w:sz w:val="20"/>
                <w:szCs w:val="20"/>
              </w:rPr>
              <w:t xml:space="preserve"> extension lag, which is a predictable complication with extra-articular endoprostheses, as reported in other reviewed papers.</w:t>
            </w:r>
          </w:p>
        </w:tc>
      </w:tr>
      <w:tr w:rsidR="00DE49A9" w:rsidRPr="005B5460" w14:paraId="4835B8D8" w14:textId="77777777" w:rsidTr="00DE49A9">
        <w:trPr>
          <w:trHeight w:val="70"/>
        </w:trPr>
        <w:tc>
          <w:tcPr>
            <w:tcW w:w="1533" w:type="dxa"/>
          </w:tcPr>
          <w:p w14:paraId="3935B92C" w14:textId="219432D0" w:rsidR="00631CE9" w:rsidRPr="005B5460" w:rsidRDefault="00631CE9" w:rsidP="00DE49A9">
            <w:pPr>
              <w:pStyle w:val="ListParagraph"/>
              <w:numPr>
                <w:ilvl w:val="0"/>
                <w:numId w:val="32"/>
              </w:numPr>
              <w:spacing w:after="0" w:line="240" w:lineRule="auto"/>
              <w:ind w:left="162" w:hanging="180"/>
              <w:rPr>
                <w:rFonts w:ascii="Times New Roman" w:hAnsi="Times New Roman" w:cs="Times New Roman"/>
                <w:sz w:val="20"/>
                <w:szCs w:val="20"/>
              </w:rPr>
            </w:pPr>
            <w:r w:rsidRPr="005B5460">
              <w:rPr>
                <w:rFonts w:ascii="Times New Roman" w:hAnsi="Times New Roman" w:cs="Times New Roman"/>
                <w:sz w:val="20"/>
                <w:szCs w:val="20"/>
              </w:rPr>
              <w:t xml:space="preserve"> </w:t>
            </w:r>
            <w:r w:rsidR="009B1822" w:rsidRPr="005B5460">
              <w:rPr>
                <w:rFonts w:ascii="Times New Roman" w:hAnsi="Times New Roman" w:cs="Times New Roman"/>
                <w:sz w:val="20"/>
                <w:szCs w:val="20"/>
              </w:rPr>
              <w:fldChar w:fldCharType="begin" w:fldLock="1"/>
            </w:r>
            <w:r w:rsidR="009B1822" w:rsidRPr="005B5460">
              <w:rPr>
                <w:rFonts w:ascii="Times New Roman" w:hAnsi="Times New Roman" w:cs="Times New Roman"/>
                <w:sz w:val="20"/>
                <w:szCs w:val="20"/>
              </w:rPr>
              <w:instrText>ADDIN CSL_CITATION {"citationItems":[{"id":"ITEM-1","itemData":{"DOI":"10.3892/etm.2014.1744","ISSN":"1792-0981","abstract":"In this study, the effects of surgical removal of malignant metaphyseal bone tumors with epiphysis preservation and knee arthroplasty were analyzed. A total of 15 patients with malignant metaphyseal bone tumors were investigated. Six of these patients underwent epiphyseal preservation surgery with preoperative physeal distraction, termed the physeal distraction (PD) group. Nine patients underwent resection of the knee joint, combined with metal prosthesis transfer, termed the knee arthroplasty (KA) group. Tumor control, limb length discrepancy, range of movement (ROM) of the knee and functional outcome of lower limb [Musculoskeletal Tumor Society (MSTS) score and the Toronto extremity salvage score (TESS)] were assessed for these two groups. All 15 patients were followed-up after the surgery. One patient in the PD group was found to have lung tumor metastasis; however, no local tumor recurrence was found. In the KA group, local tumor recurrence was found in one patient, and lung metastases were observed in two cases postoperatively. The limb length discrepancy in patients of the PD group was 2.58±0.27 cm, which was significantly less compared with that in patients in the KA group (4.01±0.13 cm; P&lt;0.05). In addition, the lower limb knee ROM in patients in the PD group was 127.70±14.63°, which was increased compared to that in patients in the KA group (105.70±15.48°; P&lt;0.05). The mean MSTS score was 86.67% with a mean TESS of 82.33% in patients from the PD group, which showed no significant difference compared with the respective scores for patients in the KA group (P&gt;0.05). Therefore, epiphyseal sparing limb-saving surgeries should be considered for the treatment of malignant metaphyseal bone tumors in children, when certain indications are satisfied.","author":[{"dropping-particle":"","family":"Zhang","given":"Peng","non-dropping-particle":"","parse-names":false,"suffix":""},{"dropping-particle":"","family":"Feng","given":"Feifei","non-dropping-particle":"","parse-names":false,"suffix":""},{"dropping-particle":"","family":"Cai","given":"Qiqing","non-dropping-particle":"","parse-names":false,"suffix":""},{"dropping-particle":"","family":"Yao","given":"Weitao","non-dropping-particle":"","parse-names":false,"suffix":""},{"dropping-particle":"","family":"Gao","given":"Songtao","non-dropping-particle":"","parse-names":false,"suffix":""},{"dropping-particle":"","family":"Wang","given":"Jiaqiang","non-dropping-particle":"","parse-names":false,"suffix":""},{"dropping-particle":"","family":"Wang","given":"Xin","non-dropping-particle":"","parse-names":false,"suffix":""}],"container-title":"Experimental and therapeutic medicine","edition":"2014/05/28","id":"ITEM-1","issue":"2","issued":{"date-parts":[["2014","8"]]},"language":"eng","page":"567-572","publisher":"D.A. Spandidos","title":"Effects of metaphyseal bone tumor removal with preservation of the epiphysis and knee arthroplasty","type":"article-journal","volume":"8"},"uris":["http://www.mendeley.com/documents/?uuid=d539b6a2-627a-467e-86c8-4c9e75ef76c0"]}],"mendeley":{"formattedCitation":"(18)","plainTextFormattedCitation":"(18)","previouslyFormattedCitation":"(18)"},"properties":{"noteIndex":0},"schema":"https://github.com/citation-style-language/schema/raw/master/csl-citation.json"}</w:instrText>
            </w:r>
            <w:r w:rsidR="009B1822" w:rsidRPr="005B5460">
              <w:rPr>
                <w:rFonts w:ascii="Times New Roman" w:hAnsi="Times New Roman" w:cs="Times New Roman"/>
                <w:sz w:val="20"/>
                <w:szCs w:val="20"/>
              </w:rPr>
              <w:fldChar w:fldCharType="separate"/>
            </w:r>
            <w:r w:rsidR="009B1822" w:rsidRPr="005B5460">
              <w:rPr>
                <w:rFonts w:ascii="Times New Roman" w:hAnsi="Times New Roman" w:cs="Times New Roman"/>
                <w:noProof/>
                <w:sz w:val="20"/>
                <w:szCs w:val="20"/>
              </w:rPr>
              <w:t>(18)</w:t>
            </w:r>
            <w:r w:rsidR="009B1822" w:rsidRPr="005B5460">
              <w:rPr>
                <w:rFonts w:ascii="Times New Roman" w:hAnsi="Times New Roman" w:cs="Times New Roman"/>
                <w:sz w:val="20"/>
                <w:szCs w:val="20"/>
              </w:rPr>
              <w:fldChar w:fldCharType="end"/>
            </w:r>
          </w:p>
          <w:p w14:paraId="5D0D9750" w14:textId="77777777" w:rsidR="00631CE9" w:rsidRPr="005B5460" w:rsidRDefault="00631CE9" w:rsidP="00DE49A9">
            <w:pPr>
              <w:spacing w:line="240" w:lineRule="auto"/>
              <w:ind w:left="162" w:hanging="180"/>
              <w:rPr>
                <w:rFonts w:ascii="Times New Roman" w:hAnsi="Times New Roman" w:cs="Times New Roman"/>
                <w:i/>
                <w:iCs/>
                <w:sz w:val="20"/>
                <w:szCs w:val="20"/>
              </w:rPr>
            </w:pPr>
            <w:r w:rsidRPr="005B5460">
              <w:rPr>
                <w:rFonts w:ascii="Times New Roman" w:hAnsi="Times New Roman" w:cs="Times New Roman"/>
                <w:i/>
                <w:iCs/>
                <w:sz w:val="20"/>
                <w:szCs w:val="20"/>
              </w:rPr>
              <w:t>2014</w:t>
            </w:r>
          </w:p>
          <w:p w14:paraId="6D72B918" w14:textId="77777777" w:rsidR="00631CE9" w:rsidRPr="005B5460" w:rsidRDefault="00631CE9" w:rsidP="00DE49A9">
            <w:pPr>
              <w:spacing w:line="240" w:lineRule="auto"/>
              <w:ind w:left="162" w:hanging="180"/>
              <w:rPr>
                <w:rFonts w:ascii="Times New Roman" w:hAnsi="Times New Roman" w:cs="Times New Roman"/>
                <w:sz w:val="20"/>
                <w:szCs w:val="20"/>
              </w:rPr>
            </w:pPr>
            <w:r w:rsidRPr="005B5460">
              <w:rPr>
                <w:rFonts w:ascii="Times New Roman" w:hAnsi="Times New Roman" w:cs="Times New Roman"/>
                <w:i/>
                <w:iCs/>
                <w:sz w:val="20"/>
                <w:szCs w:val="20"/>
              </w:rPr>
              <w:t>China</w:t>
            </w:r>
          </w:p>
        </w:tc>
        <w:tc>
          <w:tcPr>
            <w:tcW w:w="1134" w:type="dxa"/>
          </w:tcPr>
          <w:p w14:paraId="0694CEE6" w14:textId="77777777" w:rsidR="00C42607"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N= 15</w:t>
            </w:r>
          </w:p>
          <w:p w14:paraId="15D206F4" w14:textId="123A40C7" w:rsidR="00C42607"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(10 Male &amp; 5 Female)</w:t>
            </w:r>
          </w:p>
          <w:p w14:paraId="5FD3D474" w14:textId="5C8A4EE4" w:rsidR="00C42607"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lastRenderedPageBreak/>
              <w:t>Mean age = 12 (9–16)</w:t>
            </w:r>
          </w:p>
          <w:p w14:paraId="0AFA7BE7" w14:textId="05C58BE7" w:rsidR="00631CE9" w:rsidRPr="005B5460" w:rsidRDefault="00631CE9" w:rsidP="00DE49A9">
            <w:pPr>
              <w:spacing w:line="240" w:lineRule="auto"/>
              <w:rPr>
                <w:rFonts w:ascii="Times New Roman" w:hAnsi="Times New Roman" w:cs="Times New Roman"/>
                <w:sz w:val="20"/>
                <w:szCs w:val="20"/>
              </w:rPr>
            </w:pPr>
          </w:p>
        </w:tc>
        <w:tc>
          <w:tcPr>
            <w:tcW w:w="1559" w:type="dxa"/>
          </w:tcPr>
          <w:p w14:paraId="46700052"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lastRenderedPageBreak/>
              <w:t>Retrospective cohort</w:t>
            </w:r>
          </w:p>
        </w:tc>
        <w:tc>
          <w:tcPr>
            <w:tcW w:w="1418" w:type="dxa"/>
          </w:tcPr>
          <w:p w14:paraId="51C9147E"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Comparison of functional outcomes between two groups of patients: limb preservation </w:t>
            </w:r>
            <w:r w:rsidRPr="005B5460">
              <w:rPr>
                <w:rFonts w:ascii="Times New Roman" w:hAnsi="Times New Roman" w:cs="Times New Roman"/>
                <w:sz w:val="20"/>
                <w:szCs w:val="20"/>
              </w:rPr>
              <w:lastRenderedPageBreak/>
              <w:t xml:space="preserve">with </w:t>
            </w:r>
            <w:proofErr w:type="spellStart"/>
            <w:r w:rsidRPr="005B5460">
              <w:rPr>
                <w:rFonts w:ascii="Times New Roman" w:hAnsi="Times New Roman" w:cs="Times New Roman"/>
                <w:sz w:val="20"/>
                <w:szCs w:val="20"/>
              </w:rPr>
              <w:t>physeal</w:t>
            </w:r>
            <w:proofErr w:type="spellEnd"/>
            <w:r w:rsidRPr="005B5460">
              <w:rPr>
                <w:rFonts w:ascii="Times New Roman" w:hAnsi="Times New Roman" w:cs="Times New Roman"/>
                <w:sz w:val="20"/>
                <w:szCs w:val="20"/>
              </w:rPr>
              <w:t xml:space="preserve"> distraction and limb preservation with knee arthroplasty (endoprostheses)</w:t>
            </w:r>
          </w:p>
        </w:tc>
        <w:tc>
          <w:tcPr>
            <w:tcW w:w="1701" w:type="dxa"/>
          </w:tcPr>
          <w:p w14:paraId="2A240349" w14:textId="138B61C2"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lastRenderedPageBreak/>
              <w:t>MSTS score</w:t>
            </w:r>
          </w:p>
          <w:p w14:paraId="6531FCF5" w14:textId="77777777" w:rsidR="00DE49A9" w:rsidRPr="005B5460" w:rsidRDefault="00DE49A9" w:rsidP="00DE49A9">
            <w:pPr>
              <w:spacing w:after="0" w:line="240" w:lineRule="auto"/>
              <w:rPr>
                <w:rFonts w:ascii="Times New Roman" w:hAnsi="Times New Roman" w:cs="Times New Roman"/>
                <w:sz w:val="20"/>
                <w:szCs w:val="20"/>
              </w:rPr>
            </w:pPr>
          </w:p>
          <w:p w14:paraId="429ED55F" w14:textId="49C226A9"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TESS score</w:t>
            </w:r>
          </w:p>
          <w:p w14:paraId="3851EB33" w14:textId="77777777" w:rsidR="00DE49A9" w:rsidRPr="005B5460" w:rsidRDefault="00DE49A9" w:rsidP="00DE49A9">
            <w:pPr>
              <w:spacing w:after="0" w:line="240" w:lineRule="auto"/>
              <w:rPr>
                <w:rFonts w:ascii="Times New Roman" w:hAnsi="Times New Roman" w:cs="Times New Roman"/>
                <w:sz w:val="20"/>
                <w:szCs w:val="20"/>
              </w:rPr>
            </w:pPr>
          </w:p>
          <w:p w14:paraId="626C6CC9"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ROM</w:t>
            </w:r>
          </w:p>
        </w:tc>
        <w:tc>
          <w:tcPr>
            <w:tcW w:w="1700" w:type="dxa"/>
          </w:tcPr>
          <w:p w14:paraId="427961F4" w14:textId="54E4EA04" w:rsidR="00631CE9" w:rsidRPr="005B5460" w:rsidRDefault="00476EEF" w:rsidP="00DE49A9">
            <w:pPr>
              <w:spacing w:line="240" w:lineRule="auto"/>
              <w:rPr>
                <w:rFonts w:ascii="Times New Roman" w:hAnsi="Times New Roman" w:cs="Times New Roman"/>
                <w:sz w:val="20"/>
                <w:szCs w:val="20"/>
              </w:rPr>
            </w:pPr>
            <w:proofErr w:type="spellStart"/>
            <w:r w:rsidRPr="005B5460">
              <w:rPr>
                <w:rFonts w:ascii="Times New Roman" w:hAnsi="Times New Roman" w:cs="Times New Roman"/>
                <w:sz w:val="20"/>
                <w:szCs w:val="20"/>
              </w:rPr>
              <w:t>Physeal</w:t>
            </w:r>
            <w:proofErr w:type="spellEnd"/>
            <w:r w:rsidRPr="005B5460">
              <w:rPr>
                <w:rFonts w:ascii="Times New Roman" w:hAnsi="Times New Roman" w:cs="Times New Roman"/>
                <w:sz w:val="20"/>
                <w:szCs w:val="20"/>
              </w:rPr>
              <w:t xml:space="preserve"> distraction (PD) = 6 </w:t>
            </w:r>
          </w:p>
          <w:p w14:paraId="45AFB3C5" w14:textId="7AC7D3C9"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Knee arthroplasty KA= 9 </w:t>
            </w:r>
          </w:p>
          <w:p w14:paraId="00905626" w14:textId="77777777" w:rsidR="00631CE9" w:rsidRPr="005B5460" w:rsidRDefault="00631CE9" w:rsidP="00DE49A9">
            <w:pPr>
              <w:spacing w:line="240" w:lineRule="auto"/>
              <w:rPr>
                <w:rFonts w:ascii="Times New Roman" w:hAnsi="Times New Roman" w:cs="Times New Roman"/>
                <w:sz w:val="20"/>
                <w:szCs w:val="20"/>
              </w:rPr>
            </w:pPr>
          </w:p>
          <w:p w14:paraId="3C45B184" w14:textId="772CF184" w:rsidR="00631CE9" w:rsidRPr="005B5460" w:rsidRDefault="00631CE9" w:rsidP="00DE49A9">
            <w:pPr>
              <w:spacing w:line="240" w:lineRule="auto"/>
              <w:rPr>
                <w:rFonts w:ascii="Times New Roman" w:hAnsi="Times New Roman" w:cs="Times New Roman"/>
                <w:sz w:val="20"/>
                <w:szCs w:val="20"/>
              </w:rPr>
            </w:pPr>
          </w:p>
        </w:tc>
        <w:tc>
          <w:tcPr>
            <w:tcW w:w="2552" w:type="dxa"/>
          </w:tcPr>
          <w:p w14:paraId="58B7FA42"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lastRenderedPageBreak/>
              <w:t>MSTS:</w:t>
            </w:r>
            <w:r w:rsidRPr="005B5460">
              <w:rPr>
                <w:rFonts w:ascii="Times New Roman" w:hAnsi="Times New Roman" w:cs="Times New Roman"/>
                <w:sz w:val="20"/>
                <w:szCs w:val="20"/>
              </w:rPr>
              <w:t xml:space="preserve"> Excellent to good overall functional scores. PD Mean MSTS = 86.67% KA Mean MSTS = 74.67%. No significant difference found between groups</w:t>
            </w:r>
          </w:p>
          <w:p w14:paraId="25088B19" w14:textId="77777777" w:rsidR="00631CE9" w:rsidRPr="005B5460" w:rsidRDefault="00631CE9" w:rsidP="00DE49A9">
            <w:pPr>
              <w:spacing w:line="240" w:lineRule="auto"/>
              <w:rPr>
                <w:rFonts w:ascii="Times New Roman" w:hAnsi="Times New Roman" w:cs="Times New Roman"/>
                <w:i/>
                <w:iCs/>
                <w:sz w:val="20"/>
                <w:szCs w:val="20"/>
              </w:rPr>
            </w:pPr>
            <w:r w:rsidRPr="005B5460">
              <w:rPr>
                <w:rFonts w:ascii="Times New Roman" w:hAnsi="Times New Roman" w:cs="Times New Roman"/>
                <w:b/>
                <w:bCs/>
                <w:i/>
                <w:iCs/>
                <w:sz w:val="20"/>
                <w:szCs w:val="20"/>
              </w:rPr>
              <w:lastRenderedPageBreak/>
              <w:t>TESS:</w:t>
            </w:r>
            <w:r w:rsidRPr="005B5460">
              <w:rPr>
                <w:rFonts w:ascii="Times New Roman" w:hAnsi="Times New Roman" w:cs="Times New Roman"/>
                <w:i/>
                <w:iCs/>
                <w:sz w:val="20"/>
                <w:szCs w:val="20"/>
              </w:rPr>
              <w:t xml:space="preserve"> </w:t>
            </w:r>
          </w:p>
          <w:p w14:paraId="53CCFEBF" w14:textId="77777777" w:rsidR="00631CE9" w:rsidRPr="005B5460" w:rsidRDefault="00631CE9" w:rsidP="00DE49A9">
            <w:pPr>
              <w:spacing w:line="240" w:lineRule="auto"/>
              <w:ind w:left="360"/>
              <w:rPr>
                <w:rFonts w:ascii="Times New Roman" w:hAnsi="Times New Roman" w:cs="Times New Roman"/>
                <w:sz w:val="20"/>
                <w:szCs w:val="20"/>
              </w:rPr>
            </w:pPr>
            <w:r w:rsidRPr="005B5460">
              <w:rPr>
                <w:rFonts w:ascii="Times New Roman" w:hAnsi="Times New Roman" w:cs="Times New Roman"/>
                <w:sz w:val="20"/>
                <w:szCs w:val="20"/>
              </w:rPr>
              <w:t>PD score = 82.33%</w:t>
            </w:r>
          </w:p>
          <w:p w14:paraId="7A55B5DB" w14:textId="77777777" w:rsidR="00631CE9" w:rsidRPr="005B5460" w:rsidRDefault="00631CE9" w:rsidP="00DE49A9">
            <w:pPr>
              <w:spacing w:line="240" w:lineRule="auto"/>
              <w:ind w:left="360"/>
              <w:rPr>
                <w:rFonts w:ascii="Times New Roman" w:hAnsi="Times New Roman" w:cs="Times New Roman"/>
                <w:sz w:val="20"/>
                <w:szCs w:val="20"/>
              </w:rPr>
            </w:pPr>
            <w:r w:rsidRPr="005B5460">
              <w:rPr>
                <w:rFonts w:ascii="Times New Roman" w:hAnsi="Times New Roman" w:cs="Times New Roman"/>
                <w:sz w:val="20"/>
                <w:szCs w:val="20"/>
              </w:rPr>
              <w:t xml:space="preserve">KA score =76.33% </w:t>
            </w:r>
          </w:p>
          <w:p w14:paraId="452E95E8"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No significant differences of MSTS and TESS scores between groups</w:t>
            </w:r>
          </w:p>
          <w:p w14:paraId="2739CF28"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ROM:</w:t>
            </w:r>
            <w:r w:rsidRPr="005B5460">
              <w:rPr>
                <w:rFonts w:ascii="Times New Roman" w:hAnsi="Times New Roman" w:cs="Times New Roman"/>
                <w:sz w:val="20"/>
                <w:szCs w:val="20"/>
              </w:rPr>
              <w:t xml:space="preserve"> PD group has significantly better ROM than KA group (</w:t>
            </w:r>
            <w:r w:rsidRPr="005B5460">
              <w:rPr>
                <w:rFonts w:ascii="Times New Roman" w:hAnsi="Times New Roman" w:cs="Times New Roman"/>
                <w:i/>
                <w:iCs/>
                <w:sz w:val="20"/>
                <w:szCs w:val="20"/>
              </w:rPr>
              <w:t>P</w:t>
            </w:r>
            <w:r w:rsidRPr="005B5460">
              <w:rPr>
                <w:rFonts w:ascii="Times New Roman" w:hAnsi="Times New Roman" w:cs="Times New Roman"/>
                <w:sz w:val="20"/>
                <w:szCs w:val="20"/>
              </w:rPr>
              <w:t xml:space="preserve"> = 0.05)</w:t>
            </w:r>
          </w:p>
          <w:p w14:paraId="6FCCFE41" w14:textId="77777777" w:rsidR="00631CE9" w:rsidRPr="005B5460" w:rsidRDefault="00631CE9" w:rsidP="00DE49A9">
            <w:pPr>
              <w:spacing w:line="240" w:lineRule="auto"/>
              <w:rPr>
                <w:rFonts w:ascii="Times New Roman" w:hAnsi="Times New Roman" w:cs="Times New Roman"/>
                <w:b/>
                <w:bCs/>
                <w:i/>
                <w:iCs/>
                <w:sz w:val="20"/>
                <w:szCs w:val="20"/>
              </w:rPr>
            </w:pPr>
          </w:p>
        </w:tc>
        <w:tc>
          <w:tcPr>
            <w:tcW w:w="2268" w:type="dxa"/>
          </w:tcPr>
          <w:p w14:paraId="264303D1" w14:textId="1CB6F862"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lastRenderedPageBreak/>
              <w:t>Small sample size.</w:t>
            </w:r>
          </w:p>
          <w:p w14:paraId="326385B8" w14:textId="77777777" w:rsidR="00DE49A9" w:rsidRPr="005B5460" w:rsidRDefault="00DE49A9" w:rsidP="00DE49A9">
            <w:pPr>
              <w:spacing w:after="0" w:line="240" w:lineRule="auto"/>
              <w:rPr>
                <w:rFonts w:ascii="Times New Roman" w:hAnsi="Times New Roman" w:cs="Times New Roman"/>
                <w:sz w:val="20"/>
                <w:szCs w:val="20"/>
              </w:rPr>
            </w:pPr>
          </w:p>
          <w:p w14:paraId="73F63AAB"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 xml:space="preserve">Confounding factors as associated complications were not taken into account in the statistical </w:t>
            </w:r>
            <w:r w:rsidRPr="005B5460">
              <w:rPr>
                <w:rFonts w:ascii="Times New Roman" w:hAnsi="Times New Roman" w:cs="Times New Roman"/>
                <w:sz w:val="20"/>
                <w:szCs w:val="20"/>
              </w:rPr>
              <w:lastRenderedPageBreak/>
              <w:t>calculations of functional outcomes.</w:t>
            </w:r>
          </w:p>
        </w:tc>
      </w:tr>
      <w:tr w:rsidR="00DE49A9" w:rsidRPr="005B5460" w14:paraId="0885DB3E" w14:textId="77777777" w:rsidTr="00DE49A9">
        <w:tc>
          <w:tcPr>
            <w:tcW w:w="1533" w:type="dxa"/>
          </w:tcPr>
          <w:p w14:paraId="500100B9" w14:textId="7C569DED" w:rsidR="00631CE9" w:rsidRPr="005B5460" w:rsidRDefault="009B1822" w:rsidP="00DE49A9">
            <w:pPr>
              <w:pStyle w:val="ListParagraph"/>
              <w:numPr>
                <w:ilvl w:val="0"/>
                <w:numId w:val="32"/>
              </w:numPr>
              <w:spacing w:after="0" w:line="240" w:lineRule="auto"/>
              <w:ind w:left="162" w:hanging="180"/>
              <w:rPr>
                <w:rFonts w:ascii="Times New Roman" w:hAnsi="Times New Roman" w:cs="Times New Roman"/>
                <w:sz w:val="20"/>
                <w:szCs w:val="20"/>
              </w:rPr>
            </w:pPr>
            <w:r w:rsidRPr="005B5460">
              <w:rPr>
                <w:rFonts w:ascii="Times New Roman" w:hAnsi="Times New Roman" w:cs="Times New Roman"/>
                <w:sz w:val="20"/>
                <w:szCs w:val="20"/>
              </w:rPr>
              <w:lastRenderedPageBreak/>
              <w:fldChar w:fldCharType="begin" w:fldLock="1"/>
            </w:r>
            <w:r w:rsidR="009D0EA8" w:rsidRPr="005B5460">
              <w:rPr>
                <w:rFonts w:ascii="Times New Roman" w:hAnsi="Times New Roman" w:cs="Times New Roman"/>
                <w:sz w:val="20"/>
                <w:szCs w:val="20"/>
              </w:rPr>
              <w:instrText>ADDIN CSL_CITATION {"citationItems":[{"id":"ITEM-1","itemData":{"DOI":"10.1302/0301-620X.95B10.31740","ISSN":"2049-4408 (Electronic)","PMID":"24078544","abstract":"We evaluated the clinical results and complications after extra-articular resection  of the distal femur and/or proximal tibia and reconstruction with a tumour endoprosthesis (MUTARS) in 59 patients (mean age 33 years (11 to 74)) with malignant bone or soft-tissue tumours. According to a Kaplan-Meier analysis, limb survival was 76% (95% confidence interval (CI) 64.1 to 88.5) after a mean follow-up of 4.7 years (one month to 17 years). Peri-prosthetic infection was the most common indication for subsequent amputation (eight patients). Survival of the prosthesis without revision was 48% (95% CI 34.8 to 62.0) at two years and 25% (95% CI 11.1 to 39.9) at five years post-operatively. Failure of the prosthesis was due to deep infection in 22 patients (37%), aseptic loosening in ten patients (17%), and peri-prosthetic fracture in six patients (10%). Wear of the bearings made a minor revision necessary in 12 patients (20%). The mean Musculoskeletal Tumor Society score was 23 (10 to 29). An extensor lag &gt; 10° was noted in ten patients (17%). These results suggest that limb salvage after extra-articular resection with a tumour prosthesis can achieve good functional results in most patients, although the rates of complications and subsequent amputation are higher than in patients treated with intra-articular resection.","author":[{"dropping-particle":"","family":"Hardes","given":"J","non-dropping-particle":"","parse-names":false,"suffix":""},{"dropping-particle":"","family":"Henrichs","given":"M P","non-dropping-particle":"","parse-names":false,"suffix":""},{"dropping-particle":"","family":"Gosheger","given":"G","non-dropping-particle":"","parse-names":false,"suffix":""},{"dropping-particle":"","family":"Gebert","given":"C","non-dropping-particle":"","parse-names":false,"suffix":""},{"dropping-particle":"","family":"Höll","given":"S","non-dropping-particle":"","parse-names":false,"suffix":""},{"dropping-particle":"","family":"Dieckmann","given":"R","non-dropping-particle":"","parse-names":false,"suffix":""},{"dropping-particle":"","family":"Hauschild","given":"G","non-dropping-particle":"","parse-names":false,"suffix":""},{"dropping-particle":"","family":"Streitbürger","given":"A","non-dropping-particle":"","parse-names":false,"suffix":""}],"container-title":"The bone &amp; joint journal","id":"ITEM-1","issue":"10","issued":{"date-parts":[["2013","10"]]},"language":"eng","page":"1425-1431","publisher-place":"England","title":"Endoprosthetic replacement after extra-articular resection of bone and soft-tissue  tumours around the knee.","type":"article-journal","volume":"95-B"},"uris":["http://www.mendeley.com/documents/?uuid=910cd0ad-117c-448d-8ff7-d41f29f39e12"]}],"mendeley":{"formattedCitation":"(42)","plainTextFormattedCitation":"(42)","previouslyFormattedCitation":"(43)"},"properties":{"noteIndex":0},"schema":"https://github.com/citation-style-language/schema/raw/master/csl-citation.json"}</w:instrText>
            </w:r>
            <w:r w:rsidRPr="005B5460">
              <w:rPr>
                <w:rFonts w:ascii="Times New Roman" w:hAnsi="Times New Roman" w:cs="Times New Roman"/>
                <w:sz w:val="20"/>
                <w:szCs w:val="20"/>
              </w:rPr>
              <w:fldChar w:fldCharType="separate"/>
            </w:r>
            <w:r w:rsidR="009D0EA8" w:rsidRPr="005B5460">
              <w:rPr>
                <w:rFonts w:ascii="Times New Roman" w:hAnsi="Times New Roman" w:cs="Times New Roman"/>
                <w:noProof/>
                <w:sz w:val="20"/>
                <w:szCs w:val="20"/>
              </w:rPr>
              <w:t>(42)</w:t>
            </w:r>
            <w:r w:rsidRPr="005B5460">
              <w:rPr>
                <w:rFonts w:ascii="Times New Roman" w:hAnsi="Times New Roman" w:cs="Times New Roman"/>
                <w:sz w:val="20"/>
                <w:szCs w:val="20"/>
              </w:rPr>
              <w:fldChar w:fldCharType="end"/>
            </w:r>
          </w:p>
          <w:p w14:paraId="51859345" w14:textId="77777777" w:rsidR="00631CE9" w:rsidRPr="005B5460" w:rsidRDefault="00631CE9" w:rsidP="00DE49A9">
            <w:pPr>
              <w:spacing w:line="240" w:lineRule="auto"/>
              <w:ind w:left="162" w:hanging="180"/>
              <w:rPr>
                <w:rFonts w:ascii="Times New Roman" w:hAnsi="Times New Roman" w:cs="Times New Roman"/>
                <w:i/>
                <w:iCs/>
                <w:sz w:val="20"/>
                <w:szCs w:val="20"/>
              </w:rPr>
            </w:pPr>
            <w:r w:rsidRPr="005B5460">
              <w:rPr>
                <w:rFonts w:ascii="Times New Roman" w:hAnsi="Times New Roman" w:cs="Times New Roman"/>
                <w:i/>
                <w:iCs/>
                <w:sz w:val="20"/>
                <w:szCs w:val="20"/>
              </w:rPr>
              <w:t>2013</w:t>
            </w:r>
          </w:p>
          <w:p w14:paraId="0C6FA4A6" w14:textId="77777777" w:rsidR="00631CE9" w:rsidRPr="005B5460" w:rsidRDefault="00631CE9" w:rsidP="00DE49A9">
            <w:pPr>
              <w:spacing w:line="240" w:lineRule="auto"/>
              <w:ind w:left="162" w:hanging="180"/>
              <w:rPr>
                <w:rFonts w:ascii="Times New Roman" w:hAnsi="Times New Roman" w:cs="Times New Roman"/>
                <w:sz w:val="20"/>
                <w:szCs w:val="20"/>
              </w:rPr>
            </w:pPr>
            <w:r w:rsidRPr="005B5460">
              <w:rPr>
                <w:rFonts w:ascii="Times New Roman" w:hAnsi="Times New Roman" w:cs="Times New Roman"/>
                <w:i/>
                <w:iCs/>
                <w:sz w:val="20"/>
                <w:szCs w:val="20"/>
              </w:rPr>
              <w:t>Germany</w:t>
            </w:r>
          </w:p>
        </w:tc>
        <w:tc>
          <w:tcPr>
            <w:tcW w:w="1134" w:type="dxa"/>
          </w:tcPr>
          <w:p w14:paraId="23A3D4A8" w14:textId="77777777" w:rsidR="00C42607"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N= 59</w:t>
            </w:r>
          </w:p>
          <w:p w14:paraId="5F21F763" w14:textId="77777777" w:rsidR="00C42607"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(36 Male &amp; 23 Female)</w:t>
            </w:r>
          </w:p>
          <w:p w14:paraId="07EDB59B" w14:textId="5AA1353C" w:rsidR="00631CE9"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Mean age = 33 (11–74)</w:t>
            </w:r>
          </w:p>
        </w:tc>
        <w:tc>
          <w:tcPr>
            <w:tcW w:w="1559" w:type="dxa"/>
          </w:tcPr>
          <w:p w14:paraId="455CAFD5"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Retrospective cohort</w:t>
            </w:r>
          </w:p>
        </w:tc>
        <w:tc>
          <w:tcPr>
            <w:tcW w:w="1418" w:type="dxa"/>
          </w:tcPr>
          <w:p w14:paraId="0FD264E2"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Comparison of functional outcomes between extra-articular resection and intra-articular resection groups </w:t>
            </w:r>
          </w:p>
        </w:tc>
        <w:tc>
          <w:tcPr>
            <w:tcW w:w="1701" w:type="dxa"/>
          </w:tcPr>
          <w:p w14:paraId="1574F82A" w14:textId="2F0DAD93" w:rsidR="00631CE9" w:rsidRPr="005B5460" w:rsidRDefault="00631CE9" w:rsidP="00DE49A9">
            <w:pPr>
              <w:spacing w:after="0" w:line="240" w:lineRule="auto"/>
              <w:ind w:left="-18"/>
              <w:rPr>
                <w:rFonts w:ascii="Times New Roman" w:hAnsi="Times New Roman" w:cs="Times New Roman"/>
                <w:sz w:val="20"/>
                <w:szCs w:val="20"/>
              </w:rPr>
            </w:pPr>
            <w:r w:rsidRPr="005B5460">
              <w:rPr>
                <w:rFonts w:ascii="Times New Roman" w:hAnsi="Times New Roman" w:cs="Times New Roman"/>
                <w:sz w:val="20"/>
                <w:szCs w:val="20"/>
              </w:rPr>
              <w:t>MSTS score</w:t>
            </w:r>
          </w:p>
          <w:p w14:paraId="3AC8B00D" w14:textId="77777777" w:rsidR="00DE49A9" w:rsidRPr="005B5460" w:rsidRDefault="00DE49A9" w:rsidP="00DE49A9">
            <w:pPr>
              <w:spacing w:after="0" w:line="240" w:lineRule="auto"/>
              <w:ind w:left="-18"/>
              <w:rPr>
                <w:rFonts w:ascii="Times New Roman" w:hAnsi="Times New Roman" w:cs="Times New Roman"/>
                <w:sz w:val="20"/>
                <w:szCs w:val="20"/>
              </w:rPr>
            </w:pPr>
          </w:p>
          <w:p w14:paraId="4361105D" w14:textId="4016BFC9" w:rsidR="00631CE9" w:rsidRPr="005B5460" w:rsidRDefault="00631CE9" w:rsidP="00DE49A9">
            <w:pPr>
              <w:spacing w:after="0" w:line="240" w:lineRule="auto"/>
              <w:ind w:left="-18"/>
              <w:rPr>
                <w:rFonts w:ascii="Times New Roman" w:hAnsi="Times New Roman" w:cs="Times New Roman"/>
                <w:sz w:val="20"/>
                <w:szCs w:val="20"/>
              </w:rPr>
            </w:pPr>
            <w:r w:rsidRPr="005B5460">
              <w:rPr>
                <w:rFonts w:ascii="Times New Roman" w:hAnsi="Times New Roman" w:cs="Times New Roman"/>
                <w:sz w:val="20"/>
                <w:szCs w:val="20"/>
              </w:rPr>
              <w:t>ROM</w:t>
            </w:r>
          </w:p>
          <w:p w14:paraId="43C84C6C" w14:textId="77777777" w:rsidR="00DE49A9" w:rsidRPr="005B5460" w:rsidRDefault="00DE49A9" w:rsidP="00DE49A9">
            <w:pPr>
              <w:spacing w:after="0" w:line="240" w:lineRule="auto"/>
              <w:ind w:left="-18"/>
              <w:rPr>
                <w:rFonts w:ascii="Times New Roman" w:hAnsi="Times New Roman" w:cs="Times New Roman"/>
                <w:sz w:val="20"/>
                <w:szCs w:val="20"/>
              </w:rPr>
            </w:pPr>
          </w:p>
          <w:p w14:paraId="7DBDA6F5" w14:textId="77777777" w:rsidR="00631CE9" w:rsidRPr="005B5460" w:rsidRDefault="00631CE9" w:rsidP="00DE49A9">
            <w:pPr>
              <w:spacing w:after="0" w:line="240" w:lineRule="auto"/>
              <w:ind w:left="-18"/>
              <w:rPr>
                <w:rFonts w:ascii="Times New Roman" w:hAnsi="Times New Roman" w:cs="Times New Roman"/>
                <w:sz w:val="20"/>
                <w:szCs w:val="20"/>
              </w:rPr>
            </w:pPr>
            <w:r w:rsidRPr="005B5460">
              <w:rPr>
                <w:rFonts w:ascii="Times New Roman" w:hAnsi="Times New Roman" w:cs="Times New Roman"/>
                <w:sz w:val="20"/>
                <w:szCs w:val="20"/>
              </w:rPr>
              <w:t>Oxford knee score</w:t>
            </w:r>
          </w:p>
        </w:tc>
        <w:tc>
          <w:tcPr>
            <w:tcW w:w="1700" w:type="dxa"/>
          </w:tcPr>
          <w:p w14:paraId="6FBB09C6" w14:textId="08A99DFA"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EAR = 55 </w:t>
            </w:r>
          </w:p>
          <w:p w14:paraId="7572EC09" w14:textId="1ABC189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IAR= 4 </w:t>
            </w:r>
          </w:p>
          <w:p w14:paraId="54D5FFE4" w14:textId="77777777" w:rsidR="00631CE9" w:rsidRPr="005B5460" w:rsidRDefault="00631CE9" w:rsidP="00DE49A9">
            <w:pPr>
              <w:spacing w:line="240" w:lineRule="auto"/>
              <w:rPr>
                <w:rFonts w:ascii="Times New Roman" w:hAnsi="Times New Roman" w:cs="Times New Roman"/>
                <w:sz w:val="20"/>
                <w:szCs w:val="20"/>
              </w:rPr>
            </w:pPr>
            <w:r w:rsidRPr="005B5460" w:rsidDel="00E449BD">
              <w:rPr>
                <w:rFonts w:ascii="Times New Roman" w:hAnsi="Times New Roman" w:cs="Times New Roman"/>
                <w:sz w:val="20"/>
                <w:szCs w:val="20"/>
              </w:rPr>
              <w:t xml:space="preserve"> </w:t>
            </w:r>
          </w:p>
          <w:p w14:paraId="30C6B9F3" w14:textId="21732D65" w:rsidR="00631CE9" w:rsidRPr="005B5460" w:rsidRDefault="00631CE9" w:rsidP="00DE49A9">
            <w:pPr>
              <w:spacing w:line="240" w:lineRule="auto"/>
              <w:rPr>
                <w:rFonts w:ascii="Times New Roman" w:hAnsi="Times New Roman" w:cs="Times New Roman"/>
                <w:sz w:val="20"/>
                <w:szCs w:val="20"/>
              </w:rPr>
            </w:pPr>
          </w:p>
        </w:tc>
        <w:tc>
          <w:tcPr>
            <w:tcW w:w="2552" w:type="dxa"/>
          </w:tcPr>
          <w:p w14:paraId="52D87D3D"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MSTS:</w:t>
            </w:r>
            <w:r w:rsidRPr="005B5460">
              <w:rPr>
                <w:rFonts w:ascii="Times New Roman" w:hAnsi="Times New Roman" w:cs="Times New Roman"/>
                <w:sz w:val="20"/>
                <w:szCs w:val="20"/>
              </w:rPr>
              <w:t xml:space="preserve"> Assessed in only 46 patients; 13 patients were excluded due to post-operative failure episode within 1</w:t>
            </w:r>
            <w:r w:rsidRPr="005B5460">
              <w:rPr>
                <w:rFonts w:ascii="Times New Roman" w:hAnsi="Times New Roman" w:cs="Times New Roman"/>
                <w:sz w:val="20"/>
                <w:szCs w:val="20"/>
                <w:vertAlign w:val="superscript"/>
              </w:rPr>
              <w:t>st</w:t>
            </w:r>
            <w:r w:rsidRPr="005B5460">
              <w:rPr>
                <w:rFonts w:ascii="Times New Roman" w:hAnsi="Times New Roman" w:cs="Times New Roman"/>
                <w:sz w:val="20"/>
                <w:szCs w:val="20"/>
              </w:rPr>
              <w:t xml:space="preserve"> year</w:t>
            </w:r>
          </w:p>
          <w:p w14:paraId="56495E75"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Mean MSTS score = 22 (10–29) which is considered widely variable</w:t>
            </w:r>
          </w:p>
          <w:p w14:paraId="57B98B6A"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Oxford knee score:</w:t>
            </w:r>
            <w:r w:rsidRPr="005B5460">
              <w:rPr>
                <w:rFonts w:ascii="Times New Roman" w:hAnsi="Times New Roman" w:cs="Times New Roman"/>
                <w:sz w:val="20"/>
                <w:szCs w:val="20"/>
              </w:rPr>
              <w:t xml:space="preserve"> Completed at latest f/u by 21 participants only; mean score = 32 (10–48), which is considered widely variable.</w:t>
            </w:r>
          </w:p>
          <w:p w14:paraId="04264458"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ROM:</w:t>
            </w:r>
            <w:r w:rsidRPr="005B5460">
              <w:rPr>
                <w:rFonts w:ascii="Times New Roman" w:hAnsi="Times New Roman" w:cs="Times New Roman"/>
                <w:sz w:val="20"/>
                <w:szCs w:val="20"/>
              </w:rPr>
              <w:t xml:space="preserve"> Recorded in only 38 patients</w:t>
            </w:r>
          </w:p>
          <w:p w14:paraId="4B18877C" w14:textId="77777777" w:rsidR="00631CE9" w:rsidRPr="005B5460" w:rsidRDefault="00631CE9" w:rsidP="00DE49A9">
            <w:pPr>
              <w:spacing w:line="240" w:lineRule="auto"/>
              <w:ind w:left="360"/>
              <w:rPr>
                <w:rFonts w:ascii="Times New Roman" w:hAnsi="Times New Roman" w:cs="Times New Roman"/>
                <w:sz w:val="20"/>
                <w:szCs w:val="20"/>
              </w:rPr>
            </w:pPr>
            <w:r w:rsidRPr="005B5460">
              <w:rPr>
                <w:rFonts w:ascii="Times New Roman" w:hAnsi="Times New Roman" w:cs="Times New Roman"/>
                <w:sz w:val="20"/>
                <w:szCs w:val="20"/>
              </w:rPr>
              <w:lastRenderedPageBreak/>
              <w:t>Mean flexion = 72 degree (10–100)</w:t>
            </w:r>
          </w:p>
          <w:p w14:paraId="07127DA3"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Nearly a third of patients had &lt; 90 degree of flexion with one patient reporting gross limitation due to peri-prosthetic infection and revision. </w:t>
            </w:r>
          </w:p>
        </w:tc>
        <w:tc>
          <w:tcPr>
            <w:tcW w:w="2268" w:type="dxa"/>
          </w:tcPr>
          <w:p w14:paraId="6B6A84AB" w14:textId="7628B33B"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lastRenderedPageBreak/>
              <w:t>Lack of data on functional outcome scores leading to possible selection, measurement and analytical bias.</w:t>
            </w:r>
          </w:p>
          <w:p w14:paraId="1270E322" w14:textId="77777777" w:rsidR="00DE49A9" w:rsidRPr="005B5460" w:rsidRDefault="00DE49A9" w:rsidP="00DE49A9">
            <w:pPr>
              <w:spacing w:after="0" w:line="240" w:lineRule="auto"/>
              <w:rPr>
                <w:rFonts w:ascii="Times New Roman" w:hAnsi="Times New Roman" w:cs="Times New Roman"/>
                <w:sz w:val="20"/>
                <w:szCs w:val="20"/>
              </w:rPr>
            </w:pPr>
          </w:p>
          <w:p w14:paraId="707085A3"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 xml:space="preserve">Weak study design and statistical analysis of functional outcomes. </w:t>
            </w:r>
          </w:p>
          <w:p w14:paraId="27C39F40" w14:textId="0FC65D35"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Small sample size of IAR in comparison with EAR due to convince sampling method.</w:t>
            </w:r>
          </w:p>
          <w:p w14:paraId="47F2632A" w14:textId="77777777" w:rsidR="00DE49A9" w:rsidRPr="005B5460" w:rsidRDefault="00DE49A9" w:rsidP="00DE49A9">
            <w:pPr>
              <w:spacing w:after="0" w:line="240" w:lineRule="auto"/>
              <w:rPr>
                <w:rFonts w:ascii="Times New Roman" w:hAnsi="Times New Roman" w:cs="Times New Roman"/>
                <w:sz w:val="20"/>
                <w:szCs w:val="20"/>
              </w:rPr>
            </w:pPr>
          </w:p>
          <w:p w14:paraId="16C1166C"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 xml:space="preserve">Use of only univariate statistical analysis in </w:t>
            </w:r>
            <w:r w:rsidRPr="005B5460">
              <w:rPr>
                <w:rFonts w:ascii="Times New Roman" w:hAnsi="Times New Roman" w:cs="Times New Roman"/>
                <w:sz w:val="20"/>
                <w:szCs w:val="20"/>
              </w:rPr>
              <w:lastRenderedPageBreak/>
              <w:t xml:space="preserve">some other outcome measures. </w:t>
            </w:r>
          </w:p>
        </w:tc>
      </w:tr>
      <w:tr w:rsidR="00DE49A9" w:rsidRPr="005B5460" w14:paraId="4D118548" w14:textId="77777777" w:rsidTr="00DE49A9">
        <w:tc>
          <w:tcPr>
            <w:tcW w:w="1533" w:type="dxa"/>
          </w:tcPr>
          <w:p w14:paraId="1238A13C" w14:textId="21AF96AC" w:rsidR="00631CE9" w:rsidRPr="005B5460" w:rsidRDefault="00631CE9" w:rsidP="00DE49A9">
            <w:pPr>
              <w:pStyle w:val="ListParagraph"/>
              <w:numPr>
                <w:ilvl w:val="0"/>
                <w:numId w:val="32"/>
              </w:numPr>
              <w:spacing w:after="0" w:line="240" w:lineRule="auto"/>
              <w:ind w:left="162" w:hanging="180"/>
              <w:rPr>
                <w:rFonts w:ascii="Times New Roman" w:hAnsi="Times New Roman" w:cs="Times New Roman"/>
                <w:sz w:val="20"/>
                <w:szCs w:val="20"/>
              </w:rPr>
            </w:pPr>
            <w:r w:rsidRPr="005B5460">
              <w:rPr>
                <w:rFonts w:ascii="Times New Roman" w:hAnsi="Times New Roman" w:cs="Times New Roman"/>
                <w:sz w:val="20"/>
                <w:szCs w:val="20"/>
              </w:rPr>
              <w:lastRenderedPageBreak/>
              <w:t xml:space="preserve"> </w:t>
            </w:r>
            <w:r w:rsidR="009B1822" w:rsidRPr="005B5460">
              <w:rPr>
                <w:rFonts w:ascii="Times New Roman" w:hAnsi="Times New Roman" w:cs="Times New Roman"/>
                <w:sz w:val="20"/>
                <w:szCs w:val="20"/>
              </w:rPr>
              <w:fldChar w:fldCharType="begin" w:fldLock="1"/>
            </w:r>
            <w:r w:rsidR="006D6086" w:rsidRPr="005B5460">
              <w:rPr>
                <w:rFonts w:ascii="Times New Roman" w:hAnsi="Times New Roman" w:cs="Times New Roman"/>
                <w:sz w:val="20"/>
                <w:szCs w:val="20"/>
              </w:rPr>
              <w:instrText>ADDIN CSL_CITATION {"citationItems":[{"id":"ITEM-1","itemData":{"DOI":"10.1007/s11999-012-2271-1","ISSN":"1528-1132 (Electronic)","PMID":"22302658","abstract":"INTRODUCTION: Patients with aggressive lower extremity musculoskeletal tumors may be  candidates for either above-knee amputation or limb-salvage surgery. However, the subjective and objective benefits of limb-salvage surgery compared with amputation are not fully clear. QUESTIONS/PURPOSES: We therefore compared functional status and quality of life for patients treated with above-knee amputation versus limb-salvage surgery. METHODS: We reviewed 20 of 51 patients aged 15 years and older treated with above-knee amputation or limb-salvage surgery for aggressive musculoskeletal tumors around the knee between 1994 and 2004 as a retrospective cohort study. At last followup we obtained the Physiological Cost Index, the Reintegration to Normal Living Index, SF-36, and the Toronto Extremity Salvage Score questionnaires. The minimum followup was 12 months (median, 56 months; range, 12-108 months). RESULTS: Compared with patients having above-knee amputation, patients undergoing limb-salvage surgery had superior Physiological Cost Index scores and Reintegration to Normal Living Index. The Toronto Extremity Salvage scores and SF-36 scores were similar in the two groups. CONCLUSION: These data suggest that limb-salvage surgery offers better gait efficiency and return to normal living compared with above-knee amputation, but does not improve the patient's perception of quality of life.","author":[{"dropping-particle":"","family":"Malek","given":"Farbod","non-dropping-particle":"","parse-names":false,"suffix":""},{"dropping-particle":"","family":"Somerson","given":"Jeremy S","non-dropping-particle":"","parse-names":false,"suffix":""},{"dropping-particle":"","family":"Mitchel","given":"Shannon","non-dropping-particle":"","parse-names":false,"suffix":""},{"dropping-particle":"","family":"Williams","given":"Ronald P","non-dropping-particle":"","parse-names":false,"suffix":""}],"container-title":"Clinical orthopaedics and related research","id":"ITEM-1","issue":"7","issued":{"date-parts":[["2012","7"]]},"language":"eng","page":"2000-2006","title":"Does limb-salvage surgery offer patients better quality of life and functional  capacity than amputation?","type":"article-journal","volume":"470"},"uris":["http://www.mendeley.com/documents/?uuid=b18c2b7e-1ca3-4eef-8e44-d2b03c031b23"]}],"mendeley":{"formattedCitation":"(19)","plainTextFormattedCitation":"(19)","previouslyFormattedCitation":"(19)"},"properties":{"noteIndex":0},"schema":"https://github.com/citation-style-language/schema/raw/master/csl-citation.json"}</w:instrText>
            </w:r>
            <w:r w:rsidR="009B1822" w:rsidRPr="005B5460">
              <w:rPr>
                <w:rFonts w:ascii="Times New Roman" w:hAnsi="Times New Roman" w:cs="Times New Roman"/>
                <w:sz w:val="20"/>
                <w:szCs w:val="20"/>
              </w:rPr>
              <w:fldChar w:fldCharType="separate"/>
            </w:r>
            <w:r w:rsidR="009B1822" w:rsidRPr="005B5460">
              <w:rPr>
                <w:rFonts w:ascii="Times New Roman" w:hAnsi="Times New Roman" w:cs="Times New Roman"/>
                <w:noProof/>
                <w:sz w:val="20"/>
                <w:szCs w:val="20"/>
              </w:rPr>
              <w:t>(19)</w:t>
            </w:r>
            <w:r w:rsidR="009B1822" w:rsidRPr="005B5460">
              <w:rPr>
                <w:rFonts w:ascii="Times New Roman" w:hAnsi="Times New Roman" w:cs="Times New Roman"/>
                <w:sz w:val="20"/>
                <w:szCs w:val="20"/>
              </w:rPr>
              <w:fldChar w:fldCharType="end"/>
            </w:r>
          </w:p>
          <w:p w14:paraId="218E27C2" w14:textId="77777777" w:rsidR="00631CE9" w:rsidRPr="005B5460" w:rsidRDefault="00631CE9" w:rsidP="00DE49A9">
            <w:pPr>
              <w:spacing w:line="240" w:lineRule="auto"/>
              <w:ind w:left="162" w:hanging="180"/>
              <w:rPr>
                <w:rFonts w:ascii="Times New Roman" w:hAnsi="Times New Roman" w:cs="Times New Roman"/>
                <w:i/>
                <w:iCs/>
                <w:sz w:val="20"/>
                <w:szCs w:val="20"/>
              </w:rPr>
            </w:pPr>
            <w:r w:rsidRPr="005B5460">
              <w:rPr>
                <w:rFonts w:ascii="Times New Roman" w:hAnsi="Times New Roman" w:cs="Times New Roman"/>
                <w:i/>
                <w:iCs/>
                <w:sz w:val="20"/>
                <w:szCs w:val="20"/>
              </w:rPr>
              <w:t>2012</w:t>
            </w:r>
          </w:p>
          <w:p w14:paraId="6597F05A" w14:textId="77777777" w:rsidR="00631CE9" w:rsidRPr="005B5460" w:rsidRDefault="00631CE9" w:rsidP="00DE49A9">
            <w:pPr>
              <w:spacing w:line="240" w:lineRule="auto"/>
              <w:ind w:left="162" w:hanging="180"/>
              <w:rPr>
                <w:rFonts w:ascii="Times New Roman" w:hAnsi="Times New Roman" w:cs="Times New Roman"/>
                <w:sz w:val="20"/>
                <w:szCs w:val="20"/>
              </w:rPr>
            </w:pPr>
            <w:r w:rsidRPr="005B5460">
              <w:rPr>
                <w:rFonts w:ascii="Times New Roman" w:hAnsi="Times New Roman" w:cs="Times New Roman"/>
                <w:i/>
                <w:iCs/>
                <w:sz w:val="20"/>
                <w:szCs w:val="20"/>
              </w:rPr>
              <w:t>USA</w:t>
            </w:r>
          </w:p>
        </w:tc>
        <w:tc>
          <w:tcPr>
            <w:tcW w:w="1134" w:type="dxa"/>
          </w:tcPr>
          <w:p w14:paraId="56A04FAB" w14:textId="77777777" w:rsidR="00C42607"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N = 20</w:t>
            </w:r>
          </w:p>
          <w:p w14:paraId="5F1D30DB" w14:textId="06AB9C99" w:rsidR="00C42607"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(12 Male &amp; 8 Female)</w:t>
            </w:r>
          </w:p>
          <w:p w14:paraId="1185A482" w14:textId="77777777" w:rsidR="00C42607"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Mean age = 34 (15–76)</w:t>
            </w:r>
          </w:p>
          <w:p w14:paraId="00A33DC7" w14:textId="77777777" w:rsidR="00C42607" w:rsidRPr="005B5460" w:rsidRDefault="00C42607" w:rsidP="00DE49A9">
            <w:pPr>
              <w:spacing w:line="240" w:lineRule="auto"/>
              <w:rPr>
                <w:rFonts w:ascii="Times New Roman" w:hAnsi="Times New Roman" w:cs="Times New Roman"/>
                <w:sz w:val="20"/>
                <w:szCs w:val="20"/>
              </w:rPr>
            </w:pPr>
          </w:p>
          <w:p w14:paraId="5EDD9153" w14:textId="73386C51" w:rsidR="00631CE9" w:rsidRPr="005B5460" w:rsidRDefault="00631CE9" w:rsidP="00DE49A9">
            <w:pPr>
              <w:spacing w:line="240" w:lineRule="auto"/>
              <w:rPr>
                <w:rFonts w:ascii="Times New Roman" w:hAnsi="Times New Roman" w:cs="Times New Roman"/>
                <w:sz w:val="20"/>
                <w:szCs w:val="20"/>
              </w:rPr>
            </w:pPr>
          </w:p>
        </w:tc>
        <w:tc>
          <w:tcPr>
            <w:tcW w:w="1559" w:type="dxa"/>
          </w:tcPr>
          <w:p w14:paraId="751D0EBE"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Retrospective cohort</w:t>
            </w:r>
          </w:p>
        </w:tc>
        <w:tc>
          <w:tcPr>
            <w:tcW w:w="1418" w:type="dxa"/>
          </w:tcPr>
          <w:p w14:paraId="76CB76F2"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Comparison of functional status and QoL between limb salvage and above knee amputation groups</w:t>
            </w:r>
          </w:p>
        </w:tc>
        <w:tc>
          <w:tcPr>
            <w:tcW w:w="1701" w:type="dxa"/>
          </w:tcPr>
          <w:p w14:paraId="769F1FB7" w14:textId="38D322D7" w:rsidR="00631CE9" w:rsidRPr="005B5460" w:rsidRDefault="00631CE9" w:rsidP="00DE49A9">
            <w:pPr>
              <w:spacing w:after="0" w:line="240" w:lineRule="auto"/>
              <w:ind w:left="-18"/>
              <w:rPr>
                <w:rFonts w:ascii="Times New Roman" w:hAnsi="Times New Roman" w:cs="Times New Roman"/>
                <w:sz w:val="20"/>
                <w:szCs w:val="20"/>
              </w:rPr>
            </w:pPr>
            <w:r w:rsidRPr="005B5460">
              <w:rPr>
                <w:rFonts w:ascii="Times New Roman" w:hAnsi="Times New Roman" w:cs="Times New Roman"/>
                <w:sz w:val="20"/>
                <w:szCs w:val="20"/>
              </w:rPr>
              <w:t>Physiological Cost Index (PCI)</w:t>
            </w:r>
          </w:p>
          <w:p w14:paraId="16EC711E" w14:textId="77777777" w:rsidR="00DE49A9" w:rsidRPr="005B5460" w:rsidRDefault="00DE49A9" w:rsidP="00DE49A9">
            <w:pPr>
              <w:spacing w:after="0" w:line="240" w:lineRule="auto"/>
              <w:ind w:left="-18"/>
              <w:rPr>
                <w:rFonts w:ascii="Times New Roman" w:hAnsi="Times New Roman" w:cs="Times New Roman"/>
                <w:sz w:val="20"/>
                <w:szCs w:val="20"/>
              </w:rPr>
            </w:pPr>
          </w:p>
          <w:p w14:paraId="5190AEC8" w14:textId="07BC4BAB" w:rsidR="00631CE9" w:rsidRPr="005B5460" w:rsidRDefault="00631CE9" w:rsidP="00DE49A9">
            <w:pPr>
              <w:spacing w:after="0" w:line="240" w:lineRule="auto"/>
              <w:ind w:left="-18"/>
              <w:rPr>
                <w:rFonts w:ascii="Times New Roman" w:hAnsi="Times New Roman" w:cs="Times New Roman"/>
                <w:sz w:val="20"/>
                <w:szCs w:val="20"/>
              </w:rPr>
            </w:pPr>
            <w:r w:rsidRPr="005B5460">
              <w:rPr>
                <w:rFonts w:ascii="Times New Roman" w:hAnsi="Times New Roman" w:cs="Times New Roman"/>
                <w:sz w:val="20"/>
                <w:szCs w:val="20"/>
              </w:rPr>
              <w:t>Reintegration to Normal Living Index</w:t>
            </w:r>
          </w:p>
          <w:p w14:paraId="5DAF8256" w14:textId="77777777" w:rsidR="00DE49A9" w:rsidRPr="005B5460" w:rsidRDefault="00DE49A9" w:rsidP="00DE49A9">
            <w:pPr>
              <w:spacing w:after="0" w:line="240" w:lineRule="auto"/>
              <w:ind w:left="-18"/>
              <w:rPr>
                <w:rFonts w:ascii="Times New Roman" w:hAnsi="Times New Roman" w:cs="Times New Roman"/>
                <w:sz w:val="20"/>
                <w:szCs w:val="20"/>
              </w:rPr>
            </w:pPr>
          </w:p>
          <w:p w14:paraId="368E1FE0" w14:textId="31280552" w:rsidR="00631CE9" w:rsidRPr="005B5460" w:rsidRDefault="00631CE9" w:rsidP="00DE49A9">
            <w:pPr>
              <w:spacing w:after="0" w:line="240" w:lineRule="auto"/>
              <w:ind w:left="-18"/>
              <w:rPr>
                <w:rFonts w:ascii="Times New Roman" w:hAnsi="Times New Roman" w:cs="Times New Roman"/>
                <w:sz w:val="20"/>
                <w:szCs w:val="20"/>
              </w:rPr>
            </w:pPr>
            <w:r w:rsidRPr="005B5460">
              <w:rPr>
                <w:rFonts w:ascii="Times New Roman" w:hAnsi="Times New Roman" w:cs="Times New Roman"/>
                <w:sz w:val="20"/>
                <w:szCs w:val="20"/>
              </w:rPr>
              <w:t>SF-36</w:t>
            </w:r>
          </w:p>
          <w:p w14:paraId="6760D9BA" w14:textId="77777777" w:rsidR="00DE49A9" w:rsidRPr="005B5460" w:rsidRDefault="00DE49A9" w:rsidP="00DE49A9">
            <w:pPr>
              <w:spacing w:after="0" w:line="240" w:lineRule="auto"/>
              <w:ind w:left="-18"/>
              <w:rPr>
                <w:rFonts w:ascii="Times New Roman" w:hAnsi="Times New Roman" w:cs="Times New Roman"/>
                <w:sz w:val="20"/>
                <w:szCs w:val="20"/>
              </w:rPr>
            </w:pPr>
          </w:p>
          <w:p w14:paraId="05699976" w14:textId="77777777" w:rsidR="00631CE9" w:rsidRPr="005B5460" w:rsidRDefault="00631CE9" w:rsidP="00DE49A9">
            <w:pPr>
              <w:spacing w:after="0" w:line="240" w:lineRule="auto"/>
              <w:ind w:left="-18"/>
              <w:rPr>
                <w:rFonts w:ascii="Times New Roman" w:hAnsi="Times New Roman" w:cs="Times New Roman"/>
                <w:sz w:val="20"/>
                <w:szCs w:val="20"/>
              </w:rPr>
            </w:pPr>
            <w:r w:rsidRPr="005B5460">
              <w:rPr>
                <w:rFonts w:ascii="Times New Roman" w:hAnsi="Times New Roman" w:cs="Times New Roman"/>
                <w:sz w:val="20"/>
                <w:szCs w:val="20"/>
              </w:rPr>
              <w:t>TESS</w:t>
            </w:r>
          </w:p>
          <w:p w14:paraId="3F31097A" w14:textId="77777777" w:rsidR="00631CE9" w:rsidRPr="005B5460" w:rsidRDefault="00631CE9" w:rsidP="00DE49A9">
            <w:pPr>
              <w:spacing w:line="240" w:lineRule="auto"/>
              <w:ind w:left="162" w:hanging="180"/>
              <w:rPr>
                <w:rFonts w:ascii="Times New Roman" w:hAnsi="Times New Roman" w:cs="Times New Roman"/>
                <w:sz w:val="20"/>
                <w:szCs w:val="20"/>
              </w:rPr>
            </w:pPr>
          </w:p>
        </w:tc>
        <w:tc>
          <w:tcPr>
            <w:tcW w:w="1700" w:type="dxa"/>
          </w:tcPr>
          <w:p w14:paraId="1B1AD283"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LSS = 14 all with endoprostheses</w:t>
            </w:r>
          </w:p>
          <w:p w14:paraId="6F0AA163" w14:textId="77777777" w:rsidR="00631CE9" w:rsidRPr="005B5460" w:rsidRDefault="00631CE9" w:rsidP="00DE49A9">
            <w:pPr>
              <w:spacing w:line="240" w:lineRule="auto"/>
              <w:ind w:left="360"/>
              <w:rPr>
                <w:rFonts w:ascii="Times New Roman" w:hAnsi="Times New Roman" w:cs="Times New Roman"/>
                <w:sz w:val="20"/>
                <w:szCs w:val="20"/>
              </w:rPr>
            </w:pPr>
          </w:p>
          <w:p w14:paraId="05DE3CD8"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AKA = 6</w:t>
            </w:r>
          </w:p>
          <w:p w14:paraId="39D0D0E8" w14:textId="77777777" w:rsidR="00631CE9" w:rsidRPr="005B5460" w:rsidRDefault="00631CE9" w:rsidP="00DE49A9">
            <w:pPr>
              <w:spacing w:line="240" w:lineRule="auto"/>
              <w:rPr>
                <w:rFonts w:ascii="Times New Roman" w:hAnsi="Times New Roman" w:cs="Times New Roman"/>
                <w:sz w:val="20"/>
                <w:szCs w:val="20"/>
              </w:rPr>
            </w:pPr>
          </w:p>
          <w:p w14:paraId="4C6080E8" w14:textId="77777777" w:rsidR="00631CE9" w:rsidRPr="005B5460" w:rsidRDefault="00631CE9" w:rsidP="00DE49A9">
            <w:pPr>
              <w:spacing w:line="240" w:lineRule="auto"/>
              <w:rPr>
                <w:rFonts w:ascii="Times New Roman" w:hAnsi="Times New Roman" w:cs="Times New Roman"/>
                <w:sz w:val="20"/>
                <w:szCs w:val="20"/>
              </w:rPr>
            </w:pPr>
          </w:p>
        </w:tc>
        <w:tc>
          <w:tcPr>
            <w:tcW w:w="2552" w:type="dxa"/>
          </w:tcPr>
          <w:p w14:paraId="2D3E1E0C"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RNL</w:t>
            </w:r>
            <w:r w:rsidRPr="005B5460">
              <w:rPr>
                <w:rFonts w:ascii="Times New Roman" w:hAnsi="Times New Roman" w:cs="Times New Roman"/>
                <w:sz w:val="20"/>
                <w:szCs w:val="20"/>
              </w:rPr>
              <w:t>: Scores in LSS group significantly &gt; than AKA group (P = 0.03)</w:t>
            </w:r>
          </w:p>
          <w:p w14:paraId="43137D10"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 xml:space="preserve">PCI: </w:t>
            </w:r>
            <w:r w:rsidRPr="005B5460">
              <w:rPr>
                <w:rFonts w:ascii="Times New Roman" w:hAnsi="Times New Roman" w:cs="Times New Roman"/>
                <w:sz w:val="20"/>
                <w:szCs w:val="20"/>
              </w:rPr>
              <w:t>Significantly better gait performance in LSS group than AKA (P = 0.02)</w:t>
            </w:r>
          </w:p>
          <w:p w14:paraId="5DB1AC52"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TESS &amp; SF-36:</w:t>
            </w:r>
            <w:r w:rsidRPr="005B5460">
              <w:rPr>
                <w:rFonts w:ascii="Times New Roman" w:hAnsi="Times New Roman" w:cs="Times New Roman"/>
                <w:sz w:val="20"/>
                <w:szCs w:val="20"/>
              </w:rPr>
              <w:t xml:space="preserve"> Similar scores in both groups, with no significant differences</w:t>
            </w:r>
          </w:p>
          <w:p w14:paraId="042CBA02"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Overall, high QoL scores were observed in both groups. </w:t>
            </w:r>
          </w:p>
          <w:p w14:paraId="42E887A3" w14:textId="77777777" w:rsidR="00631CE9" w:rsidRPr="005B5460" w:rsidRDefault="00631CE9" w:rsidP="00DE49A9">
            <w:pPr>
              <w:spacing w:line="240" w:lineRule="auto"/>
              <w:rPr>
                <w:rFonts w:ascii="Times New Roman" w:hAnsi="Times New Roman" w:cs="Times New Roman"/>
                <w:b/>
                <w:bCs/>
                <w:i/>
                <w:iCs/>
                <w:sz w:val="20"/>
                <w:szCs w:val="20"/>
              </w:rPr>
            </w:pPr>
          </w:p>
        </w:tc>
        <w:tc>
          <w:tcPr>
            <w:tcW w:w="2268" w:type="dxa"/>
          </w:tcPr>
          <w:p w14:paraId="6DA858CC" w14:textId="098DA49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Small sample size.</w:t>
            </w:r>
          </w:p>
          <w:p w14:paraId="19EFFD8A" w14:textId="77777777" w:rsidR="00DE49A9" w:rsidRPr="005B5460" w:rsidRDefault="00DE49A9" w:rsidP="00DE49A9">
            <w:pPr>
              <w:spacing w:after="0" w:line="240" w:lineRule="auto"/>
              <w:rPr>
                <w:rFonts w:ascii="Times New Roman" w:hAnsi="Times New Roman" w:cs="Times New Roman"/>
                <w:sz w:val="20"/>
                <w:szCs w:val="20"/>
              </w:rPr>
            </w:pPr>
          </w:p>
          <w:p w14:paraId="6E63691E" w14:textId="26DE51F4"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Limited and no access of participants to advanced prostheses options such as C-Leg in the AKA group.</w:t>
            </w:r>
          </w:p>
          <w:p w14:paraId="39FAC7AC" w14:textId="77777777" w:rsidR="00DE49A9" w:rsidRPr="005B5460" w:rsidRDefault="00DE49A9" w:rsidP="00DE49A9">
            <w:pPr>
              <w:spacing w:after="0" w:line="240" w:lineRule="auto"/>
              <w:rPr>
                <w:rFonts w:ascii="Times New Roman" w:hAnsi="Times New Roman" w:cs="Times New Roman"/>
                <w:sz w:val="20"/>
                <w:szCs w:val="20"/>
              </w:rPr>
            </w:pPr>
          </w:p>
          <w:p w14:paraId="76C48A06" w14:textId="64CAD6A4"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 xml:space="preserve">Confounding factors such as chemo-induced cardiovascular toxicity </w:t>
            </w:r>
            <w:proofErr w:type="gramStart"/>
            <w:r w:rsidRPr="005B5460">
              <w:rPr>
                <w:rFonts w:ascii="Times New Roman" w:hAnsi="Times New Roman" w:cs="Times New Roman"/>
                <w:sz w:val="20"/>
                <w:szCs w:val="20"/>
              </w:rPr>
              <w:t>were</w:t>
            </w:r>
            <w:proofErr w:type="gramEnd"/>
            <w:r w:rsidRPr="005B5460">
              <w:rPr>
                <w:rFonts w:ascii="Times New Roman" w:hAnsi="Times New Roman" w:cs="Times New Roman"/>
                <w:sz w:val="20"/>
                <w:szCs w:val="20"/>
              </w:rPr>
              <w:t xml:space="preserve"> not taken into consideration with appropriate statistical tests, especially with the use of PCI as objective outcome measure, which measures cardiovascular performance in relation to gait. </w:t>
            </w:r>
          </w:p>
          <w:p w14:paraId="54994484" w14:textId="77777777" w:rsidR="00DE49A9" w:rsidRPr="005B5460" w:rsidRDefault="00DE49A9" w:rsidP="00DE49A9">
            <w:pPr>
              <w:spacing w:after="0" w:line="240" w:lineRule="auto"/>
              <w:rPr>
                <w:rFonts w:ascii="Times New Roman" w:hAnsi="Times New Roman" w:cs="Times New Roman"/>
                <w:sz w:val="20"/>
                <w:szCs w:val="20"/>
              </w:rPr>
            </w:pPr>
          </w:p>
          <w:p w14:paraId="6CEFF832"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lastRenderedPageBreak/>
              <w:t>The heterogeneity of the LSS group can lead to measurement bias.</w:t>
            </w:r>
          </w:p>
        </w:tc>
      </w:tr>
      <w:tr w:rsidR="00DE49A9" w:rsidRPr="005B5460" w14:paraId="14FE7E22" w14:textId="77777777" w:rsidTr="00DE49A9">
        <w:tc>
          <w:tcPr>
            <w:tcW w:w="1533" w:type="dxa"/>
          </w:tcPr>
          <w:p w14:paraId="34330362" w14:textId="356B2FFF" w:rsidR="00631CE9" w:rsidRPr="005B5460" w:rsidRDefault="006D6086" w:rsidP="00DE49A9">
            <w:pPr>
              <w:pStyle w:val="ListParagraph"/>
              <w:numPr>
                <w:ilvl w:val="0"/>
                <w:numId w:val="32"/>
              </w:numPr>
              <w:spacing w:after="0" w:line="240" w:lineRule="auto"/>
              <w:ind w:left="162" w:hanging="180"/>
              <w:rPr>
                <w:rFonts w:ascii="Times New Roman" w:hAnsi="Times New Roman" w:cs="Times New Roman"/>
                <w:sz w:val="20"/>
                <w:szCs w:val="20"/>
              </w:rPr>
            </w:pPr>
            <w:r w:rsidRPr="005B5460">
              <w:rPr>
                <w:rFonts w:ascii="Times New Roman" w:hAnsi="Times New Roman" w:cs="Times New Roman"/>
                <w:sz w:val="20"/>
                <w:szCs w:val="20"/>
              </w:rPr>
              <w:lastRenderedPageBreak/>
              <w:fldChar w:fldCharType="begin" w:fldLock="1"/>
            </w:r>
            <w:r w:rsidRPr="005B5460">
              <w:rPr>
                <w:rFonts w:ascii="Times New Roman" w:hAnsi="Times New Roman" w:cs="Times New Roman"/>
                <w:sz w:val="20"/>
                <w:szCs w:val="20"/>
              </w:rPr>
              <w:instrText>ADDIN CSL_CITATION {"citationItems":[{"id":"ITEM-1","itemData":{"DOI":"10.1007/s00167-018-5110-4","ISSN":"1433-7347 (Electronic)","PMID":"30132048","abstract":"PURPOSE: To compare the outcomes of allograft-prosthesis composite for  reconstruction after malignant tumors at the distal femur and proximal tibia. METHODS: Case-control study of 24 patients with distal femur tumor and 21 with proximal tibia tumor. Union of the allograft-host interface was assessed by the International Society of Limb Salvage criteria, and complications according Henderson. Functional outcome was evaluated by the Musculoskeletal Tumor Society (MSTS) score, Western Ontario and McMaster Universities (WOMAC) score, and pain by a visual analog scale. RESULTS: The median follow-up in the femoral group was 11.4 (range 2.3-25.0) years, and 10.1 (range 2.2-25.0) in tibial group. Incorporation of the allograft was successful in more than 90% in both groups. Tumor location was not significant predictor for allograft failure in multivariate analysis. Aseptic prosthesis loosening occurred in two patients in either group, and another patient in the tibial group had a breakage of the tibial insert. Excluding local recurrences and amputations, the prosthesis survival at 10 years was 94.1% in the femoral group, and 83.3% in the tibial group (n.s.). For the patients with preserved limb, the median MSTS score was 23.6 in the femoral group and 22.8 in tibial group (n.s.). Likewise, there were no significant differences in median WOMAC score (n.s.) or VAS pain (n.s.). CONCLUSIONS: Allograft-prosthesis composite is an effective procedure for distal femur tumors related to the graft, prosthesis survival, and functional outcomes. The results are comparable to those for proximal tibial tumors. LEVEL OF EVIDENCE: Therapeutic study, Level III.","author":[{"dropping-particle":"","family":"Puerta-GarciaSandoval","given":"Pablo","non-dropping-particle":"","parse-names":false,"suffix":""},{"dropping-particle":"","family":"Lizaur-Utrilla","given":"Alejandro","non-dropping-particle":"","parse-names":false,"suffix":""},{"dropping-particle":"","family":"Trigueros-Rentero","given":"Maria A","non-dropping-particle":"","parse-names":false,"suffix":""},{"dropping-particle":"","family":"Lopez-Prats","given":"Fernando A","non-dropping-particle":"","parse-names":false,"suffix":""}],"container-title":"Knee surgery, sports traumatology, arthroscopy : official journal of the ESSKA","id":"ITEM-1","issue":"7","issued":{"date-parts":[["2019","7"]]},"language":"eng","page":"2218-2225","publisher-place":"Germany","title":"Mid- to long-term results of allograft-prosthesis composite reconstruction after  removal of a distal femoral malignant tumor are comparable to those of the proximal tibia.","type":"article-journal","volume":"27"},"uris":["http://www.mendeley.com/documents/?uuid=621c6867-0acc-4592-b3c3-292715ef19c3"]}],"mendeley":{"formattedCitation":"(37)","plainTextFormattedCitation":"(37)","previouslyFormattedCitation":"(37)"},"properties":{"noteIndex":0},"schema":"https://github.com/citation-style-language/schema/raw/master/csl-citation.json"}</w:instrText>
            </w:r>
            <w:r w:rsidRPr="005B5460">
              <w:rPr>
                <w:rFonts w:ascii="Times New Roman" w:hAnsi="Times New Roman" w:cs="Times New Roman"/>
                <w:sz w:val="20"/>
                <w:szCs w:val="20"/>
              </w:rPr>
              <w:fldChar w:fldCharType="separate"/>
            </w:r>
            <w:r w:rsidRPr="005B5460">
              <w:rPr>
                <w:rFonts w:ascii="Times New Roman" w:hAnsi="Times New Roman" w:cs="Times New Roman"/>
                <w:noProof/>
                <w:sz w:val="20"/>
                <w:szCs w:val="20"/>
              </w:rPr>
              <w:t>(37)</w:t>
            </w:r>
            <w:r w:rsidRPr="005B5460">
              <w:rPr>
                <w:rFonts w:ascii="Times New Roman" w:hAnsi="Times New Roman" w:cs="Times New Roman"/>
                <w:sz w:val="20"/>
                <w:szCs w:val="20"/>
              </w:rPr>
              <w:fldChar w:fldCharType="end"/>
            </w:r>
          </w:p>
          <w:p w14:paraId="2415937B" w14:textId="77777777" w:rsidR="00631CE9" w:rsidRPr="005B5460" w:rsidRDefault="00631CE9" w:rsidP="00DE49A9">
            <w:pPr>
              <w:spacing w:line="240" w:lineRule="auto"/>
              <w:ind w:left="162" w:hanging="180"/>
              <w:rPr>
                <w:rFonts w:ascii="Times New Roman" w:hAnsi="Times New Roman" w:cs="Times New Roman"/>
                <w:i/>
                <w:iCs/>
                <w:sz w:val="20"/>
                <w:szCs w:val="20"/>
              </w:rPr>
            </w:pPr>
            <w:r w:rsidRPr="005B5460">
              <w:rPr>
                <w:rFonts w:ascii="Times New Roman" w:hAnsi="Times New Roman" w:cs="Times New Roman"/>
                <w:i/>
                <w:iCs/>
                <w:sz w:val="20"/>
                <w:szCs w:val="20"/>
              </w:rPr>
              <w:t>2018</w:t>
            </w:r>
          </w:p>
          <w:p w14:paraId="6AC79718" w14:textId="77777777" w:rsidR="00631CE9" w:rsidRPr="005B5460" w:rsidRDefault="00631CE9" w:rsidP="00DE49A9">
            <w:pPr>
              <w:spacing w:line="240" w:lineRule="auto"/>
              <w:ind w:left="162" w:hanging="180"/>
              <w:rPr>
                <w:rFonts w:ascii="Times New Roman" w:hAnsi="Times New Roman" w:cs="Times New Roman"/>
                <w:sz w:val="20"/>
                <w:szCs w:val="20"/>
              </w:rPr>
            </w:pPr>
            <w:r w:rsidRPr="005B5460">
              <w:rPr>
                <w:rFonts w:ascii="Times New Roman" w:hAnsi="Times New Roman" w:cs="Times New Roman"/>
                <w:i/>
                <w:iCs/>
                <w:sz w:val="20"/>
                <w:szCs w:val="20"/>
              </w:rPr>
              <w:t>Spain</w:t>
            </w:r>
          </w:p>
        </w:tc>
        <w:tc>
          <w:tcPr>
            <w:tcW w:w="1134" w:type="dxa"/>
          </w:tcPr>
          <w:p w14:paraId="45064A4D" w14:textId="77777777" w:rsidR="00C42607"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N= 45</w:t>
            </w:r>
          </w:p>
          <w:p w14:paraId="1D5D4870" w14:textId="77777777" w:rsidR="00C42607"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(22 Male &amp; 23 Female)</w:t>
            </w:r>
          </w:p>
          <w:p w14:paraId="07ED5F64" w14:textId="77777777" w:rsidR="00C42607"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Mean age:</w:t>
            </w:r>
          </w:p>
          <w:p w14:paraId="38712997" w14:textId="77777777" w:rsidR="00C42607"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DF = 19.7 (10–49)</w:t>
            </w:r>
          </w:p>
          <w:p w14:paraId="05FC6384" w14:textId="68554A6A" w:rsidR="00631CE9"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PT = 23.8 (12–55)</w:t>
            </w:r>
          </w:p>
        </w:tc>
        <w:tc>
          <w:tcPr>
            <w:tcW w:w="1559" w:type="dxa"/>
          </w:tcPr>
          <w:p w14:paraId="3E8272BB"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Case-control</w:t>
            </w:r>
          </w:p>
        </w:tc>
        <w:tc>
          <w:tcPr>
            <w:tcW w:w="1418" w:type="dxa"/>
          </w:tcPr>
          <w:p w14:paraId="2D78371E"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Comparison of allograft-prostheses composite for reconstruction between distal femur and proximal tibia groups</w:t>
            </w:r>
          </w:p>
        </w:tc>
        <w:tc>
          <w:tcPr>
            <w:tcW w:w="1701" w:type="dxa"/>
          </w:tcPr>
          <w:p w14:paraId="77E742CD" w14:textId="16E66E39"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MSTS score</w:t>
            </w:r>
          </w:p>
          <w:p w14:paraId="211F3443" w14:textId="77777777" w:rsidR="00DE49A9" w:rsidRPr="005B5460" w:rsidRDefault="00DE49A9" w:rsidP="00DE49A9">
            <w:pPr>
              <w:spacing w:after="0" w:line="240" w:lineRule="auto"/>
              <w:rPr>
                <w:rFonts w:ascii="Times New Roman" w:hAnsi="Times New Roman" w:cs="Times New Roman"/>
                <w:sz w:val="20"/>
                <w:szCs w:val="20"/>
              </w:rPr>
            </w:pPr>
          </w:p>
          <w:p w14:paraId="7DFAA88E"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Western Ontario and McMaster</w:t>
            </w:r>
          </w:p>
          <w:p w14:paraId="142159FB" w14:textId="1C29A330" w:rsidR="00631CE9" w:rsidRPr="005B5460" w:rsidRDefault="00631CE9" w:rsidP="00DE49A9">
            <w:pPr>
              <w:spacing w:line="240" w:lineRule="auto"/>
              <w:ind w:left="162" w:hanging="180"/>
              <w:rPr>
                <w:rFonts w:ascii="Times New Roman" w:hAnsi="Times New Roman" w:cs="Times New Roman"/>
                <w:sz w:val="20"/>
                <w:szCs w:val="20"/>
              </w:rPr>
            </w:pPr>
            <w:r w:rsidRPr="005B5460">
              <w:rPr>
                <w:rFonts w:ascii="Times New Roman" w:hAnsi="Times New Roman" w:cs="Times New Roman"/>
                <w:sz w:val="20"/>
                <w:szCs w:val="20"/>
              </w:rPr>
              <w:t>Universities</w:t>
            </w:r>
            <w:r w:rsidR="00DE49A9" w:rsidRPr="005B5460">
              <w:rPr>
                <w:rFonts w:ascii="Times New Roman" w:hAnsi="Times New Roman" w:cs="Times New Roman"/>
                <w:sz w:val="20"/>
                <w:szCs w:val="20"/>
              </w:rPr>
              <w:t xml:space="preserve"> </w:t>
            </w:r>
            <w:r w:rsidRPr="005B5460">
              <w:rPr>
                <w:rFonts w:ascii="Times New Roman" w:hAnsi="Times New Roman" w:cs="Times New Roman"/>
                <w:sz w:val="20"/>
                <w:szCs w:val="20"/>
              </w:rPr>
              <w:t>(WOMAC) score for QoL</w:t>
            </w:r>
          </w:p>
          <w:p w14:paraId="5E85B88A"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Visual Analog Scale (VAS) for pain</w:t>
            </w:r>
          </w:p>
        </w:tc>
        <w:tc>
          <w:tcPr>
            <w:tcW w:w="1700" w:type="dxa"/>
          </w:tcPr>
          <w:p w14:paraId="2B78A004" w14:textId="7A6B675B" w:rsidR="00631CE9" w:rsidRPr="005B5460" w:rsidRDefault="00476EEF"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DF = 24</w:t>
            </w:r>
          </w:p>
          <w:p w14:paraId="4D9F72FF" w14:textId="35585C2A"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PT = 21</w:t>
            </w:r>
          </w:p>
          <w:p w14:paraId="790B8DA7" w14:textId="77777777" w:rsidR="00631CE9" w:rsidRPr="005B5460" w:rsidRDefault="00631CE9" w:rsidP="00DE49A9">
            <w:pPr>
              <w:spacing w:line="240" w:lineRule="auto"/>
              <w:rPr>
                <w:rFonts w:ascii="Times New Roman" w:hAnsi="Times New Roman" w:cs="Times New Roman"/>
                <w:sz w:val="20"/>
                <w:szCs w:val="20"/>
              </w:rPr>
            </w:pPr>
          </w:p>
          <w:p w14:paraId="21F9E3A2" w14:textId="5DEA7DEA" w:rsidR="00631CE9" w:rsidRPr="005B5460" w:rsidRDefault="00631CE9" w:rsidP="00DE49A9">
            <w:pPr>
              <w:spacing w:line="240" w:lineRule="auto"/>
              <w:rPr>
                <w:rFonts w:ascii="Times New Roman" w:hAnsi="Times New Roman" w:cs="Times New Roman"/>
                <w:sz w:val="20"/>
                <w:szCs w:val="20"/>
              </w:rPr>
            </w:pPr>
          </w:p>
        </w:tc>
        <w:tc>
          <w:tcPr>
            <w:tcW w:w="2552" w:type="dxa"/>
          </w:tcPr>
          <w:p w14:paraId="0A9E948C"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Standardised healthcare plan, surgical technique and rehabilitation protocol</w:t>
            </w:r>
          </w:p>
          <w:p w14:paraId="00B57869"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MSTS:</w:t>
            </w:r>
            <w:r w:rsidRPr="005B5460">
              <w:rPr>
                <w:rFonts w:ascii="Times New Roman" w:hAnsi="Times New Roman" w:cs="Times New Roman"/>
                <w:sz w:val="20"/>
                <w:szCs w:val="20"/>
              </w:rPr>
              <w:t xml:space="preserve"> Good overall outcome score</w:t>
            </w:r>
          </w:p>
          <w:p w14:paraId="4CD8F470" w14:textId="77777777" w:rsidR="00631CE9" w:rsidRPr="005B5460" w:rsidRDefault="00631CE9" w:rsidP="00DE49A9">
            <w:pPr>
              <w:spacing w:line="240" w:lineRule="auto"/>
              <w:ind w:left="360"/>
              <w:rPr>
                <w:rFonts w:ascii="Times New Roman" w:hAnsi="Times New Roman" w:cs="Times New Roman"/>
                <w:sz w:val="20"/>
                <w:szCs w:val="20"/>
              </w:rPr>
            </w:pPr>
            <w:r w:rsidRPr="005B5460">
              <w:rPr>
                <w:rFonts w:ascii="Times New Roman" w:hAnsi="Times New Roman" w:cs="Times New Roman"/>
                <w:sz w:val="20"/>
                <w:szCs w:val="20"/>
              </w:rPr>
              <w:t xml:space="preserve">Mean of DF &amp; PT = 24 </w:t>
            </w:r>
          </w:p>
          <w:p w14:paraId="3A26518B"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No significant difference found between the groups </w:t>
            </w:r>
          </w:p>
          <w:p w14:paraId="6B13132A"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ROM:</w:t>
            </w:r>
            <w:r w:rsidRPr="005B5460">
              <w:rPr>
                <w:rFonts w:ascii="Times New Roman" w:hAnsi="Times New Roman" w:cs="Times New Roman"/>
                <w:sz w:val="20"/>
                <w:szCs w:val="20"/>
              </w:rPr>
              <w:t xml:space="preserve"> Extension lag outcomes:</w:t>
            </w:r>
          </w:p>
          <w:p w14:paraId="55D33202" w14:textId="77777777" w:rsidR="00631CE9" w:rsidRPr="005B5460" w:rsidRDefault="00631CE9" w:rsidP="00DE49A9">
            <w:pPr>
              <w:spacing w:line="240" w:lineRule="auto"/>
              <w:ind w:left="360"/>
              <w:rPr>
                <w:rFonts w:ascii="Times New Roman" w:hAnsi="Times New Roman" w:cs="Times New Roman"/>
                <w:sz w:val="20"/>
                <w:szCs w:val="20"/>
              </w:rPr>
            </w:pPr>
            <w:r w:rsidRPr="005B5460">
              <w:rPr>
                <w:rFonts w:ascii="Times New Roman" w:hAnsi="Times New Roman" w:cs="Times New Roman"/>
                <w:sz w:val="20"/>
                <w:szCs w:val="20"/>
              </w:rPr>
              <w:t>PT Median = 7 degrees (SD 4.0)</w:t>
            </w:r>
          </w:p>
          <w:p w14:paraId="22326B64" w14:textId="77777777" w:rsidR="00631CE9" w:rsidRPr="005B5460" w:rsidRDefault="00631CE9" w:rsidP="00DE49A9">
            <w:pPr>
              <w:spacing w:line="240" w:lineRule="auto"/>
              <w:ind w:left="360"/>
              <w:rPr>
                <w:rFonts w:ascii="Times New Roman" w:hAnsi="Times New Roman" w:cs="Times New Roman"/>
                <w:sz w:val="20"/>
                <w:szCs w:val="20"/>
              </w:rPr>
            </w:pPr>
            <w:r w:rsidRPr="005B5460">
              <w:rPr>
                <w:rFonts w:ascii="Times New Roman" w:hAnsi="Times New Roman" w:cs="Times New Roman"/>
                <w:sz w:val="20"/>
                <w:szCs w:val="20"/>
              </w:rPr>
              <w:t>DF Median =5 degrees (SD 1.0)</w:t>
            </w:r>
          </w:p>
          <w:p w14:paraId="034EAE0E" w14:textId="77777777" w:rsidR="00631CE9" w:rsidRPr="005B5460" w:rsidRDefault="00631CE9" w:rsidP="00DE49A9">
            <w:pPr>
              <w:spacing w:line="240" w:lineRule="auto"/>
              <w:ind w:left="360"/>
              <w:rPr>
                <w:rFonts w:ascii="Times New Roman" w:hAnsi="Times New Roman" w:cs="Times New Roman"/>
                <w:sz w:val="20"/>
                <w:szCs w:val="20"/>
              </w:rPr>
            </w:pPr>
            <w:r w:rsidRPr="005B5460">
              <w:rPr>
                <w:rFonts w:ascii="Times New Roman" w:hAnsi="Times New Roman" w:cs="Times New Roman"/>
                <w:sz w:val="20"/>
                <w:szCs w:val="20"/>
              </w:rPr>
              <w:t>PT group has significantly worse extension lag than DF group (</w:t>
            </w:r>
            <w:r w:rsidRPr="005B5460">
              <w:rPr>
                <w:rFonts w:ascii="Times New Roman" w:hAnsi="Times New Roman" w:cs="Times New Roman"/>
                <w:i/>
                <w:iCs/>
                <w:sz w:val="20"/>
                <w:szCs w:val="20"/>
              </w:rPr>
              <w:t>P</w:t>
            </w:r>
            <w:r w:rsidRPr="005B5460">
              <w:rPr>
                <w:rFonts w:ascii="Times New Roman" w:hAnsi="Times New Roman" w:cs="Times New Roman"/>
                <w:sz w:val="20"/>
                <w:szCs w:val="20"/>
              </w:rPr>
              <w:t xml:space="preserve"> = 0.029).</w:t>
            </w:r>
          </w:p>
          <w:p w14:paraId="7C77F093"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WOMAC &amp; VAS:</w:t>
            </w:r>
            <w:r w:rsidRPr="005B5460">
              <w:rPr>
                <w:rFonts w:ascii="Times New Roman" w:hAnsi="Times New Roman" w:cs="Times New Roman"/>
                <w:sz w:val="20"/>
                <w:szCs w:val="20"/>
              </w:rPr>
              <w:t xml:space="preserve"> </w:t>
            </w:r>
          </w:p>
          <w:p w14:paraId="20553F07"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All patients reported either mild to no pain.</w:t>
            </w:r>
          </w:p>
          <w:p w14:paraId="015FB142"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lastRenderedPageBreak/>
              <w:t>No significant differences found between groups.</w:t>
            </w:r>
          </w:p>
          <w:p w14:paraId="4F1FEFEA"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All patients required permanent cane to walk except two patients in PT group who used no walking aid. </w:t>
            </w:r>
          </w:p>
          <w:p w14:paraId="1743D408"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Only one patient from DF group and four patients from PT group reported a return to previous level of activity. </w:t>
            </w:r>
          </w:p>
        </w:tc>
        <w:tc>
          <w:tcPr>
            <w:tcW w:w="2268" w:type="dxa"/>
          </w:tcPr>
          <w:p w14:paraId="2029E4B1" w14:textId="046623C9"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lastRenderedPageBreak/>
              <w:t>Possible selection bias due to the retrospective nature and convenience sampling.</w:t>
            </w:r>
          </w:p>
          <w:p w14:paraId="5D778419" w14:textId="77777777" w:rsidR="00DE49A9" w:rsidRPr="005B5460" w:rsidRDefault="00DE49A9" w:rsidP="00DE49A9">
            <w:pPr>
              <w:spacing w:after="0" w:line="240" w:lineRule="auto"/>
              <w:rPr>
                <w:rFonts w:ascii="Times New Roman" w:hAnsi="Times New Roman" w:cs="Times New Roman"/>
                <w:sz w:val="20"/>
                <w:szCs w:val="20"/>
              </w:rPr>
            </w:pPr>
          </w:p>
          <w:p w14:paraId="02370D1B"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Limited statistical analysis of functional outcome measures with associated variables such as demographics, stage of disease and surgical technique (e.g., extensor mechanism reconstruction with PT).</w:t>
            </w:r>
          </w:p>
        </w:tc>
      </w:tr>
      <w:tr w:rsidR="00DE49A9" w:rsidRPr="005B5460" w14:paraId="1DF9115A" w14:textId="77777777" w:rsidTr="00DE49A9">
        <w:tc>
          <w:tcPr>
            <w:tcW w:w="1533" w:type="dxa"/>
          </w:tcPr>
          <w:p w14:paraId="0239901C" w14:textId="54F8DB22" w:rsidR="00631CE9" w:rsidRPr="005B5460" w:rsidRDefault="00631CE9" w:rsidP="00DE49A9">
            <w:pPr>
              <w:pStyle w:val="ListParagraph"/>
              <w:numPr>
                <w:ilvl w:val="0"/>
                <w:numId w:val="32"/>
              </w:numPr>
              <w:spacing w:after="0" w:line="240" w:lineRule="auto"/>
              <w:ind w:left="162" w:hanging="180"/>
              <w:rPr>
                <w:rFonts w:ascii="Times New Roman" w:hAnsi="Times New Roman" w:cs="Times New Roman"/>
                <w:sz w:val="20"/>
                <w:szCs w:val="20"/>
              </w:rPr>
            </w:pPr>
            <w:r w:rsidRPr="005B5460">
              <w:rPr>
                <w:rFonts w:ascii="Times New Roman" w:hAnsi="Times New Roman" w:cs="Times New Roman"/>
                <w:sz w:val="20"/>
                <w:szCs w:val="20"/>
              </w:rPr>
              <w:t xml:space="preserve"> </w:t>
            </w:r>
            <w:r w:rsidR="006D6086" w:rsidRPr="005B5460">
              <w:rPr>
                <w:rFonts w:ascii="Times New Roman" w:hAnsi="Times New Roman" w:cs="Times New Roman"/>
                <w:sz w:val="20"/>
                <w:szCs w:val="20"/>
              </w:rPr>
              <w:fldChar w:fldCharType="begin" w:fldLock="1"/>
            </w:r>
            <w:r w:rsidR="006D6086" w:rsidRPr="005B5460">
              <w:rPr>
                <w:rFonts w:ascii="Times New Roman" w:hAnsi="Times New Roman" w:cs="Times New Roman"/>
                <w:sz w:val="20"/>
                <w:szCs w:val="20"/>
              </w:rPr>
              <w:instrText>ADDIN CSL_CITATION {"citationItems":[{"id":"ITEM-1","itemData":{"DOI":"10.1016/j.knee.2009.02.006","ISSN":"1873-5800 (Electronic)","PMID":"19269182","abstract":"Bone sarcomas are the fourth most common cancer in individuals under 25 years. Limb  salvage procedures are popular for the treatment of osteosarcomas as they have functional and physiological benefits over traditional amputative procedures. The objective of this study was to apply disease specific measures to a group of intra-articular knee osteosarcoma patients and to evaluate structural and treatment variables predictive of the functional outcome scores. Twenty patients (10 female, 10 male) treated with tumour resection and endoprosthetic knee arthroplasty took part in the study. The Musculoskeletal Tumour Society (MSTS) rating scale and the Toronto Extremity Salvage Score (TESS) were used to assess impairment and disability respectively. Impairment was recorded as 83% and disability was recorded as 86% suggesting moderate to high function following limb salvage surgery. Task difficulty was shown to increase for activities requiring large knee flexion angles, presumably due to increased patellofemoral forces. Bivariate correlations revealed that loss of quadriceps musculature, knee extension strength and knee flexion range of motion were parameters moderately associated with the assessment instruments. ANOVA revealed no significant differences in impairment (P=0.962) or disability (P=0.411) between the differing types of prostheses. In conclusion clinicians and therapists should emphasise restoration of post-surgical range of motion and strength in order to enhance functional recovery.","author":[{"dropping-particle":"","family":"Carty","given":"Christopher P","non-dropping-particle":"","parse-names":false,"suffix":""},{"dropping-particle":"","family":"Dickinson","given":"Ian C","non-dropping-particle":"","parse-names":false,"suffix":""},{"dropping-particle":"","family":"Watts","given":"Mark C","non-dropping-particle":"","parse-names":false,"suffix":""},{"dropping-particle":"","family":"Crawford","given":"Ross W","non-dropping-particle":"","parse-names":false,"suffix":""},{"dropping-particle":"","family":"Steadman","given":"Peter","non-dropping-particle":"","parse-names":false,"suffix":""}],"container-title":"The Knee","id":"ITEM-1","issue":"5","issued":{"date-parts":[["2009","10"]]},"language":"eng","page":"405-408","publisher-place":"Netherlands","title":"Impairment and disability following limb salvage procedures for bone sarcoma.","type":"article-journal","volume":"16"},"uris":["http://www.mendeley.com/documents/?uuid=f0acb2b8-fdb8-4093-97e7-40e9515dd570"]}],"mendeley":{"formattedCitation":"(20)","plainTextFormattedCitation":"(20)","previouslyFormattedCitation":"(20)"},"properties":{"noteIndex":0},"schema":"https://github.com/citation-style-language/schema/raw/master/csl-citation.json"}</w:instrText>
            </w:r>
            <w:r w:rsidR="006D6086" w:rsidRPr="005B5460">
              <w:rPr>
                <w:rFonts w:ascii="Times New Roman" w:hAnsi="Times New Roman" w:cs="Times New Roman"/>
                <w:sz w:val="20"/>
                <w:szCs w:val="20"/>
              </w:rPr>
              <w:fldChar w:fldCharType="separate"/>
            </w:r>
            <w:r w:rsidR="006D6086" w:rsidRPr="005B5460">
              <w:rPr>
                <w:rFonts w:ascii="Times New Roman" w:hAnsi="Times New Roman" w:cs="Times New Roman"/>
                <w:noProof/>
                <w:sz w:val="20"/>
                <w:szCs w:val="20"/>
              </w:rPr>
              <w:t>(20)</w:t>
            </w:r>
            <w:r w:rsidR="006D6086" w:rsidRPr="005B5460">
              <w:rPr>
                <w:rFonts w:ascii="Times New Roman" w:hAnsi="Times New Roman" w:cs="Times New Roman"/>
                <w:sz w:val="20"/>
                <w:szCs w:val="20"/>
              </w:rPr>
              <w:fldChar w:fldCharType="end"/>
            </w:r>
          </w:p>
          <w:p w14:paraId="755A3DA9" w14:textId="77777777" w:rsidR="00631CE9" w:rsidRPr="005B5460" w:rsidRDefault="00631CE9" w:rsidP="00DE49A9">
            <w:pPr>
              <w:spacing w:line="240" w:lineRule="auto"/>
              <w:ind w:left="162" w:hanging="180"/>
              <w:rPr>
                <w:rFonts w:ascii="Times New Roman" w:hAnsi="Times New Roman" w:cs="Times New Roman"/>
                <w:i/>
                <w:iCs/>
                <w:sz w:val="20"/>
                <w:szCs w:val="20"/>
              </w:rPr>
            </w:pPr>
            <w:r w:rsidRPr="005B5460">
              <w:rPr>
                <w:rFonts w:ascii="Times New Roman" w:hAnsi="Times New Roman" w:cs="Times New Roman"/>
                <w:i/>
                <w:iCs/>
                <w:sz w:val="20"/>
                <w:szCs w:val="20"/>
              </w:rPr>
              <w:t>2009</w:t>
            </w:r>
          </w:p>
          <w:p w14:paraId="21FC8525" w14:textId="77777777" w:rsidR="00631CE9" w:rsidRPr="005B5460" w:rsidRDefault="00631CE9" w:rsidP="00DE49A9">
            <w:pPr>
              <w:spacing w:line="240" w:lineRule="auto"/>
              <w:ind w:left="162" w:hanging="180"/>
              <w:rPr>
                <w:rFonts w:ascii="Times New Roman" w:hAnsi="Times New Roman" w:cs="Times New Roman"/>
                <w:sz w:val="20"/>
                <w:szCs w:val="20"/>
              </w:rPr>
            </w:pPr>
            <w:r w:rsidRPr="005B5460">
              <w:rPr>
                <w:rFonts w:ascii="Times New Roman" w:hAnsi="Times New Roman" w:cs="Times New Roman"/>
                <w:i/>
                <w:iCs/>
                <w:sz w:val="20"/>
                <w:szCs w:val="20"/>
              </w:rPr>
              <w:t>Australia</w:t>
            </w:r>
          </w:p>
        </w:tc>
        <w:tc>
          <w:tcPr>
            <w:tcW w:w="1134" w:type="dxa"/>
          </w:tcPr>
          <w:p w14:paraId="4436C31A" w14:textId="77777777" w:rsidR="00C42607"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N = 20 </w:t>
            </w:r>
          </w:p>
          <w:p w14:paraId="03E787FA" w14:textId="493DAAA3" w:rsidR="00C42607"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(10 Male &amp; 10 Female)</w:t>
            </w:r>
          </w:p>
          <w:p w14:paraId="6137EB6A" w14:textId="77777777" w:rsidR="00C42607"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Mean age at surgery = 16.1</w:t>
            </w:r>
          </w:p>
          <w:p w14:paraId="394F3A25" w14:textId="77777777" w:rsidR="00C42607" w:rsidRPr="005B5460" w:rsidRDefault="00C42607" w:rsidP="00DE49A9">
            <w:pPr>
              <w:spacing w:line="240" w:lineRule="auto"/>
              <w:rPr>
                <w:rFonts w:ascii="Times New Roman" w:hAnsi="Times New Roman" w:cs="Times New Roman"/>
                <w:sz w:val="20"/>
                <w:szCs w:val="20"/>
              </w:rPr>
            </w:pPr>
          </w:p>
          <w:p w14:paraId="2F7661DA" w14:textId="77777777" w:rsidR="00C42607"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Control N = 10.</w:t>
            </w:r>
          </w:p>
          <w:p w14:paraId="5DC81E1B" w14:textId="6B94BBD0" w:rsidR="00C42607" w:rsidRPr="005B5460" w:rsidRDefault="00C42607"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Mean age= 24.9</w:t>
            </w:r>
          </w:p>
          <w:p w14:paraId="6F8C9383" w14:textId="2B14A611" w:rsidR="00631CE9" w:rsidRPr="005B5460" w:rsidRDefault="00631CE9" w:rsidP="00DE49A9">
            <w:pPr>
              <w:spacing w:line="240" w:lineRule="auto"/>
              <w:rPr>
                <w:rFonts w:ascii="Times New Roman" w:hAnsi="Times New Roman" w:cs="Times New Roman"/>
                <w:sz w:val="20"/>
                <w:szCs w:val="20"/>
              </w:rPr>
            </w:pPr>
          </w:p>
        </w:tc>
        <w:tc>
          <w:tcPr>
            <w:tcW w:w="1559" w:type="dxa"/>
          </w:tcPr>
          <w:p w14:paraId="7F03F5D5"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Case–Control </w:t>
            </w:r>
          </w:p>
        </w:tc>
        <w:tc>
          <w:tcPr>
            <w:tcW w:w="1418" w:type="dxa"/>
          </w:tcPr>
          <w:p w14:paraId="55FAE649"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Retrospective evaluation of disease-specific impairment and disability in patients who underwent LSS around the knee due to sarcoma</w:t>
            </w:r>
          </w:p>
        </w:tc>
        <w:tc>
          <w:tcPr>
            <w:tcW w:w="1701" w:type="dxa"/>
          </w:tcPr>
          <w:p w14:paraId="15616CBE" w14:textId="4D13A81F"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MSTS</w:t>
            </w:r>
          </w:p>
          <w:p w14:paraId="06257C77" w14:textId="77777777" w:rsidR="00DE49A9" w:rsidRPr="005B5460" w:rsidRDefault="00DE49A9" w:rsidP="00DE49A9">
            <w:pPr>
              <w:spacing w:after="0" w:line="240" w:lineRule="auto"/>
              <w:rPr>
                <w:rFonts w:ascii="Times New Roman" w:hAnsi="Times New Roman" w:cs="Times New Roman"/>
                <w:sz w:val="20"/>
                <w:szCs w:val="20"/>
              </w:rPr>
            </w:pPr>
          </w:p>
          <w:p w14:paraId="55956FEB" w14:textId="6724947B"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TESS</w:t>
            </w:r>
          </w:p>
          <w:p w14:paraId="016115D1" w14:textId="77777777" w:rsidR="00DE49A9" w:rsidRPr="005B5460" w:rsidRDefault="00DE49A9" w:rsidP="00DE49A9">
            <w:pPr>
              <w:spacing w:after="0" w:line="240" w:lineRule="auto"/>
              <w:rPr>
                <w:rFonts w:ascii="Times New Roman" w:hAnsi="Times New Roman" w:cs="Times New Roman"/>
                <w:sz w:val="20"/>
                <w:szCs w:val="20"/>
              </w:rPr>
            </w:pPr>
          </w:p>
          <w:p w14:paraId="60F35B5E" w14:textId="048EB252"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ROM</w:t>
            </w:r>
          </w:p>
          <w:p w14:paraId="715B9A87" w14:textId="77777777" w:rsidR="00DE49A9" w:rsidRPr="005B5460" w:rsidRDefault="00DE49A9" w:rsidP="00DE49A9">
            <w:pPr>
              <w:spacing w:after="0" w:line="240" w:lineRule="auto"/>
              <w:rPr>
                <w:rFonts w:ascii="Times New Roman" w:hAnsi="Times New Roman" w:cs="Times New Roman"/>
                <w:sz w:val="20"/>
                <w:szCs w:val="20"/>
              </w:rPr>
            </w:pPr>
          </w:p>
          <w:p w14:paraId="73050C8C"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Muscle power “knee extensors”</w:t>
            </w:r>
          </w:p>
        </w:tc>
        <w:tc>
          <w:tcPr>
            <w:tcW w:w="1700" w:type="dxa"/>
          </w:tcPr>
          <w:p w14:paraId="71DE32B8" w14:textId="0DA4CF01" w:rsidR="00B471E5" w:rsidRPr="005B5460" w:rsidRDefault="00B471E5"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DF= 17</w:t>
            </w:r>
          </w:p>
          <w:p w14:paraId="744CAEA8" w14:textId="0ACE57C8" w:rsidR="00B471E5" w:rsidRPr="005B5460" w:rsidRDefault="00B471E5"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PT = 3</w:t>
            </w:r>
          </w:p>
          <w:p w14:paraId="7C8D68CD" w14:textId="2D9D4AE1" w:rsidR="00631CE9" w:rsidRPr="005B5460" w:rsidRDefault="005B3498"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A</w:t>
            </w:r>
            <w:r w:rsidR="00631CE9" w:rsidRPr="005B5460">
              <w:rPr>
                <w:rFonts w:ascii="Times New Roman" w:hAnsi="Times New Roman" w:cs="Times New Roman"/>
                <w:sz w:val="20"/>
                <w:szCs w:val="20"/>
              </w:rPr>
              <w:t xml:space="preserve">ll </w:t>
            </w:r>
            <w:r w:rsidR="00B471E5" w:rsidRPr="005B5460">
              <w:rPr>
                <w:rFonts w:ascii="Times New Roman" w:hAnsi="Times New Roman" w:cs="Times New Roman"/>
                <w:sz w:val="20"/>
                <w:szCs w:val="20"/>
              </w:rPr>
              <w:t xml:space="preserve">DF &amp; PT </w:t>
            </w:r>
            <w:r w:rsidR="00631CE9" w:rsidRPr="005B5460">
              <w:rPr>
                <w:rFonts w:ascii="Times New Roman" w:hAnsi="Times New Roman" w:cs="Times New Roman"/>
                <w:sz w:val="20"/>
                <w:szCs w:val="20"/>
              </w:rPr>
              <w:t>with intra-articular endoprostheses replacement</w:t>
            </w:r>
          </w:p>
          <w:p w14:paraId="57FA731D" w14:textId="77777777" w:rsidR="00631CE9" w:rsidRPr="005B5460" w:rsidRDefault="00631CE9" w:rsidP="00DE49A9">
            <w:pPr>
              <w:spacing w:line="240" w:lineRule="auto"/>
              <w:rPr>
                <w:rFonts w:ascii="Times New Roman" w:hAnsi="Times New Roman" w:cs="Times New Roman"/>
                <w:sz w:val="20"/>
                <w:szCs w:val="20"/>
              </w:rPr>
            </w:pPr>
          </w:p>
          <w:p w14:paraId="389D518E" w14:textId="1228FB4E" w:rsidR="00631CE9" w:rsidRPr="005B5460" w:rsidRDefault="00631CE9" w:rsidP="00DE49A9">
            <w:pPr>
              <w:spacing w:line="240" w:lineRule="auto"/>
              <w:rPr>
                <w:rFonts w:ascii="Times New Roman" w:hAnsi="Times New Roman" w:cs="Times New Roman"/>
                <w:sz w:val="20"/>
                <w:szCs w:val="20"/>
              </w:rPr>
            </w:pPr>
          </w:p>
        </w:tc>
        <w:tc>
          <w:tcPr>
            <w:tcW w:w="2552" w:type="dxa"/>
          </w:tcPr>
          <w:p w14:paraId="064E81D7"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MSTS:</w:t>
            </w:r>
            <w:r w:rsidRPr="005B5460">
              <w:rPr>
                <w:rFonts w:ascii="Times New Roman" w:hAnsi="Times New Roman" w:cs="Times New Roman"/>
                <w:b/>
                <w:bCs/>
                <w:sz w:val="20"/>
                <w:szCs w:val="20"/>
              </w:rPr>
              <w:t xml:space="preserve"> </w:t>
            </w:r>
            <w:r w:rsidRPr="005B5460">
              <w:rPr>
                <w:rFonts w:ascii="Times New Roman" w:hAnsi="Times New Roman" w:cs="Times New Roman"/>
                <w:sz w:val="20"/>
                <w:szCs w:val="20"/>
              </w:rPr>
              <w:t>Good to excellent overall score</w:t>
            </w:r>
          </w:p>
          <w:p w14:paraId="0CD7D300"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Mean = 25 (SD 3.0)</w:t>
            </w:r>
          </w:p>
          <w:p w14:paraId="4EC65BD3"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 The emotional acceptance and functional ability components ranked the lowest.</w:t>
            </w:r>
          </w:p>
          <w:p w14:paraId="2ABD89AA"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ROM:</w:t>
            </w:r>
            <w:r w:rsidRPr="005B5460">
              <w:rPr>
                <w:rFonts w:ascii="Times New Roman" w:hAnsi="Times New Roman" w:cs="Times New Roman"/>
                <w:sz w:val="20"/>
                <w:szCs w:val="20"/>
              </w:rPr>
              <w:t xml:space="preserve"> Knee flexion was significantly worse in cases when compared to control group (</w:t>
            </w:r>
            <w:r w:rsidRPr="005B5460">
              <w:rPr>
                <w:rFonts w:ascii="Times New Roman" w:hAnsi="Times New Roman" w:cs="Times New Roman"/>
                <w:i/>
                <w:iCs/>
                <w:sz w:val="20"/>
                <w:szCs w:val="20"/>
              </w:rPr>
              <w:t xml:space="preserve">P </w:t>
            </w:r>
            <w:r w:rsidRPr="005B5460">
              <w:rPr>
                <w:rFonts w:ascii="Times New Roman" w:hAnsi="Times New Roman" w:cs="Times New Roman"/>
                <w:sz w:val="20"/>
                <w:szCs w:val="20"/>
              </w:rPr>
              <w:t>&lt; 0.01).</w:t>
            </w:r>
          </w:p>
          <w:p w14:paraId="44571AB2"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Mean flex = 120 (85–140)</w:t>
            </w:r>
          </w:p>
          <w:p w14:paraId="5CA7F3A2"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Muscle Power:</w:t>
            </w:r>
            <w:r w:rsidRPr="005B5460">
              <w:rPr>
                <w:rFonts w:ascii="Times New Roman" w:hAnsi="Times New Roman" w:cs="Times New Roman"/>
                <w:i/>
                <w:iCs/>
                <w:sz w:val="20"/>
                <w:szCs w:val="20"/>
              </w:rPr>
              <w:t xml:space="preserve"> </w:t>
            </w:r>
            <w:r w:rsidRPr="005B5460">
              <w:rPr>
                <w:rFonts w:ascii="Times New Roman" w:hAnsi="Times New Roman" w:cs="Times New Roman"/>
                <w:sz w:val="20"/>
                <w:szCs w:val="20"/>
              </w:rPr>
              <w:t xml:space="preserve">Knee strength was significantly reduced in cases in </w:t>
            </w:r>
            <w:r w:rsidRPr="005B5460">
              <w:rPr>
                <w:rFonts w:ascii="Times New Roman" w:hAnsi="Times New Roman" w:cs="Times New Roman"/>
                <w:sz w:val="20"/>
                <w:szCs w:val="20"/>
              </w:rPr>
              <w:lastRenderedPageBreak/>
              <w:t>comparison with control (</w:t>
            </w:r>
            <w:r w:rsidRPr="005B5460">
              <w:rPr>
                <w:rFonts w:ascii="Times New Roman" w:hAnsi="Times New Roman" w:cs="Times New Roman"/>
                <w:i/>
                <w:iCs/>
                <w:sz w:val="20"/>
                <w:szCs w:val="20"/>
              </w:rPr>
              <w:t>P</w:t>
            </w:r>
            <w:r w:rsidRPr="005B5460">
              <w:rPr>
                <w:rFonts w:ascii="Times New Roman" w:hAnsi="Times New Roman" w:cs="Times New Roman"/>
                <w:sz w:val="20"/>
                <w:szCs w:val="20"/>
              </w:rPr>
              <w:t xml:space="preserve"> = 0.04)</w:t>
            </w:r>
          </w:p>
          <w:p w14:paraId="323A66F1"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TESS:</w:t>
            </w:r>
            <w:r w:rsidRPr="005B5460">
              <w:rPr>
                <w:rFonts w:ascii="Times New Roman" w:hAnsi="Times New Roman" w:cs="Times New Roman"/>
                <w:sz w:val="20"/>
                <w:szCs w:val="20"/>
              </w:rPr>
              <w:t xml:space="preserve"> Overall mild disability score</w:t>
            </w:r>
          </w:p>
          <w:p w14:paraId="058C0445" w14:textId="77777777" w:rsidR="00631CE9" w:rsidRPr="005B5460" w:rsidRDefault="00631CE9" w:rsidP="00DE49A9">
            <w:pPr>
              <w:spacing w:line="240" w:lineRule="auto"/>
              <w:ind w:left="360"/>
              <w:rPr>
                <w:rFonts w:ascii="Times New Roman" w:hAnsi="Times New Roman" w:cs="Times New Roman"/>
                <w:sz w:val="20"/>
                <w:szCs w:val="20"/>
              </w:rPr>
            </w:pPr>
            <w:r w:rsidRPr="005B5460">
              <w:rPr>
                <w:rFonts w:ascii="Times New Roman" w:hAnsi="Times New Roman" w:cs="Times New Roman"/>
                <w:sz w:val="20"/>
                <w:szCs w:val="20"/>
              </w:rPr>
              <w:t>Mean = 86% (SD 3.5)</w:t>
            </w:r>
          </w:p>
          <w:p w14:paraId="678C80F0"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Lowest components of TESS score were kneeling movements, followed by sport participation, then walking upstairs and uphill.</w:t>
            </w:r>
          </w:p>
          <w:p w14:paraId="143B6808" w14:textId="77777777" w:rsidR="00631CE9" w:rsidRPr="005B5460" w:rsidRDefault="00631CE9" w:rsidP="00DE49A9">
            <w:pPr>
              <w:numPr>
                <w:ilvl w:val="0"/>
                <w:numId w:val="31"/>
              </w:num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TESS score has moderate positive correlation with knee flexion movement and knee extensor strength</w:t>
            </w:r>
          </w:p>
          <w:p w14:paraId="4612C383" w14:textId="506A3F9B" w:rsidR="00631CE9" w:rsidRPr="005B5460" w:rsidRDefault="00631CE9" w:rsidP="00DE49A9">
            <w:pPr>
              <w:numPr>
                <w:ilvl w:val="0"/>
                <w:numId w:val="31"/>
              </w:num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TESS score has moderate positive correlation with MSTS sub-score of walking capacity (</w:t>
            </w:r>
            <w:r w:rsidRPr="005B5460">
              <w:rPr>
                <w:rFonts w:ascii="Times New Roman" w:hAnsi="Times New Roman" w:cs="Times New Roman"/>
                <w:i/>
                <w:iCs/>
                <w:sz w:val="20"/>
                <w:szCs w:val="20"/>
              </w:rPr>
              <w:t>P </w:t>
            </w:r>
            <w:r w:rsidRPr="005B5460">
              <w:rPr>
                <w:rFonts w:ascii="Times New Roman" w:hAnsi="Times New Roman" w:cs="Times New Roman"/>
                <w:sz w:val="20"/>
                <w:szCs w:val="20"/>
              </w:rPr>
              <w:t>= 0.02), followed by emotional acceptance (</w:t>
            </w:r>
            <w:r w:rsidRPr="005B5460">
              <w:rPr>
                <w:rFonts w:ascii="Times New Roman" w:hAnsi="Times New Roman" w:cs="Times New Roman"/>
                <w:i/>
                <w:iCs/>
                <w:sz w:val="20"/>
                <w:szCs w:val="20"/>
              </w:rPr>
              <w:t>P</w:t>
            </w:r>
            <w:r w:rsidRPr="005B5460">
              <w:rPr>
                <w:rFonts w:ascii="Times New Roman" w:hAnsi="Times New Roman" w:cs="Times New Roman"/>
                <w:sz w:val="20"/>
                <w:szCs w:val="20"/>
              </w:rPr>
              <w:t> = 0.01)</w:t>
            </w:r>
          </w:p>
          <w:p w14:paraId="171700E4" w14:textId="77777777" w:rsidR="00DE49A9" w:rsidRPr="005B5460" w:rsidRDefault="00DE49A9" w:rsidP="00DE49A9">
            <w:pPr>
              <w:spacing w:after="0" w:line="240" w:lineRule="auto"/>
              <w:ind w:left="360"/>
              <w:rPr>
                <w:rFonts w:ascii="Times New Roman" w:hAnsi="Times New Roman" w:cs="Times New Roman"/>
                <w:sz w:val="20"/>
                <w:szCs w:val="20"/>
              </w:rPr>
            </w:pPr>
          </w:p>
          <w:p w14:paraId="58E352CD"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No statistically significant differences between the prosthetic design and subjective outcome </w:t>
            </w:r>
            <w:r w:rsidRPr="005B5460">
              <w:rPr>
                <w:rFonts w:ascii="Times New Roman" w:hAnsi="Times New Roman" w:cs="Times New Roman"/>
                <w:sz w:val="20"/>
                <w:szCs w:val="20"/>
              </w:rPr>
              <w:lastRenderedPageBreak/>
              <w:t xml:space="preserve">measures for impairment and disability </w:t>
            </w:r>
          </w:p>
        </w:tc>
        <w:tc>
          <w:tcPr>
            <w:tcW w:w="2268" w:type="dxa"/>
          </w:tcPr>
          <w:p w14:paraId="23EC76FD" w14:textId="62440EDB"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lastRenderedPageBreak/>
              <w:t>Small sample size.</w:t>
            </w:r>
          </w:p>
          <w:p w14:paraId="67FAD208" w14:textId="77777777" w:rsidR="00DE49A9" w:rsidRPr="005B5460" w:rsidRDefault="00DE49A9" w:rsidP="00DE49A9">
            <w:pPr>
              <w:spacing w:after="0" w:line="240" w:lineRule="auto"/>
              <w:rPr>
                <w:rFonts w:ascii="Times New Roman" w:hAnsi="Times New Roman" w:cs="Times New Roman"/>
                <w:sz w:val="20"/>
                <w:szCs w:val="20"/>
              </w:rPr>
            </w:pPr>
          </w:p>
          <w:p w14:paraId="419D8CB2" w14:textId="1C585B05"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Lack of recruitment information on control group, their demographics and generally a small number “Half number of the cases included”.</w:t>
            </w:r>
          </w:p>
          <w:p w14:paraId="04A887B1" w14:textId="77777777" w:rsidR="00DE49A9" w:rsidRPr="005B5460" w:rsidRDefault="00DE49A9" w:rsidP="00DE49A9">
            <w:pPr>
              <w:spacing w:after="0" w:line="240" w:lineRule="auto"/>
              <w:rPr>
                <w:rFonts w:ascii="Times New Roman" w:hAnsi="Times New Roman" w:cs="Times New Roman"/>
                <w:sz w:val="20"/>
                <w:szCs w:val="20"/>
              </w:rPr>
            </w:pPr>
          </w:p>
          <w:p w14:paraId="542B58C3"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Study design does not match the methodology; the methods used in the study are more like a case-series instead of case-control.</w:t>
            </w:r>
          </w:p>
        </w:tc>
      </w:tr>
      <w:tr w:rsidR="00DE49A9" w:rsidRPr="005B5460" w14:paraId="637C2CAE" w14:textId="77777777" w:rsidTr="00DE49A9">
        <w:tc>
          <w:tcPr>
            <w:tcW w:w="1533" w:type="dxa"/>
          </w:tcPr>
          <w:p w14:paraId="771B5B5F" w14:textId="45C6576E" w:rsidR="00631CE9" w:rsidRPr="005B5460" w:rsidRDefault="006D6086" w:rsidP="00DE49A9">
            <w:pPr>
              <w:pStyle w:val="ListParagraph"/>
              <w:numPr>
                <w:ilvl w:val="0"/>
                <w:numId w:val="32"/>
              </w:numPr>
              <w:spacing w:after="0" w:line="240" w:lineRule="auto"/>
              <w:ind w:left="162" w:hanging="180"/>
              <w:rPr>
                <w:rFonts w:ascii="Times New Roman" w:hAnsi="Times New Roman" w:cs="Times New Roman"/>
                <w:sz w:val="20"/>
                <w:szCs w:val="20"/>
              </w:rPr>
            </w:pPr>
            <w:r w:rsidRPr="005B5460">
              <w:rPr>
                <w:rFonts w:ascii="Times New Roman" w:hAnsi="Times New Roman" w:cs="Times New Roman"/>
                <w:sz w:val="20"/>
                <w:szCs w:val="20"/>
              </w:rPr>
              <w:lastRenderedPageBreak/>
              <w:fldChar w:fldCharType="begin" w:fldLock="1"/>
            </w:r>
            <w:r w:rsidR="009D0EA8" w:rsidRPr="005B5460">
              <w:rPr>
                <w:rFonts w:ascii="Times New Roman" w:hAnsi="Times New Roman" w:cs="Times New Roman"/>
                <w:sz w:val="20"/>
                <w:szCs w:val="20"/>
              </w:rPr>
              <w:instrText>ADDIN CSL_CITATION {"citationItems":[{"id":"ITEM-1","itemData":{"DOI":"10.4103/ortho.IJOrtho_188_17","ISSN":"0019-5413","abstract":"BACKGROUND: Limb salvage surgery with endoprosthesis for bone tumor around the knee is reported to have good functional and oncological outcomes. However, the functional assessment using musculoskeletal tumor society (MSTS) and Toronto extremity scoring system remains subjective. We performed gait analysis as an objective assessment of their functional outcome. MATERIALS AND METHODS: Gait analysis was performed in 20 patients with endoprosthesis replacement around the knee. The temporal parameters assessed during gait analysis were walking velocity, stride length, duration of stance, and goniometry of the knee. These parameters were compared with the functional outcome score of the MSTS. RESULTS: The mean free-paced walking velocity was 0.91 m/s (normal is 1.33 m/s), which was 68% lower than normal gait. The stride length and stance phase were shorter for the affected limb compared to normal (P &lt; 0.05). However, the gait was symmetrical with no difference in stride length (P = 0.148), velocity (P = 0.918), knee flexion (P = 0.465), and knee extension (P = 0.321) between the affected and unaffected limbs. Sixteen patients demonstrated stiff knee gait, two had a flexed knee gait, and only two patients had normal gait during the stance phase. The mean MSTS score was 21. There was significant correlation between overall MSTS scores (P = 0.023), function (P = 0.039), and walking scores (P = 0.007). CONCLUSION: Limb salvage surgery with endoprosthesis reconstruction around the knee gives good functional outcome, both objectively and subjectively, as evidenced by the symmetrical gait pattern and significant correlation with MSTS score. Despite decreased walking velocity, stride length, and stance phase of the operated limb, the patient still has a symmetrical gait.","author":[{"dropping-particle":"","family":"Singh","given":"Vivek Ajit","non-dropping-particle":"","parse-names":false,"suffix":""},{"dropping-particle":"","family":"Heng","given":"Chan Wei","non-dropping-particle":"","parse-names":false,"suffix":""},{"dropping-particle":"","family":"Yasin","given":"Nor Faissal","non-dropping-particle":"","parse-names":false,"suffix":""}],"container-title":"Indian journal of orthopaedics","id":"ITEM-1","issue":"1","issued":{"date-parts":[["2018"]]},"language":"eng","page":"65-72","publisher":"Medknow Publications &amp; Media Pvt Ltd","title":"Gait Analysis in Patients with Wide Resection and Endoprosthesis Replacement Around the Knee","type":"article-journal","volume":"52"},"uris":["http://www.mendeley.com/documents/?uuid=57636998-9e65-4246-9a8b-1ba396562085"]}],"mendeley":{"formattedCitation":"(38)","plainTextFormattedCitation":"(38)","previouslyFormattedCitation":"(39)"},"properties":{"noteIndex":0},"schema":"https://github.com/citation-style-language/schema/raw/master/csl-citation.json"}</w:instrText>
            </w:r>
            <w:r w:rsidRPr="005B5460">
              <w:rPr>
                <w:rFonts w:ascii="Times New Roman" w:hAnsi="Times New Roman" w:cs="Times New Roman"/>
                <w:sz w:val="20"/>
                <w:szCs w:val="20"/>
              </w:rPr>
              <w:fldChar w:fldCharType="separate"/>
            </w:r>
            <w:r w:rsidR="009D0EA8" w:rsidRPr="005B5460">
              <w:rPr>
                <w:rFonts w:ascii="Times New Roman" w:hAnsi="Times New Roman" w:cs="Times New Roman"/>
                <w:noProof/>
                <w:sz w:val="20"/>
                <w:szCs w:val="20"/>
              </w:rPr>
              <w:t>(38)</w:t>
            </w:r>
            <w:r w:rsidRPr="005B5460">
              <w:rPr>
                <w:rFonts w:ascii="Times New Roman" w:hAnsi="Times New Roman" w:cs="Times New Roman"/>
                <w:sz w:val="20"/>
                <w:szCs w:val="20"/>
              </w:rPr>
              <w:fldChar w:fldCharType="end"/>
            </w:r>
          </w:p>
          <w:p w14:paraId="6F8D35C2" w14:textId="77777777" w:rsidR="00631CE9" w:rsidRPr="005B5460" w:rsidRDefault="00631CE9" w:rsidP="00DE49A9">
            <w:pPr>
              <w:spacing w:line="240" w:lineRule="auto"/>
              <w:ind w:left="162" w:hanging="180"/>
              <w:rPr>
                <w:rFonts w:ascii="Times New Roman" w:hAnsi="Times New Roman" w:cs="Times New Roman"/>
                <w:i/>
                <w:iCs/>
                <w:sz w:val="20"/>
                <w:szCs w:val="20"/>
              </w:rPr>
            </w:pPr>
            <w:r w:rsidRPr="005B5460">
              <w:rPr>
                <w:rFonts w:ascii="Times New Roman" w:hAnsi="Times New Roman" w:cs="Times New Roman"/>
                <w:i/>
                <w:iCs/>
                <w:sz w:val="20"/>
                <w:szCs w:val="20"/>
              </w:rPr>
              <w:t>2018</w:t>
            </w:r>
          </w:p>
          <w:p w14:paraId="17544333" w14:textId="77777777" w:rsidR="00631CE9" w:rsidRPr="005B5460" w:rsidRDefault="00631CE9" w:rsidP="00DE49A9">
            <w:pPr>
              <w:spacing w:line="240" w:lineRule="auto"/>
              <w:ind w:left="162" w:hanging="180"/>
              <w:rPr>
                <w:rFonts w:ascii="Times New Roman" w:hAnsi="Times New Roman" w:cs="Times New Roman"/>
                <w:sz w:val="20"/>
                <w:szCs w:val="20"/>
              </w:rPr>
            </w:pPr>
            <w:r w:rsidRPr="005B5460">
              <w:rPr>
                <w:rFonts w:ascii="Times New Roman" w:hAnsi="Times New Roman" w:cs="Times New Roman"/>
                <w:i/>
                <w:iCs/>
                <w:sz w:val="20"/>
                <w:szCs w:val="20"/>
              </w:rPr>
              <w:t>Malaysia</w:t>
            </w:r>
            <w:r w:rsidRPr="005B5460">
              <w:rPr>
                <w:rFonts w:ascii="Times New Roman" w:hAnsi="Times New Roman" w:cs="Times New Roman"/>
                <w:sz w:val="20"/>
                <w:szCs w:val="20"/>
              </w:rPr>
              <w:t xml:space="preserve"> </w:t>
            </w:r>
          </w:p>
        </w:tc>
        <w:tc>
          <w:tcPr>
            <w:tcW w:w="1134" w:type="dxa"/>
          </w:tcPr>
          <w:p w14:paraId="4CCBE47B" w14:textId="77777777" w:rsidR="005B3498" w:rsidRPr="005B5460" w:rsidRDefault="005B3498"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N= 20</w:t>
            </w:r>
          </w:p>
          <w:p w14:paraId="45090E83" w14:textId="77777777" w:rsidR="005B3498" w:rsidRPr="005B5460" w:rsidRDefault="005B3498"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(8 Male &amp; 12 Female)</w:t>
            </w:r>
          </w:p>
          <w:p w14:paraId="6BC15FFC" w14:textId="77777777" w:rsidR="005B3498" w:rsidRPr="005B5460" w:rsidRDefault="005B3498"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Mean age = 22.75</w:t>
            </w:r>
          </w:p>
          <w:p w14:paraId="16A2A86A" w14:textId="748C4459" w:rsidR="00631CE9" w:rsidRPr="005B5460" w:rsidRDefault="005B3498"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(8–44)</w:t>
            </w:r>
          </w:p>
        </w:tc>
        <w:tc>
          <w:tcPr>
            <w:tcW w:w="1559" w:type="dxa"/>
          </w:tcPr>
          <w:p w14:paraId="7923966A"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Cross-sectional study design with objective and subjective measures</w:t>
            </w:r>
          </w:p>
        </w:tc>
        <w:tc>
          <w:tcPr>
            <w:tcW w:w="1418" w:type="dxa"/>
          </w:tcPr>
          <w:p w14:paraId="654E4B47"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Evaluation of gait pattern with patients who underwent </w:t>
            </w:r>
            <w:proofErr w:type="spellStart"/>
            <w:r w:rsidRPr="005B5460">
              <w:rPr>
                <w:rFonts w:ascii="Times New Roman" w:hAnsi="Times New Roman" w:cs="Times New Roman"/>
                <w:sz w:val="20"/>
                <w:szCs w:val="20"/>
              </w:rPr>
              <w:t>endoprosthetic</w:t>
            </w:r>
            <w:proofErr w:type="spellEnd"/>
            <w:r w:rsidRPr="005B5460">
              <w:rPr>
                <w:rFonts w:ascii="Times New Roman" w:hAnsi="Times New Roman" w:cs="Times New Roman"/>
                <w:sz w:val="20"/>
                <w:szCs w:val="20"/>
              </w:rPr>
              <w:t xml:space="preserve"> reconstruction after </w:t>
            </w:r>
            <w:proofErr w:type="spellStart"/>
            <w:r w:rsidRPr="005B5460">
              <w:rPr>
                <w:rFonts w:ascii="Times New Roman" w:hAnsi="Times New Roman" w:cs="Times New Roman"/>
                <w:sz w:val="20"/>
                <w:szCs w:val="20"/>
              </w:rPr>
              <w:t>tumour</w:t>
            </w:r>
            <w:proofErr w:type="spellEnd"/>
            <w:r w:rsidRPr="005B5460">
              <w:rPr>
                <w:rFonts w:ascii="Times New Roman" w:hAnsi="Times New Roman" w:cs="Times New Roman"/>
                <w:sz w:val="20"/>
                <w:szCs w:val="20"/>
              </w:rPr>
              <w:t xml:space="preserve"> resection and comparison of the objective data from gait assessment with subjective data from MSTS score</w:t>
            </w:r>
          </w:p>
        </w:tc>
        <w:tc>
          <w:tcPr>
            <w:tcW w:w="1701" w:type="dxa"/>
          </w:tcPr>
          <w:p w14:paraId="07AADCDB" w14:textId="6889EDA9"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Gait analysis for collecting data on temporal parameters-preferred walking velocity, stride length and duration of stance phase + goniometry of the knee during walking</w:t>
            </w:r>
          </w:p>
          <w:p w14:paraId="0E6F6D80" w14:textId="77777777" w:rsidR="00DE49A9" w:rsidRPr="005B5460" w:rsidRDefault="00DE49A9" w:rsidP="00DE49A9">
            <w:pPr>
              <w:spacing w:after="0" w:line="240" w:lineRule="auto"/>
              <w:rPr>
                <w:rFonts w:ascii="Times New Roman" w:hAnsi="Times New Roman" w:cs="Times New Roman"/>
                <w:sz w:val="20"/>
                <w:szCs w:val="20"/>
              </w:rPr>
            </w:pPr>
          </w:p>
          <w:p w14:paraId="40E76CEA"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MSTS score</w:t>
            </w:r>
          </w:p>
        </w:tc>
        <w:tc>
          <w:tcPr>
            <w:tcW w:w="1700" w:type="dxa"/>
          </w:tcPr>
          <w:p w14:paraId="7B9631F3" w14:textId="442EF78F"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DF = 15</w:t>
            </w:r>
          </w:p>
          <w:p w14:paraId="4C073DA0" w14:textId="31E9AB49"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PT = 5</w:t>
            </w:r>
          </w:p>
          <w:p w14:paraId="4CD3F0D3" w14:textId="77777777" w:rsidR="00631CE9" w:rsidRPr="005B5460" w:rsidRDefault="00631CE9" w:rsidP="00DE49A9">
            <w:pPr>
              <w:spacing w:line="240" w:lineRule="auto"/>
              <w:rPr>
                <w:rFonts w:ascii="Times New Roman" w:hAnsi="Times New Roman" w:cs="Times New Roman"/>
                <w:sz w:val="20"/>
                <w:szCs w:val="20"/>
              </w:rPr>
            </w:pPr>
          </w:p>
          <w:p w14:paraId="70C28384" w14:textId="6196A83F" w:rsidR="00631CE9" w:rsidRPr="005B5460" w:rsidRDefault="00631CE9" w:rsidP="00DE49A9">
            <w:pPr>
              <w:spacing w:line="240" w:lineRule="auto"/>
              <w:rPr>
                <w:rFonts w:ascii="Times New Roman" w:hAnsi="Times New Roman" w:cs="Times New Roman"/>
                <w:sz w:val="20"/>
                <w:szCs w:val="20"/>
              </w:rPr>
            </w:pPr>
          </w:p>
        </w:tc>
        <w:tc>
          <w:tcPr>
            <w:tcW w:w="2552" w:type="dxa"/>
          </w:tcPr>
          <w:p w14:paraId="713C63A6"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MSTS:</w:t>
            </w:r>
            <w:r w:rsidRPr="005B5460">
              <w:rPr>
                <w:rFonts w:ascii="Times New Roman" w:hAnsi="Times New Roman" w:cs="Times New Roman"/>
                <w:sz w:val="20"/>
                <w:szCs w:val="20"/>
              </w:rPr>
              <w:t xml:space="preserve"> Good to excellent score levels</w:t>
            </w:r>
          </w:p>
          <w:p w14:paraId="34C7CB85"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Mean = 21 (13–25)</w:t>
            </w:r>
          </w:p>
          <w:p w14:paraId="6FD77CAA" w14:textId="77777777" w:rsidR="00631CE9" w:rsidRPr="005B5460" w:rsidRDefault="00631CE9" w:rsidP="00DE49A9">
            <w:pPr>
              <w:spacing w:line="240" w:lineRule="auto"/>
              <w:ind w:left="360"/>
              <w:rPr>
                <w:rFonts w:ascii="Times New Roman" w:hAnsi="Times New Roman" w:cs="Times New Roman"/>
                <w:sz w:val="20"/>
                <w:szCs w:val="20"/>
              </w:rPr>
            </w:pPr>
            <w:r w:rsidRPr="005B5460">
              <w:rPr>
                <w:rFonts w:ascii="Times New Roman" w:hAnsi="Times New Roman" w:cs="Times New Roman"/>
                <w:sz w:val="20"/>
                <w:szCs w:val="20"/>
              </w:rPr>
              <w:t>80% of participants (21–25) - Good to excellent</w:t>
            </w:r>
          </w:p>
          <w:p w14:paraId="38D66D4F" w14:textId="77777777" w:rsidR="00631CE9" w:rsidRPr="005B5460" w:rsidRDefault="00631CE9" w:rsidP="00DE49A9">
            <w:pPr>
              <w:spacing w:line="240" w:lineRule="auto"/>
              <w:ind w:left="360"/>
              <w:rPr>
                <w:rFonts w:ascii="Times New Roman" w:hAnsi="Times New Roman" w:cs="Times New Roman"/>
                <w:sz w:val="20"/>
                <w:szCs w:val="20"/>
              </w:rPr>
            </w:pPr>
            <w:r w:rsidRPr="005B5460">
              <w:rPr>
                <w:rFonts w:ascii="Times New Roman" w:hAnsi="Times New Roman" w:cs="Times New Roman"/>
                <w:sz w:val="20"/>
                <w:szCs w:val="20"/>
              </w:rPr>
              <w:t xml:space="preserve">20% of participants (13–20) - Fair to good </w:t>
            </w:r>
          </w:p>
          <w:p w14:paraId="152C4ABD"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Lowest component = “Walking ability”; only two patients gave a normal gait score after the surgery while the rest who scored the lowest in walking required a walking aid in outdoor activities.</w:t>
            </w:r>
          </w:p>
          <w:p w14:paraId="5F3C02BC"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Gait analysis</w:t>
            </w:r>
            <w:r w:rsidRPr="005B5460">
              <w:rPr>
                <w:rFonts w:ascii="Times New Roman" w:hAnsi="Times New Roman" w:cs="Times New Roman"/>
                <w:sz w:val="20"/>
                <w:szCs w:val="20"/>
              </w:rPr>
              <w:t>: The participants walked slower when compared with normal gait parameters (</w:t>
            </w:r>
            <w:r w:rsidRPr="005B5460">
              <w:rPr>
                <w:rFonts w:ascii="Times New Roman" w:hAnsi="Times New Roman" w:cs="Times New Roman"/>
                <w:i/>
                <w:iCs/>
                <w:sz w:val="20"/>
                <w:szCs w:val="20"/>
              </w:rPr>
              <w:t>P</w:t>
            </w:r>
            <w:r w:rsidRPr="005B5460">
              <w:rPr>
                <w:rFonts w:ascii="Times New Roman" w:hAnsi="Times New Roman" w:cs="Times New Roman"/>
                <w:sz w:val="20"/>
                <w:szCs w:val="20"/>
              </w:rPr>
              <w:t> &lt; 0.05), indicating reduced stride length, velocity and stance after the surgery.</w:t>
            </w:r>
          </w:p>
          <w:p w14:paraId="1C41CA7A"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Comparison between affected and non-affected </w:t>
            </w:r>
            <w:r w:rsidRPr="005B5460">
              <w:rPr>
                <w:rFonts w:ascii="Times New Roman" w:hAnsi="Times New Roman" w:cs="Times New Roman"/>
                <w:sz w:val="20"/>
                <w:szCs w:val="20"/>
              </w:rPr>
              <w:lastRenderedPageBreak/>
              <w:t>limb indicated symmetrical stride length &amp; velocity. Asymmetrical stance phase was found significantly reduced (</w:t>
            </w:r>
            <w:r w:rsidRPr="005B5460">
              <w:rPr>
                <w:rFonts w:ascii="Times New Roman" w:hAnsi="Times New Roman" w:cs="Times New Roman"/>
                <w:i/>
                <w:iCs/>
                <w:sz w:val="20"/>
                <w:szCs w:val="20"/>
              </w:rPr>
              <w:t>P</w:t>
            </w:r>
            <w:r w:rsidRPr="005B5460">
              <w:rPr>
                <w:rFonts w:ascii="Times New Roman" w:hAnsi="Times New Roman" w:cs="Times New Roman"/>
                <w:sz w:val="20"/>
                <w:szCs w:val="20"/>
              </w:rPr>
              <w:t xml:space="preserve"> = 0.00) </w:t>
            </w:r>
          </w:p>
          <w:p w14:paraId="23017E8B"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Knee goniometry during gait analysis:</w:t>
            </w:r>
            <w:r w:rsidRPr="005B5460">
              <w:rPr>
                <w:rFonts w:ascii="Times New Roman" w:hAnsi="Times New Roman" w:cs="Times New Roman"/>
                <w:sz w:val="20"/>
                <w:szCs w:val="20"/>
              </w:rPr>
              <w:t xml:space="preserve">  </w:t>
            </w:r>
          </w:p>
          <w:p w14:paraId="0B605445"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80% of participants exhibited stiff knee gait</w:t>
            </w:r>
          </w:p>
          <w:p w14:paraId="098D9045"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10% of participants had flexed knee gait</w:t>
            </w:r>
          </w:p>
          <w:p w14:paraId="16E45932"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10% of participants had normal knee gait</w:t>
            </w:r>
          </w:p>
          <w:p w14:paraId="513E9A7F"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ROM:</w:t>
            </w:r>
            <w:r w:rsidRPr="005B5460">
              <w:rPr>
                <w:rFonts w:ascii="Times New Roman" w:hAnsi="Times New Roman" w:cs="Times New Roman"/>
                <w:sz w:val="20"/>
                <w:szCs w:val="20"/>
              </w:rPr>
              <w:t xml:space="preserve"> Despite the stiff and flexed knee gait pattern revealed by gait analysis, ROM in all patients was within normal actively and passively:</w:t>
            </w:r>
          </w:p>
          <w:p w14:paraId="69B9D0FA" w14:textId="77777777" w:rsidR="00631CE9" w:rsidRPr="005B5460" w:rsidRDefault="00631CE9" w:rsidP="00DE49A9">
            <w:pPr>
              <w:spacing w:line="240" w:lineRule="auto"/>
              <w:ind w:left="360"/>
              <w:rPr>
                <w:rFonts w:ascii="Times New Roman" w:hAnsi="Times New Roman" w:cs="Times New Roman"/>
                <w:sz w:val="20"/>
                <w:szCs w:val="20"/>
              </w:rPr>
            </w:pPr>
            <w:r w:rsidRPr="005B5460">
              <w:rPr>
                <w:rFonts w:ascii="Times New Roman" w:hAnsi="Times New Roman" w:cs="Times New Roman"/>
                <w:sz w:val="20"/>
                <w:szCs w:val="20"/>
              </w:rPr>
              <w:t xml:space="preserve">Active ROM mean = 2.25–105 </w:t>
            </w:r>
          </w:p>
          <w:p w14:paraId="1892F4AB" w14:textId="77777777" w:rsidR="00631CE9" w:rsidRPr="005B5460" w:rsidRDefault="00631CE9" w:rsidP="00DE49A9">
            <w:pPr>
              <w:spacing w:line="240" w:lineRule="auto"/>
              <w:ind w:left="360"/>
              <w:rPr>
                <w:rFonts w:ascii="Times New Roman" w:hAnsi="Times New Roman" w:cs="Times New Roman"/>
                <w:sz w:val="20"/>
                <w:szCs w:val="20"/>
              </w:rPr>
            </w:pPr>
            <w:r w:rsidRPr="005B5460">
              <w:rPr>
                <w:rFonts w:ascii="Times New Roman" w:hAnsi="Times New Roman" w:cs="Times New Roman"/>
                <w:sz w:val="20"/>
                <w:szCs w:val="20"/>
              </w:rPr>
              <w:t>Passive ROM mean = 0–105</w:t>
            </w:r>
          </w:p>
          <w:p w14:paraId="58C10289" w14:textId="77777777" w:rsidR="00631CE9" w:rsidRPr="005B5460" w:rsidRDefault="00631CE9" w:rsidP="00DE49A9">
            <w:pPr>
              <w:spacing w:line="240" w:lineRule="auto"/>
              <w:ind w:left="360"/>
              <w:rPr>
                <w:rFonts w:ascii="Times New Roman" w:hAnsi="Times New Roman" w:cs="Times New Roman"/>
                <w:sz w:val="20"/>
                <w:szCs w:val="20"/>
              </w:rPr>
            </w:pPr>
            <w:r w:rsidRPr="005B5460">
              <w:rPr>
                <w:rFonts w:ascii="Times New Roman" w:hAnsi="Times New Roman" w:cs="Times New Roman"/>
                <w:sz w:val="20"/>
                <w:szCs w:val="20"/>
              </w:rPr>
              <w:t xml:space="preserve">No statistically significant difference found between affected </w:t>
            </w:r>
            <w:r w:rsidRPr="005B5460">
              <w:rPr>
                <w:rFonts w:ascii="Times New Roman" w:hAnsi="Times New Roman" w:cs="Times New Roman"/>
                <w:sz w:val="20"/>
                <w:szCs w:val="20"/>
              </w:rPr>
              <w:lastRenderedPageBreak/>
              <w:t>and non-affected knee ROM (</w:t>
            </w:r>
            <w:r w:rsidRPr="005B5460">
              <w:rPr>
                <w:rFonts w:ascii="Times New Roman" w:hAnsi="Times New Roman" w:cs="Times New Roman"/>
                <w:i/>
                <w:iCs/>
                <w:sz w:val="20"/>
                <w:szCs w:val="20"/>
              </w:rPr>
              <w:t>P</w:t>
            </w:r>
            <w:r w:rsidRPr="005B5460">
              <w:rPr>
                <w:rFonts w:ascii="Times New Roman" w:hAnsi="Times New Roman" w:cs="Times New Roman"/>
                <w:sz w:val="20"/>
                <w:szCs w:val="20"/>
              </w:rPr>
              <w:t> &gt; 0.05)</w:t>
            </w:r>
          </w:p>
          <w:p w14:paraId="7F8B275E"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Overall MSTS score had significant relationship with velocity aspect in gait analysis (</w:t>
            </w:r>
            <w:r w:rsidRPr="005B5460">
              <w:rPr>
                <w:rFonts w:ascii="Times New Roman" w:hAnsi="Times New Roman" w:cs="Times New Roman"/>
                <w:i/>
                <w:iCs/>
                <w:sz w:val="20"/>
                <w:szCs w:val="20"/>
              </w:rPr>
              <w:t>P</w:t>
            </w:r>
            <w:r w:rsidRPr="005B5460">
              <w:rPr>
                <w:rFonts w:ascii="Times New Roman" w:hAnsi="Times New Roman" w:cs="Times New Roman"/>
                <w:sz w:val="20"/>
                <w:szCs w:val="20"/>
              </w:rPr>
              <w:t> &lt; 0.05)</w:t>
            </w:r>
          </w:p>
        </w:tc>
        <w:tc>
          <w:tcPr>
            <w:tcW w:w="2268" w:type="dxa"/>
          </w:tcPr>
          <w:p w14:paraId="18724D0B" w14:textId="63C879B3"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lastRenderedPageBreak/>
              <w:t>Small sample size.</w:t>
            </w:r>
          </w:p>
          <w:p w14:paraId="1CF1BCB1" w14:textId="77777777" w:rsidR="00DE49A9" w:rsidRPr="005B5460" w:rsidRDefault="00DE49A9" w:rsidP="00DE49A9">
            <w:pPr>
              <w:spacing w:after="0" w:line="240" w:lineRule="auto"/>
              <w:rPr>
                <w:rFonts w:ascii="Times New Roman" w:hAnsi="Times New Roman" w:cs="Times New Roman"/>
                <w:sz w:val="20"/>
                <w:szCs w:val="20"/>
              </w:rPr>
            </w:pPr>
          </w:p>
          <w:p w14:paraId="74025744" w14:textId="00E0A50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No clear recruitment process described, which may lead to selection bias.</w:t>
            </w:r>
          </w:p>
          <w:p w14:paraId="45279F09" w14:textId="77777777" w:rsidR="00DE49A9" w:rsidRPr="005B5460" w:rsidRDefault="00DE49A9" w:rsidP="00DE49A9">
            <w:pPr>
              <w:spacing w:after="0" w:line="240" w:lineRule="auto"/>
              <w:rPr>
                <w:rFonts w:ascii="Times New Roman" w:hAnsi="Times New Roman" w:cs="Times New Roman"/>
                <w:sz w:val="20"/>
                <w:szCs w:val="20"/>
              </w:rPr>
            </w:pPr>
          </w:p>
          <w:p w14:paraId="18DAB55B" w14:textId="1C0CFD88"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Age varied widely and was not statistically tested with outcome measure variables.</w:t>
            </w:r>
          </w:p>
          <w:p w14:paraId="39670081" w14:textId="77777777" w:rsidR="00DE49A9" w:rsidRPr="005B5460" w:rsidRDefault="00DE49A9" w:rsidP="00DE49A9">
            <w:pPr>
              <w:spacing w:after="0" w:line="240" w:lineRule="auto"/>
              <w:rPr>
                <w:rFonts w:ascii="Times New Roman" w:hAnsi="Times New Roman" w:cs="Times New Roman"/>
                <w:sz w:val="20"/>
                <w:szCs w:val="20"/>
              </w:rPr>
            </w:pPr>
          </w:p>
          <w:p w14:paraId="196C1C08"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 xml:space="preserve">No bivariate or multivariate statistical analysis done </w:t>
            </w:r>
            <w:proofErr w:type="gramStart"/>
            <w:r w:rsidRPr="005B5460">
              <w:rPr>
                <w:rFonts w:ascii="Times New Roman" w:hAnsi="Times New Roman" w:cs="Times New Roman"/>
                <w:sz w:val="20"/>
                <w:szCs w:val="20"/>
              </w:rPr>
              <w:t>in regards to</w:t>
            </w:r>
            <w:proofErr w:type="gramEnd"/>
            <w:r w:rsidRPr="005B5460">
              <w:rPr>
                <w:rFonts w:ascii="Times New Roman" w:hAnsi="Times New Roman" w:cs="Times New Roman"/>
                <w:sz w:val="20"/>
                <w:szCs w:val="20"/>
              </w:rPr>
              <w:t xml:space="preserve"> location of resected </w:t>
            </w:r>
            <w:proofErr w:type="spellStart"/>
            <w:r w:rsidRPr="005B5460">
              <w:rPr>
                <w:rFonts w:ascii="Times New Roman" w:hAnsi="Times New Roman" w:cs="Times New Roman"/>
                <w:sz w:val="20"/>
                <w:szCs w:val="20"/>
              </w:rPr>
              <w:t>tumour</w:t>
            </w:r>
            <w:proofErr w:type="spellEnd"/>
            <w:r w:rsidRPr="005B5460">
              <w:rPr>
                <w:rFonts w:ascii="Times New Roman" w:hAnsi="Times New Roman" w:cs="Times New Roman"/>
                <w:sz w:val="20"/>
                <w:szCs w:val="20"/>
              </w:rPr>
              <w:t xml:space="preserve"> (distal femur or proximal tibia) with other variables.</w:t>
            </w:r>
          </w:p>
        </w:tc>
      </w:tr>
      <w:tr w:rsidR="00DE49A9" w:rsidRPr="005B5460" w14:paraId="77BA53D3" w14:textId="77777777" w:rsidTr="00DE49A9">
        <w:tc>
          <w:tcPr>
            <w:tcW w:w="1533" w:type="dxa"/>
          </w:tcPr>
          <w:p w14:paraId="2DCAFDE2" w14:textId="7F02AB1B" w:rsidR="00631CE9" w:rsidRPr="005B5460" w:rsidRDefault="006126FE" w:rsidP="00DE49A9">
            <w:pPr>
              <w:pStyle w:val="ListParagraph"/>
              <w:numPr>
                <w:ilvl w:val="0"/>
                <w:numId w:val="32"/>
              </w:numPr>
              <w:spacing w:after="0" w:line="240" w:lineRule="auto"/>
              <w:ind w:left="162" w:hanging="180"/>
              <w:rPr>
                <w:rFonts w:ascii="Times New Roman" w:hAnsi="Times New Roman" w:cs="Times New Roman"/>
                <w:sz w:val="20"/>
                <w:szCs w:val="20"/>
              </w:rPr>
            </w:pPr>
            <w:r w:rsidRPr="005B5460">
              <w:rPr>
                <w:rFonts w:ascii="Times New Roman" w:hAnsi="Times New Roman" w:cs="Times New Roman"/>
                <w:sz w:val="20"/>
                <w:szCs w:val="20"/>
              </w:rPr>
              <w:lastRenderedPageBreak/>
              <w:fldChar w:fldCharType="begin" w:fldLock="1"/>
            </w:r>
            <w:r w:rsidRPr="005B5460">
              <w:rPr>
                <w:rFonts w:ascii="Times New Roman" w:hAnsi="Times New Roman" w:cs="Times New Roman"/>
                <w:sz w:val="20"/>
                <w:szCs w:val="20"/>
              </w:rPr>
              <w:instrText>ADDIN CSL_CITATION {"citationItems":[{"id":"ITEM-1","itemData":{"DOI":"10.1002/jso.21828","ISSN":"1096-9098 (Electronic)","PMID":"21337557","abstract":"BACKGROUND: Aim of our study was to compare functional ability and physical activity  in children and young adults who underwent surgery for a malignant bone tumor that was located around the knee. METHODS: This cross-sectional study included 82 patients aged 8-25 years with a follow-up of 1-5 years. The functional ability and the amount of physical activity were evaluated by means of questionnaires and objective instruments. RESULTS: Thirty nine patients underwent limb-salvage surgery (24 allograft and 15 endoprosthesis) and 43 underwent ablative surgery (27 amputations and 16 rotationplasty). Patients in the limb-salvage group were significantly older at the time of surgery than patients in the ablative group (mean age 15.2 years vs. 13.2 years, P = 0.03). Apart from significantly better scores for the timed up and down stairs and various walking activities in the limb-salvage group as compared to the ablative surgery group, no significant differences were seen for any of the outcome measures. CONCLUSIONS: One to 5 years after limb-salvage and ablative surgery due to a malignant bone tumor children and young adults do, apart from a few activities involving walking and climbing stairs, not differ with respect to overall functional ability and physical activity.","author":[{"dropping-particle":"","family":"Bekkering","given":"W Peter","non-dropping-particle":"","parse-names":false,"suffix":""},{"dropping-particle":"","family":"Vliet Vlieland","given":"Theodora P M","non-dropping-particle":"","parse-names":false,"suffix":""},{"dropping-particle":"","family":"Koopman","given":"Hendrik M","non-dropping-particle":"","parse-names":false,"suffix":""},{"dropping-particle":"","family":"Schaap","given":"Gerard R","non-dropping-particle":"","parse-names":false,"suffix":""},{"dropping-particle":"","family":"Bart Schreuder","given":"H W","non-dropping-particle":"","parse-names":false,"suffix":""},{"dropping-particle":"","family":"Beishuizen","given":"Auke","non-dropping-particle":"","parse-names":false,"suffix":""},{"dropping-particle":"","family":"Jutte","given":"Paul C","non-dropping-particle":"","parse-names":false,"suffix":""},{"dropping-particle":"","family":"Hoogerbrugge","given":"Peter M","non-dropping-particle":"","parse-names":false,"suffix":""},{"dropping-particle":"","family":"Anninga","given":"Jacob K","non-dropping-particle":"","parse-names":false,"suffix":""},{"dropping-particle":"","family":"Nelissen","given":"Rob G H H","non-dropping-particle":"","parse-names":false,"suffix":""},{"dropping-particle":"","family":"Taminiau","given":"Antonie H M","non-dropping-particle":"","parse-names":false,"suffix":""}],"container-title":"Journal of surgical oncology","id":"ITEM-1","issue":"3","issued":{"date-parts":[["2011","3"]]},"language":"eng","page":"276-282","publisher-place":"United States","title":"Functional ability and physical activity in children and young adults after  limb-salvage or ablative surgery for lower extremity bone tumors.","type":"article-journal","volume":"103"},"uris":["http://www.mendeley.com/documents/?uuid=46086f6e-f63d-4ad9-82d8-9ecafd272161"]}],"mendeley":{"formattedCitation":"(21)","plainTextFormattedCitation":"(21)","previouslyFormattedCitation":"(21)"},"properties":{"noteIndex":0},"schema":"https://github.com/citation-style-language/schema/raw/master/csl-citation.json"}</w:instrText>
            </w:r>
            <w:r w:rsidRPr="005B5460">
              <w:rPr>
                <w:rFonts w:ascii="Times New Roman" w:hAnsi="Times New Roman" w:cs="Times New Roman"/>
                <w:sz w:val="20"/>
                <w:szCs w:val="20"/>
              </w:rPr>
              <w:fldChar w:fldCharType="separate"/>
            </w:r>
            <w:r w:rsidRPr="005B5460">
              <w:rPr>
                <w:rFonts w:ascii="Times New Roman" w:hAnsi="Times New Roman" w:cs="Times New Roman"/>
                <w:noProof/>
                <w:sz w:val="20"/>
                <w:szCs w:val="20"/>
              </w:rPr>
              <w:t>(21)</w:t>
            </w:r>
            <w:r w:rsidRPr="005B5460">
              <w:rPr>
                <w:rFonts w:ascii="Times New Roman" w:hAnsi="Times New Roman" w:cs="Times New Roman"/>
                <w:sz w:val="20"/>
                <w:szCs w:val="20"/>
              </w:rPr>
              <w:fldChar w:fldCharType="end"/>
            </w:r>
          </w:p>
          <w:p w14:paraId="5F7A8571" w14:textId="77777777" w:rsidR="00631CE9" w:rsidRPr="005B5460" w:rsidRDefault="00631CE9" w:rsidP="00DE49A9">
            <w:pPr>
              <w:spacing w:line="240" w:lineRule="auto"/>
              <w:ind w:left="162" w:hanging="180"/>
              <w:rPr>
                <w:rFonts w:ascii="Times New Roman" w:hAnsi="Times New Roman" w:cs="Times New Roman"/>
                <w:i/>
                <w:iCs/>
                <w:sz w:val="20"/>
                <w:szCs w:val="20"/>
              </w:rPr>
            </w:pPr>
            <w:r w:rsidRPr="005B5460">
              <w:rPr>
                <w:rFonts w:ascii="Times New Roman" w:hAnsi="Times New Roman" w:cs="Times New Roman"/>
                <w:i/>
                <w:iCs/>
                <w:sz w:val="20"/>
                <w:szCs w:val="20"/>
              </w:rPr>
              <w:t>2011</w:t>
            </w:r>
          </w:p>
          <w:p w14:paraId="7A5E1EAF" w14:textId="77777777" w:rsidR="00631CE9" w:rsidRPr="005B5460" w:rsidRDefault="00631CE9" w:rsidP="00DE49A9">
            <w:pPr>
              <w:spacing w:line="240" w:lineRule="auto"/>
              <w:ind w:left="162" w:hanging="180"/>
              <w:rPr>
                <w:rFonts w:ascii="Times New Roman" w:hAnsi="Times New Roman" w:cs="Times New Roman"/>
                <w:sz w:val="20"/>
                <w:szCs w:val="20"/>
              </w:rPr>
            </w:pPr>
            <w:r w:rsidRPr="005B5460">
              <w:rPr>
                <w:rFonts w:ascii="Times New Roman" w:hAnsi="Times New Roman" w:cs="Times New Roman"/>
                <w:i/>
                <w:iCs/>
                <w:sz w:val="20"/>
                <w:szCs w:val="20"/>
              </w:rPr>
              <w:t>Netherlands</w:t>
            </w:r>
          </w:p>
        </w:tc>
        <w:tc>
          <w:tcPr>
            <w:tcW w:w="1134" w:type="dxa"/>
          </w:tcPr>
          <w:p w14:paraId="4542B3EC" w14:textId="77777777" w:rsidR="005B3498" w:rsidRPr="005B5460" w:rsidRDefault="005B3498"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N = 82</w:t>
            </w:r>
          </w:p>
          <w:p w14:paraId="2AFD307D" w14:textId="77777777" w:rsidR="005B3498" w:rsidRPr="005B5460" w:rsidRDefault="005B3498"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(41 Male &amp; 41 Female)</w:t>
            </w:r>
          </w:p>
          <w:p w14:paraId="398AAE0B" w14:textId="1120665B" w:rsidR="00631CE9" w:rsidRPr="005B5460" w:rsidRDefault="005B3498"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Mean age= 16.9 (8–25)</w:t>
            </w:r>
          </w:p>
        </w:tc>
        <w:tc>
          <w:tcPr>
            <w:tcW w:w="1559" w:type="dxa"/>
          </w:tcPr>
          <w:p w14:paraId="1843A9C6"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Cross-sectional study with objective measures</w:t>
            </w:r>
          </w:p>
        </w:tc>
        <w:tc>
          <w:tcPr>
            <w:tcW w:w="1418" w:type="dxa"/>
          </w:tcPr>
          <w:p w14:paraId="76D4D93C"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Evaluation of functional ability and physical activity among children and young adults who underwent limb salvage and ablative surgeries for treating sarcoma around the knee</w:t>
            </w:r>
          </w:p>
        </w:tc>
        <w:tc>
          <w:tcPr>
            <w:tcW w:w="1701" w:type="dxa"/>
          </w:tcPr>
          <w:p w14:paraId="5E9EB780" w14:textId="3F8B343F"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TESS score</w:t>
            </w:r>
          </w:p>
          <w:p w14:paraId="5A60377E" w14:textId="77777777" w:rsidR="00DE49A9" w:rsidRPr="005B5460" w:rsidRDefault="00DE49A9" w:rsidP="00DE49A9">
            <w:pPr>
              <w:spacing w:after="0" w:line="240" w:lineRule="auto"/>
              <w:rPr>
                <w:rFonts w:ascii="Times New Roman" w:hAnsi="Times New Roman" w:cs="Times New Roman"/>
                <w:sz w:val="20"/>
                <w:szCs w:val="20"/>
              </w:rPr>
            </w:pPr>
          </w:p>
          <w:p w14:paraId="09F28823"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Time up &amp; go (TUG)</w:t>
            </w:r>
          </w:p>
          <w:p w14:paraId="385D6A00" w14:textId="3DE06341" w:rsidR="00631CE9" w:rsidRPr="005B5460" w:rsidRDefault="00631CE9" w:rsidP="00DE49A9">
            <w:pPr>
              <w:spacing w:after="0" w:line="240" w:lineRule="auto"/>
              <w:ind w:left="-18"/>
              <w:rPr>
                <w:rFonts w:ascii="Times New Roman" w:hAnsi="Times New Roman" w:cs="Times New Roman"/>
                <w:sz w:val="20"/>
                <w:szCs w:val="20"/>
              </w:rPr>
            </w:pPr>
            <w:r w:rsidRPr="005B5460">
              <w:rPr>
                <w:rFonts w:ascii="Times New Roman" w:hAnsi="Times New Roman" w:cs="Times New Roman"/>
                <w:sz w:val="20"/>
                <w:szCs w:val="20"/>
              </w:rPr>
              <w:t>Time up &amp; down stairs (TUDS</w:t>
            </w:r>
            <w:r w:rsidR="00DE49A9" w:rsidRPr="005B5460">
              <w:rPr>
                <w:rFonts w:ascii="Times New Roman" w:hAnsi="Times New Roman" w:cs="Times New Roman"/>
                <w:sz w:val="20"/>
                <w:szCs w:val="20"/>
              </w:rPr>
              <w:t>)</w:t>
            </w:r>
          </w:p>
          <w:p w14:paraId="644C8A7B" w14:textId="77777777" w:rsidR="00DE49A9" w:rsidRPr="005B5460" w:rsidRDefault="00DE49A9" w:rsidP="00DE49A9">
            <w:pPr>
              <w:spacing w:after="0" w:line="240" w:lineRule="auto"/>
              <w:ind w:left="-18"/>
              <w:rPr>
                <w:rFonts w:ascii="Times New Roman" w:hAnsi="Times New Roman" w:cs="Times New Roman"/>
                <w:sz w:val="20"/>
                <w:szCs w:val="20"/>
              </w:rPr>
            </w:pPr>
          </w:p>
          <w:p w14:paraId="72B8602F" w14:textId="676970AA" w:rsidR="00631CE9" w:rsidRPr="005B5460" w:rsidRDefault="00631CE9" w:rsidP="00DE49A9">
            <w:pPr>
              <w:spacing w:after="0" w:line="240" w:lineRule="auto"/>
              <w:ind w:left="-18"/>
              <w:rPr>
                <w:rFonts w:ascii="Times New Roman" w:hAnsi="Times New Roman" w:cs="Times New Roman"/>
                <w:sz w:val="20"/>
                <w:szCs w:val="20"/>
              </w:rPr>
            </w:pPr>
            <w:r w:rsidRPr="005B5460">
              <w:rPr>
                <w:rFonts w:ascii="Times New Roman" w:hAnsi="Times New Roman" w:cs="Times New Roman"/>
                <w:sz w:val="20"/>
                <w:szCs w:val="20"/>
              </w:rPr>
              <w:t>6 minutes walking test (6MWT)</w:t>
            </w:r>
          </w:p>
          <w:p w14:paraId="53141DBF" w14:textId="77777777" w:rsidR="00DE49A9" w:rsidRPr="005B5460" w:rsidRDefault="00DE49A9" w:rsidP="00DE49A9">
            <w:pPr>
              <w:spacing w:after="0" w:line="240" w:lineRule="auto"/>
              <w:ind w:left="-18"/>
              <w:rPr>
                <w:rFonts w:ascii="Times New Roman" w:hAnsi="Times New Roman" w:cs="Times New Roman"/>
                <w:sz w:val="20"/>
                <w:szCs w:val="20"/>
              </w:rPr>
            </w:pPr>
          </w:p>
          <w:p w14:paraId="264ED147" w14:textId="45C6091E" w:rsidR="00631CE9" w:rsidRPr="005B5460" w:rsidRDefault="00631CE9" w:rsidP="00DE49A9">
            <w:pPr>
              <w:spacing w:after="0" w:line="240" w:lineRule="auto"/>
              <w:ind w:left="-18"/>
              <w:rPr>
                <w:rFonts w:ascii="Times New Roman" w:hAnsi="Times New Roman" w:cs="Times New Roman"/>
                <w:sz w:val="20"/>
                <w:szCs w:val="20"/>
              </w:rPr>
            </w:pPr>
            <w:r w:rsidRPr="005B5460">
              <w:rPr>
                <w:rFonts w:ascii="Times New Roman" w:hAnsi="Times New Roman" w:cs="Times New Roman"/>
                <w:sz w:val="20"/>
                <w:szCs w:val="20"/>
              </w:rPr>
              <w:t>Lie down and stand up (LDSU)</w:t>
            </w:r>
          </w:p>
          <w:p w14:paraId="5958B0D8" w14:textId="77777777" w:rsidR="00DE49A9" w:rsidRPr="005B5460" w:rsidRDefault="00DE49A9" w:rsidP="00DE49A9">
            <w:pPr>
              <w:spacing w:after="0" w:line="240" w:lineRule="auto"/>
              <w:ind w:left="-18"/>
              <w:rPr>
                <w:rFonts w:ascii="Times New Roman" w:hAnsi="Times New Roman" w:cs="Times New Roman"/>
                <w:sz w:val="20"/>
                <w:szCs w:val="20"/>
              </w:rPr>
            </w:pPr>
          </w:p>
          <w:p w14:paraId="38BF6157" w14:textId="3A852C5B" w:rsidR="00631CE9" w:rsidRPr="005B5460" w:rsidRDefault="00631CE9" w:rsidP="00DE49A9">
            <w:pPr>
              <w:spacing w:after="0" w:line="240" w:lineRule="auto"/>
              <w:ind w:left="-18"/>
              <w:rPr>
                <w:rFonts w:ascii="Times New Roman" w:hAnsi="Times New Roman" w:cs="Times New Roman"/>
                <w:sz w:val="20"/>
                <w:szCs w:val="20"/>
              </w:rPr>
            </w:pPr>
            <w:r w:rsidRPr="005B5460">
              <w:rPr>
                <w:rFonts w:ascii="Times New Roman" w:hAnsi="Times New Roman" w:cs="Times New Roman"/>
                <w:sz w:val="20"/>
                <w:szCs w:val="20"/>
              </w:rPr>
              <w:t>Various walking activities (VWA)</w:t>
            </w:r>
          </w:p>
          <w:p w14:paraId="22036964" w14:textId="77777777" w:rsidR="00DE49A9" w:rsidRPr="005B5460" w:rsidRDefault="00DE49A9" w:rsidP="00DE49A9">
            <w:pPr>
              <w:spacing w:after="0" w:line="240" w:lineRule="auto"/>
              <w:ind w:left="-18"/>
              <w:rPr>
                <w:rFonts w:ascii="Times New Roman" w:hAnsi="Times New Roman" w:cs="Times New Roman"/>
                <w:sz w:val="20"/>
                <w:szCs w:val="20"/>
              </w:rPr>
            </w:pPr>
          </w:p>
          <w:p w14:paraId="21062A90" w14:textId="77EEDBFE" w:rsidR="00631CE9" w:rsidRPr="005B5460" w:rsidRDefault="00631CE9" w:rsidP="00DE49A9">
            <w:pPr>
              <w:spacing w:after="0" w:line="240" w:lineRule="auto"/>
              <w:ind w:left="-18"/>
              <w:rPr>
                <w:rFonts w:ascii="Times New Roman" w:hAnsi="Times New Roman" w:cs="Times New Roman"/>
                <w:sz w:val="20"/>
                <w:szCs w:val="20"/>
              </w:rPr>
            </w:pPr>
            <w:proofErr w:type="spellStart"/>
            <w:r w:rsidRPr="005B5460">
              <w:rPr>
                <w:rFonts w:ascii="Times New Roman" w:hAnsi="Times New Roman" w:cs="Times New Roman"/>
                <w:sz w:val="20"/>
                <w:szCs w:val="20"/>
              </w:rPr>
              <w:t>Baecke</w:t>
            </w:r>
            <w:proofErr w:type="spellEnd"/>
            <w:r w:rsidRPr="005B5460">
              <w:rPr>
                <w:rFonts w:ascii="Times New Roman" w:hAnsi="Times New Roman" w:cs="Times New Roman"/>
                <w:sz w:val="20"/>
                <w:szCs w:val="20"/>
              </w:rPr>
              <w:t xml:space="preserve"> questionnaire</w:t>
            </w:r>
          </w:p>
          <w:p w14:paraId="217AA818" w14:textId="77777777" w:rsidR="00DE49A9" w:rsidRPr="005B5460" w:rsidRDefault="00DE49A9" w:rsidP="00DE49A9">
            <w:pPr>
              <w:spacing w:after="0" w:line="240" w:lineRule="auto"/>
              <w:ind w:left="-18"/>
              <w:rPr>
                <w:rFonts w:ascii="Times New Roman" w:hAnsi="Times New Roman" w:cs="Times New Roman"/>
                <w:sz w:val="20"/>
                <w:szCs w:val="20"/>
              </w:rPr>
            </w:pPr>
          </w:p>
          <w:p w14:paraId="049B95A2" w14:textId="77777777" w:rsidR="00631CE9" w:rsidRPr="005B5460" w:rsidRDefault="00631CE9" w:rsidP="00DE49A9">
            <w:pPr>
              <w:spacing w:after="0" w:line="240" w:lineRule="auto"/>
              <w:ind w:left="-18"/>
              <w:rPr>
                <w:rFonts w:ascii="Times New Roman" w:hAnsi="Times New Roman" w:cs="Times New Roman"/>
                <w:sz w:val="20"/>
                <w:szCs w:val="20"/>
              </w:rPr>
            </w:pPr>
            <w:r w:rsidRPr="005B5460">
              <w:rPr>
                <w:rFonts w:ascii="Times New Roman" w:hAnsi="Times New Roman" w:cs="Times New Roman"/>
                <w:sz w:val="20"/>
                <w:szCs w:val="20"/>
              </w:rPr>
              <w:t xml:space="preserve">Activity monitor by </w:t>
            </w:r>
            <w:proofErr w:type="spellStart"/>
            <w:r w:rsidRPr="005B5460">
              <w:rPr>
                <w:rFonts w:ascii="Times New Roman" w:hAnsi="Times New Roman" w:cs="Times New Roman"/>
                <w:sz w:val="20"/>
                <w:szCs w:val="20"/>
              </w:rPr>
              <w:t>ActiLog</w:t>
            </w:r>
            <w:proofErr w:type="spellEnd"/>
            <w:r w:rsidRPr="005B5460">
              <w:rPr>
                <w:rFonts w:ascii="Times New Roman" w:hAnsi="Times New Roman" w:cs="Times New Roman"/>
                <w:sz w:val="20"/>
                <w:szCs w:val="20"/>
              </w:rPr>
              <w:t xml:space="preserve"> device</w:t>
            </w:r>
          </w:p>
        </w:tc>
        <w:tc>
          <w:tcPr>
            <w:tcW w:w="1700" w:type="dxa"/>
          </w:tcPr>
          <w:p w14:paraId="17D93934"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Limb salvage = 39</w:t>
            </w:r>
          </w:p>
          <w:p w14:paraId="056D3083" w14:textId="77777777" w:rsidR="00977C0C" w:rsidRPr="005B5460" w:rsidRDefault="00977C0C"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(Allograft= 24)</w:t>
            </w:r>
          </w:p>
          <w:p w14:paraId="03743C96" w14:textId="2C986121" w:rsidR="00631CE9" w:rsidRPr="005B5460" w:rsidRDefault="00977C0C"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(E</w:t>
            </w:r>
            <w:r w:rsidR="00631CE9" w:rsidRPr="005B5460">
              <w:rPr>
                <w:rFonts w:ascii="Times New Roman" w:hAnsi="Times New Roman" w:cs="Times New Roman"/>
                <w:sz w:val="20"/>
                <w:szCs w:val="20"/>
              </w:rPr>
              <w:t>ndoprostheses</w:t>
            </w:r>
            <w:r w:rsidRPr="005B5460">
              <w:rPr>
                <w:rFonts w:ascii="Times New Roman" w:hAnsi="Times New Roman" w:cs="Times New Roman"/>
                <w:sz w:val="20"/>
                <w:szCs w:val="20"/>
              </w:rPr>
              <w:t>= 15</w:t>
            </w:r>
            <w:r w:rsidR="00631CE9" w:rsidRPr="005B5460">
              <w:rPr>
                <w:rFonts w:ascii="Times New Roman" w:hAnsi="Times New Roman" w:cs="Times New Roman"/>
                <w:sz w:val="20"/>
                <w:szCs w:val="20"/>
              </w:rPr>
              <w:t>)</w:t>
            </w:r>
          </w:p>
          <w:p w14:paraId="1D44FEEA"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Ablative surgery = 43</w:t>
            </w:r>
          </w:p>
          <w:p w14:paraId="7AF4283A" w14:textId="1792C374" w:rsidR="00631CE9" w:rsidRPr="005B5460" w:rsidRDefault="00977C0C"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(A</w:t>
            </w:r>
            <w:r w:rsidR="00631CE9" w:rsidRPr="005B5460">
              <w:rPr>
                <w:rFonts w:ascii="Times New Roman" w:hAnsi="Times New Roman" w:cs="Times New Roman"/>
                <w:sz w:val="20"/>
                <w:szCs w:val="20"/>
              </w:rPr>
              <w:t>mputation</w:t>
            </w:r>
            <w:r w:rsidRPr="005B5460">
              <w:rPr>
                <w:rFonts w:ascii="Times New Roman" w:hAnsi="Times New Roman" w:cs="Times New Roman"/>
                <w:sz w:val="20"/>
                <w:szCs w:val="20"/>
              </w:rPr>
              <w:t>= 27)</w:t>
            </w:r>
            <w:r w:rsidR="00631CE9" w:rsidRPr="005B5460">
              <w:rPr>
                <w:rFonts w:ascii="Times New Roman" w:hAnsi="Times New Roman" w:cs="Times New Roman"/>
                <w:sz w:val="20"/>
                <w:szCs w:val="20"/>
              </w:rPr>
              <w:t xml:space="preserve"> </w:t>
            </w:r>
            <w:r w:rsidRPr="005B5460">
              <w:rPr>
                <w:rFonts w:ascii="Times New Roman" w:hAnsi="Times New Roman" w:cs="Times New Roman"/>
                <w:sz w:val="20"/>
                <w:szCs w:val="20"/>
              </w:rPr>
              <w:t>(</w:t>
            </w:r>
            <w:proofErr w:type="spellStart"/>
            <w:r w:rsidRPr="005B5460">
              <w:rPr>
                <w:rFonts w:ascii="Times New Roman" w:hAnsi="Times New Roman" w:cs="Times New Roman"/>
                <w:sz w:val="20"/>
                <w:szCs w:val="20"/>
              </w:rPr>
              <w:t>R</w:t>
            </w:r>
            <w:r w:rsidR="00631CE9" w:rsidRPr="005B5460">
              <w:rPr>
                <w:rFonts w:ascii="Times New Roman" w:hAnsi="Times New Roman" w:cs="Times New Roman"/>
                <w:sz w:val="20"/>
                <w:szCs w:val="20"/>
              </w:rPr>
              <w:t>otationoplasty</w:t>
            </w:r>
            <w:proofErr w:type="spellEnd"/>
            <w:r w:rsidRPr="005B5460">
              <w:rPr>
                <w:rFonts w:ascii="Times New Roman" w:hAnsi="Times New Roman" w:cs="Times New Roman"/>
                <w:sz w:val="20"/>
                <w:szCs w:val="20"/>
              </w:rPr>
              <w:t>= 16</w:t>
            </w:r>
            <w:r w:rsidR="00631CE9" w:rsidRPr="005B5460">
              <w:rPr>
                <w:rFonts w:ascii="Times New Roman" w:hAnsi="Times New Roman" w:cs="Times New Roman"/>
                <w:sz w:val="20"/>
                <w:szCs w:val="20"/>
              </w:rPr>
              <w:t>)</w:t>
            </w:r>
          </w:p>
          <w:p w14:paraId="03B83561" w14:textId="77777777" w:rsidR="00631CE9" w:rsidRPr="005B5460" w:rsidRDefault="00631CE9" w:rsidP="00DE49A9">
            <w:pPr>
              <w:spacing w:line="240" w:lineRule="auto"/>
              <w:rPr>
                <w:rFonts w:ascii="Times New Roman" w:hAnsi="Times New Roman" w:cs="Times New Roman"/>
                <w:sz w:val="20"/>
                <w:szCs w:val="20"/>
              </w:rPr>
            </w:pPr>
          </w:p>
          <w:p w14:paraId="4CE48AE7" w14:textId="20D471D9" w:rsidR="00631CE9" w:rsidRPr="005B5460" w:rsidRDefault="00631CE9" w:rsidP="00DE49A9">
            <w:pPr>
              <w:spacing w:line="240" w:lineRule="auto"/>
              <w:rPr>
                <w:rFonts w:ascii="Times New Roman" w:hAnsi="Times New Roman" w:cs="Times New Roman"/>
                <w:sz w:val="20"/>
                <w:szCs w:val="20"/>
              </w:rPr>
            </w:pPr>
          </w:p>
        </w:tc>
        <w:tc>
          <w:tcPr>
            <w:tcW w:w="2552" w:type="dxa"/>
          </w:tcPr>
          <w:p w14:paraId="76B19063"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TESS:</w:t>
            </w:r>
            <w:r w:rsidRPr="005B5460">
              <w:rPr>
                <w:rFonts w:ascii="Times New Roman" w:hAnsi="Times New Roman" w:cs="Times New Roman"/>
                <w:sz w:val="20"/>
                <w:szCs w:val="20"/>
              </w:rPr>
              <w:t xml:space="preserve"> Mean score = 85.3 indicating moderate disability; no significant differences found between the LSS and ablative surgery groups</w:t>
            </w:r>
          </w:p>
          <w:p w14:paraId="14FD2951" w14:textId="77777777" w:rsidR="00631CE9" w:rsidRPr="005B5460" w:rsidRDefault="00631CE9" w:rsidP="00DE49A9">
            <w:pPr>
              <w:spacing w:line="240" w:lineRule="auto"/>
              <w:rPr>
                <w:rFonts w:ascii="Times New Roman" w:hAnsi="Times New Roman" w:cs="Times New Roman"/>
                <w:sz w:val="20"/>
                <w:szCs w:val="20"/>
              </w:rPr>
            </w:pPr>
            <w:proofErr w:type="spellStart"/>
            <w:r w:rsidRPr="005B5460">
              <w:rPr>
                <w:rFonts w:ascii="Times New Roman" w:hAnsi="Times New Roman" w:cs="Times New Roman"/>
                <w:b/>
                <w:bCs/>
                <w:i/>
                <w:iCs/>
                <w:sz w:val="20"/>
                <w:szCs w:val="20"/>
              </w:rPr>
              <w:t>Baecke</w:t>
            </w:r>
            <w:proofErr w:type="spellEnd"/>
            <w:r w:rsidRPr="005B5460">
              <w:rPr>
                <w:rFonts w:ascii="Times New Roman" w:hAnsi="Times New Roman" w:cs="Times New Roman"/>
                <w:b/>
                <w:bCs/>
                <w:i/>
                <w:iCs/>
                <w:sz w:val="20"/>
                <w:szCs w:val="20"/>
              </w:rPr>
              <w:t xml:space="preserve"> questionnaire: </w:t>
            </w:r>
            <w:r w:rsidRPr="005B5460">
              <w:rPr>
                <w:rFonts w:ascii="Times New Roman" w:hAnsi="Times New Roman" w:cs="Times New Roman"/>
                <w:sz w:val="20"/>
                <w:szCs w:val="20"/>
              </w:rPr>
              <w:t>Mean score= 7.4 indicates moderate limitation</w:t>
            </w:r>
          </w:p>
          <w:p w14:paraId="4F26CBF0" w14:textId="77777777" w:rsidR="00631CE9" w:rsidRPr="005B5460" w:rsidRDefault="00631CE9" w:rsidP="00DE49A9">
            <w:pPr>
              <w:spacing w:line="240" w:lineRule="auto"/>
              <w:ind w:left="360"/>
              <w:rPr>
                <w:rFonts w:ascii="Times New Roman" w:hAnsi="Times New Roman" w:cs="Times New Roman"/>
                <w:sz w:val="20"/>
                <w:szCs w:val="20"/>
              </w:rPr>
            </w:pPr>
            <w:r w:rsidRPr="005B5460">
              <w:rPr>
                <w:rFonts w:ascii="Times New Roman" w:hAnsi="Times New Roman" w:cs="Times New Roman"/>
                <w:sz w:val="20"/>
                <w:szCs w:val="20"/>
              </w:rPr>
              <w:t xml:space="preserve">No significant statistical difference between the LSS and ablative groups in physical activity aspects of the </w:t>
            </w:r>
            <w:proofErr w:type="spellStart"/>
            <w:r w:rsidRPr="005B5460">
              <w:rPr>
                <w:rFonts w:ascii="Times New Roman" w:hAnsi="Times New Roman" w:cs="Times New Roman"/>
                <w:sz w:val="20"/>
                <w:szCs w:val="20"/>
              </w:rPr>
              <w:t>Baecke</w:t>
            </w:r>
            <w:proofErr w:type="spellEnd"/>
            <w:r w:rsidRPr="005B5460">
              <w:rPr>
                <w:rFonts w:ascii="Times New Roman" w:hAnsi="Times New Roman" w:cs="Times New Roman"/>
                <w:sz w:val="20"/>
                <w:szCs w:val="20"/>
              </w:rPr>
              <w:t xml:space="preserve"> Questionnaire and activity monitor measure</w:t>
            </w:r>
          </w:p>
          <w:p w14:paraId="1E6A82EB"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Performance tests:</w:t>
            </w:r>
            <w:r w:rsidRPr="005B5460">
              <w:rPr>
                <w:rFonts w:ascii="Times New Roman" w:hAnsi="Times New Roman" w:cs="Times New Roman"/>
                <w:sz w:val="20"/>
                <w:szCs w:val="20"/>
              </w:rPr>
              <w:t xml:space="preserve"> </w:t>
            </w:r>
          </w:p>
          <w:p w14:paraId="772D24D8"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TUDS &amp; VWA: </w:t>
            </w:r>
          </w:p>
          <w:p w14:paraId="19EB6A82" w14:textId="77777777" w:rsidR="00631CE9" w:rsidRPr="005B5460" w:rsidRDefault="00631CE9" w:rsidP="00DE49A9">
            <w:pPr>
              <w:spacing w:line="240" w:lineRule="auto"/>
              <w:ind w:left="360"/>
              <w:rPr>
                <w:rFonts w:ascii="Times New Roman" w:hAnsi="Times New Roman" w:cs="Times New Roman"/>
                <w:sz w:val="20"/>
                <w:szCs w:val="20"/>
              </w:rPr>
            </w:pPr>
            <w:r w:rsidRPr="005B5460">
              <w:rPr>
                <w:rFonts w:ascii="Times New Roman" w:hAnsi="Times New Roman" w:cs="Times New Roman"/>
                <w:sz w:val="20"/>
                <w:szCs w:val="20"/>
              </w:rPr>
              <w:t xml:space="preserve">LSS group had better scores than ablative </w:t>
            </w:r>
            <w:r w:rsidRPr="005B5460">
              <w:rPr>
                <w:rFonts w:ascii="Times New Roman" w:hAnsi="Times New Roman" w:cs="Times New Roman"/>
                <w:sz w:val="20"/>
                <w:szCs w:val="20"/>
              </w:rPr>
              <w:lastRenderedPageBreak/>
              <w:t>surgery (</w:t>
            </w:r>
            <w:r w:rsidRPr="005B5460">
              <w:rPr>
                <w:rFonts w:ascii="Times New Roman" w:hAnsi="Times New Roman" w:cs="Times New Roman"/>
                <w:i/>
                <w:iCs/>
                <w:sz w:val="20"/>
                <w:szCs w:val="20"/>
              </w:rPr>
              <w:t>P</w:t>
            </w:r>
            <w:r w:rsidRPr="005B5460">
              <w:rPr>
                <w:rFonts w:ascii="Times New Roman" w:hAnsi="Times New Roman" w:cs="Times New Roman"/>
                <w:sz w:val="20"/>
                <w:szCs w:val="20"/>
              </w:rPr>
              <w:t xml:space="preserve"> = 0.003, </w:t>
            </w:r>
            <w:r w:rsidRPr="005B5460">
              <w:rPr>
                <w:rFonts w:ascii="Times New Roman" w:hAnsi="Times New Roman" w:cs="Times New Roman"/>
                <w:i/>
                <w:iCs/>
                <w:sz w:val="20"/>
                <w:szCs w:val="20"/>
              </w:rPr>
              <w:t>P</w:t>
            </w:r>
            <w:r w:rsidRPr="005B5460">
              <w:rPr>
                <w:rFonts w:ascii="Times New Roman" w:hAnsi="Times New Roman" w:cs="Times New Roman"/>
                <w:sz w:val="20"/>
                <w:szCs w:val="20"/>
              </w:rPr>
              <w:t xml:space="preserve"> = 0.004, respectively). </w:t>
            </w:r>
          </w:p>
          <w:p w14:paraId="7761B066"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Other performance tests showed no statistical difference between the groups. </w:t>
            </w:r>
          </w:p>
        </w:tc>
        <w:tc>
          <w:tcPr>
            <w:tcW w:w="2268" w:type="dxa"/>
          </w:tcPr>
          <w:p w14:paraId="79B93B94" w14:textId="383DB81D"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lastRenderedPageBreak/>
              <w:t xml:space="preserve">The study f/u period ranged between 1–5 years, which is relatively short when considering long-term aspects. </w:t>
            </w:r>
          </w:p>
          <w:p w14:paraId="32CCF41F" w14:textId="77777777" w:rsidR="00DE49A9" w:rsidRPr="005B5460" w:rsidRDefault="00DE49A9" w:rsidP="00DE49A9">
            <w:pPr>
              <w:spacing w:after="0" w:line="240" w:lineRule="auto"/>
              <w:rPr>
                <w:rFonts w:ascii="Times New Roman" w:hAnsi="Times New Roman" w:cs="Times New Roman"/>
                <w:sz w:val="20"/>
                <w:szCs w:val="20"/>
              </w:rPr>
            </w:pPr>
          </w:p>
          <w:p w14:paraId="522F86CA"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Heterogeneous treatment protocols may lead to possible procedural or measurement bias.</w:t>
            </w:r>
          </w:p>
          <w:p w14:paraId="0452CE20" w14:textId="77777777" w:rsidR="00631CE9" w:rsidRPr="005B5460" w:rsidRDefault="00631CE9" w:rsidP="00DE49A9">
            <w:pPr>
              <w:spacing w:line="240" w:lineRule="auto"/>
              <w:ind w:left="150" w:hanging="150"/>
              <w:rPr>
                <w:rFonts w:ascii="Times New Roman" w:hAnsi="Times New Roman" w:cs="Times New Roman"/>
                <w:sz w:val="20"/>
                <w:szCs w:val="20"/>
              </w:rPr>
            </w:pPr>
          </w:p>
        </w:tc>
      </w:tr>
      <w:tr w:rsidR="00DE49A9" w:rsidRPr="005B5460" w14:paraId="0CF04222" w14:textId="77777777" w:rsidTr="00DE49A9">
        <w:tc>
          <w:tcPr>
            <w:tcW w:w="1533" w:type="dxa"/>
          </w:tcPr>
          <w:p w14:paraId="422EBA51" w14:textId="63DBEB62" w:rsidR="00631CE9" w:rsidRPr="005B5460" w:rsidRDefault="006126FE" w:rsidP="00DE49A9">
            <w:pPr>
              <w:pStyle w:val="ListParagraph"/>
              <w:numPr>
                <w:ilvl w:val="0"/>
                <w:numId w:val="32"/>
              </w:numPr>
              <w:spacing w:after="0" w:line="240" w:lineRule="auto"/>
              <w:ind w:right="72"/>
              <w:rPr>
                <w:rFonts w:ascii="Times New Roman" w:hAnsi="Times New Roman" w:cs="Times New Roman"/>
                <w:sz w:val="20"/>
                <w:szCs w:val="20"/>
              </w:rPr>
            </w:pPr>
            <w:r w:rsidRPr="005B5460">
              <w:rPr>
                <w:rFonts w:ascii="Times New Roman" w:hAnsi="Times New Roman" w:cs="Times New Roman"/>
                <w:sz w:val="20"/>
                <w:szCs w:val="20"/>
              </w:rPr>
              <w:fldChar w:fldCharType="begin" w:fldLock="1"/>
            </w:r>
            <w:r w:rsidR="00E5490A" w:rsidRPr="005B5460">
              <w:rPr>
                <w:rFonts w:ascii="Times New Roman" w:hAnsi="Times New Roman" w:cs="Times New Roman"/>
                <w:sz w:val="20"/>
                <w:szCs w:val="20"/>
              </w:rPr>
              <w:instrText>ADDIN CSL_CITATION {"citationItems":[{"id":"ITEM-1","itemData":{"DOI":"10.1159/000477251","ISSN":"2296-5270","abstract":"&lt;b&gt;&lt;i&gt;Background:&lt;/i&gt;&lt;/b&gt; We aimed to explore the clinical effects and prognosis of different surgical methods in upper tibia osteosarcoma. &lt;b&gt;&lt;i&gt;Methods:&lt;/i&gt;&lt;/b&gt; Among 112 patients with proximal upper tibia osteosarcoma, 40 patients were treated with amputation, 20 patients were treated with massive osteoarticular allograft, and the remaining 52 cases were treated with tumor resection and artificial joint replacement. &lt;b&gt;&lt;i&gt;Results:&lt;/i&gt;&lt;/b&gt; Recurrence was observed in 2 cases (5%) in the amputation group, in 6 cases (30%) in the massive osteoarticular allograft group, and in 6 cases (12%) in the tumor resection and artificial joint replacement group (P = 0.021). The lung metastasis rates were 40% in the amputation group, 40% in the massive osteoarticular allograft group, and 38% in the tumor resection and artificial joint replacement group (P = 0.986). The survival rates at 1, 3, and 5 years were 95%, 75%, and 45%, respectively, in the amputation group, 95%, 75%, and 35%, respectively, in the massive osteoarticular allograft group, and 92.3%, 78.8%, and 53.8%, respectively, in the tumor resection and artificial joint replacement group (P &gt; 0.05). &lt;b&gt;&lt;i&gt;Conclusions:&lt;/i&gt;&lt;/b&gt; The selection of the optimal surgical method for upper tibia osteosarcoma should be made according to the individual circumstances of the patient. Our study has significance for reducing the incidence of surgical complications and improving the quality of postoperative life.","author":[{"dropping-particle":"","family":"Zhang","given":"Y","non-dropping-particle":"","parse-names":false,"suffix":""},{"dropping-particle":"","family":"He","given":"Z","non-dropping-particle":"","parse-names":false,"suffix":""},{"dropping-particle":"","family":"Li","given":"Y","non-dropping-particle":"","parse-names":false,"suffix":""},{"dropping-particle":"","family":"Yang","given":"Y","non-dropping-particle":"","parse-names":false,"suffix":""},{"dropping-particle":"","family":"Shi","given":"J","non-dropping-particle":"","parse-names":false,"suffix":""},{"dropping-particle":"","family":"Liu","given":"X","non-dropping-particle":"","parse-names":false,"suffix":""},{"dropping-particle":"","family":"Yuan","given":"T","non-dropping-particle":"","parse-names":false,"suffix":""},{"dropping-particle":"","family":"Xia","given":"J","non-dropping-particle":"","parse-names":false,"suffix":""},{"dropping-particle":"","family":"Li","given":"D","non-dropping-particle":"","parse-names":false,"suffix":""},{"dropping-particle":"","family":"Zhang","given":"J","non-dropping-particle":"","parse-names":false,"suffix":""},{"dropping-particle":"","family":"Yang","given":"Z","non-dropping-particle":"","parse-names":false,"suffix":""}],"container-title":"Oncology Research and Treatment","id":"ITEM-1","issue":"9","issued":{"date-parts":[["2017"]]},"page":"528-532","title":"Selection of Surgical Methods in the Treatment of Upper Tibia Osteosarcoma and Prognostic Analysis","type":"article-journal","volume":"40"},"uris":["http://www.mendeley.com/documents/?uuid=17dc0c54-0ce8-42f8-9e04-ced320a9190c"]}],"mendeley":{"formattedCitation":"(13)","plainTextFormattedCitation":"(13)","previouslyFormattedCitation":"(13)"},"properties":{"noteIndex":0},"schema":"https://github.com/citation-style-language/schema/raw/master/csl-citation.json"}</w:instrText>
            </w:r>
            <w:r w:rsidRPr="005B5460">
              <w:rPr>
                <w:rFonts w:ascii="Times New Roman" w:hAnsi="Times New Roman" w:cs="Times New Roman"/>
                <w:sz w:val="20"/>
                <w:szCs w:val="20"/>
              </w:rPr>
              <w:fldChar w:fldCharType="separate"/>
            </w:r>
            <w:r w:rsidRPr="005B5460">
              <w:rPr>
                <w:rFonts w:ascii="Times New Roman" w:hAnsi="Times New Roman" w:cs="Times New Roman"/>
                <w:noProof/>
                <w:sz w:val="20"/>
                <w:szCs w:val="20"/>
              </w:rPr>
              <w:t>(13)</w:t>
            </w:r>
            <w:r w:rsidRPr="005B5460">
              <w:rPr>
                <w:rFonts w:ascii="Times New Roman" w:hAnsi="Times New Roman" w:cs="Times New Roman"/>
                <w:sz w:val="20"/>
                <w:szCs w:val="20"/>
              </w:rPr>
              <w:fldChar w:fldCharType="end"/>
            </w:r>
          </w:p>
          <w:p w14:paraId="15AE8839" w14:textId="77777777" w:rsidR="00631CE9" w:rsidRPr="005B5460" w:rsidRDefault="00631CE9" w:rsidP="00DE49A9">
            <w:pPr>
              <w:spacing w:line="240" w:lineRule="auto"/>
              <w:ind w:left="72" w:right="72" w:hanging="90"/>
              <w:rPr>
                <w:rFonts w:ascii="Times New Roman" w:hAnsi="Times New Roman" w:cs="Times New Roman"/>
                <w:i/>
                <w:iCs/>
                <w:sz w:val="20"/>
                <w:szCs w:val="20"/>
              </w:rPr>
            </w:pPr>
            <w:r w:rsidRPr="005B5460">
              <w:rPr>
                <w:rFonts w:ascii="Times New Roman" w:hAnsi="Times New Roman" w:cs="Times New Roman"/>
                <w:i/>
                <w:iCs/>
                <w:sz w:val="20"/>
                <w:szCs w:val="20"/>
              </w:rPr>
              <w:t>2017</w:t>
            </w:r>
          </w:p>
          <w:p w14:paraId="63ACC188" w14:textId="77777777" w:rsidR="00631CE9" w:rsidRPr="005B5460" w:rsidRDefault="00631CE9" w:rsidP="00DE49A9">
            <w:pPr>
              <w:spacing w:line="240" w:lineRule="auto"/>
              <w:ind w:left="72" w:right="72" w:hanging="90"/>
              <w:rPr>
                <w:rFonts w:ascii="Times New Roman" w:hAnsi="Times New Roman" w:cs="Times New Roman"/>
                <w:sz w:val="20"/>
                <w:szCs w:val="20"/>
              </w:rPr>
            </w:pPr>
            <w:r w:rsidRPr="005B5460">
              <w:rPr>
                <w:rFonts w:ascii="Times New Roman" w:hAnsi="Times New Roman" w:cs="Times New Roman"/>
                <w:i/>
                <w:iCs/>
                <w:sz w:val="20"/>
                <w:szCs w:val="20"/>
              </w:rPr>
              <w:t>China</w:t>
            </w:r>
          </w:p>
        </w:tc>
        <w:tc>
          <w:tcPr>
            <w:tcW w:w="1134" w:type="dxa"/>
          </w:tcPr>
          <w:p w14:paraId="29E39554" w14:textId="77777777" w:rsidR="005B3498" w:rsidRPr="005B5460" w:rsidRDefault="005B3498"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N = 108</w:t>
            </w:r>
          </w:p>
          <w:p w14:paraId="1AE4764F" w14:textId="77777777" w:rsidR="005B3498" w:rsidRPr="005B5460" w:rsidRDefault="005B3498"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(69 Male &amp; 39 Female)</w:t>
            </w:r>
          </w:p>
          <w:p w14:paraId="3189B4DF" w14:textId="5997112D" w:rsidR="00631CE9" w:rsidRPr="005B5460" w:rsidRDefault="005B3498"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Mean age = 25.3 (15–67)</w:t>
            </w:r>
          </w:p>
        </w:tc>
        <w:tc>
          <w:tcPr>
            <w:tcW w:w="1559" w:type="dxa"/>
          </w:tcPr>
          <w:p w14:paraId="0AEC8CAE"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Retrospective chart review</w:t>
            </w:r>
          </w:p>
        </w:tc>
        <w:tc>
          <w:tcPr>
            <w:tcW w:w="1418" w:type="dxa"/>
          </w:tcPr>
          <w:p w14:paraId="2FDDB57F"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Retrospective study on long-term functional outcomes of cemented mega-prostheses </w:t>
            </w:r>
          </w:p>
        </w:tc>
        <w:tc>
          <w:tcPr>
            <w:tcW w:w="1701" w:type="dxa"/>
          </w:tcPr>
          <w:p w14:paraId="67888B25" w14:textId="798F6E44"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MSTS</w:t>
            </w:r>
          </w:p>
          <w:p w14:paraId="0E8626D5" w14:textId="77777777" w:rsidR="00DE49A9" w:rsidRPr="005B5460" w:rsidRDefault="00DE49A9" w:rsidP="00DE49A9">
            <w:pPr>
              <w:spacing w:after="0" w:line="240" w:lineRule="auto"/>
              <w:rPr>
                <w:rFonts w:ascii="Times New Roman" w:hAnsi="Times New Roman" w:cs="Times New Roman"/>
                <w:sz w:val="20"/>
                <w:szCs w:val="20"/>
              </w:rPr>
            </w:pPr>
          </w:p>
          <w:p w14:paraId="7C4F0B9D"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ROM</w:t>
            </w:r>
          </w:p>
        </w:tc>
        <w:tc>
          <w:tcPr>
            <w:tcW w:w="1700" w:type="dxa"/>
          </w:tcPr>
          <w:p w14:paraId="1F1FDDD5" w14:textId="6C5DE0E5" w:rsidR="0061590B" w:rsidRPr="005B5460" w:rsidRDefault="0061590B"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DF= 72</w:t>
            </w:r>
          </w:p>
          <w:p w14:paraId="248E08E6" w14:textId="023CA5EA" w:rsidR="0061590B" w:rsidRPr="005B5460" w:rsidRDefault="0061590B"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PT= 36</w:t>
            </w:r>
          </w:p>
          <w:p w14:paraId="30EB4B68" w14:textId="77777777" w:rsidR="00631CE9" w:rsidRPr="005B5460" w:rsidRDefault="00631CE9" w:rsidP="00DE49A9">
            <w:pPr>
              <w:spacing w:line="240" w:lineRule="auto"/>
              <w:rPr>
                <w:rFonts w:ascii="Times New Roman" w:hAnsi="Times New Roman" w:cs="Times New Roman"/>
                <w:sz w:val="20"/>
                <w:szCs w:val="20"/>
              </w:rPr>
            </w:pPr>
          </w:p>
          <w:p w14:paraId="4DB89BF6" w14:textId="6B3489CB" w:rsidR="00631CE9" w:rsidRPr="005B5460" w:rsidRDefault="00631CE9" w:rsidP="00DE49A9">
            <w:pPr>
              <w:spacing w:line="240" w:lineRule="auto"/>
              <w:rPr>
                <w:rFonts w:ascii="Times New Roman" w:hAnsi="Times New Roman" w:cs="Times New Roman"/>
                <w:sz w:val="20"/>
                <w:szCs w:val="20"/>
              </w:rPr>
            </w:pPr>
          </w:p>
        </w:tc>
        <w:tc>
          <w:tcPr>
            <w:tcW w:w="2552" w:type="dxa"/>
          </w:tcPr>
          <w:p w14:paraId="3E441BA3"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 xml:space="preserve">MSTS: </w:t>
            </w:r>
            <w:r w:rsidRPr="005B5460">
              <w:rPr>
                <w:rFonts w:ascii="Times New Roman" w:hAnsi="Times New Roman" w:cs="Times New Roman"/>
                <w:sz w:val="20"/>
                <w:szCs w:val="20"/>
              </w:rPr>
              <w:t>Good to excellent overall score</w:t>
            </w:r>
          </w:p>
          <w:p w14:paraId="55E50BF0"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Overall mean = 22.9 </w:t>
            </w:r>
          </w:p>
          <w:p w14:paraId="4F07DA37"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DF mean =25.4</w:t>
            </w:r>
          </w:p>
          <w:p w14:paraId="7B4B5CA0"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PT mean = 20.95</w:t>
            </w:r>
          </w:p>
          <w:p w14:paraId="152D4E81" w14:textId="77777777" w:rsidR="00631CE9" w:rsidRPr="005B5460" w:rsidRDefault="00631CE9" w:rsidP="00DE49A9">
            <w:pPr>
              <w:spacing w:line="240" w:lineRule="auto"/>
              <w:rPr>
                <w:rFonts w:ascii="Times New Roman" w:hAnsi="Times New Roman" w:cs="Times New Roman"/>
                <w:b/>
                <w:bCs/>
                <w:i/>
                <w:iCs/>
                <w:sz w:val="20"/>
                <w:szCs w:val="20"/>
              </w:rPr>
            </w:pPr>
            <w:r w:rsidRPr="005B5460">
              <w:rPr>
                <w:rFonts w:ascii="Times New Roman" w:hAnsi="Times New Roman" w:cs="Times New Roman"/>
                <w:sz w:val="20"/>
                <w:szCs w:val="20"/>
              </w:rPr>
              <w:t>No statistical test was done in this regard.</w:t>
            </w:r>
          </w:p>
          <w:p w14:paraId="06295F64" w14:textId="77777777" w:rsidR="00631CE9" w:rsidRPr="005B5460" w:rsidRDefault="00631CE9" w:rsidP="00DE49A9">
            <w:pPr>
              <w:spacing w:line="240" w:lineRule="auto"/>
              <w:rPr>
                <w:rFonts w:ascii="Times New Roman" w:hAnsi="Times New Roman" w:cs="Times New Roman"/>
                <w:b/>
                <w:bCs/>
                <w:i/>
                <w:iCs/>
                <w:sz w:val="20"/>
                <w:szCs w:val="20"/>
              </w:rPr>
            </w:pPr>
            <w:r w:rsidRPr="005B5460">
              <w:rPr>
                <w:rFonts w:ascii="Times New Roman" w:hAnsi="Times New Roman" w:cs="Times New Roman"/>
                <w:b/>
                <w:bCs/>
                <w:i/>
                <w:iCs/>
                <w:sz w:val="20"/>
                <w:szCs w:val="20"/>
              </w:rPr>
              <w:t xml:space="preserve">ROM: </w:t>
            </w:r>
          </w:p>
          <w:p w14:paraId="7C3D3F77" w14:textId="77777777" w:rsidR="00631CE9" w:rsidRPr="005B5460" w:rsidRDefault="00631CE9" w:rsidP="00DE49A9">
            <w:pPr>
              <w:spacing w:line="240" w:lineRule="auto"/>
              <w:rPr>
                <w:rFonts w:ascii="Times New Roman" w:hAnsi="Times New Roman" w:cs="Times New Roman"/>
                <w:b/>
                <w:bCs/>
                <w:i/>
                <w:iCs/>
                <w:sz w:val="20"/>
                <w:szCs w:val="20"/>
              </w:rPr>
            </w:pPr>
            <w:r w:rsidRPr="005B5460">
              <w:rPr>
                <w:rFonts w:ascii="Times New Roman" w:hAnsi="Times New Roman" w:cs="Times New Roman"/>
                <w:sz w:val="20"/>
                <w:szCs w:val="20"/>
              </w:rPr>
              <w:t xml:space="preserve">Knee flexion range (90–120) in patients who developed patella </w:t>
            </w:r>
            <w:proofErr w:type="spellStart"/>
            <w:r w:rsidRPr="005B5460">
              <w:rPr>
                <w:rFonts w:ascii="Times New Roman" w:hAnsi="Times New Roman" w:cs="Times New Roman"/>
                <w:sz w:val="20"/>
                <w:szCs w:val="20"/>
              </w:rPr>
              <w:t>alta</w:t>
            </w:r>
            <w:proofErr w:type="spellEnd"/>
            <w:r w:rsidRPr="005B5460">
              <w:rPr>
                <w:rFonts w:ascii="Times New Roman" w:hAnsi="Times New Roman" w:cs="Times New Roman"/>
                <w:sz w:val="20"/>
                <w:szCs w:val="20"/>
              </w:rPr>
              <w:t>, with no mean calculated in this regard nor any statistical tests done with other variables.</w:t>
            </w:r>
          </w:p>
        </w:tc>
        <w:tc>
          <w:tcPr>
            <w:tcW w:w="2268" w:type="dxa"/>
          </w:tcPr>
          <w:p w14:paraId="54B8A4A7" w14:textId="4B8C843B"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Weak and lacking statistical approach in regard to functional outcome measures.</w:t>
            </w:r>
          </w:p>
          <w:p w14:paraId="68B9B6E1" w14:textId="77777777" w:rsidR="00DE49A9" w:rsidRPr="005B5460" w:rsidRDefault="00DE49A9" w:rsidP="00DE49A9">
            <w:pPr>
              <w:spacing w:after="0" w:line="240" w:lineRule="auto"/>
              <w:rPr>
                <w:rFonts w:ascii="Times New Roman" w:hAnsi="Times New Roman" w:cs="Times New Roman"/>
                <w:sz w:val="20"/>
                <w:szCs w:val="20"/>
              </w:rPr>
            </w:pPr>
          </w:p>
          <w:p w14:paraId="4A916E36" w14:textId="37A9C1B6"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 xml:space="preserve">No mention of ROM in the cases who did not develop patella </w:t>
            </w:r>
            <w:proofErr w:type="spellStart"/>
            <w:r w:rsidRPr="005B5460">
              <w:rPr>
                <w:rFonts w:ascii="Times New Roman" w:hAnsi="Times New Roman" w:cs="Times New Roman"/>
                <w:sz w:val="20"/>
                <w:szCs w:val="20"/>
              </w:rPr>
              <w:t>alta.</w:t>
            </w:r>
            <w:proofErr w:type="spellEnd"/>
          </w:p>
          <w:p w14:paraId="06793325" w14:textId="77777777" w:rsidR="00DE49A9" w:rsidRPr="005B5460" w:rsidRDefault="00DE49A9" w:rsidP="00DE49A9">
            <w:pPr>
              <w:spacing w:after="0" w:line="240" w:lineRule="auto"/>
              <w:rPr>
                <w:rFonts w:ascii="Times New Roman" w:hAnsi="Times New Roman" w:cs="Times New Roman"/>
                <w:sz w:val="20"/>
                <w:szCs w:val="20"/>
              </w:rPr>
            </w:pPr>
          </w:p>
          <w:p w14:paraId="483DFBC3"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 xml:space="preserve">Heterogeneous sample for age, </w:t>
            </w:r>
            <w:proofErr w:type="spellStart"/>
            <w:r w:rsidRPr="005B5460">
              <w:rPr>
                <w:rFonts w:ascii="Times New Roman" w:hAnsi="Times New Roman" w:cs="Times New Roman"/>
                <w:sz w:val="20"/>
                <w:szCs w:val="20"/>
              </w:rPr>
              <w:t>tumour</w:t>
            </w:r>
            <w:proofErr w:type="spellEnd"/>
            <w:r w:rsidRPr="005B5460">
              <w:rPr>
                <w:rFonts w:ascii="Times New Roman" w:hAnsi="Times New Roman" w:cs="Times New Roman"/>
                <w:sz w:val="20"/>
                <w:szCs w:val="20"/>
              </w:rPr>
              <w:t xml:space="preserve"> type, stage, treatment protocol and surgical procedures. </w:t>
            </w:r>
          </w:p>
        </w:tc>
      </w:tr>
      <w:tr w:rsidR="00DE49A9" w:rsidRPr="005B5460" w14:paraId="3B6178E7" w14:textId="77777777" w:rsidTr="00DE49A9">
        <w:trPr>
          <w:trHeight w:val="1160"/>
        </w:trPr>
        <w:tc>
          <w:tcPr>
            <w:tcW w:w="1533" w:type="dxa"/>
          </w:tcPr>
          <w:p w14:paraId="7825C11B" w14:textId="4F8746D7" w:rsidR="00631CE9" w:rsidRPr="005B5460" w:rsidRDefault="00E5490A" w:rsidP="00DE49A9">
            <w:pPr>
              <w:pStyle w:val="ListParagraph"/>
              <w:numPr>
                <w:ilvl w:val="0"/>
                <w:numId w:val="32"/>
              </w:numPr>
              <w:spacing w:after="0" w:line="240" w:lineRule="auto"/>
              <w:ind w:right="72"/>
              <w:rPr>
                <w:rFonts w:ascii="Times New Roman" w:hAnsi="Times New Roman" w:cs="Times New Roman"/>
                <w:sz w:val="20"/>
                <w:szCs w:val="20"/>
              </w:rPr>
            </w:pPr>
            <w:r w:rsidRPr="005B5460">
              <w:rPr>
                <w:rFonts w:ascii="Times New Roman" w:hAnsi="Times New Roman" w:cs="Times New Roman"/>
                <w:sz w:val="20"/>
                <w:szCs w:val="20"/>
              </w:rPr>
              <w:fldChar w:fldCharType="begin" w:fldLock="1"/>
            </w:r>
            <w:r w:rsidR="009D0EA8" w:rsidRPr="005B5460">
              <w:rPr>
                <w:rFonts w:ascii="Times New Roman" w:hAnsi="Times New Roman" w:cs="Times New Roman"/>
                <w:sz w:val="20"/>
                <w:szCs w:val="20"/>
              </w:rPr>
              <w:instrText>ADDIN CSL_CITATION {"citationItems":[{"id":"ITEM-1","itemData":{"DOI":"10.1093/jjco/hyu093","ISSN":"1465-3621 (Electronic)","PMID":"25057091","abstract":"OBJECTIVE: Extra-articular resection is necessary to obtain a wide margin for  primary osteosarcomas invading the knee joint, and the limb is often reconstructed using a prosthesis. Here, outcomes of extra-articular and intra-articular procedures were compared. METHODS: Between 1999 and 2012, 14 patients with osteosarcoma underwent extra-articular excision (n = 6; ages 23-65 years; mean follow-up 82.8 months) or intra-articular excision (n = 8; ages 8-58 years; mean follow-up 96.4 months). In the extra-articular group, there was one Enneking Stage IIA case and five Enneking Stage IIB cases. No local recurrences were noted in either group. RESULTS: Patient outcomes were as follows (extra-articular cases vs. intra-articular cases): continuous disease-free (2 vs. 7), alive with disease (2 vs. 0) and death from disease (1 vs. 1). Average Musculoskeletal Tumor Society functional scores were 69.4% (range 63.3-83.3%) and 88.3% (range 70.0-96.7%) in the extra-articular and intra-articular groups, respectively, constituting a significant difference (P &lt; 0.05). The 5-year oncological overall survival exceeded 80% in both groups. Amputation was necessary for one patient in the extra-articular group. The 5-year event-free prosthesis survival rates in the extra-articular and intra-articular groups were 33.3 and 75.0%, respectively (P &lt; 0.05). CONCLUSION: The extra-articular excision group developed more complications than the intra-articular excision group, as a result of extensive bone and muscle excision. The limb survival rates were similar in both groups. Our results suggest that extra-articular resection was a necessary and clinically acceptable procedure.","author":[{"dropping-particle":"","family":"Ieguchi","given":"Makoto","non-dropping-particle":"","parse-names":false,"suffix":""},{"dropping-particle":"","family":"Hoshi","given":"Manabu","non-dropping-particle":"","parse-names":false,"suffix":""},{"dropping-particle":"","family":"Aono","given":"Masanari","non-dropping-particle":"","parse-names":false,"suffix":""},{"dropping-particle":"","family":"Takada","given":"Jun","non-dropping-particle":"","parse-names":false,"suffix":""},{"dropping-particle":"","family":"Ohebisu","given":"Naoto","non-dropping-particle":"","parse-names":false,"suffix":""},{"dropping-particle":"","family":"Kudawara","given":"Ikuo","non-dropping-particle":"","parse-names":false,"suffix":""},{"dropping-particle":"","family":"Nakamura","given":"Hiroaki","non-dropping-particle":"","parse-names":false,"suffix":""}],"container-title":"Japanese journal of clinical oncology","id":"ITEM-1","issue":"9","issued":{"date-parts":[["2014","9"]]},"language":"eng","page":"812-817","publisher-place":"England","title":"Knee reconstruction with endoprosthesis after extra-articular and intra-articular  resection of osteosarcoma.","type":"article-journal","volume":"44"},"uris":["http://www.mendeley.com/documents/?uuid=67433737-0661-46b4-aabd-8e287e8aefd4"]}],"mendeley":{"formattedCitation":"(40)","plainTextFormattedCitation":"(40)","previouslyFormattedCitation":"(41)"},"properties":{"noteIndex":0},"schema":"https://github.com/citation-style-language/schema/raw/master/csl-citation.json"}</w:instrText>
            </w:r>
            <w:r w:rsidRPr="005B5460">
              <w:rPr>
                <w:rFonts w:ascii="Times New Roman" w:hAnsi="Times New Roman" w:cs="Times New Roman"/>
                <w:sz w:val="20"/>
                <w:szCs w:val="20"/>
              </w:rPr>
              <w:fldChar w:fldCharType="separate"/>
            </w:r>
            <w:r w:rsidR="009D0EA8" w:rsidRPr="005B5460">
              <w:rPr>
                <w:rFonts w:ascii="Times New Roman" w:hAnsi="Times New Roman" w:cs="Times New Roman"/>
                <w:noProof/>
                <w:sz w:val="20"/>
                <w:szCs w:val="20"/>
              </w:rPr>
              <w:t>(40)</w:t>
            </w:r>
            <w:r w:rsidRPr="005B5460">
              <w:rPr>
                <w:rFonts w:ascii="Times New Roman" w:hAnsi="Times New Roman" w:cs="Times New Roman"/>
                <w:sz w:val="20"/>
                <w:szCs w:val="20"/>
              </w:rPr>
              <w:fldChar w:fldCharType="end"/>
            </w:r>
          </w:p>
          <w:p w14:paraId="5B6E0FD5" w14:textId="77777777" w:rsidR="00631CE9" w:rsidRPr="005B5460" w:rsidRDefault="00631CE9" w:rsidP="00DE49A9">
            <w:pPr>
              <w:spacing w:line="240" w:lineRule="auto"/>
              <w:ind w:left="72" w:right="72" w:hanging="90"/>
              <w:rPr>
                <w:rFonts w:ascii="Times New Roman" w:hAnsi="Times New Roman" w:cs="Times New Roman"/>
                <w:i/>
                <w:iCs/>
                <w:sz w:val="20"/>
                <w:szCs w:val="20"/>
              </w:rPr>
            </w:pPr>
            <w:r w:rsidRPr="005B5460">
              <w:rPr>
                <w:rFonts w:ascii="Times New Roman" w:hAnsi="Times New Roman" w:cs="Times New Roman"/>
                <w:i/>
                <w:iCs/>
                <w:sz w:val="20"/>
                <w:szCs w:val="20"/>
              </w:rPr>
              <w:t>2014</w:t>
            </w:r>
          </w:p>
          <w:p w14:paraId="2862554B" w14:textId="77777777" w:rsidR="00631CE9" w:rsidRPr="005B5460" w:rsidRDefault="00631CE9" w:rsidP="00DE49A9">
            <w:pPr>
              <w:spacing w:line="240" w:lineRule="auto"/>
              <w:ind w:left="72" w:right="72" w:hanging="90"/>
              <w:rPr>
                <w:rFonts w:ascii="Times New Roman" w:hAnsi="Times New Roman" w:cs="Times New Roman"/>
                <w:sz w:val="20"/>
                <w:szCs w:val="20"/>
              </w:rPr>
            </w:pPr>
            <w:r w:rsidRPr="005B5460">
              <w:rPr>
                <w:rFonts w:ascii="Times New Roman" w:hAnsi="Times New Roman" w:cs="Times New Roman"/>
                <w:i/>
                <w:iCs/>
                <w:sz w:val="20"/>
                <w:szCs w:val="20"/>
              </w:rPr>
              <w:t>Japan</w:t>
            </w:r>
          </w:p>
        </w:tc>
        <w:tc>
          <w:tcPr>
            <w:tcW w:w="1134" w:type="dxa"/>
          </w:tcPr>
          <w:p w14:paraId="5B3A896E" w14:textId="77777777" w:rsidR="005B3498" w:rsidRPr="005B5460" w:rsidRDefault="005B3498"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N = 14</w:t>
            </w:r>
          </w:p>
          <w:p w14:paraId="6FB73313" w14:textId="77777777" w:rsidR="005B3498" w:rsidRPr="005B5460" w:rsidRDefault="005B3498" w:rsidP="00DE49A9">
            <w:pPr>
              <w:spacing w:line="240" w:lineRule="auto"/>
              <w:rPr>
                <w:rFonts w:ascii="Times New Roman" w:hAnsi="Times New Roman" w:cs="Times New Roman"/>
                <w:sz w:val="20"/>
                <w:szCs w:val="20"/>
              </w:rPr>
            </w:pPr>
            <w:proofErr w:type="gramStart"/>
            <w:r w:rsidRPr="005B5460">
              <w:rPr>
                <w:rFonts w:ascii="Times New Roman" w:hAnsi="Times New Roman" w:cs="Times New Roman"/>
                <w:sz w:val="20"/>
                <w:szCs w:val="20"/>
              </w:rPr>
              <w:t>( 9</w:t>
            </w:r>
            <w:proofErr w:type="gramEnd"/>
            <w:r w:rsidRPr="005B5460">
              <w:rPr>
                <w:rFonts w:ascii="Times New Roman" w:hAnsi="Times New Roman" w:cs="Times New Roman"/>
                <w:sz w:val="20"/>
                <w:szCs w:val="20"/>
              </w:rPr>
              <w:t xml:space="preserve"> Male &amp; 5 Female)</w:t>
            </w:r>
          </w:p>
          <w:p w14:paraId="636604F4" w14:textId="77777777" w:rsidR="005B3498" w:rsidRPr="005B5460" w:rsidRDefault="005B3498"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lastRenderedPageBreak/>
              <w:t>Mean Age:</w:t>
            </w:r>
          </w:p>
          <w:p w14:paraId="5BD8E838" w14:textId="77777777" w:rsidR="005B3498" w:rsidRPr="005B5460" w:rsidRDefault="005B3498"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EAR = 44.4 years (23–65)</w:t>
            </w:r>
          </w:p>
          <w:p w14:paraId="3AF4866C" w14:textId="2B51958B" w:rsidR="00631CE9" w:rsidRPr="005B5460" w:rsidRDefault="005B3498"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IAR = 22.4 years (11–58)</w:t>
            </w:r>
          </w:p>
        </w:tc>
        <w:tc>
          <w:tcPr>
            <w:tcW w:w="1559" w:type="dxa"/>
          </w:tcPr>
          <w:p w14:paraId="51D5A35E"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lastRenderedPageBreak/>
              <w:t>Retrospective chart review</w:t>
            </w:r>
          </w:p>
        </w:tc>
        <w:tc>
          <w:tcPr>
            <w:tcW w:w="1418" w:type="dxa"/>
          </w:tcPr>
          <w:p w14:paraId="0BE92797"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Comparison of extra-articular functional outcomes to intra-articular </w:t>
            </w:r>
            <w:r w:rsidRPr="005B5460">
              <w:rPr>
                <w:rFonts w:ascii="Times New Roman" w:hAnsi="Times New Roman" w:cs="Times New Roman"/>
                <w:sz w:val="20"/>
                <w:szCs w:val="20"/>
              </w:rPr>
              <w:lastRenderedPageBreak/>
              <w:t>endoprostheses procedures</w:t>
            </w:r>
          </w:p>
        </w:tc>
        <w:tc>
          <w:tcPr>
            <w:tcW w:w="1701" w:type="dxa"/>
          </w:tcPr>
          <w:p w14:paraId="0AA0888D" w14:textId="581BE6DC"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lastRenderedPageBreak/>
              <w:t>MSTS</w:t>
            </w:r>
          </w:p>
          <w:p w14:paraId="41745858" w14:textId="77777777" w:rsidR="00DE49A9" w:rsidRPr="005B5460" w:rsidRDefault="00DE49A9" w:rsidP="00DE49A9">
            <w:pPr>
              <w:spacing w:after="0" w:line="240" w:lineRule="auto"/>
              <w:rPr>
                <w:rFonts w:ascii="Times New Roman" w:hAnsi="Times New Roman" w:cs="Times New Roman"/>
                <w:sz w:val="20"/>
                <w:szCs w:val="20"/>
              </w:rPr>
            </w:pPr>
          </w:p>
          <w:p w14:paraId="4BA341A5"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ROM</w:t>
            </w:r>
          </w:p>
        </w:tc>
        <w:tc>
          <w:tcPr>
            <w:tcW w:w="1700" w:type="dxa"/>
          </w:tcPr>
          <w:p w14:paraId="1C4EC809" w14:textId="4C72F58E" w:rsidR="0061590B"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EAR</w:t>
            </w:r>
            <w:r w:rsidR="0061590B" w:rsidRPr="005B5460">
              <w:rPr>
                <w:rFonts w:ascii="Times New Roman" w:hAnsi="Times New Roman" w:cs="Times New Roman"/>
                <w:sz w:val="20"/>
                <w:szCs w:val="20"/>
              </w:rPr>
              <w:t xml:space="preserve">= 6 </w:t>
            </w:r>
          </w:p>
          <w:p w14:paraId="1CFEF07B" w14:textId="5DAD301E"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IAR</w:t>
            </w:r>
            <w:r w:rsidR="0061590B" w:rsidRPr="005B5460">
              <w:rPr>
                <w:rFonts w:ascii="Times New Roman" w:hAnsi="Times New Roman" w:cs="Times New Roman"/>
                <w:sz w:val="20"/>
                <w:szCs w:val="20"/>
              </w:rPr>
              <w:t>= 8</w:t>
            </w:r>
          </w:p>
          <w:p w14:paraId="74FAC3D9" w14:textId="57333ADD" w:rsidR="00631CE9" w:rsidRPr="005B5460" w:rsidRDefault="00631CE9" w:rsidP="00DE49A9">
            <w:pPr>
              <w:spacing w:line="240" w:lineRule="auto"/>
              <w:rPr>
                <w:rFonts w:ascii="Times New Roman" w:hAnsi="Times New Roman" w:cs="Times New Roman"/>
                <w:sz w:val="20"/>
                <w:szCs w:val="20"/>
              </w:rPr>
            </w:pPr>
          </w:p>
        </w:tc>
        <w:tc>
          <w:tcPr>
            <w:tcW w:w="2552" w:type="dxa"/>
          </w:tcPr>
          <w:p w14:paraId="53385A29"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MSTS:</w:t>
            </w:r>
            <w:r w:rsidRPr="005B5460">
              <w:rPr>
                <w:rFonts w:ascii="Times New Roman" w:hAnsi="Times New Roman" w:cs="Times New Roman"/>
                <w:sz w:val="20"/>
                <w:szCs w:val="20"/>
              </w:rPr>
              <w:t xml:space="preserve"> </w:t>
            </w:r>
          </w:p>
          <w:p w14:paraId="33E7BA53"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EAR mean = 21 </w:t>
            </w:r>
          </w:p>
          <w:p w14:paraId="5BE3DD6A"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IAR mean = 26.5</w:t>
            </w:r>
          </w:p>
          <w:p w14:paraId="4FB20E7D"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lastRenderedPageBreak/>
              <w:t>EAR was significantly worse than IAR (</w:t>
            </w:r>
            <w:r w:rsidRPr="005B5460">
              <w:rPr>
                <w:rFonts w:ascii="Times New Roman" w:hAnsi="Times New Roman" w:cs="Times New Roman"/>
                <w:i/>
                <w:iCs/>
                <w:sz w:val="20"/>
                <w:szCs w:val="20"/>
              </w:rPr>
              <w:t>P</w:t>
            </w:r>
            <w:r w:rsidRPr="005B5460">
              <w:rPr>
                <w:rFonts w:ascii="Times New Roman" w:hAnsi="Times New Roman" w:cs="Times New Roman"/>
                <w:sz w:val="20"/>
                <w:szCs w:val="20"/>
              </w:rPr>
              <w:t> &lt; 0.01)</w:t>
            </w:r>
          </w:p>
          <w:p w14:paraId="7CE2A939"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 xml:space="preserve">Lowest MSTS components: “walking ability” and “support” </w:t>
            </w:r>
          </w:p>
          <w:p w14:paraId="1E82EB6A"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4 patients in EAR group required walking aids, and all patients of IAR walked with no aid</w:t>
            </w:r>
          </w:p>
          <w:p w14:paraId="1F8E1727"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 xml:space="preserve">ROM: </w:t>
            </w:r>
            <w:r w:rsidRPr="005B5460">
              <w:rPr>
                <w:rFonts w:ascii="Times New Roman" w:hAnsi="Times New Roman" w:cs="Times New Roman"/>
                <w:sz w:val="20"/>
                <w:szCs w:val="20"/>
              </w:rPr>
              <w:t>(EAR &lt; IAR)</w:t>
            </w:r>
          </w:p>
          <w:p w14:paraId="291AFE3F"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EAR flexion = 84 (60–95)</w:t>
            </w:r>
          </w:p>
          <w:p w14:paraId="0B9890E1"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IAR flexion = 95 (90–110)</w:t>
            </w:r>
          </w:p>
          <w:p w14:paraId="76FAC0FB"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Extension lag &lt; 10 degrees was present in four cases</w:t>
            </w:r>
          </w:p>
        </w:tc>
        <w:tc>
          <w:tcPr>
            <w:tcW w:w="2268" w:type="dxa"/>
          </w:tcPr>
          <w:p w14:paraId="0CCA54B3" w14:textId="276DFA51"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lastRenderedPageBreak/>
              <w:t>Small sample size.</w:t>
            </w:r>
          </w:p>
          <w:p w14:paraId="4128C0CE" w14:textId="77777777" w:rsidR="00DE49A9" w:rsidRPr="005B5460" w:rsidRDefault="00DE49A9" w:rsidP="00DE49A9">
            <w:pPr>
              <w:spacing w:after="0" w:line="240" w:lineRule="auto"/>
              <w:rPr>
                <w:rFonts w:ascii="Times New Roman" w:hAnsi="Times New Roman" w:cs="Times New Roman"/>
                <w:sz w:val="20"/>
                <w:szCs w:val="20"/>
              </w:rPr>
            </w:pPr>
          </w:p>
          <w:p w14:paraId="491FFFB7" w14:textId="53796E56"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The mean age of both groups varied noticeably.</w:t>
            </w:r>
          </w:p>
          <w:p w14:paraId="748AA85D" w14:textId="77777777" w:rsidR="00DE49A9" w:rsidRPr="005B5460" w:rsidRDefault="00DE49A9" w:rsidP="00DE49A9">
            <w:pPr>
              <w:spacing w:after="0" w:line="240" w:lineRule="auto"/>
              <w:rPr>
                <w:rFonts w:ascii="Times New Roman" w:hAnsi="Times New Roman" w:cs="Times New Roman"/>
                <w:sz w:val="20"/>
                <w:szCs w:val="20"/>
              </w:rPr>
            </w:pPr>
          </w:p>
          <w:p w14:paraId="6BA1DB28" w14:textId="77777777" w:rsidR="00631CE9" w:rsidRPr="005B5460" w:rsidRDefault="00631CE9" w:rsidP="00DE49A9">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lastRenderedPageBreak/>
              <w:t>Possible bias due to confounding factors such as the use of different types of endoprostheses, variable follow-up period and presence of adjuvant treatment in some cases.</w:t>
            </w:r>
          </w:p>
        </w:tc>
      </w:tr>
      <w:tr w:rsidR="00DE49A9" w:rsidRPr="005B5460" w14:paraId="0029D4B3" w14:textId="77777777" w:rsidTr="00DE49A9">
        <w:trPr>
          <w:trHeight w:val="1250"/>
        </w:trPr>
        <w:tc>
          <w:tcPr>
            <w:tcW w:w="1533" w:type="dxa"/>
          </w:tcPr>
          <w:p w14:paraId="25681B00" w14:textId="0DFD4C75" w:rsidR="00631CE9" w:rsidRPr="005B5460" w:rsidRDefault="00E5490A" w:rsidP="00DE49A9">
            <w:pPr>
              <w:pStyle w:val="ListParagraph"/>
              <w:numPr>
                <w:ilvl w:val="0"/>
                <w:numId w:val="32"/>
              </w:numPr>
              <w:spacing w:after="0" w:line="240" w:lineRule="auto"/>
              <w:rPr>
                <w:rFonts w:ascii="Times New Roman" w:hAnsi="Times New Roman" w:cs="Times New Roman"/>
                <w:sz w:val="20"/>
                <w:szCs w:val="20"/>
              </w:rPr>
            </w:pPr>
            <w:r w:rsidRPr="005B5460">
              <w:rPr>
                <w:rFonts w:ascii="Times New Roman" w:hAnsi="Times New Roman" w:cs="Times New Roman"/>
                <w:sz w:val="20"/>
                <w:szCs w:val="20"/>
              </w:rPr>
              <w:lastRenderedPageBreak/>
              <w:fldChar w:fldCharType="begin" w:fldLock="1"/>
            </w:r>
            <w:r w:rsidR="009D0EA8" w:rsidRPr="005B5460">
              <w:rPr>
                <w:rFonts w:ascii="Times New Roman" w:hAnsi="Times New Roman" w:cs="Times New Roman"/>
                <w:sz w:val="20"/>
                <w:szCs w:val="20"/>
              </w:rPr>
              <w:instrText>ADDIN CSL_CITATION {"citationItems":[{"id":"ITEM-1","itemData":{"DOI":"10.1016/j.ejso.2012.07.003","ISSN":"1532-2157 (Electronic)","PMID":"22809860","abstract":"AIM: Limb-salvage surgery has become the standard of care for extremity  osteosarcoma. In this study, we investigated the survival and functional outcomes of patients with osteosarcoma around the knee who were treated with limb-salvage surgery. METHODS: We retrospectively reviewed the clinical data for 120 patients with osteosarcoma around the knee who were treated with limb-salvage surgery between 1998 and 2008. The sample included 75 males and 45 females. The mean age of the patients was 18.9 years. Osteosarcoma was diagnosed in the distal femur in 78 patients and in the proximal tibia in 42 patients. Statistical analyses were conducted to process and record the patient data and analyse the surgery's efficacy, prognosis and survival rates. RESULTS: All patients were followed for 6-144 months (mean of 56.8 months). The overall 5-year survival rate was 61.8%. Lung metastasis developed in 31 patients. Local recurrence developed in 9 patients. The average Musculoskeletal Tumor Society Score (MSTS) was 25.5 points on a 30-point scale. Sixteen patients underwent prosthesis revision and twelve patients underwent amputation. The overall survivorship of the prosthesis based on Kaplan-Meier estimates was 77% at five years and 71% at ten years. There was a higher incidence of extensor lag for the patients with osteosarcoma in the proximal tibia than for those with osteosarcoma in the distal femur (P &lt; 0.01). CONCLUSIONS: Treating osteosarcoma around the knee with limb-salvage surgery can preserve most of the knee's functionality. Attention must be paid to prevent the relatively high incidence of postoperative complications.","author":[{"dropping-particle":"","family":"Tan","given":"P X","non-dropping-particle":"","parse-names":false,"suffix":""},{"dropping-particle":"","family":"Yong","given":"B C","non-dropping-particle":"","parse-names":false,"suffix":""},{"dropping-particle":"","family":"Wang","given":"J","non-dropping-particle":"","parse-names":false,"suffix":""},{"dropping-particle":"","family":"Huang","given":"G","non-dropping-particle":"","parse-names":false,"suffix":""},{"dropping-particle":"","family":"Yin","given":"J Q","non-dropping-particle":"","parse-names":false,"suffix":""},{"dropping-particle":"","family":"Zou","given":"C Y","non-dropping-particle":"","parse-names":false,"suffix":""},{"dropping-particle":"","family":"Xie","given":"X B","non-dropping-particle":"","parse-names":false,"suffix":""},{"dropping-particle":"","family":"Tang","given":"Q L","non-dropping-particle":"","parse-names":false,"suffix":""},{"dropping-particle":"","family":"Shen","given":"J N","non-dropping-particle":"","parse-names":false,"suffix":""}],"container-title":"European journal of surgical oncology : the journal of the European Society of  Surgical Oncology and the British Association of Surgical Oncology","id":"ITEM-1","issue":"12","issued":{"date-parts":[["2012","12"]]},"language":"eng","page":"1171-1177","publisher-place":"England","title":"Analysis of the efficacy and prognosis of limb-salvage surgery for osteosarcoma  around the knee.","type":"article-journal","volume":"38"},"uris":["http://www.mendeley.com/documents/?uuid=ba59065b-75e0-4ba0-9ab8-7e2c83b0d0ec"]}],"mendeley":{"formattedCitation":"(41)","plainTextFormattedCitation":"(41)","previouslyFormattedCitation":"(42)"},"properties":{"noteIndex":0},"schema":"https://github.com/citation-style-language/schema/raw/master/csl-citation.json"}</w:instrText>
            </w:r>
            <w:r w:rsidRPr="005B5460">
              <w:rPr>
                <w:rFonts w:ascii="Times New Roman" w:hAnsi="Times New Roman" w:cs="Times New Roman"/>
                <w:sz w:val="20"/>
                <w:szCs w:val="20"/>
              </w:rPr>
              <w:fldChar w:fldCharType="separate"/>
            </w:r>
            <w:r w:rsidR="009D0EA8" w:rsidRPr="005B5460">
              <w:rPr>
                <w:rFonts w:ascii="Times New Roman" w:hAnsi="Times New Roman" w:cs="Times New Roman"/>
                <w:noProof/>
                <w:sz w:val="20"/>
                <w:szCs w:val="20"/>
              </w:rPr>
              <w:t>(41)</w:t>
            </w:r>
            <w:r w:rsidRPr="005B5460">
              <w:rPr>
                <w:rFonts w:ascii="Times New Roman" w:hAnsi="Times New Roman" w:cs="Times New Roman"/>
                <w:sz w:val="20"/>
                <w:szCs w:val="20"/>
              </w:rPr>
              <w:fldChar w:fldCharType="end"/>
            </w:r>
          </w:p>
          <w:p w14:paraId="25E083C0" w14:textId="77777777" w:rsidR="00631CE9" w:rsidRPr="005B5460" w:rsidRDefault="00631CE9" w:rsidP="00DE49A9">
            <w:pPr>
              <w:spacing w:line="240" w:lineRule="auto"/>
              <w:ind w:left="162" w:hanging="180"/>
              <w:rPr>
                <w:rFonts w:ascii="Times New Roman" w:hAnsi="Times New Roman" w:cs="Times New Roman"/>
                <w:i/>
                <w:iCs/>
                <w:sz w:val="20"/>
                <w:szCs w:val="20"/>
              </w:rPr>
            </w:pPr>
            <w:r w:rsidRPr="005B5460">
              <w:rPr>
                <w:rFonts w:ascii="Times New Roman" w:hAnsi="Times New Roman" w:cs="Times New Roman"/>
                <w:i/>
                <w:iCs/>
                <w:sz w:val="20"/>
                <w:szCs w:val="20"/>
              </w:rPr>
              <w:t>2012</w:t>
            </w:r>
          </w:p>
          <w:p w14:paraId="312B31CB" w14:textId="77777777" w:rsidR="00631CE9" w:rsidRPr="005B5460" w:rsidRDefault="00631CE9" w:rsidP="00DE49A9">
            <w:pPr>
              <w:spacing w:line="240" w:lineRule="auto"/>
              <w:ind w:left="162" w:hanging="180"/>
              <w:rPr>
                <w:rFonts w:ascii="Times New Roman" w:hAnsi="Times New Roman" w:cs="Times New Roman"/>
                <w:sz w:val="20"/>
                <w:szCs w:val="20"/>
              </w:rPr>
            </w:pPr>
            <w:r w:rsidRPr="005B5460">
              <w:rPr>
                <w:rFonts w:ascii="Times New Roman" w:hAnsi="Times New Roman" w:cs="Times New Roman"/>
                <w:i/>
                <w:iCs/>
                <w:sz w:val="20"/>
                <w:szCs w:val="20"/>
              </w:rPr>
              <w:t>China</w:t>
            </w:r>
          </w:p>
        </w:tc>
        <w:tc>
          <w:tcPr>
            <w:tcW w:w="1134" w:type="dxa"/>
          </w:tcPr>
          <w:p w14:paraId="7EEDC286" w14:textId="77777777" w:rsidR="005B3498" w:rsidRPr="005B5460" w:rsidRDefault="005B3498"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N = 120</w:t>
            </w:r>
          </w:p>
          <w:p w14:paraId="024C9554" w14:textId="177C0859" w:rsidR="005B3498" w:rsidRPr="005B5460" w:rsidRDefault="005B3498"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(75 Male &amp; 45 Female)</w:t>
            </w:r>
          </w:p>
          <w:p w14:paraId="0C590571" w14:textId="4E3281FD" w:rsidR="005B3498" w:rsidRPr="005B5460" w:rsidRDefault="005B3498"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Mean age = 18.9 (5–48)</w:t>
            </w:r>
          </w:p>
          <w:p w14:paraId="741E6B6D" w14:textId="4FC21A1E" w:rsidR="00631CE9" w:rsidRPr="005B5460" w:rsidRDefault="00631CE9" w:rsidP="00DE49A9">
            <w:pPr>
              <w:spacing w:line="240" w:lineRule="auto"/>
              <w:rPr>
                <w:rFonts w:ascii="Times New Roman" w:hAnsi="Times New Roman" w:cs="Times New Roman"/>
                <w:sz w:val="20"/>
                <w:szCs w:val="20"/>
              </w:rPr>
            </w:pPr>
          </w:p>
        </w:tc>
        <w:tc>
          <w:tcPr>
            <w:tcW w:w="1559" w:type="dxa"/>
          </w:tcPr>
          <w:p w14:paraId="4E0C3792"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Retrospective chart review</w:t>
            </w:r>
          </w:p>
        </w:tc>
        <w:tc>
          <w:tcPr>
            <w:tcW w:w="1418" w:type="dxa"/>
          </w:tcPr>
          <w:p w14:paraId="45BCC95C"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Evaluation of functional outcomes</w:t>
            </w:r>
          </w:p>
        </w:tc>
        <w:tc>
          <w:tcPr>
            <w:tcW w:w="1701" w:type="dxa"/>
          </w:tcPr>
          <w:p w14:paraId="7685A8C8" w14:textId="5A659B61" w:rsidR="00631CE9" w:rsidRPr="005B5460" w:rsidRDefault="00631CE9" w:rsidP="00875905">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MSTS</w:t>
            </w:r>
          </w:p>
          <w:p w14:paraId="0706C783" w14:textId="77777777" w:rsidR="00875905" w:rsidRPr="005B5460" w:rsidRDefault="00875905" w:rsidP="00875905">
            <w:pPr>
              <w:spacing w:after="0" w:line="240" w:lineRule="auto"/>
              <w:rPr>
                <w:rFonts w:ascii="Times New Roman" w:hAnsi="Times New Roman" w:cs="Times New Roman"/>
                <w:sz w:val="20"/>
                <w:szCs w:val="20"/>
              </w:rPr>
            </w:pPr>
          </w:p>
          <w:p w14:paraId="00A9031C" w14:textId="77777777" w:rsidR="00631CE9" w:rsidRPr="005B5460" w:rsidRDefault="00631CE9" w:rsidP="00875905">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ROM</w:t>
            </w:r>
          </w:p>
        </w:tc>
        <w:tc>
          <w:tcPr>
            <w:tcW w:w="1700" w:type="dxa"/>
          </w:tcPr>
          <w:p w14:paraId="05A99BA3" w14:textId="77777777" w:rsidR="0061590B" w:rsidRPr="005B5460" w:rsidRDefault="0061590B"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(DF= 78)</w:t>
            </w:r>
          </w:p>
          <w:p w14:paraId="56C4759C" w14:textId="4E4F9935" w:rsidR="0061590B" w:rsidRPr="005B5460" w:rsidRDefault="0061590B"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(PT= 42)</w:t>
            </w:r>
          </w:p>
          <w:p w14:paraId="38B1FB69" w14:textId="77777777" w:rsidR="00631CE9" w:rsidRPr="005B5460" w:rsidRDefault="00631CE9" w:rsidP="00DE49A9">
            <w:pPr>
              <w:spacing w:line="240" w:lineRule="auto"/>
              <w:rPr>
                <w:rFonts w:ascii="Times New Roman" w:hAnsi="Times New Roman" w:cs="Times New Roman"/>
                <w:sz w:val="20"/>
                <w:szCs w:val="20"/>
              </w:rPr>
            </w:pPr>
          </w:p>
          <w:p w14:paraId="1F06BFBE" w14:textId="39B608CA" w:rsidR="00631CE9" w:rsidRPr="005B5460" w:rsidRDefault="00631CE9" w:rsidP="00DE49A9">
            <w:pPr>
              <w:spacing w:line="240" w:lineRule="auto"/>
              <w:rPr>
                <w:rFonts w:ascii="Times New Roman" w:hAnsi="Times New Roman" w:cs="Times New Roman"/>
                <w:sz w:val="20"/>
                <w:szCs w:val="20"/>
              </w:rPr>
            </w:pPr>
          </w:p>
        </w:tc>
        <w:tc>
          <w:tcPr>
            <w:tcW w:w="2552" w:type="dxa"/>
          </w:tcPr>
          <w:p w14:paraId="60F69245"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b/>
                <w:bCs/>
                <w:i/>
                <w:iCs/>
                <w:sz w:val="20"/>
                <w:szCs w:val="20"/>
              </w:rPr>
              <w:t>MSTS:</w:t>
            </w:r>
            <w:r w:rsidRPr="005B5460">
              <w:rPr>
                <w:rFonts w:ascii="Times New Roman" w:hAnsi="Times New Roman" w:cs="Times New Roman"/>
                <w:sz w:val="20"/>
                <w:szCs w:val="20"/>
              </w:rPr>
              <w:t xml:space="preserve"> Good to excellent overall score</w:t>
            </w:r>
          </w:p>
          <w:p w14:paraId="6E564E62"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DF mean = 25.7 (SD 2.9)</w:t>
            </w:r>
          </w:p>
          <w:p w14:paraId="000A0655"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PT mean = 25.0 (SD 2.8)</w:t>
            </w:r>
          </w:p>
          <w:p w14:paraId="1BA1A0C1"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No significant difference (</w:t>
            </w:r>
            <w:r w:rsidRPr="005B5460">
              <w:rPr>
                <w:rFonts w:ascii="Times New Roman" w:hAnsi="Times New Roman" w:cs="Times New Roman"/>
                <w:i/>
                <w:iCs/>
                <w:sz w:val="20"/>
                <w:szCs w:val="20"/>
              </w:rPr>
              <w:t>P</w:t>
            </w:r>
            <w:r w:rsidRPr="005B5460">
              <w:rPr>
                <w:rFonts w:ascii="Times New Roman" w:hAnsi="Times New Roman" w:cs="Times New Roman"/>
                <w:sz w:val="20"/>
                <w:szCs w:val="20"/>
              </w:rPr>
              <w:t> = 0.21)</w:t>
            </w:r>
          </w:p>
          <w:p w14:paraId="22A0D698"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Lowest components: “functional” and “emotional capacity”</w:t>
            </w:r>
          </w:p>
          <w:p w14:paraId="0F555B77" w14:textId="77777777" w:rsidR="00631CE9" w:rsidRPr="005B5460" w:rsidRDefault="00631CE9" w:rsidP="00DE49A9">
            <w:pPr>
              <w:spacing w:line="240" w:lineRule="auto"/>
              <w:rPr>
                <w:rFonts w:ascii="Times New Roman" w:hAnsi="Times New Roman" w:cs="Times New Roman"/>
                <w:b/>
                <w:bCs/>
                <w:i/>
                <w:iCs/>
                <w:sz w:val="20"/>
                <w:szCs w:val="20"/>
              </w:rPr>
            </w:pPr>
            <w:r w:rsidRPr="005B5460">
              <w:rPr>
                <w:rFonts w:ascii="Times New Roman" w:hAnsi="Times New Roman" w:cs="Times New Roman"/>
                <w:sz w:val="20"/>
                <w:szCs w:val="20"/>
              </w:rPr>
              <w:lastRenderedPageBreak/>
              <w:t xml:space="preserve"> </w:t>
            </w:r>
            <w:r w:rsidRPr="005B5460">
              <w:rPr>
                <w:rFonts w:ascii="Times New Roman" w:hAnsi="Times New Roman" w:cs="Times New Roman"/>
                <w:b/>
                <w:bCs/>
                <w:i/>
                <w:iCs/>
                <w:sz w:val="20"/>
                <w:szCs w:val="20"/>
              </w:rPr>
              <w:t>ROM:</w:t>
            </w:r>
          </w:p>
          <w:p w14:paraId="58A29A54"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Knee flexion in DF was worse than PT but with no statistical significance (</w:t>
            </w:r>
            <w:r w:rsidRPr="005B5460">
              <w:rPr>
                <w:rFonts w:ascii="Times New Roman" w:hAnsi="Times New Roman" w:cs="Times New Roman"/>
                <w:i/>
                <w:iCs/>
                <w:sz w:val="20"/>
                <w:szCs w:val="20"/>
              </w:rPr>
              <w:t>P </w:t>
            </w:r>
            <w:r w:rsidRPr="005B5460">
              <w:rPr>
                <w:rFonts w:ascii="Times New Roman" w:hAnsi="Times New Roman" w:cs="Times New Roman"/>
                <w:sz w:val="20"/>
                <w:szCs w:val="20"/>
              </w:rPr>
              <w:t xml:space="preserve">= 0.12) </w:t>
            </w:r>
          </w:p>
          <w:p w14:paraId="710767E6" w14:textId="77777777" w:rsidR="00631CE9" w:rsidRPr="005B5460" w:rsidRDefault="00631CE9" w:rsidP="00DE49A9">
            <w:pPr>
              <w:spacing w:line="240" w:lineRule="auto"/>
              <w:ind w:left="360"/>
              <w:rPr>
                <w:rFonts w:ascii="Times New Roman" w:hAnsi="Times New Roman" w:cs="Times New Roman"/>
                <w:sz w:val="20"/>
                <w:szCs w:val="20"/>
              </w:rPr>
            </w:pPr>
            <w:r w:rsidRPr="005B5460">
              <w:rPr>
                <w:rFonts w:ascii="Times New Roman" w:hAnsi="Times New Roman" w:cs="Times New Roman"/>
                <w:sz w:val="20"/>
                <w:szCs w:val="20"/>
              </w:rPr>
              <w:t>DF = 103 (SD 27)</w:t>
            </w:r>
          </w:p>
          <w:p w14:paraId="4429C529" w14:textId="77777777" w:rsidR="00631CE9" w:rsidRPr="005B5460" w:rsidRDefault="00631CE9" w:rsidP="00DE49A9">
            <w:pPr>
              <w:spacing w:line="240" w:lineRule="auto"/>
              <w:ind w:left="360"/>
              <w:rPr>
                <w:rFonts w:ascii="Times New Roman" w:hAnsi="Times New Roman" w:cs="Times New Roman"/>
                <w:sz w:val="20"/>
                <w:szCs w:val="20"/>
              </w:rPr>
            </w:pPr>
            <w:r w:rsidRPr="005B5460">
              <w:rPr>
                <w:rFonts w:ascii="Times New Roman" w:hAnsi="Times New Roman" w:cs="Times New Roman"/>
                <w:sz w:val="20"/>
                <w:szCs w:val="20"/>
              </w:rPr>
              <w:t>PT = 112 (SD 30)</w:t>
            </w:r>
          </w:p>
          <w:p w14:paraId="117D913C" w14:textId="77777777" w:rsidR="00631CE9" w:rsidRPr="005B5460" w:rsidRDefault="00631CE9" w:rsidP="00DE49A9">
            <w:pPr>
              <w:spacing w:line="240" w:lineRule="auto"/>
              <w:rPr>
                <w:rFonts w:ascii="Times New Roman" w:hAnsi="Times New Roman" w:cs="Times New Roman"/>
                <w:sz w:val="20"/>
                <w:szCs w:val="20"/>
              </w:rPr>
            </w:pPr>
            <w:r w:rsidRPr="005B5460">
              <w:rPr>
                <w:rFonts w:ascii="Times New Roman" w:hAnsi="Times New Roman" w:cs="Times New Roman"/>
                <w:sz w:val="20"/>
                <w:szCs w:val="20"/>
              </w:rPr>
              <w:t>Extension ROM was significantly worse regarding lag in PT group (18 patients) compared to DF group (nine patients) (</w:t>
            </w:r>
            <w:r w:rsidRPr="005B5460">
              <w:rPr>
                <w:rFonts w:ascii="Times New Roman" w:hAnsi="Times New Roman" w:cs="Times New Roman"/>
                <w:i/>
                <w:iCs/>
                <w:sz w:val="20"/>
                <w:szCs w:val="20"/>
              </w:rPr>
              <w:t>P</w:t>
            </w:r>
            <w:r w:rsidRPr="005B5460">
              <w:rPr>
                <w:rFonts w:ascii="Times New Roman" w:hAnsi="Times New Roman" w:cs="Times New Roman"/>
                <w:sz w:val="20"/>
                <w:szCs w:val="20"/>
              </w:rPr>
              <w:t> = 0.03)</w:t>
            </w:r>
          </w:p>
          <w:p w14:paraId="19396E63" w14:textId="77777777" w:rsidR="00631CE9" w:rsidRPr="005B5460" w:rsidRDefault="00631CE9" w:rsidP="00DE49A9">
            <w:pPr>
              <w:spacing w:line="240" w:lineRule="auto"/>
              <w:ind w:left="360"/>
              <w:rPr>
                <w:rFonts w:ascii="Times New Roman" w:hAnsi="Times New Roman" w:cs="Times New Roman"/>
                <w:sz w:val="20"/>
                <w:szCs w:val="20"/>
              </w:rPr>
            </w:pPr>
            <w:r w:rsidRPr="005B5460">
              <w:rPr>
                <w:rFonts w:ascii="Times New Roman" w:hAnsi="Times New Roman" w:cs="Times New Roman"/>
                <w:sz w:val="20"/>
                <w:szCs w:val="20"/>
              </w:rPr>
              <w:t>DF = 8 (SD 3)</w:t>
            </w:r>
          </w:p>
          <w:p w14:paraId="4B4C794C" w14:textId="77777777" w:rsidR="00631CE9" w:rsidRPr="005B5460" w:rsidRDefault="00631CE9" w:rsidP="00DE49A9">
            <w:pPr>
              <w:spacing w:line="240" w:lineRule="auto"/>
              <w:ind w:left="360"/>
              <w:rPr>
                <w:rFonts w:ascii="Times New Roman" w:hAnsi="Times New Roman" w:cs="Times New Roman"/>
                <w:sz w:val="20"/>
                <w:szCs w:val="20"/>
              </w:rPr>
            </w:pPr>
            <w:r w:rsidRPr="005B5460">
              <w:rPr>
                <w:rFonts w:ascii="Times New Roman" w:hAnsi="Times New Roman" w:cs="Times New Roman"/>
                <w:sz w:val="20"/>
                <w:szCs w:val="20"/>
              </w:rPr>
              <w:t>PT = 14 (SD 7)</w:t>
            </w:r>
          </w:p>
        </w:tc>
        <w:tc>
          <w:tcPr>
            <w:tcW w:w="2268" w:type="dxa"/>
          </w:tcPr>
          <w:p w14:paraId="4FD62E54" w14:textId="2A2095F4" w:rsidR="00631CE9" w:rsidRPr="005B5460" w:rsidRDefault="00631CE9" w:rsidP="00875905">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lastRenderedPageBreak/>
              <w:t>Lack of rehabilitation program between the patients lead to procedural bias.</w:t>
            </w:r>
          </w:p>
          <w:p w14:paraId="3F256F4F" w14:textId="77777777" w:rsidR="00875905" w:rsidRPr="005B5460" w:rsidRDefault="00875905" w:rsidP="00875905">
            <w:pPr>
              <w:spacing w:after="0" w:line="240" w:lineRule="auto"/>
              <w:rPr>
                <w:rFonts w:ascii="Times New Roman" w:hAnsi="Times New Roman" w:cs="Times New Roman"/>
                <w:sz w:val="20"/>
                <w:szCs w:val="20"/>
              </w:rPr>
            </w:pPr>
          </w:p>
          <w:p w14:paraId="66BC1E8F" w14:textId="77777777" w:rsidR="00631CE9" w:rsidRPr="005B5460" w:rsidRDefault="00631CE9" w:rsidP="00875905">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 xml:space="preserve">The authors stated that due to healthcare financial aspects, many osteosarcoma patients underwent amputation surgery because they could not afford the neo-adjuvant therapies </w:t>
            </w:r>
            <w:r w:rsidRPr="005B5460">
              <w:rPr>
                <w:rFonts w:ascii="Times New Roman" w:hAnsi="Times New Roman" w:cs="Times New Roman"/>
                <w:sz w:val="20"/>
                <w:szCs w:val="20"/>
              </w:rPr>
              <w:lastRenderedPageBreak/>
              <w:t>required for LSS, which can affect the sampling.</w:t>
            </w:r>
          </w:p>
          <w:p w14:paraId="59ED502E" w14:textId="77777777" w:rsidR="00631CE9" w:rsidRPr="005B5460" w:rsidRDefault="00631CE9" w:rsidP="00875905">
            <w:pPr>
              <w:spacing w:after="0" w:line="240" w:lineRule="auto"/>
              <w:rPr>
                <w:rFonts w:ascii="Times New Roman" w:hAnsi="Times New Roman" w:cs="Times New Roman"/>
                <w:sz w:val="20"/>
                <w:szCs w:val="20"/>
              </w:rPr>
            </w:pPr>
            <w:r w:rsidRPr="005B5460">
              <w:rPr>
                <w:rFonts w:ascii="Times New Roman" w:hAnsi="Times New Roman" w:cs="Times New Roman"/>
                <w:sz w:val="20"/>
                <w:szCs w:val="20"/>
              </w:rPr>
              <w:t xml:space="preserve">Heterogeneous chemotherapy protocols delivered in the study could be highly considered as confounding factors, leading to procedural or measurement bias. </w:t>
            </w:r>
          </w:p>
        </w:tc>
      </w:tr>
      <w:tr w:rsidR="00A50017" w:rsidRPr="005B5460" w14:paraId="36DAC414" w14:textId="77777777" w:rsidTr="00DE49A9">
        <w:trPr>
          <w:trHeight w:val="1250"/>
        </w:trPr>
        <w:tc>
          <w:tcPr>
            <w:tcW w:w="1533" w:type="dxa"/>
          </w:tcPr>
          <w:p w14:paraId="0EC4E6A9" w14:textId="6656427A" w:rsidR="00A50017" w:rsidRPr="005B5460" w:rsidRDefault="00A50017" w:rsidP="00DE49A9">
            <w:pPr>
              <w:pStyle w:val="ListParagraph"/>
              <w:numPr>
                <w:ilvl w:val="0"/>
                <w:numId w:val="32"/>
              </w:numPr>
              <w:spacing w:after="0" w:line="240" w:lineRule="auto"/>
              <w:rPr>
                <w:rFonts w:ascii="Times New Roman" w:hAnsi="Times New Roman" w:cs="Times New Roman"/>
                <w:sz w:val="20"/>
                <w:szCs w:val="20"/>
              </w:rPr>
            </w:pPr>
            <w:r w:rsidRPr="005B5460">
              <w:rPr>
                <w:rFonts w:ascii="Times New Roman" w:hAnsi="Times New Roman" w:cs="Times New Roman"/>
                <w:sz w:val="20"/>
                <w:szCs w:val="20"/>
              </w:rPr>
              <w:lastRenderedPageBreak/>
              <w:fldChar w:fldCharType="begin" w:fldLock="1"/>
            </w:r>
            <w:r w:rsidR="009D0EA8" w:rsidRPr="005B5460">
              <w:rPr>
                <w:rFonts w:ascii="Times New Roman" w:hAnsi="Times New Roman" w:cs="Times New Roman"/>
                <w:sz w:val="20"/>
                <w:szCs w:val="20"/>
              </w:rPr>
              <w:instrText>ADDIN CSL_CITATION {"citationItems":[{"id":"ITEM-1","itemData":{"DOI":"10.1016/j.jelekin.2009.06.001","ISSN":"1873-5711 (Electronic)","PMID":"19560372","abstract":"Bone sarcomas are the fourth most common cancer in individuals under 25 years of  age. Limb salvage procedures have become increasingly popular for the treatment of osteosarcomas as they have functional and physiological benefits over traditional amputative procedures. The purpose of this study was to assess locomotor patterns post lower limb salvage surgery via electromyographic and energetic measurement techniques on a group of intra-articular knee osteosarcoma patients greater than one year post surgery. A retrospective outcome study was undertaken on 20 limb salvage patients (10 female, 10 male) recruited from the Queensland Bone Tumour Registry. Results showed prolonged activation of rectus femoris and prolonged co-contraction of the rectus femoris and hamstring muscles (p&gt;0.05) in the affected limb of the limb salvage group compared to a control group. Prolonged rectus femoris activation and co-contraction was also evident in the unaffected lower limb suggesting alterations in gait programming within higher neuronal centres. The results are important for the development of rehabilitation programs as they suggest an overall reprogramming of the gait pattern, thereby limiting the impact of conventional strength and stretching interventions.","author":[{"dropping-particle":"","family":"Carty","given":"Christopher P","non-dropping-particle":"","parse-names":false,"suffix":""},{"dropping-particle":"","family":"Bennett","given":"Michael B","non-dropping-particle":"","parse-names":false,"suffix":""},{"dropping-particle":"","family":"Dickinson","given":"Ian C","non-dropping-particle":"","parse-names":false,"suffix":""},{"dropping-particle":"","family":"Steadman","given":"Peter","non-dropping-particle":"","parse-names":false,"suffix":""}],"container-title":"Journal of electromyography and kinesiology : official journal of the International  Society of Electrophysiological Kinesiology","id":"ITEM-1","issue":"3","issued":{"date-parts":[["2010","6"]]},"language":"eng","page":"502-507","publisher-place":"England","title":"Electromyographic assessment of Gait function following limb salvage procedures for  bone sarcoma.","type":"article-journal","volume":"20"},"uris":["http://www.mendeley.com/documents/?uuid=57551b0b-a7d3-40bc-afbc-aaa68c704341"]}],"mendeley":{"formattedCitation":"(43)","plainTextFormattedCitation":"(43)","previouslyFormattedCitation":"(38)"},"properties":{"noteIndex":0},"schema":"https://github.com/citation-style-language/schema/raw/master/csl-citation.json"}</w:instrText>
            </w:r>
            <w:r w:rsidRPr="005B5460">
              <w:rPr>
                <w:rFonts w:ascii="Times New Roman" w:hAnsi="Times New Roman" w:cs="Times New Roman"/>
                <w:sz w:val="20"/>
                <w:szCs w:val="20"/>
              </w:rPr>
              <w:fldChar w:fldCharType="separate"/>
            </w:r>
            <w:r w:rsidR="009D0EA8" w:rsidRPr="005B5460">
              <w:rPr>
                <w:rFonts w:ascii="Times New Roman" w:hAnsi="Times New Roman" w:cs="Times New Roman"/>
                <w:noProof/>
                <w:sz w:val="20"/>
                <w:szCs w:val="20"/>
              </w:rPr>
              <w:t>(43)</w:t>
            </w:r>
            <w:r w:rsidRPr="005B5460">
              <w:rPr>
                <w:rFonts w:ascii="Times New Roman" w:hAnsi="Times New Roman" w:cs="Times New Roman"/>
                <w:sz w:val="20"/>
                <w:szCs w:val="20"/>
              </w:rPr>
              <w:fldChar w:fldCharType="end"/>
            </w:r>
          </w:p>
          <w:p w14:paraId="5C2C00D5" w14:textId="77777777" w:rsidR="00A50017" w:rsidRPr="005B5460" w:rsidRDefault="00A50017" w:rsidP="00A50017">
            <w:pPr>
              <w:spacing w:after="0" w:line="240" w:lineRule="auto"/>
              <w:rPr>
                <w:rFonts w:ascii="Times New Roman" w:hAnsi="Times New Roman" w:cs="Times New Roman"/>
                <w:sz w:val="20"/>
                <w:szCs w:val="20"/>
              </w:rPr>
            </w:pPr>
            <w:r w:rsidRPr="005B5460">
              <w:rPr>
                <w:rFonts w:ascii="Times New Roman" w:hAnsi="Times New Roman" w:cs="Times New Roman"/>
                <w:i/>
                <w:iCs/>
                <w:sz w:val="20"/>
                <w:szCs w:val="20"/>
              </w:rPr>
              <w:t>2010</w:t>
            </w:r>
          </w:p>
          <w:p w14:paraId="794E1095" w14:textId="77777777" w:rsidR="00A50017" w:rsidRPr="005B5460" w:rsidRDefault="00A50017" w:rsidP="00A50017">
            <w:pPr>
              <w:spacing w:after="0" w:line="240" w:lineRule="auto"/>
              <w:rPr>
                <w:rFonts w:ascii="Times New Roman" w:hAnsi="Times New Roman" w:cs="Times New Roman"/>
                <w:sz w:val="20"/>
                <w:szCs w:val="20"/>
              </w:rPr>
            </w:pPr>
          </w:p>
          <w:p w14:paraId="2B86D6E2" w14:textId="75C53F24" w:rsidR="00A50017" w:rsidRPr="005B5460" w:rsidRDefault="00A50017" w:rsidP="00A50017">
            <w:pPr>
              <w:spacing w:after="0" w:line="240" w:lineRule="auto"/>
              <w:rPr>
                <w:rFonts w:ascii="Times New Roman" w:hAnsi="Times New Roman" w:cs="Times New Roman"/>
                <w:i/>
                <w:iCs/>
                <w:sz w:val="20"/>
                <w:szCs w:val="20"/>
              </w:rPr>
            </w:pPr>
            <w:r w:rsidRPr="005B5460">
              <w:rPr>
                <w:rFonts w:ascii="Times New Roman" w:hAnsi="Times New Roman" w:cs="Times New Roman"/>
                <w:i/>
                <w:iCs/>
                <w:sz w:val="20"/>
                <w:szCs w:val="20"/>
              </w:rPr>
              <w:t>Australia</w:t>
            </w:r>
          </w:p>
        </w:tc>
        <w:tc>
          <w:tcPr>
            <w:tcW w:w="1134" w:type="dxa"/>
          </w:tcPr>
          <w:p w14:paraId="6436A6DA" w14:textId="77777777" w:rsidR="00A50017" w:rsidRPr="005B5460" w:rsidRDefault="00A50017" w:rsidP="00A50017">
            <w:pPr>
              <w:spacing w:line="240" w:lineRule="auto"/>
              <w:rPr>
                <w:rFonts w:ascii="Times New Roman" w:hAnsi="Times New Roman" w:cs="Times New Roman"/>
                <w:sz w:val="20"/>
                <w:szCs w:val="20"/>
                <w:lang w:val="en-GB"/>
              </w:rPr>
            </w:pPr>
            <w:r w:rsidRPr="005B5460">
              <w:rPr>
                <w:rFonts w:ascii="Times New Roman" w:hAnsi="Times New Roman" w:cs="Times New Roman"/>
                <w:sz w:val="20"/>
                <w:szCs w:val="20"/>
                <w:lang w:val="en-GB"/>
              </w:rPr>
              <w:t>Case N= 20</w:t>
            </w:r>
          </w:p>
          <w:p w14:paraId="1FABDD01" w14:textId="77777777" w:rsidR="00A50017" w:rsidRPr="005B5460" w:rsidRDefault="00A50017" w:rsidP="00A50017">
            <w:pPr>
              <w:spacing w:line="240" w:lineRule="auto"/>
              <w:rPr>
                <w:rFonts w:ascii="Times New Roman" w:hAnsi="Times New Roman" w:cs="Times New Roman"/>
                <w:sz w:val="20"/>
                <w:szCs w:val="20"/>
                <w:lang w:val="en-GB"/>
              </w:rPr>
            </w:pPr>
            <w:r w:rsidRPr="005B5460">
              <w:rPr>
                <w:rFonts w:ascii="Times New Roman" w:hAnsi="Times New Roman" w:cs="Times New Roman"/>
                <w:sz w:val="20"/>
                <w:szCs w:val="20"/>
                <w:lang w:val="en-GB"/>
              </w:rPr>
              <w:t> </w:t>
            </w:r>
          </w:p>
          <w:p w14:paraId="1F4A2C35" w14:textId="77777777" w:rsidR="00A50017" w:rsidRPr="005B5460" w:rsidRDefault="00A50017" w:rsidP="00A50017">
            <w:pPr>
              <w:spacing w:line="240" w:lineRule="auto"/>
              <w:rPr>
                <w:rFonts w:ascii="Times New Roman" w:hAnsi="Times New Roman" w:cs="Times New Roman"/>
                <w:sz w:val="20"/>
                <w:szCs w:val="20"/>
                <w:lang w:val="en-GB"/>
              </w:rPr>
            </w:pPr>
            <w:r w:rsidRPr="005B5460">
              <w:rPr>
                <w:rFonts w:ascii="Times New Roman" w:hAnsi="Times New Roman" w:cs="Times New Roman"/>
                <w:sz w:val="20"/>
                <w:szCs w:val="20"/>
                <w:lang w:val="en-GB"/>
              </w:rPr>
              <w:t xml:space="preserve">(17 DF &amp; 3 PT) all with intra-articular endoprostheses </w:t>
            </w:r>
            <w:r w:rsidRPr="005B5460">
              <w:rPr>
                <w:rFonts w:ascii="Times New Roman" w:hAnsi="Times New Roman" w:cs="Times New Roman"/>
                <w:sz w:val="20"/>
                <w:szCs w:val="20"/>
                <w:lang w:val="en-GB"/>
              </w:rPr>
              <w:lastRenderedPageBreak/>
              <w:t>replacement</w:t>
            </w:r>
          </w:p>
          <w:p w14:paraId="7B8EB39C" w14:textId="77777777" w:rsidR="00A50017" w:rsidRPr="005B5460" w:rsidRDefault="00A50017" w:rsidP="00A50017">
            <w:pPr>
              <w:spacing w:line="240" w:lineRule="auto"/>
              <w:rPr>
                <w:rFonts w:ascii="Times New Roman" w:hAnsi="Times New Roman" w:cs="Times New Roman"/>
                <w:sz w:val="20"/>
                <w:szCs w:val="20"/>
                <w:lang w:val="en-GB"/>
              </w:rPr>
            </w:pPr>
            <w:r w:rsidRPr="005B5460">
              <w:rPr>
                <w:rFonts w:ascii="Times New Roman" w:hAnsi="Times New Roman" w:cs="Times New Roman"/>
                <w:sz w:val="20"/>
                <w:szCs w:val="20"/>
                <w:lang w:val="en-GB"/>
              </w:rPr>
              <w:t> </w:t>
            </w:r>
          </w:p>
          <w:p w14:paraId="2C8D5704" w14:textId="77777777" w:rsidR="00A50017" w:rsidRPr="005B5460" w:rsidRDefault="00A50017" w:rsidP="00A50017">
            <w:pPr>
              <w:spacing w:line="240" w:lineRule="auto"/>
              <w:rPr>
                <w:rFonts w:ascii="Times New Roman" w:hAnsi="Times New Roman" w:cs="Times New Roman"/>
                <w:sz w:val="20"/>
                <w:szCs w:val="20"/>
                <w:lang w:val="en-GB"/>
              </w:rPr>
            </w:pPr>
            <w:r w:rsidRPr="005B5460">
              <w:rPr>
                <w:rFonts w:ascii="Times New Roman" w:hAnsi="Times New Roman" w:cs="Times New Roman"/>
                <w:sz w:val="20"/>
                <w:szCs w:val="20"/>
                <w:lang w:val="en-GB"/>
              </w:rPr>
              <w:t>Mean age at surgery = 16.1</w:t>
            </w:r>
          </w:p>
          <w:p w14:paraId="45500B4C" w14:textId="77777777" w:rsidR="00A50017" w:rsidRPr="005B5460" w:rsidRDefault="00A50017" w:rsidP="00A50017">
            <w:pPr>
              <w:spacing w:line="240" w:lineRule="auto"/>
              <w:rPr>
                <w:rFonts w:ascii="Times New Roman" w:hAnsi="Times New Roman" w:cs="Times New Roman"/>
                <w:sz w:val="20"/>
                <w:szCs w:val="20"/>
                <w:lang w:val="en-GB"/>
              </w:rPr>
            </w:pPr>
            <w:r w:rsidRPr="005B5460">
              <w:rPr>
                <w:rFonts w:ascii="Times New Roman" w:hAnsi="Times New Roman" w:cs="Times New Roman"/>
                <w:sz w:val="20"/>
                <w:szCs w:val="20"/>
                <w:lang w:val="en-GB"/>
              </w:rPr>
              <w:t> </w:t>
            </w:r>
          </w:p>
          <w:p w14:paraId="2ACE2A18" w14:textId="77777777" w:rsidR="00A50017" w:rsidRPr="005B5460" w:rsidRDefault="00A50017" w:rsidP="00A50017">
            <w:pPr>
              <w:spacing w:line="240" w:lineRule="auto"/>
              <w:rPr>
                <w:rFonts w:ascii="Times New Roman" w:hAnsi="Times New Roman" w:cs="Times New Roman"/>
                <w:sz w:val="20"/>
                <w:szCs w:val="20"/>
                <w:lang w:val="en-GB"/>
              </w:rPr>
            </w:pPr>
            <w:r w:rsidRPr="005B5460">
              <w:rPr>
                <w:rFonts w:ascii="Times New Roman" w:hAnsi="Times New Roman" w:cs="Times New Roman"/>
                <w:sz w:val="20"/>
                <w:szCs w:val="20"/>
                <w:lang w:val="en-GB"/>
              </w:rPr>
              <w:t>Control N= 10.</w:t>
            </w:r>
          </w:p>
          <w:p w14:paraId="6EEE6754" w14:textId="77777777" w:rsidR="00A50017" w:rsidRPr="005B5460" w:rsidRDefault="00A50017" w:rsidP="00DE49A9">
            <w:pPr>
              <w:spacing w:line="240" w:lineRule="auto"/>
              <w:rPr>
                <w:rFonts w:ascii="Times New Roman" w:hAnsi="Times New Roman" w:cs="Times New Roman"/>
                <w:sz w:val="20"/>
                <w:szCs w:val="20"/>
              </w:rPr>
            </w:pPr>
          </w:p>
        </w:tc>
        <w:tc>
          <w:tcPr>
            <w:tcW w:w="1559" w:type="dxa"/>
          </w:tcPr>
          <w:p w14:paraId="791FDAA8" w14:textId="77777777" w:rsidR="00A50017" w:rsidRPr="005B5460" w:rsidRDefault="00A50017" w:rsidP="00A50017">
            <w:pPr>
              <w:spacing w:line="240" w:lineRule="auto"/>
              <w:rPr>
                <w:rFonts w:ascii="Times New Roman" w:hAnsi="Times New Roman" w:cs="Times New Roman"/>
                <w:sz w:val="20"/>
                <w:szCs w:val="20"/>
                <w:lang w:val="en-GB"/>
              </w:rPr>
            </w:pPr>
            <w:r w:rsidRPr="005B5460">
              <w:rPr>
                <w:rFonts w:ascii="Times New Roman" w:hAnsi="Times New Roman" w:cs="Times New Roman"/>
                <w:sz w:val="20"/>
                <w:szCs w:val="20"/>
                <w:lang w:val="en-GB"/>
              </w:rPr>
              <w:lastRenderedPageBreak/>
              <w:t>Case-Control Retrospective outcome study.</w:t>
            </w:r>
          </w:p>
          <w:p w14:paraId="4AFEE971" w14:textId="77777777" w:rsidR="00A50017" w:rsidRPr="005B5460" w:rsidRDefault="00A50017" w:rsidP="00DE49A9">
            <w:pPr>
              <w:spacing w:line="240" w:lineRule="auto"/>
              <w:rPr>
                <w:rFonts w:ascii="Times New Roman" w:hAnsi="Times New Roman" w:cs="Times New Roman"/>
                <w:sz w:val="20"/>
                <w:szCs w:val="20"/>
              </w:rPr>
            </w:pPr>
          </w:p>
        </w:tc>
        <w:tc>
          <w:tcPr>
            <w:tcW w:w="1418" w:type="dxa"/>
          </w:tcPr>
          <w:p w14:paraId="42DC3B5D" w14:textId="2FB568D0" w:rsidR="00A50017" w:rsidRPr="005B5460" w:rsidRDefault="00A50017" w:rsidP="00A50017">
            <w:pPr>
              <w:spacing w:line="240" w:lineRule="auto"/>
              <w:rPr>
                <w:rFonts w:ascii="Times New Roman" w:hAnsi="Times New Roman" w:cs="Times New Roman"/>
                <w:sz w:val="20"/>
                <w:szCs w:val="20"/>
                <w:lang w:val="en-GB"/>
              </w:rPr>
            </w:pPr>
            <w:proofErr w:type="spellStart"/>
            <w:r w:rsidRPr="005B5460">
              <w:rPr>
                <w:rFonts w:ascii="Times New Roman" w:hAnsi="Times New Roman" w:cs="Times New Roman"/>
                <w:sz w:val="20"/>
                <w:szCs w:val="20"/>
                <w:lang w:val="en-GB"/>
              </w:rPr>
              <w:t>Electromyo</w:t>
            </w:r>
            <w:proofErr w:type="spellEnd"/>
            <w:r w:rsidRPr="005B5460">
              <w:rPr>
                <w:rFonts w:ascii="Times New Roman" w:hAnsi="Times New Roman" w:cs="Times New Roman"/>
                <w:sz w:val="20"/>
                <w:szCs w:val="20"/>
                <w:lang w:val="en-GB"/>
              </w:rPr>
              <w:t>-graphic assessment of Gait function following limb salvage procedures for bone sarcoma.</w:t>
            </w:r>
          </w:p>
          <w:p w14:paraId="304E6B7E" w14:textId="77777777" w:rsidR="00A50017" w:rsidRPr="005B5460" w:rsidRDefault="00A50017" w:rsidP="00DE49A9">
            <w:pPr>
              <w:spacing w:line="240" w:lineRule="auto"/>
              <w:rPr>
                <w:rFonts w:ascii="Times New Roman" w:hAnsi="Times New Roman" w:cs="Times New Roman"/>
                <w:sz w:val="20"/>
                <w:szCs w:val="20"/>
              </w:rPr>
            </w:pPr>
          </w:p>
        </w:tc>
        <w:tc>
          <w:tcPr>
            <w:tcW w:w="1701" w:type="dxa"/>
          </w:tcPr>
          <w:p w14:paraId="12B9BEA3" w14:textId="1D474211" w:rsidR="00A50017" w:rsidRPr="005B5460" w:rsidRDefault="00A50017" w:rsidP="00A50017">
            <w:pPr>
              <w:spacing w:after="0" w:line="240" w:lineRule="auto"/>
              <w:ind w:left="39"/>
              <w:rPr>
                <w:rFonts w:ascii="Times New Roman" w:hAnsi="Times New Roman" w:cs="Times New Roman"/>
                <w:sz w:val="20"/>
                <w:szCs w:val="20"/>
                <w:lang w:val="en-GB"/>
              </w:rPr>
            </w:pPr>
            <w:proofErr w:type="spellStart"/>
            <w:r w:rsidRPr="005B5460">
              <w:rPr>
                <w:rFonts w:ascii="Times New Roman" w:hAnsi="Times New Roman" w:cs="Times New Roman"/>
                <w:sz w:val="20"/>
                <w:szCs w:val="20"/>
                <w:lang w:val="en-GB"/>
              </w:rPr>
              <w:t>Electromyo-graphy</w:t>
            </w:r>
            <w:proofErr w:type="spellEnd"/>
            <w:r w:rsidRPr="005B5460">
              <w:rPr>
                <w:rFonts w:ascii="Times New Roman" w:hAnsi="Times New Roman" w:cs="Times New Roman"/>
                <w:sz w:val="20"/>
                <w:szCs w:val="20"/>
                <w:lang w:val="en-GB"/>
              </w:rPr>
              <w:t>.</w:t>
            </w:r>
          </w:p>
          <w:p w14:paraId="44C95418" w14:textId="77777777" w:rsidR="00A50017" w:rsidRPr="005B5460" w:rsidRDefault="00A50017" w:rsidP="00A50017">
            <w:pPr>
              <w:spacing w:after="0" w:line="240" w:lineRule="auto"/>
              <w:ind w:left="39"/>
              <w:rPr>
                <w:rFonts w:ascii="Times New Roman" w:hAnsi="Times New Roman" w:cs="Times New Roman"/>
                <w:sz w:val="20"/>
                <w:szCs w:val="20"/>
                <w:lang w:val="en-GB"/>
              </w:rPr>
            </w:pPr>
          </w:p>
          <w:p w14:paraId="7AD334D9" w14:textId="77777777" w:rsidR="00A50017" w:rsidRPr="005B5460" w:rsidRDefault="00A50017" w:rsidP="00A50017">
            <w:pPr>
              <w:spacing w:after="0" w:line="240" w:lineRule="auto"/>
              <w:ind w:left="39"/>
              <w:rPr>
                <w:rFonts w:ascii="Times New Roman" w:hAnsi="Times New Roman" w:cs="Times New Roman"/>
                <w:sz w:val="20"/>
                <w:szCs w:val="20"/>
                <w:lang w:val="en-GB"/>
              </w:rPr>
            </w:pPr>
            <w:r w:rsidRPr="005B5460">
              <w:rPr>
                <w:rFonts w:ascii="Times New Roman" w:hAnsi="Times New Roman" w:cs="Times New Roman"/>
                <w:sz w:val="20"/>
                <w:szCs w:val="20"/>
                <w:lang w:val="en-GB"/>
              </w:rPr>
              <w:t>Energy Consumption Measurement (</w:t>
            </w:r>
            <w:proofErr w:type="spellStart"/>
            <w:r w:rsidRPr="005B5460">
              <w:rPr>
                <w:rFonts w:ascii="Times New Roman" w:hAnsi="Times New Roman" w:cs="Times New Roman"/>
                <w:sz w:val="20"/>
                <w:szCs w:val="20"/>
                <w:lang w:val="en-GB"/>
              </w:rPr>
              <w:t>Cosmed</w:t>
            </w:r>
            <w:proofErr w:type="spellEnd"/>
            <w:r w:rsidRPr="005B5460">
              <w:rPr>
                <w:rFonts w:ascii="Times New Roman" w:hAnsi="Times New Roman" w:cs="Times New Roman"/>
                <w:sz w:val="20"/>
                <w:szCs w:val="20"/>
                <w:lang w:val="en-GB"/>
              </w:rPr>
              <w:t xml:space="preserve"> KB4 system).</w:t>
            </w:r>
          </w:p>
          <w:p w14:paraId="4B7E99A3" w14:textId="77777777" w:rsidR="00A50017" w:rsidRPr="005B5460" w:rsidRDefault="00A50017" w:rsidP="00875905">
            <w:pPr>
              <w:spacing w:after="0" w:line="240" w:lineRule="auto"/>
              <w:rPr>
                <w:rFonts w:ascii="Times New Roman" w:hAnsi="Times New Roman" w:cs="Times New Roman"/>
                <w:sz w:val="20"/>
                <w:szCs w:val="20"/>
              </w:rPr>
            </w:pPr>
          </w:p>
        </w:tc>
        <w:tc>
          <w:tcPr>
            <w:tcW w:w="1700" w:type="dxa"/>
          </w:tcPr>
          <w:p w14:paraId="4C6BB442" w14:textId="77777777" w:rsidR="00A50017" w:rsidRPr="005B5460" w:rsidRDefault="00A50017" w:rsidP="00A50017">
            <w:pPr>
              <w:spacing w:line="240" w:lineRule="auto"/>
              <w:rPr>
                <w:rFonts w:ascii="Times New Roman" w:hAnsi="Times New Roman" w:cs="Times New Roman"/>
                <w:sz w:val="20"/>
                <w:szCs w:val="20"/>
                <w:lang w:val="en-GB"/>
              </w:rPr>
            </w:pPr>
            <w:r w:rsidRPr="005B5460">
              <w:rPr>
                <w:rFonts w:ascii="Times New Roman" w:hAnsi="Times New Roman" w:cs="Times New Roman"/>
                <w:sz w:val="20"/>
                <w:szCs w:val="20"/>
                <w:lang w:val="en-GB"/>
              </w:rPr>
              <w:t xml:space="preserve">Assessment and comparison of locomotor patterns in Osteosarcoma patients who went intra-articular knee limb salvage surgery via electromyographic and energetic </w:t>
            </w:r>
            <w:r w:rsidRPr="005B5460">
              <w:rPr>
                <w:rFonts w:ascii="Times New Roman" w:hAnsi="Times New Roman" w:cs="Times New Roman"/>
                <w:sz w:val="20"/>
                <w:szCs w:val="20"/>
                <w:lang w:val="en-GB"/>
              </w:rPr>
              <w:lastRenderedPageBreak/>
              <w:t>measurement techniques.</w:t>
            </w:r>
          </w:p>
          <w:p w14:paraId="52D8EC63" w14:textId="77777777" w:rsidR="00A50017" w:rsidRPr="005B5460" w:rsidRDefault="00A50017" w:rsidP="00DE49A9">
            <w:pPr>
              <w:spacing w:line="240" w:lineRule="auto"/>
              <w:rPr>
                <w:rFonts w:ascii="Times New Roman" w:hAnsi="Times New Roman" w:cs="Times New Roman"/>
                <w:sz w:val="20"/>
                <w:szCs w:val="20"/>
              </w:rPr>
            </w:pPr>
          </w:p>
        </w:tc>
        <w:tc>
          <w:tcPr>
            <w:tcW w:w="2552" w:type="dxa"/>
          </w:tcPr>
          <w:p w14:paraId="6C1AC449" w14:textId="77777777" w:rsidR="00A50017" w:rsidRPr="005B5460" w:rsidRDefault="00A50017" w:rsidP="00A50017">
            <w:pPr>
              <w:spacing w:line="240" w:lineRule="auto"/>
              <w:rPr>
                <w:rFonts w:ascii="Times New Roman" w:hAnsi="Times New Roman" w:cs="Times New Roman"/>
                <w:sz w:val="20"/>
                <w:szCs w:val="20"/>
                <w:lang w:val="en-GB"/>
              </w:rPr>
            </w:pPr>
            <w:r w:rsidRPr="005B5460">
              <w:rPr>
                <w:rFonts w:ascii="Times New Roman" w:hAnsi="Times New Roman" w:cs="Times New Roman"/>
                <w:sz w:val="20"/>
                <w:szCs w:val="20"/>
                <w:lang w:val="en-GB"/>
              </w:rPr>
              <w:lastRenderedPageBreak/>
              <w:t>EMG:</w:t>
            </w:r>
            <w:r w:rsidRPr="005B5460">
              <w:rPr>
                <w:rFonts w:ascii="Times New Roman" w:hAnsi="Times New Roman" w:cs="Times New Roman"/>
                <w:sz w:val="20"/>
                <w:szCs w:val="20"/>
                <w:lang w:val="en-GB"/>
              </w:rPr>
              <w:br/>
            </w:r>
            <w:r w:rsidRPr="005B5460">
              <w:rPr>
                <w:rFonts w:ascii="Times New Roman" w:hAnsi="Times New Roman" w:cs="Times New Roman"/>
                <w:sz w:val="20"/>
                <w:szCs w:val="20"/>
                <w:lang w:val="en-GB"/>
              </w:rPr>
              <w:br/>
            </w:r>
            <w:r w:rsidRPr="005B5460">
              <w:rPr>
                <w:rFonts w:ascii="Times New Roman" w:hAnsi="Times New Roman" w:cs="Times New Roman"/>
                <w:i/>
                <w:iCs/>
                <w:sz w:val="20"/>
                <w:szCs w:val="20"/>
                <w:lang w:val="en-GB"/>
              </w:rPr>
              <w:t>Stance Phase</w:t>
            </w:r>
            <w:r w:rsidRPr="005B5460">
              <w:rPr>
                <w:rFonts w:ascii="Times New Roman" w:hAnsi="Times New Roman" w:cs="Times New Roman"/>
                <w:sz w:val="20"/>
                <w:szCs w:val="20"/>
                <w:lang w:val="en-GB"/>
              </w:rPr>
              <w:t>:</w:t>
            </w:r>
          </w:p>
          <w:p w14:paraId="59E9082C" w14:textId="5E14B6B4" w:rsidR="00A50017" w:rsidRPr="005B5460" w:rsidRDefault="00A50017" w:rsidP="00A50017">
            <w:pPr>
              <w:spacing w:line="240" w:lineRule="auto"/>
              <w:rPr>
                <w:rFonts w:ascii="Times New Roman" w:hAnsi="Times New Roman" w:cs="Times New Roman"/>
                <w:sz w:val="20"/>
                <w:szCs w:val="20"/>
                <w:lang w:val="en-GB"/>
              </w:rPr>
            </w:pPr>
            <w:r w:rsidRPr="005B5460">
              <w:rPr>
                <w:rFonts w:ascii="Times New Roman" w:hAnsi="Times New Roman" w:cs="Times New Roman"/>
                <w:sz w:val="20"/>
                <w:szCs w:val="20"/>
                <w:lang w:val="en-GB"/>
              </w:rPr>
              <w:t>prolonged activation of rectus femoris and prolonged co-contraction of the rectus femoris and hamstring muscles in the affected limb</w:t>
            </w:r>
            <w:r w:rsidRPr="005B5460">
              <w:rPr>
                <w:rFonts w:ascii="Times New Roman" w:hAnsi="Times New Roman" w:cs="Times New Roman"/>
                <w:sz w:val="20"/>
                <w:szCs w:val="20"/>
                <w:lang w:val="en-GB"/>
              </w:rPr>
              <w:br/>
            </w:r>
            <w:r w:rsidRPr="005B5460">
              <w:rPr>
                <w:rFonts w:ascii="Times New Roman" w:hAnsi="Times New Roman" w:cs="Times New Roman"/>
                <w:sz w:val="20"/>
                <w:szCs w:val="20"/>
                <w:lang w:val="en-GB"/>
              </w:rPr>
              <w:br/>
            </w:r>
            <w:r w:rsidRPr="005B5460">
              <w:rPr>
                <w:rFonts w:ascii="Times New Roman" w:hAnsi="Times New Roman" w:cs="Times New Roman"/>
                <w:sz w:val="20"/>
                <w:szCs w:val="20"/>
                <w:lang w:val="en-GB"/>
              </w:rPr>
              <w:lastRenderedPageBreak/>
              <w:t>of the LSS group compared to a control group (p &gt; 0.05).</w:t>
            </w:r>
          </w:p>
          <w:p w14:paraId="5BEB704D" w14:textId="77777777" w:rsidR="00A50017" w:rsidRPr="005B5460" w:rsidRDefault="00A50017" w:rsidP="00A50017">
            <w:pPr>
              <w:spacing w:line="240" w:lineRule="auto"/>
              <w:rPr>
                <w:rFonts w:ascii="Times New Roman" w:hAnsi="Times New Roman" w:cs="Times New Roman"/>
                <w:sz w:val="20"/>
                <w:szCs w:val="20"/>
                <w:lang w:val="en-GB"/>
              </w:rPr>
            </w:pPr>
            <w:r w:rsidRPr="005B5460">
              <w:rPr>
                <w:rFonts w:ascii="Times New Roman" w:hAnsi="Times New Roman" w:cs="Times New Roman"/>
                <w:sz w:val="20"/>
                <w:szCs w:val="20"/>
                <w:lang w:val="en-GB"/>
              </w:rPr>
              <w:t xml:space="preserve">Higher </w:t>
            </w:r>
            <w:proofErr w:type="spellStart"/>
            <w:r w:rsidRPr="005B5460">
              <w:rPr>
                <w:rFonts w:ascii="Times New Roman" w:hAnsi="Times New Roman" w:cs="Times New Roman"/>
                <w:sz w:val="20"/>
                <w:szCs w:val="20"/>
                <w:lang w:val="en-GB"/>
              </w:rPr>
              <w:t>Quadricepts</w:t>
            </w:r>
            <w:proofErr w:type="spellEnd"/>
            <w:r w:rsidRPr="005B5460">
              <w:rPr>
                <w:rFonts w:ascii="Times New Roman" w:hAnsi="Times New Roman" w:cs="Times New Roman"/>
                <w:sz w:val="20"/>
                <w:szCs w:val="20"/>
                <w:lang w:val="en-GB"/>
              </w:rPr>
              <w:t xml:space="preserve"> to Hamstring co-contraction index in affected limb than unaffected when compared to control group (P=0.01).</w:t>
            </w:r>
          </w:p>
          <w:p w14:paraId="72401E86" w14:textId="77777777" w:rsidR="00A50017" w:rsidRPr="005B5460" w:rsidRDefault="00A50017" w:rsidP="00A50017">
            <w:pPr>
              <w:spacing w:line="240" w:lineRule="auto"/>
              <w:rPr>
                <w:rFonts w:ascii="Times New Roman" w:hAnsi="Times New Roman" w:cs="Times New Roman"/>
                <w:sz w:val="20"/>
                <w:szCs w:val="20"/>
                <w:lang w:val="en-GB"/>
              </w:rPr>
            </w:pPr>
            <w:r w:rsidRPr="005B5460">
              <w:rPr>
                <w:rFonts w:ascii="Times New Roman" w:hAnsi="Times New Roman" w:cs="Times New Roman"/>
                <w:i/>
                <w:iCs/>
                <w:sz w:val="20"/>
                <w:szCs w:val="20"/>
                <w:lang w:val="en-GB"/>
              </w:rPr>
              <w:t>Energy Measure:</w:t>
            </w:r>
            <w:r w:rsidRPr="005B5460">
              <w:rPr>
                <w:rFonts w:ascii="Times New Roman" w:hAnsi="Times New Roman" w:cs="Times New Roman"/>
                <w:i/>
                <w:iCs/>
                <w:sz w:val="20"/>
                <w:szCs w:val="20"/>
                <w:lang w:val="en-GB"/>
              </w:rPr>
              <w:br/>
            </w:r>
            <w:r w:rsidRPr="005B5460">
              <w:rPr>
                <w:rFonts w:ascii="Times New Roman" w:hAnsi="Times New Roman" w:cs="Times New Roman"/>
                <w:i/>
                <w:iCs/>
                <w:sz w:val="20"/>
                <w:szCs w:val="20"/>
                <w:lang w:val="en-GB"/>
              </w:rPr>
              <w:br/>
            </w:r>
            <w:r w:rsidRPr="005B5460">
              <w:rPr>
                <w:rFonts w:ascii="Times New Roman" w:hAnsi="Times New Roman" w:cs="Times New Roman"/>
                <w:sz w:val="20"/>
                <w:szCs w:val="20"/>
                <w:lang w:val="en-GB"/>
              </w:rPr>
              <w:t>Gross Energy Expenditure + Net Energy Expenditure + Energetic Cost Measurements were all significantly higher in LSS group (P &lt; 0.01) indicating higher amount of energy used by LSS group during walking activity when compared to control group.</w:t>
            </w:r>
          </w:p>
          <w:p w14:paraId="66F17A90" w14:textId="77777777" w:rsidR="00A50017" w:rsidRPr="005B5460" w:rsidRDefault="00A50017" w:rsidP="00A50017">
            <w:pPr>
              <w:spacing w:line="240" w:lineRule="auto"/>
              <w:rPr>
                <w:rFonts w:ascii="Times New Roman" w:hAnsi="Times New Roman" w:cs="Times New Roman"/>
                <w:sz w:val="20"/>
                <w:szCs w:val="20"/>
              </w:rPr>
            </w:pPr>
          </w:p>
        </w:tc>
        <w:tc>
          <w:tcPr>
            <w:tcW w:w="2268" w:type="dxa"/>
          </w:tcPr>
          <w:p w14:paraId="61411700" w14:textId="67490F21" w:rsidR="00A50017" w:rsidRPr="005B5460" w:rsidRDefault="00A50017" w:rsidP="00A50017">
            <w:pPr>
              <w:spacing w:after="0" w:line="240" w:lineRule="auto"/>
              <w:ind w:left="27"/>
              <w:rPr>
                <w:rFonts w:ascii="Times New Roman" w:hAnsi="Times New Roman" w:cs="Times New Roman"/>
                <w:sz w:val="20"/>
                <w:szCs w:val="20"/>
                <w:lang w:val="en-GB"/>
              </w:rPr>
            </w:pPr>
            <w:r w:rsidRPr="005B5460">
              <w:rPr>
                <w:rFonts w:ascii="Times New Roman" w:hAnsi="Times New Roman" w:cs="Times New Roman"/>
                <w:sz w:val="20"/>
                <w:szCs w:val="20"/>
                <w:lang w:val="en-GB"/>
              </w:rPr>
              <w:lastRenderedPageBreak/>
              <w:t>Small Sample Size and uneven comparison between case and control groups.</w:t>
            </w:r>
          </w:p>
          <w:p w14:paraId="78D6403F" w14:textId="77777777" w:rsidR="00A50017" w:rsidRPr="005B5460" w:rsidRDefault="00A50017" w:rsidP="00A50017">
            <w:pPr>
              <w:spacing w:after="0" w:line="240" w:lineRule="auto"/>
              <w:ind w:left="27"/>
              <w:rPr>
                <w:rFonts w:ascii="Times New Roman" w:hAnsi="Times New Roman" w:cs="Times New Roman"/>
                <w:sz w:val="20"/>
                <w:szCs w:val="20"/>
                <w:lang w:val="en-GB"/>
              </w:rPr>
            </w:pPr>
          </w:p>
          <w:p w14:paraId="191C500A" w14:textId="77777777" w:rsidR="00A50017" w:rsidRPr="005B5460" w:rsidRDefault="00A50017" w:rsidP="00A50017">
            <w:pPr>
              <w:spacing w:after="0" w:line="240" w:lineRule="auto"/>
              <w:ind w:left="27"/>
              <w:rPr>
                <w:rFonts w:ascii="Times New Roman" w:hAnsi="Times New Roman" w:cs="Times New Roman"/>
                <w:sz w:val="20"/>
                <w:szCs w:val="20"/>
                <w:lang w:val="en-GB"/>
              </w:rPr>
            </w:pPr>
            <w:r w:rsidRPr="005B5460">
              <w:rPr>
                <w:rFonts w:ascii="Times New Roman" w:hAnsi="Times New Roman" w:cs="Times New Roman"/>
                <w:sz w:val="20"/>
                <w:szCs w:val="20"/>
                <w:lang w:val="en-GB"/>
              </w:rPr>
              <w:t>Study design is not well developed and executed. </w:t>
            </w:r>
          </w:p>
          <w:p w14:paraId="6E375ED4" w14:textId="77777777" w:rsidR="00A50017" w:rsidRPr="005B5460" w:rsidRDefault="00A50017" w:rsidP="00A50017">
            <w:pPr>
              <w:spacing w:after="0" w:line="240" w:lineRule="auto"/>
              <w:ind w:left="27"/>
              <w:rPr>
                <w:rFonts w:ascii="Times New Roman" w:hAnsi="Times New Roman" w:cs="Times New Roman"/>
                <w:sz w:val="20"/>
                <w:szCs w:val="20"/>
                <w:lang w:val="en-GB"/>
              </w:rPr>
            </w:pPr>
            <w:r w:rsidRPr="005B5460">
              <w:rPr>
                <w:rFonts w:ascii="Times New Roman" w:hAnsi="Times New Roman" w:cs="Times New Roman"/>
                <w:sz w:val="20"/>
                <w:szCs w:val="20"/>
                <w:lang w:val="en-GB"/>
              </w:rPr>
              <w:t xml:space="preserve">Confounding factors which lead to cardiopulmonary issues in cancer patients such as adjuvant therapies </w:t>
            </w:r>
            <w:r w:rsidRPr="005B5460">
              <w:rPr>
                <w:rFonts w:ascii="Times New Roman" w:hAnsi="Times New Roman" w:cs="Times New Roman"/>
                <w:sz w:val="20"/>
                <w:szCs w:val="20"/>
                <w:lang w:val="en-GB"/>
              </w:rPr>
              <w:lastRenderedPageBreak/>
              <w:t>were not taken into account especially with the use of Energy Consumption Measures.</w:t>
            </w:r>
          </w:p>
          <w:p w14:paraId="58F7D608" w14:textId="77777777" w:rsidR="00A50017" w:rsidRPr="005B5460" w:rsidRDefault="00A50017" w:rsidP="00A50017">
            <w:pPr>
              <w:spacing w:after="0" w:line="240" w:lineRule="auto"/>
              <w:ind w:left="27"/>
              <w:rPr>
                <w:rFonts w:ascii="Times New Roman" w:hAnsi="Times New Roman" w:cs="Times New Roman"/>
                <w:sz w:val="20"/>
                <w:szCs w:val="20"/>
              </w:rPr>
            </w:pPr>
          </w:p>
        </w:tc>
      </w:tr>
    </w:tbl>
    <w:p w14:paraId="436EFC7A" w14:textId="49E0C0C1" w:rsidR="00631CE9" w:rsidRPr="005B5460" w:rsidRDefault="00631CE9" w:rsidP="0081009E">
      <w:pPr>
        <w:spacing w:line="480" w:lineRule="auto"/>
        <w:rPr>
          <w:rFonts w:ascii="Times New Roman" w:hAnsi="Times New Roman" w:cs="Times New Roman"/>
        </w:rPr>
        <w:sectPr w:rsidR="00631CE9" w:rsidRPr="005B5460" w:rsidSect="00631CE9">
          <w:pgSz w:w="16840" w:h="11900" w:orient="landscape"/>
          <w:pgMar w:top="1701" w:right="1701" w:bottom="1701" w:left="1701" w:header="709" w:footer="709" w:gutter="0"/>
          <w:cols w:space="708"/>
          <w:docGrid w:linePitch="360"/>
        </w:sectPr>
      </w:pPr>
    </w:p>
    <w:p w14:paraId="394FCDC1" w14:textId="35CDFECD" w:rsidR="00631CE9" w:rsidRPr="005B5460" w:rsidRDefault="00631CE9" w:rsidP="0081009E">
      <w:pPr>
        <w:spacing w:line="480" w:lineRule="auto"/>
        <w:rPr>
          <w:rFonts w:ascii="Times New Roman" w:hAnsi="Times New Roman" w:cs="Times New Roman"/>
        </w:rPr>
      </w:pPr>
      <w:r w:rsidRPr="005B5460">
        <w:rPr>
          <w:rFonts w:ascii="Times New Roman" w:hAnsi="Times New Roman" w:cs="Times New Roman"/>
        </w:rPr>
        <w:lastRenderedPageBreak/>
        <w:t xml:space="preserve">Table 5: </w:t>
      </w:r>
      <w:r w:rsidR="00875905" w:rsidRPr="005B5460">
        <w:rPr>
          <w:rFonts w:ascii="Times New Roman" w:hAnsi="Times New Roman" w:cs="Times New Roman"/>
        </w:rPr>
        <w:t>Summary review of</w:t>
      </w:r>
      <w:r w:rsidRPr="005B5460">
        <w:rPr>
          <w:rFonts w:ascii="Times New Roman" w:hAnsi="Times New Roman" w:cs="Times New Roman"/>
        </w:rPr>
        <w:t xml:space="preserve"> articles with respect to three themes.</w:t>
      </w:r>
    </w:p>
    <w:tbl>
      <w:tblPr>
        <w:tblStyle w:val="TableGrid"/>
        <w:tblpPr w:leftFromText="180" w:rightFromText="180" w:vertAnchor="text" w:tblpY="1"/>
        <w:tblOverlap w:val="never"/>
        <w:tblW w:w="0" w:type="auto"/>
        <w:tblLook w:val="04A0" w:firstRow="1" w:lastRow="0" w:firstColumn="1" w:lastColumn="0" w:noHBand="0" w:noVBand="1"/>
      </w:tblPr>
      <w:tblGrid>
        <w:gridCol w:w="2126"/>
        <w:gridCol w:w="2134"/>
        <w:gridCol w:w="2067"/>
        <w:gridCol w:w="2161"/>
      </w:tblGrid>
      <w:tr w:rsidR="00796779" w:rsidRPr="005B5460" w14:paraId="5B4CF564" w14:textId="77777777" w:rsidTr="009D0EA8">
        <w:trPr>
          <w:trHeight w:val="485"/>
        </w:trPr>
        <w:tc>
          <w:tcPr>
            <w:tcW w:w="2254" w:type="dxa"/>
            <w:shd w:val="clear" w:color="auto" w:fill="D9D9D9" w:themeFill="background1" w:themeFillShade="D9"/>
          </w:tcPr>
          <w:p w14:paraId="60D59ABF" w14:textId="77777777" w:rsidR="000E7809" w:rsidRPr="005B5460" w:rsidRDefault="000E7809" w:rsidP="009D0EA8">
            <w:pPr>
              <w:spacing w:line="480" w:lineRule="auto"/>
              <w:rPr>
                <w:rFonts w:ascii="Times New Roman" w:hAnsi="Times New Roman" w:cs="Times New Roman"/>
                <w:b/>
                <w:bCs/>
              </w:rPr>
            </w:pPr>
          </w:p>
        </w:tc>
        <w:tc>
          <w:tcPr>
            <w:tcW w:w="2259" w:type="dxa"/>
            <w:shd w:val="clear" w:color="auto" w:fill="D9D9D9" w:themeFill="background1" w:themeFillShade="D9"/>
          </w:tcPr>
          <w:p w14:paraId="7D9E897E"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t>Functional Outcomes</w:t>
            </w:r>
          </w:p>
        </w:tc>
        <w:tc>
          <w:tcPr>
            <w:tcW w:w="2225" w:type="dxa"/>
            <w:shd w:val="clear" w:color="auto" w:fill="D9D9D9" w:themeFill="background1" w:themeFillShade="D9"/>
          </w:tcPr>
          <w:p w14:paraId="460DAD7F"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t>Quality of Life</w:t>
            </w:r>
          </w:p>
        </w:tc>
        <w:tc>
          <w:tcPr>
            <w:tcW w:w="2272" w:type="dxa"/>
            <w:shd w:val="clear" w:color="auto" w:fill="D9D9D9" w:themeFill="background1" w:themeFillShade="D9"/>
          </w:tcPr>
          <w:p w14:paraId="15C5AB65"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t>Gait and Knee Goniometry</w:t>
            </w:r>
          </w:p>
        </w:tc>
      </w:tr>
      <w:tr w:rsidR="00796779" w:rsidRPr="005B5460" w14:paraId="321F29FC" w14:textId="77777777" w:rsidTr="009D0EA8">
        <w:trPr>
          <w:trHeight w:val="440"/>
        </w:trPr>
        <w:tc>
          <w:tcPr>
            <w:tcW w:w="2254" w:type="dxa"/>
            <w:shd w:val="clear" w:color="auto" w:fill="D9D9D9" w:themeFill="background1" w:themeFillShade="D9"/>
          </w:tcPr>
          <w:p w14:paraId="326EE3E8" w14:textId="77777777" w:rsidR="000E7809" w:rsidRPr="005B5460" w:rsidRDefault="000E7809" w:rsidP="009D0EA8">
            <w:pPr>
              <w:spacing w:line="480" w:lineRule="auto"/>
              <w:rPr>
                <w:rFonts w:ascii="Times New Roman" w:hAnsi="Times New Roman" w:cs="Times New Roman"/>
                <w:b/>
                <w:bCs/>
              </w:rPr>
            </w:pPr>
            <w:proofErr w:type="spellStart"/>
            <w:r w:rsidRPr="005B5460">
              <w:rPr>
                <w:rFonts w:ascii="Times New Roman" w:hAnsi="Times New Roman" w:cs="Times New Roman"/>
                <w:b/>
                <w:bCs/>
              </w:rPr>
              <w:t>Bekkering</w:t>
            </w:r>
            <w:proofErr w:type="spellEnd"/>
            <w:r w:rsidRPr="005B5460">
              <w:rPr>
                <w:rFonts w:ascii="Times New Roman" w:hAnsi="Times New Roman" w:cs="Times New Roman"/>
                <w:b/>
                <w:bCs/>
              </w:rPr>
              <w:t xml:space="preserve"> et al.</w:t>
            </w:r>
          </w:p>
          <w:p w14:paraId="632A084E" w14:textId="1D6AA961" w:rsidR="000E7809" w:rsidRPr="005B5460" w:rsidRDefault="000E7809" w:rsidP="009D0EA8">
            <w:pPr>
              <w:spacing w:line="480" w:lineRule="auto"/>
              <w:rPr>
                <w:rFonts w:ascii="Times New Roman" w:hAnsi="Times New Roman" w:cs="Times New Roman"/>
              </w:rPr>
            </w:pPr>
            <w:r w:rsidRPr="005B5460">
              <w:rPr>
                <w:rFonts w:ascii="Times New Roman" w:hAnsi="Times New Roman" w:cs="Times New Roman"/>
              </w:rPr>
              <w:t xml:space="preserve">2011 </w:t>
            </w:r>
            <w:r w:rsidR="00A74164" w:rsidRPr="005B5460">
              <w:rPr>
                <w:rFonts w:ascii="Times New Roman" w:hAnsi="Times New Roman" w:cs="Times New Roman"/>
              </w:rPr>
              <w:fldChar w:fldCharType="begin" w:fldLock="1"/>
            </w:r>
            <w:r w:rsidR="00A74164" w:rsidRPr="005B5460">
              <w:rPr>
                <w:rFonts w:ascii="Times New Roman" w:hAnsi="Times New Roman" w:cs="Times New Roman"/>
              </w:rPr>
              <w:instrText>ADDIN CSL_CITATION {"citationItems":[{"id":"ITEM-1","itemData":{"DOI":"10.1002/jso.21828","ISSN":"1096-9098 (Electronic)","PMID":"21337557","abstract":"BACKGROUND: Aim of our study was to compare functional ability and physical activity  in children and young adults who underwent surgery for a malignant bone tumor that was located around the knee. METHODS: This cross-sectional study included 82 patients aged 8-25 years with a follow-up of 1-5 years. The functional ability and the amount of physical activity were evaluated by means of questionnaires and objective instruments. RESULTS: Thirty nine patients underwent limb-salvage surgery (24 allograft and 15 endoprosthesis) and 43 underwent ablative surgery (27 amputations and 16 rotationplasty). Patients in the limb-salvage group were significantly older at the time of surgery than patients in the ablative group (mean age 15.2 years vs. 13.2 years, P = 0.03). Apart from significantly better scores for the timed up and down stairs and various walking activities in the limb-salvage group as compared to the ablative surgery group, no significant differences were seen for any of the outcome measures. CONCLUSIONS: One to 5 years after limb-salvage and ablative surgery due to a malignant bone tumor children and young adults do, apart from a few activities involving walking and climbing stairs, not differ with respect to overall functional ability and physical activity.","author":[{"dropping-particle":"","family":"Bekkering","given":"W Peter","non-dropping-particle":"","parse-names":false,"suffix":""},{"dropping-particle":"","family":"Vliet Vlieland","given":"Theodora P M","non-dropping-particle":"","parse-names":false,"suffix":""},{"dropping-particle":"","family":"Koopman","given":"Hendrik M","non-dropping-particle":"","parse-names":false,"suffix":""},{"dropping-particle":"","family":"Schaap","given":"Gerard R","non-dropping-particle":"","parse-names":false,"suffix":""},{"dropping-particle":"","family":"Bart Schreuder","given":"H W","non-dropping-particle":"","parse-names":false,"suffix":""},{"dropping-particle":"","family":"Beishuizen","given":"Auke","non-dropping-particle":"","parse-names":false,"suffix":""},{"dropping-particle":"","family":"Jutte","given":"Paul C","non-dropping-particle":"","parse-names":false,"suffix":""},{"dropping-particle":"","family":"Hoogerbrugge","given":"Peter M","non-dropping-particle":"","parse-names":false,"suffix":""},{"dropping-particle":"","family":"Anninga","given":"Jacob K","non-dropping-particle":"","parse-names":false,"suffix":""},{"dropping-particle":"","family":"Nelissen","given":"Rob G H H","non-dropping-particle":"","parse-names":false,"suffix":""},{"dropping-particle":"","family":"Taminiau","given":"Antonie H M","non-dropping-particle":"","parse-names":false,"suffix":""}],"container-title":"Journal of surgical oncology","id":"ITEM-1","issue":"3","issued":{"date-parts":[["2011","3"]]},"language":"eng","page":"276-282","publisher-place":"United States","title":"Functional ability and physical activity in children and young adults after  limb-salvage or ablative surgery for lower extremity bone tumors.","type":"article-journal","volume":"103"},"uris":["http://www.mendeley.com/documents/?uuid=46086f6e-f63d-4ad9-82d8-9ecafd272161"]}],"mendeley":{"formattedCitation":"(21)","plainTextFormattedCitation":"(21)","previouslyFormattedCitation":"(21)"},"properties":{"noteIndex":0},"schema":"https://github.com/citation-style-language/schema/raw/master/csl-citation.json"}</w:instrText>
            </w:r>
            <w:r w:rsidR="00A74164" w:rsidRPr="005B5460">
              <w:rPr>
                <w:rFonts w:ascii="Times New Roman" w:hAnsi="Times New Roman" w:cs="Times New Roman"/>
              </w:rPr>
              <w:fldChar w:fldCharType="separate"/>
            </w:r>
            <w:r w:rsidR="00A74164" w:rsidRPr="005B5460">
              <w:rPr>
                <w:rFonts w:ascii="Times New Roman" w:hAnsi="Times New Roman" w:cs="Times New Roman"/>
                <w:noProof/>
              </w:rPr>
              <w:t>(21)</w:t>
            </w:r>
            <w:r w:rsidR="00A74164" w:rsidRPr="005B5460">
              <w:rPr>
                <w:rFonts w:ascii="Times New Roman" w:hAnsi="Times New Roman" w:cs="Times New Roman"/>
              </w:rPr>
              <w:fldChar w:fldCharType="end"/>
            </w:r>
          </w:p>
        </w:tc>
        <w:tc>
          <w:tcPr>
            <w:tcW w:w="2259" w:type="dxa"/>
          </w:tcPr>
          <w:p w14:paraId="5E8D8E0C"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c>
          <w:tcPr>
            <w:tcW w:w="2225" w:type="dxa"/>
          </w:tcPr>
          <w:p w14:paraId="778F49E8"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c>
          <w:tcPr>
            <w:tcW w:w="2272" w:type="dxa"/>
          </w:tcPr>
          <w:p w14:paraId="4F134A88"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r>
      <w:tr w:rsidR="00796779" w:rsidRPr="005B5460" w14:paraId="6BB567BF" w14:textId="77777777" w:rsidTr="009D0EA8">
        <w:trPr>
          <w:trHeight w:val="440"/>
        </w:trPr>
        <w:tc>
          <w:tcPr>
            <w:tcW w:w="2254" w:type="dxa"/>
            <w:shd w:val="clear" w:color="auto" w:fill="D9D9D9" w:themeFill="background1" w:themeFillShade="D9"/>
          </w:tcPr>
          <w:p w14:paraId="709A7592"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t>Carty et al.</w:t>
            </w:r>
          </w:p>
          <w:p w14:paraId="709D57C0" w14:textId="31C669C8" w:rsidR="000E7809" w:rsidRPr="005B5460" w:rsidRDefault="000E7809" w:rsidP="009D0EA8">
            <w:pPr>
              <w:spacing w:line="480" w:lineRule="auto"/>
              <w:rPr>
                <w:rFonts w:ascii="Times New Roman" w:hAnsi="Times New Roman" w:cs="Times New Roman"/>
              </w:rPr>
            </w:pPr>
            <w:r w:rsidRPr="005B5460">
              <w:rPr>
                <w:rFonts w:ascii="Times New Roman" w:hAnsi="Times New Roman" w:cs="Times New Roman"/>
              </w:rPr>
              <w:t xml:space="preserve">2009 </w:t>
            </w:r>
            <w:r w:rsidR="00A74164" w:rsidRPr="005B5460">
              <w:rPr>
                <w:rFonts w:ascii="Times New Roman" w:hAnsi="Times New Roman" w:cs="Times New Roman"/>
              </w:rPr>
              <w:fldChar w:fldCharType="begin" w:fldLock="1"/>
            </w:r>
            <w:r w:rsidR="00BF2558" w:rsidRPr="005B5460">
              <w:rPr>
                <w:rFonts w:ascii="Times New Roman" w:hAnsi="Times New Roman" w:cs="Times New Roman"/>
              </w:rPr>
              <w:instrText>ADDIN CSL_CITATION {"citationItems":[{"id":"ITEM-1","itemData":{"DOI":"10.1016/j.knee.2009.02.006","ISSN":"1873-5800 (Electronic)","PMID":"19269182","abstract":"Bone sarcomas are the fourth most common cancer in individuals under 25 years. Limb  salvage procedures are popular for the treatment of osteosarcomas as they have functional and physiological benefits over traditional amputative procedures. The objective of this study was to apply disease specific measures to a group of intra-articular knee osteosarcoma patients and to evaluate structural and treatment variables predictive of the functional outcome scores. Twenty patients (10 female, 10 male) treated with tumour resection and endoprosthetic knee arthroplasty took part in the study. The Musculoskeletal Tumour Society (MSTS) rating scale and the Toronto Extremity Salvage Score (TESS) were used to assess impairment and disability respectively. Impairment was recorded as 83% and disability was recorded as 86% suggesting moderate to high function following limb salvage surgery. Task difficulty was shown to increase for activities requiring large knee flexion angles, presumably due to increased patellofemoral forces. Bivariate correlations revealed that loss of quadriceps musculature, knee extension strength and knee flexion range of motion were parameters moderately associated with the assessment instruments. ANOVA revealed no significant differences in impairment (P=0.962) or disability (P=0.411) between the differing types of prostheses. In conclusion clinicians and therapists should emphasise restoration of post-surgical range of motion and strength in order to enhance functional recovery.","author":[{"dropping-particle":"","family":"Carty","given":"Christopher P","non-dropping-particle":"","parse-names":false,"suffix":""},{"dropping-particle":"","family":"Dickinson","given":"Ian C","non-dropping-particle":"","parse-names":false,"suffix":""},{"dropping-particle":"","family":"Watts","given":"Mark C","non-dropping-particle":"","parse-names":false,"suffix":""},{"dropping-particle":"","family":"Crawford","given":"Ross W","non-dropping-particle":"","parse-names":false,"suffix":""},{"dropping-particle":"","family":"Steadman","given":"Peter","non-dropping-particle":"","parse-names":false,"suffix":""}],"container-title":"The Knee","id":"ITEM-1","issue":"5","issued":{"date-parts":[["2009","10"]]},"language":"eng","page":"405-408","publisher-place":"Netherlands","title":"Impairment and disability following limb salvage procedures for bone sarcoma.","type":"article-journal","volume":"16"},"uris":["http://www.mendeley.com/documents/?uuid=f0acb2b8-fdb8-4093-97e7-40e9515dd570"]}],"mendeley":{"formattedCitation":"(20)","plainTextFormattedCitation":"(20)","previouslyFormattedCitation":"(20)"},"properties":{"noteIndex":0},"schema":"https://github.com/citation-style-language/schema/raw/master/csl-citation.json"}</w:instrText>
            </w:r>
            <w:r w:rsidR="00A74164" w:rsidRPr="005B5460">
              <w:rPr>
                <w:rFonts w:ascii="Times New Roman" w:hAnsi="Times New Roman" w:cs="Times New Roman"/>
              </w:rPr>
              <w:fldChar w:fldCharType="separate"/>
            </w:r>
            <w:r w:rsidR="00A74164" w:rsidRPr="005B5460">
              <w:rPr>
                <w:rFonts w:ascii="Times New Roman" w:hAnsi="Times New Roman" w:cs="Times New Roman"/>
                <w:noProof/>
              </w:rPr>
              <w:t>(20)</w:t>
            </w:r>
            <w:r w:rsidR="00A74164" w:rsidRPr="005B5460">
              <w:rPr>
                <w:rFonts w:ascii="Times New Roman" w:hAnsi="Times New Roman" w:cs="Times New Roman"/>
              </w:rPr>
              <w:fldChar w:fldCharType="end"/>
            </w:r>
          </w:p>
        </w:tc>
        <w:tc>
          <w:tcPr>
            <w:tcW w:w="2259" w:type="dxa"/>
          </w:tcPr>
          <w:p w14:paraId="5F3C4860"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c>
          <w:tcPr>
            <w:tcW w:w="2225" w:type="dxa"/>
          </w:tcPr>
          <w:p w14:paraId="26B16CCF"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c>
          <w:tcPr>
            <w:tcW w:w="2272" w:type="dxa"/>
          </w:tcPr>
          <w:p w14:paraId="7FA8042E" w14:textId="77777777" w:rsidR="000E7809" w:rsidRPr="005B5460" w:rsidRDefault="000E7809" w:rsidP="009D0EA8">
            <w:pPr>
              <w:spacing w:line="480" w:lineRule="auto"/>
              <w:rPr>
                <w:rFonts w:ascii="Times New Roman" w:hAnsi="Times New Roman" w:cs="Times New Roman"/>
              </w:rPr>
            </w:pPr>
            <w:r w:rsidRPr="005B5460">
              <w:rPr>
                <w:rFonts w:ascii="Times New Roman" w:hAnsi="Times New Roman" w:cs="Times New Roman"/>
                <w:b/>
                <w:bCs/>
              </w:rPr>
              <w:sym w:font="Wingdings" w:char="F0FC"/>
            </w:r>
          </w:p>
        </w:tc>
      </w:tr>
      <w:tr w:rsidR="00796779" w:rsidRPr="005B5460" w14:paraId="336C8FF5" w14:textId="77777777" w:rsidTr="009D0EA8">
        <w:trPr>
          <w:trHeight w:val="440"/>
        </w:trPr>
        <w:tc>
          <w:tcPr>
            <w:tcW w:w="2254" w:type="dxa"/>
            <w:shd w:val="clear" w:color="auto" w:fill="D9D9D9" w:themeFill="background1" w:themeFillShade="D9"/>
          </w:tcPr>
          <w:p w14:paraId="295A0126" w14:textId="77777777" w:rsidR="000E7809" w:rsidRPr="005B5460" w:rsidRDefault="000E7809" w:rsidP="009D0EA8">
            <w:pPr>
              <w:spacing w:line="480" w:lineRule="auto"/>
              <w:rPr>
                <w:rFonts w:ascii="Times New Roman" w:hAnsi="Times New Roman" w:cs="Times New Roman"/>
                <w:b/>
                <w:bCs/>
              </w:rPr>
            </w:pPr>
            <w:proofErr w:type="spellStart"/>
            <w:r w:rsidRPr="005B5460">
              <w:rPr>
                <w:rFonts w:ascii="Times New Roman" w:hAnsi="Times New Roman" w:cs="Times New Roman"/>
                <w:b/>
                <w:bCs/>
              </w:rPr>
              <w:t>Hardes</w:t>
            </w:r>
            <w:proofErr w:type="spellEnd"/>
            <w:r w:rsidRPr="005B5460">
              <w:rPr>
                <w:rFonts w:ascii="Times New Roman" w:hAnsi="Times New Roman" w:cs="Times New Roman"/>
                <w:b/>
                <w:bCs/>
              </w:rPr>
              <w:t xml:space="preserve"> et al.</w:t>
            </w:r>
          </w:p>
          <w:p w14:paraId="7CEAE4E5" w14:textId="58B6293A" w:rsidR="000E7809" w:rsidRPr="005B5460" w:rsidRDefault="000E7809" w:rsidP="009D0EA8">
            <w:pPr>
              <w:spacing w:line="480" w:lineRule="auto"/>
              <w:rPr>
                <w:rFonts w:ascii="Times New Roman" w:hAnsi="Times New Roman" w:cs="Times New Roman"/>
              </w:rPr>
            </w:pPr>
            <w:r w:rsidRPr="005B5460">
              <w:rPr>
                <w:rFonts w:ascii="Times New Roman" w:hAnsi="Times New Roman" w:cs="Times New Roman"/>
              </w:rPr>
              <w:t xml:space="preserve">2013 </w:t>
            </w:r>
            <w:r w:rsidR="00BF2558"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{"citationItems":[{"id":"ITEM-1","itemData":{"DOI":"10.1302/0301-620X.95B10.31740","ISSN":"2049-4408 (Electronic)","PMID":"24078544","abstract":"We evaluated the clinical results and complications after extra-articular resection  of the distal femur and/or proximal tibia and reconstruction with a tumour endoprosthesis (MUTARS) in 59 patients (mean age 33 years (11 to 74)) with malignant bone or soft-tissue tumours. According to a Kaplan-Meier analysis, limb survival was 76% (95% confidence interval (CI) 64.1 to 88.5) after a mean follow-up of 4.7 years (one month to 17 years). Peri-prosthetic infection was the most common indication for subsequent amputation (eight patients). Survival of the prosthesis without revision was 48% (95% CI 34.8 to 62.0) at two years and 25% (95% CI 11.1 to 39.9) at five years post-operatively. Failure of the prosthesis was due to deep infection in 22 patients (37%), aseptic loosening in ten patients (17%), and peri-prosthetic fracture in six patients (10%). Wear of the bearings made a minor revision necessary in 12 patients (20%). The mean Musculoskeletal Tumor Society score was 23 (10 to 29). An extensor lag &gt; 10° was noted in ten patients (17%). These results suggest that limb salvage after extra-articular resection with a tumour prosthesis can achieve good functional results in most patients, although the rates of complications and subsequent amputation are higher than in patients treated with intra-articular resection.","author":[{"dropping-particle":"","family":"Hardes","given":"J","non-dropping-particle":"","parse-names":false,"suffix":""},{"dropping-particle":"","family":"Henrichs","given":"M P","non-dropping-particle":"","parse-names":false,"suffix":""},{"dropping-particle":"","family":"Gosheger","given":"G","non-dropping-particle":"","parse-names":false,"suffix":""},{"dropping-particle":"","family":"Gebert","given":"C","non-dropping-particle":"","parse-names":false,"suffix":""},{"dropping-particle":"","family":"Höll","given":"S","non-dropping-particle":"","parse-names":false,"suffix":""},{"dropping-particle":"","family":"Dieckmann","given":"R","non-dropping-particle":"","parse-names":false,"suffix":""},{"dropping-particle":"","family":"Hauschild","given":"G","non-dropping-particle":"","parse-names":false,"suffix":""},{"dropping-particle":"","family":"Streitbürger","given":"A","non-dropping-particle":"","parse-names":false,"suffix":""}],"container-title":"The bone &amp; joint journal","id":"ITEM-1","issue":"10","issued":{"date-parts":[["2013","10"]]},"language":"eng","page":"1425-1431","publisher-place":"England","title":"Endoprosthetic replacement after extra-articular resection of bone and soft-tissue  tumours around the knee.","type":"article-journal","volume":"95-B"},"uris":["http://www.mendeley.com/documents/?uuid=910cd0ad-117c-448d-8ff7-d41f29f39e12"]}],"mendeley":{"formattedCitation":"(42)","plainTextFormattedCitation":"(42)","previouslyFormattedCitation":"(43)"},"properties":{"noteIndex":0},"schema":"https://github.com/citation-style-language/schema/raw/master/csl-citation.json"}</w:instrText>
            </w:r>
            <w:r w:rsidR="00BF2558" w:rsidRPr="005B5460">
              <w:rPr>
                <w:rFonts w:ascii="Times New Roman" w:hAnsi="Times New Roman" w:cs="Times New Roman"/>
              </w:rPr>
              <w:fldChar w:fldCharType="separate"/>
            </w:r>
            <w:r w:rsidR="009D0EA8" w:rsidRPr="005B5460">
              <w:rPr>
                <w:rFonts w:ascii="Times New Roman" w:hAnsi="Times New Roman" w:cs="Times New Roman"/>
                <w:noProof/>
              </w:rPr>
              <w:t>(42)</w:t>
            </w:r>
            <w:r w:rsidR="00BF2558" w:rsidRPr="005B5460">
              <w:rPr>
                <w:rFonts w:ascii="Times New Roman" w:hAnsi="Times New Roman" w:cs="Times New Roman"/>
              </w:rPr>
              <w:fldChar w:fldCharType="end"/>
            </w:r>
          </w:p>
        </w:tc>
        <w:tc>
          <w:tcPr>
            <w:tcW w:w="2259" w:type="dxa"/>
          </w:tcPr>
          <w:p w14:paraId="5A5C1A14"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c>
          <w:tcPr>
            <w:tcW w:w="2225" w:type="dxa"/>
          </w:tcPr>
          <w:p w14:paraId="1A6158E5" w14:textId="77777777" w:rsidR="000E7809" w:rsidRPr="005B5460" w:rsidRDefault="000E7809" w:rsidP="009D0EA8">
            <w:pPr>
              <w:spacing w:line="480" w:lineRule="auto"/>
              <w:rPr>
                <w:rFonts w:ascii="Times New Roman" w:hAnsi="Times New Roman" w:cs="Times New Roman"/>
                <w:b/>
                <w:bCs/>
              </w:rPr>
            </w:pPr>
          </w:p>
        </w:tc>
        <w:tc>
          <w:tcPr>
            <w:tcW w:w="2272" w:type="dxa"/>
          </w:tcPr>
          <w:p w14:paraId="239C04B0"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r>
      <w:tr w:rsidR="00796779" w:rsidRPr="005B5460" w14:paraId="00C1F336" w14:textId="77777777" w:rsidTr="009D0EA8">
        <w:trPr>
          <w:trHeight w:val="440"/>
        </w:trPr>
        <w:tc>
          <w:tcPr>
            <w:tcW w:w="2254" w:type="dxa"/>
            <w:shd w:val="clear" w:color="auto" w:fill="D9D9D9" w:themeFill="background1" w:themeFillShade="D9"/>
          </w:tcPr>
          <w:p w14:paraId="66DB706F" w14:textId="77777777" w:rsidR="000E7809" w:rsidRPr="005B5460" w:rsidRDefault="000E7809" w:rsidP="009D0EA8">
            <w:pPr>
              <w:spacing w:line="480" w:lineRule="auto"/>
              <w:rPr>
                <w:rFonts w:ascii="Times New Roman" w:hAnsi="Times New Roman" w:cs="Times New Roman"/>
                <w:b/>
                <w:bCs/>
              </w:rPr>
            </w:pPr>
            <w:proofErr w:type="spellStart"/>
            <w:r w:rsidRPr="005B5460">
              <w:rPr>
                <w:rFonts w:ascii="Times New Roman" w:hAnsi="Times New Roman" w:cs="Times New Roman"/>
                <w:b/>
                <w:bCs/>
              </w:rPr>
              <w:t>Ieguchi</w:t>
            </w:r>
            <w:proofErr w:type="spellEnd"/>
            <w:r w:rsidRPr="005B5460">
              <w:rPr>
                <w:rFonts w:ascii="Times New Roman" w:hAnsi="Times New Roman" w:cs="Times New Roman"/>
                <w:b/>
                <w:bCs/>
              </w:rPr>
              <w:t xml:space="preserve"> et al.</w:t>
            </w:r>
          </w:p>
          <w:p w14:paraId="0B7548A4" w14:textId="7FE2B2E2"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rPr>
              <w:t xml:space="preserve">2014 </w:t>
            </w:r>
            <w:r w:rsidR="00BF2558"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{"citationItems":[{"id":"ITEM-1","itemData":{"DOI":"10.1093/jjco/hyu093","ISSN":"1465-3621 (Electronic)","PMID":"25057091","abstract":"OBJECTIVE: Extra-articular resection is necessary to obtain a wide margin for  primary osteosarcomas invading the knee joint, and the limb is often reconstructed using a prosthesis. Here, outcomes of extra-articular and intra-articular procedures were compared. METHODS: Between 1999 and 2012, 14 patients with osteosarcoma underwent extra-articular excision (n = 6; ages 23-65 years; mean follow-up 82.8 months) or intra-articular excision (n = 8; ages 8-58 years; mean follow-up 96.4 months). In the extra-articular group, there was one Enneking Stage IIA case and five Enneking Stage IIB cases. No local recurrences were noted in either group. RESULTS: Patient outcomes were as follows (extra-articular cases vs. intra-articular cases): continuous disease-free (2 vs. 7), alive with disease (2 vs. 0) and death from disease (1 vs. 1). Average Musculoskeletal Tumor Society functional scores were 69.4% (range 63.3-83.3%) and 88.3% (range 70.0-96.7%) in the extra-articular and intra-articular groups, respectively, constituting a significant difference (P &lt; 0.05). The 5-year oncological overall survival exceeded 80% in both groups. Amputation was necessary for one patient in the extra-articular group. The 5-year event-free prosthesis survival rates in the extra-articular and intra-articular groups were 33.3 and 75.0%, respectively (P &lt; 0.05). CONCLUSION: The extra-articular excision group developed more complications than the intra-articular excision group, as a result of extensive bone and muscle excision. The limb survival rates were similar in both groups. Our results suggest that extra-articular resection was a necessary and clinically acceptable procedure.","author":[{"dropping-particle":"","family":"Ieguchi","given":"Makoto","non-dropping-particle":"","parse-names":false,"suffix":""},{"dropping-particle":"","family":"Hoshi","given":"Manabu","non-dropping-particle":"","parse-names":false,"suffix":""},{"dropping-particle":"","family":"Aono","given":"Masanari","non-dropping-particle":"","parse-names":false,"suffix":""},{"dropping-particle":"","family":"Takada","given":"Jun","non-dropping-particle":"","parse-names":false,"suffix":""},{"dropping-particle":"","family":"Ohebisu","given":"Naoto","non-dropping-particle":"","parse-names":false,"suffix":""},{"dropping-particle":"","family":"Kudawara","given":"Ikuo","non-dropping-particle":"","parse-names":false,"suffix":""},{"dropping-particle":"","family":"Nakamura","given":"Hiroaki","non-dropping-particle":"","parse-names":false,"suffix":""}],"container-title":"Japanese journal of clinical oncology","id":"ITEM-1","issue":"9","issued":{"date-parts":[["2014","9"]]},"language":"eng","page":"812-817","publisher-place":"England","title":"Knee reconstruction with endoprosthesis after extra-articular and intra-articular  resection of osteosarcoma.","type":"article-journal","volume":"44"},"uris":["http://www.mendeley.com/documents/?uuid=67433737-0661-46b4-aabd-8e287e8aefd4"]}],"mendeley":{"formattedCitation":"(40)","plainTextFormattedCitation":"(40)","previouslyFormattedCitation":"(41)"},"properties":{"noteIndex":0},"schema":"https://github.com/citation-style-language/schema/raw/master/csl-citation.json"}</w:instrText>
            </w:r>
            <w:r w:rsidR="00BF2558" w:rsidRPr="005B5460">
              <w:rPr>
                <w:rFonts w:ascii="Times New Roman" w:hAnsi="Times New Roman" w:cs="Times New Roman"/>
              </w:rPr>
              <w:fldChar w:fldCharType="separate"/>
            </w:r>
            <w:r w:rsidR="009D0EA8" w:rsidRPr="005B5460">
              <w:rPr>
                <w:rFonts w:ascii="Times New Roman" w:hAnsi="Times New Roman" w:cs="Times New Roman"/>
                <w:noProof/>
              </w:rPr>
              <w:t>(40)</w:t>
            </w:r>
            <w:r w:rsidR="00BF2558" w:rsidRPr="005B5460">
              <w:rPr>
                <w:rFonts w:ascii="Times New Roman" w:hAnsi="Times New Roman" w:cs="Times New Roman"/>
              </w:rPr>
              <w:fldChar w:fldCharType="end"/>
            </w:r>
          </w:p>
        </w:tc>
        <w:tc>
          <w:tcPr>
            <w:tcW w:w="2259" w:type="dxa"/>
          </w:tcPr>
          <w:p w14:paraId="2D7067CA"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c>
          <w:tcPr>
            <w:tcW w:w="2225" w:type="dxa"/>
          </w:tcPr>
          <w:p w14:paraId="4C4A6A4D" w14:textId="77777777" w:rsidR="000E7809" w:rsidRPr="005B5460" w:rsidRDefault="000E7809" w:rsidP="009D0EA8">
            <w:pPr>
              <w:spacing w:line="480" w:lineRule="auto"/>
              <w:rPr>
                <w:rFonts w:ascii="Times New Roman" w:hAnsi="Times New Roman" w:cs="Times New Roman"/>
                <w:b/>
                <w:bCs/>
              </w:rPr>
            </w:pPr>
          </w:p>
        </w:tc>
        <w:tc>
          <w:tcPr>
            <w:tcW w:w="2272" w:type="dxa"/>
          </w:tcPr>
          <w:p w14:paraId="5DDCF578"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r>
      <w:tr w:rsidR="00796779" w:rsidRPr="005B5460" w14:paraId="72087B85" w14:textId="77777777" w:rsidTr="009D0EA8">
        <w:trPr>
          <w:trHeight w:val="440"/>
        </w:trPr>
        <w:tc>
          <w:tcPr>
            <w:tcW w:w="2254" w:type="dxa"/>
            <w:shd w:val="clear" w:color="auto" w:fill="D9D9D9" w:themeFill="background1" w:themeFillShade="D9"/>
          </w:tcPr>
          <w:p w14:paraId="2B9C0056"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t>Malek et al.</w:t>
            </w:r>
          </w:p>
          <w:p w14:paraId="1AC5B30B" w14:textId="37F684BF" w:rsidR="000E7809" w:rsidRPr="005B5460" w:rsidRDefault="000E7809" w:rsidP="009D0EA8">
            <w:pPr>
              <w:spacing w:line="480" w:lineRule="auto"/>
              <w:rPr>
                <w:rFonts w:ascii="Times New Roman" w:hAnsi="Times New Roman" w:cs="Times New Roman"/>
              </w:rPr>
            </w:pPr>
            <w:r w:rsidRPr="005B5460">
              <w:rPr>
                <w:rFonts w:ascii="Times New Roman" w:hAnsi="Times New Roman" w:cs="Times New Roman"/>
              </w:rPr>
              <w:t xml:space="preserve">2012 </w:t>
            </w:r>
            <w:r w:rsidR="00796779" w:rsidRPr="005B5460">
              <w:rPr>
                <w:rFonts w:ascii="Times New Roman" w:hAnsi="Times New Roman" w:cs="Times New Roman"/>
              </w:rPr>
              <w:fldChar w:fldCharType="begin" w:fldLock="1"/>
            </w:r>
            <w:r w:rsidR="00796779" w:rsidRPr="005B5460">
              <w:rPr>
                <w:rFonts w:ascii="Times New Roman" w:hAnsi="Times New Roman" w:cs="Times New Roman"/>
              </w:rPr>
              <w:instrText>ADDIN CSL_CITATION {"citationItems":[{"id":"ITEM-1","itemData":{"DOI":"10.1007/s11999-012-2271-1","ISSN":"1528-1132 (Electronic)","PMID":"22302658","abstract":"INTRODUCTION: Patients with aggressive lower extremity musculoskeletal tumors may be  candidates for either above-knee amputation or limb-salvage surgery. However, the subjective and objective benefits of limb-salvage surgery compared with amputation are not fully clear. QUESTIONS/PURPOSES: We therefore compared functional status and quality of life for patients treated with above-knee amputation versus limb-salvage surgery. METHODS: We reviewed 20 of 51 patients aged 15 years and older treated with above-knee amputation or limb-salvage surgery for aggressive musculoskeletal tumors around the knee between 1994 and 2004 as a retrospective cohort study. At last followup we obtained the Physiological Cost Index, the Reintegration to Normal Living Index, SF-36, and the Toronto Extremity Salvage Score questionnaires. The minimum followup was 12 months (median, 56 months; range, 12-108 months). RESULTS: Compared with patients having above-knee amputation, patients undergoing limb-salvage surgery had superior Physiological Cost Index scores and Reintegration to Normal Living Index. The Toronto Extremity Salvage scores and SF-36 scores were similar in the two groups. CONCLUSION: These data suggest that limb-salvage surgery offers better gait efficiency and return to normal living compared with above-knee amputation, but does not improve the patient's perception of quality of life.","author":[{"dropping-particle":"","family":"Malek","given":"Farbod","non-dropping-particle":"","parse-names":false,"suffix":""},{"dropping-particle":"","family":"Somerson","given":"Jeremy S","non-dropping-particle":"","parse-names":false,"suffix":""},{"dropping-particle":"","family":"Mitchel","given":"Shannon","non-dropping-particle":"","parse-names":false,"suffix":""},{"dropping-particle":"","family":"Williams","given":"Ronald P","non-dropping-particle":"","parse-names":false,"suffix":""}],"container-title":"Clinical orthopaedics and related research","id":"ITEM-1","issue":"7","issued":{"date-parts":[["2012","7"]]},"language":"eng","page":"2000-2006","title":"Does limb-salvage surgery offer patients better quality of life and functional  capacity than amputation?","type":"article-journal","volume":"470"},"uris":["http://www.mendeley.com/documents/?uuid=b18c2b7e-1ca3-4eef-8e44-d2b03c031b23"]}],"mendeley":{"formattedCitation":"(19)","plainTextFormattedCitation":"(19)","previouslyFormattedCitation":"(19)"},"properties":{"noteIndex":0},"schema":"https://github.com/citation-style-language/schema/raw/master/csl-citation.json"}</w:instrText>
            </w:r>
            <w:r w:rsidR="00796779" w:rsidRPr="005B5460">
              <w:rPr>
                <w:rFonts w:ascii="Times New Roman" w:hAnsi="Times New Roman" w:cs="Times New Roman"/>
              </w:rPr>
              <w:fldChar w:fldCharType="separate"/>
            </w:r>
            <w:r w:rsidR="00796779" w:rsidRPr="005B5460">
              <w:rPr>
                <w:rFonts w:ascii="Times New Roman" w:hAnsi="Times New Roman" w:cs="Times New Roman"/>
                <w:noProof/>
              </w:rPr>
              <w:t>(19)</w:t>
            </w:r>
            <w:r w:rsidR="00796779" w:rsidRPr="005B5460">
              <w:rPr>
                <w:rFonts w:ascii="Times New Roman" w:hAnsi="Times New Roman" w:cs="Times New Roman"/>
              </w:rPr>
              <w:fldChar w:fldCharType="end"/>
            </w:r>
          </w:p>
        </w:tc>
        <w:tc>
          <w:tcPr>
            <w:tcW w:w="2259" w:type="dxa"/>
          </w:tcPr>
          <w:p w14:paraId="2D727D22"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c>
          <w:tcPr>
            <w:tcW w:w="2225" w:type="dxa"/>
          </w:tcPr>
          <w:p w14:paraId="1C37522A"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c>
          <w:tcPr>
            <w:tcW w:w="2272" w:type="dxa"/>
          </w:tcPr>
          <w:p w14:paraId="1157D80F"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r>
      <w:tr w:rsidR="00796779" w:rsidRPr="005B5460" w14:paraId="106E9729" w14:textId="77777777" w:rsidTr="009D0EA8">
        <w:trPr>
          <w:trHeight w:val="440"/>
        </w:trPr>
        <w:tc>
          <w:tcPr>
            <w:tcW w:w="2254" w:type="dxa"/>
            <w:shd w:val="clear" w:color="auto" w:fill="D9D9D9" w:themeFill="background1" w:themeFillShade="D9"/>
          </w:tcPr>
          <w:p w14:paraId="4A778B20"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t>Puerta et al.</w:t>
            </w:r>
          </w:p>
          <w:p w14:paraId="672118C6" w14:textId="3AE7111E"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rPr>
              <w:t xml:space="preserve">2018 </w:t>
            </w:r>
            <w:r w:rsidR="00796779" w:rsidRPr="005B5460">
              <w:rPr>
                <w:rFonts w:ascii="Times New Roman" w:hAnsi="Times New Roman" w:cs="Times New Roman"/>
              </w:rPr>
              <w:fldChar w:fldCharType="begin" w:fldLock="1"/>
            </w:r>
            <w:r w:rsidR="00796779" w:rsidRPr="005B5460">
              <w:rPr>
                <w:rFonts w:ascii="Times New Roman" w:hAnsi="Times New Roman" w:cs="Times New Roman"/>
              </w:rPr>
              <w:instrText>ADDIN CSL_CITATION {"citationItems":[{"id":"ITEM-1","itemData":{"DOI":"10.1007/s00167-018-5110-4","ISSN":"1433-7347 (Electronic)","PMID":"30132048","abstract":"PURPOSE: To compare the outcomes of allograft-prosthesis composite for  reconstruction after malignant tumors at the distal femur and proximal tibia. METHODS: Case-control study of 24 patients with distal femur tumor and 21 with proximal tibia tumor. Union of the allograft-host interface was assessed by the International Society of Limb Salvage criteria, and complications according Henderson. Functional outcome was evaluated by the Musculoskeletal Tumor Society (MSTS) score, Western Ontario and McMaster Universities (WOMAC) score, and pain by a visual analog scale. RESULTS: The median follow-up in the femoral group was 11.4 (range 2.3-25.0) years, and 10.1 (range 2.2-25.0) in tibial group. Incorporation of the allograft was successful in more than 90% in both groups. Tumor location was not significant predictor for allograft failure in multivariate analysis. Aseptic prosthesis loosening occurred in two patients in either group, and another patient in the tibial group had a breakage of the tibial insert. Excluding local recurrences and amputations, the prosthesis survival at 10 years was 94.1% in the femoral group, and 83.3% in the tibial group (n.s.). For the patients with preserved limb, the median MSTS score was 23.6 in the femoral group and 22.8 in tibial group (n.s.). Likewise, there were no significant differences in median WOMAC score (n.s.) or VAS pain (n.s.). CONCLUSIONS: Allograft-prosthesis composite is an effective procedure for distal femur tumors related to the graft, prosthesis survival, and functional outcomes. The results are comparable to those for proximal tibial tumors. LEVEL OF EVIDENCE: Therapeutic study, Level III.","author":[{"dropping-particle":"","family":"Puerta-GarciaSandoval","given":"Pablo","non-dropping-particle":"","parse-names":false,"suffix":""},{"dropping-particle":"","family":"Lizaur-Utrilla","given":"Alejandro","non-dropping-particle":"","parse-names":false,"suffix":""},{"dropping-particle":"","family":"Trigueros-Rentero","given":"Maria A","non-dropping-particle":"","parse-names":false,"suffix":""},{"dropping-particle":"","family":"Lopez-Prats","given":"Fernando A","non-dropping-particle":"","parse-names":false,"suffix":""}],"container-title":"Knee surgery, sports traumatology, arthroscopy : official journal of the ESSKA","id":"ITEM-1","issue":"7","issued":{"date-parts":[["2019","7"]]},"language":"eng","page":"2218-2225","publisher-place":"Germany","title":"Mid- to long-term results of allograft-prosthesis composite reconstruction after  removal of a distal femoral malignant tumor are comparable to those of the proximal tibia.","type":"article-journal","volume":"27"},"uris":["http://www.mendeley.com/documents/?uuid=621c6867-0acc-4592-b3c3-292715ef19c3"]}],"mendeley":{"formattedCitation":"(37)","plainTextFormattedCitation":"(37)","previouslyFormattedCitation":"(37)"},"properties":{"noteIndex":0},"schema":"https://github.com/citation-style-language/schema/raw/master/csl-citation.json"}</w:instrText>
            </w:r>
            <w:r w:rsidR="00796779" w:rsidRPr="005B5460">
              <w:rPr>
                <w:rFonts w:ascii="Times New Roman" w:hAnsi="Times New Roman" w:cs="Times New Roman"/>
              </w:rPr>
              <w:fldChar w:fldCharType="separate"/>
            </w:r>
            <w:r w:rsidR="00796779" w:rsidRPr="005B5460">
              <w:rPr>
                <w:rFonts w:ascii="Times New Roman" w:hAnsi="Times New Roman" w:cs="Times New Roman"/>
                <w:noProof/>
              </w:rPr>
              <w:t>(37)</w:t>
            </w:r>
            <w:r w:rsidR="00796779" w:rsidRPr="005B5460">
              <w:rPr>
                <w:rFonts w:ascii="Times New Roman" w:hAnsi="Times New Roman" w:cs="Times New Roman"/>
              </w:rPr>
              <w:fldChar w:fldCharType="end"/>
            </w:r>
          </w:p>
        </w:tc>
        <w:tc>
          <w:tcPr>
            <w:tcW w:w="2259" w:type="dxa"/>
          </w:tcPr>
          <w:p w14:paraId="7BC04F13"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c>
          <w:tcPr>
            <w:tcW w:w="2225" w:type="dxa"/>
          </w:tcPr>
          <w:p w14:paraId="1BA6825E"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c>
          <w:tcPr>
            <w:tcW w:w="2272" w:type="dxa"/>
          </w:tcPr>
          <w:p w14:paraId="5DE40A5E" w14:textId="77777777" w:rsidR="000E7809" w:rsidRPr="005B5460" w:rsidRDefault="000E7809" w:rsidP="009D0EA8">
            <w:pPr>
              <w:spacing w:line="480" w:lineRule="auto"/>
              <w:rPr>
                <w:rFonts w:ascii="Times New Roman" w:hAnsi="Times New Roman" w:cs="Times New Roman"/>
                <w:b/>
                <w:bCs/>
              </w:rPr>
            </w:pPr>
          </w:p>
        </w:tc>
      </w:tr>
      <w:tr w:rsidR="00796779" w:rsidRPr="005B5460" w14:paraId="3324AEE8" w14:textId="77777777" w:rsidTr="009D0EA8">
        <w:trPr>
          <w:trHeight w:val="440"/>
        </w:trPr>
        <w:tc>
          <w:tcPr>
            <w:tcW w:w="2254" w:type="dxa"/>
            <w:shd w:val="clear" w:color="auto" w:fill="D9D9D9" w:themeFill="background1" w:themeFillShade="D9"/>
          </w:tcPr>
          <w:p w14:paraId="7DA9BFA8" w14:textId="77777777" w:rsidR="000E7809" w:rsidRPr="005B5460" w:rsidRDefault="000E7809" w:rsidP="009D0EA8">
            <w:pPr>
              <w:spacing w:line="480" w:lineRule="auto"/>
              <w:rPr>
                <w:rFonts w:ascii="Times New Roman" w:hAnsi="Times New Roman" w:cs="Times New Roman"/>
                <w:b/>
                <w:bCs/>
              </w:rPr>
            </w:pPr>
            <w:proofErr w:type="spellStart"/>
            <w:r w:rsidRPr="005B5460">
              <w:rPr>
                <w:rFonts w:ascii="Times New Roman" w:hAnsi="Times New Roman" w:cs="Times New Roman"/>
                <w:b/>
                <w:bCs/>
              </w:rPr>
              <w:t>Shaihd</w:t>
            </w:r>
            <w:proofErr w:type="spellEnd"/>
            <w:r w:rsidRPr="005B5460">
              <w:rPr>
                <w:rFonts w:ascii="Times New Roman" w:hAnsi="Times New Roman" w:cs="Times New Roman"/>
                <w:b/>
                <w:bCs/>
              </w:rPr>
              <w:t xml:space="preserve"> et al.</w:t>
            </w:r>
          </w:p>
          <w:p w14:paraId="742A7FF9" w14:textId="2F9BFA9D" w:rsidR="000E7809" w:rsidRPr="005B5460" w:rsidRDefault="000E7809" w:rsidP="009D0EA8">
            <w:pPr>
              <w:spacing w:line="480" w:lineRule="auto"/>
              <w:rPr>
                <w:rFonts w:ascii="Times New Roman" w:hAnsi="Times New Roman" w:cs="Times New Roman"/>
              </w:rPr>
            </w:pPr>
            <w:r w:rsidRPr="005B5460">
              <w:rPr>
                <w:rFonts w:ascii="Times New Roman" w:hAnsi="Times New Roman" w:cs="Times New Roman"/>
              </w:rPr>
              <w:t>201</w:t>
            </w:r>
            <w:r w:rsidR="005C3E1B" w:rsidRPr="005B5460">
              <w:rPr>
                <w:rFonts w:ascii="Times New Roman" w:hAnsi="Times New Roman" w:cs="Times New Roman"/>
              </w:rPr>
              <w:t>7</w:t>
            </w:r>
            <w:r w:rsidRPr="005B5460">
              <w:rPr>
                <w:rFonts w:ascii="Times New Roman" w:hAnsi="Times New Roman" w:cs="Times New Roman"/>
              </w:rPr>
              <w:t xml:space="preserve"> </w:t>
            </w:r>
            <w:r w:rsidR="00796779" w:rsidRPr="005B5460">
              <w:rPr>
                <w:rFonts w:ascii="Times New Roman" w:hAnsi="Times New Roman" w:cs="Times New Roman"/>
              </w:rPr>
              <w:fldChar w:fldCharType="begin" w:fldLock="1"/>
            </w:r>
            <w:r w:rsidR="005C3E1B" w:rsidRPr="005B5460">
              <w:rPr>
                <w:rFonts w:ascii="Times New Roman" w:hAnsi="Times New Roman" w:cs="Times New Roman"/>
              </w:rPr>
              <w:instrText>ADDIN CSL_CITATION {"citationItems":[{"id":"ITEM-1","itemData":{"DOI":"10.1016/j.ejso.2016.05.018","ISSN":"1532-2157 (Electronic)","PMID":"27266818","abstract":"We reviewed the oncological and functional outcomes of patients treated for a  primary sarcoma possibly involving the knee joint and present an algorithm to guide treatment. The records of 76 patients who had a primary bone or soft tissue sarcoma possibly invading the knee between 1996 and 2012 were identified. Mean age and follow-up was 32 years (9-74) and 64 months (12-195), respectively. Patients were grouped according to the resection (Intra-articular [IAR] vs. Extra-articular [EAR] vs. Amputation/rotationplasty) for survival and functional outcomes. Overall 5 and 10 year survival was 61% and 53%, respectively. No differences in survival were found between the 3 groups (p = 0.55). Sixteen patients developed local recurrence with no difference between the groups. Mean MSTS score was 24.5 (12-30). Mean flexion at final follow-up was 106° (70-130°). We conclude that EAR of the knee allows for good oncologic and functional outcomes but with an increased risk of complications compared to IAR. Intra-operative assessment of joint involvement can be done in patients where joint infiltration by the tumour is not clear to avoid an unnecessary EAR. For chondrosarcoma patients with joint involvement, an EAR should be carefully considered because they present a significantly higher local recurrence risk.","author":[{"dropping-particle":"","family":"Shahid","given":"M","non-dropping-particle":"","parse-names":false,"suffix":""},{"dropping-particle":"","family":"Albergo","given":"N","non-dropping-particle":"","parse-names":false,"suffix":""},{"dropping-particle":"","family":"Purvis","given":"T","non-dropping-particle":"","parse-names":false,"suffix":""},{"dropping-particle":"","family":"Heron","given":"K","non-dropping-particle":"","parse-names":false,"suffix":""},{"dropping-particle":"","family":"Gaston","given":"L","non-dropping-particle":"","parse-names":false,"suffix":""},{"dropping-particle":"","family":"Carter","given":"S","non-dropping-particle":"","parse-names":false,"suffix":""},{"dropping-particle":"","family":"Grimer","given":"R","non-dropping-particle":"","parse-names":false,"suffix":""},{"dropping-particle":"","family":"Jeys","given":"L","non-dropping-particle":"","parse-names":false,"suffix":""}],"container-title":"European journal of surgical oncology : the journal of the European Society of  Surgical Oncology and the British Association of Surgical Oncology","id":"ITEM-1","issue":"1","issued":{"date-parts":[["2017","1"]]},"language":"eng","page":"175-180","publisher-place":"England","title":"Management of sarcomas possibly involving the knee joint when to perform  extra-articular resection of the knee joint and is it safe?","type":"article-journal","volume":"43"},"uris":["http://www.mendeley.com/documents/?uuid=1308600d-eee4-499a-b8e8-37c6fc6e3528"]}],"mendeley":{"formattedCitation":"(35)","plainTextFormattedCitation":"(35)","previouslyFormattedCitation":"(35)"},"properties":{"noteIndex":0},"schema":"https://github.com/citation-style-language/schema/raw/master/csl-citation.json"}</w:instrText>
            </w:r>
            <w:r w:rsidR="00796779" w:rsidRPr="005B5460">
              <w:rPr>
                <w:rFonts w:ascii="Times New Roman" w:hAnsi="Times New Roman" w:cs="Times New Roman"/>
              </w:rPr>
              <w:fldChar w:fldCharType="separate"/>
            </w:r>
            <w:r w:rsidR="00796779" w:rsidRPr="005B5460">
              <w:rPr>
                <w:rFonts w:ascii="Times New Roman" w:hAnsi="Times New Roman" w:cs="Times New Roman"/>
                <w:noProof/>
              </w:rPr>
              <w:t>(35)</w:t>
            </w:r>
            <w:r w:rsidR="00796779" w:rsidRPr="005B5460">
              <w:rPr>
                <w:rFonts w:ascii="Times New Roman" w:hAnsi="Times New Roman" w:cs="Times New Roman"/>
              </w:rPr>
              <w:fldChar w:fldCharType="end"/>
            </w:r>
          </w:p>
        </w:tc>
        <w:tc>
          <w:tcPr>
            <w:tcW w:w="2259" w:type="dxa"/>
          </w:tcPr>
          <w:p w14:paraId="1D7C5BAF"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c>
          <w:tcPr>
            <w:tcW w:w="2225" w:type="dxa"/>
          </w:tcPr>
          <w:p w14:paraId="46D61587" w14:textId="77777777" w:rsidR="000E7809" w:rsidRPr="005B5460" w:rsidRDefault="000E7809" w:rsidP="009D0EA8">
            <w:pPr>
              <w:spacing w:line="480" w:lineRule="auto"/>
              <w:rPr>
                <w:rFonts w:ascii="Times New Roman" w:hAnsi="Times New Roman" w:cs="Times New Roman"/>
                <w:b/>
                <w:bCs/>
              </w:rPr>
            </w:pPr>
          </w:p>
        </w:tc>
        <w:tc>
          <w:tcPr>
            <w:tcW w:w="2272" w:type="dxa"/>
          </w:tcPr>
          <w:p w14:paraId="1E04A46D"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r>
      <w:tr w:rsidR="00796779" w:rsidRPr="005B5460" w14:paraId="162F73DD" w14:textId="77777777" w:rsidTr="009D0EA8">
        <w:trPr>
          <w:trHeight w:val="440"/>
        </w:trPr>
        <w:tc>
          <w:tcPr>
            <w:tcW w:w="2254" w:type="dxa"/>
            <w:shd w:val="clear" w:color="auto" w:fill="D9D9D9" w:themeFill="background1" w:themeFillShade="D9"/>
          </w:tcPr>
          <w:p w14:paraId="2156D4CC"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t>Singh et al.</w:t>
            </w:r>
          </w:p>
          <w:p w14:paraId="1B2E59C6" w14:textId="13F486E4" w:rsidR="000E7809" w:rsidRPr="005B5460" w:rsidRDefault="000E7809" w:rsidP="009D0EA8">
            <w:pPr>
              <w:spacing w:line="480" w:lineRule="auto"/>
              <w:rPr>
                <w:rFonts w:ascii="Times New Roman" w:hAnsi="Times New Roman" w:cs="Times New Roman"/>
              </w:rPr>
            </w:pPr>
            <w:r w:rsidRPr="005B5460">
              <w:rPr>
                <w:rFonts w:ascii="Times New Roman" w:hAnsi="Times New Roman" w:cs="Times New Roman"/>
              </w:rPr>
              <w:t xml:space="preserve">2018 </w:t>
            </w:r>
            <w:r w:rsidR="005C3E1B"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{"citationItems":[{"id":"ITEM-1","itemData":{"DOI":"10.4103/ortho.IJOrtho_188_17","ISSN":"0019-5413","abstract":"BACKGROUND: Limb salvage surgery with endoprosthesis for bone tumor around the knee is reported to have good functional and oncological outcomes. However, the functional assessment using musculoskeletal tumor society (MSTS) and Toronto extremity scoring system remains subjective. We performed gait analysis as an objective assessment of their functional outcome. MATERIALS AND METHODS: Gait analysis was performed in 20 patients with endoprosthesis replacement around the knee. The temporal parameters assessed during gait analysis were walking velocity, stride length, duration of stance, and goniometry of the knee. These parameters were compared with the functional outcome score of the MSTS. RESULTS: The mean free-paced walking velocity was 0.91 m/s (normal is 1.33 m/s), which was 68% lower than normal gait. The stride length and stance phase were shorter for the affected limb compared to normal (P &lt; 0.05). However, the gait was symmetrical with no difference in stride length (P = 0.148), velocity (P = 0.918), knee flexion (P = 0.465), and knee extension (P = 0.321) between the affected and unaffected limbs. Sixteen patients demonstrated stiff knee gait, two had a flexed knee gait, and only two patients had normal gait during the stance phase. The mean MSTS score was 21. There was significant correlation between overall MSTS scores (P = 0.023), function (P = 0.039), and walking scores (P = 0.007). CONCLUSION: Limb salvage surgery with endoprosthesis reconstruction around the knee gives good functional outcome, both objectively and subjectively, as evidenced by the symmetrical gait pattern and significant correlation with MSTS score. Despite decreased walking velocity, stride length, and stance phase of the operated limb, the patient still has a symmetrical gait.","author":[{"dropping-particle":"","family":"Singh","given":"Vivek Ajit","non-dropping-particle":"","parse-names":false,"suffix":""},{"dropping-particle":"","family":"Heng","given":"Chan Wei","non-dropping-particle":"","parse-names":false,"suffix":""},{"dropping-particle":"","family":"Yasin","given":"Nor Faissal","non-dropping-particle":"","parse-names":false,"suffix":""}],"container-title":"Indian journal of orthopaedics","id":"ITEM-1","issue":"1","issued":{"date-parts":[["2018"]]},"language":"eng","page":"65-72","publisher":"Medknow Publications &amp; Media Pvt Ltd","title":"Gait Analysis in Patients with Wide Resection and Endoprosthesis Replacement Around the Knee","type":"article-journal","volume":"52"},"uris":["http://www.mendeley.com/documents/?uuid=57636998-9e65-4246-9a8b-1ba396562085"]}],"mendeley":{"formattedCitation":"(38)","plainTextFormattedCitation":"(38)","previouslyFormattedCitation":"(39)"},"properties":{"noteIndex":0},"schema":"https://github.com/citation-style-language/schema/raw/master/csl-citation.json"}</w:instrText>
            </w:r>
            <w:r w:rsidR="005C3E1B" w:rsidRPr="005B5460">
              <w:rPr>
                <w:rFonts w:ascii="Times New Roman" w:hAnsi="Times New Roman" w:cs="Times New Roman"/>
              </w:rPr>
              <w:fldChar w:fldCharType="separate"/>
            </w:r>
            <w:r w:rsidR="009D0EA8" w:rsidRPr="005B5460">
              <w:rPr>
                <w:rFonts w:ascii="Times New Roman" w:hAnsi="Times New Roman" w:cs="Times New Roman"/>
                <w:noProof/>
              </w:rPr>
              <w:t>(38)</w:t>
            </w:r>
            <w:r w:rsidR="005C3E1B" w:rsidRPr="005B5460">
              <w:rPr>
                <w:rFonts w:ascii="Times New Roman" w:hAnsi="Times New Roman" w:cs="Times New Roman"/>
              </w:rPr>
              <w:fldChar w:fldCharType="end"/>
            </w:r>
          </w:p>
        </w:tc>
        <w:tc>
          <w:tcPr>
            <w:tcW w:w="2259" w:type="dxa"/>
          </w:tcPr>
          <w:p w14:paraId="5C36B53A"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c>
          <w:tcPr>
            <w:tcW w:w="2225" w:type="dxa"/>
          </w:tcPr>
          <w:p w14:paraId="39D36A08" w14:textId="77777777" w:rsidR="000E7809" w:rsidRPr="005B5460" w:rsidRDefault="000E7809" w:rsidP="009D0EA8">
            <w:pPr>
              <w:spacing w:line="480" w:lineRule="auto"/>
              <w:rPr>
                <w:rFonts w:ascii="Times New Roman" w:hAnsi="Times New Roman" w:cs="Times New Roman"/>
                <w:b/>
                <w:bCs/>
              </w:rPr>
            </w:pPr>
          </w:p>
        </w:tc>
        <w:tc>
          <w:tcPr>
            <w:tcW w:w="2272" w:type="dxa"/>
          </w:tcPr>
          <w:p w14:paraId="7E978753"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r>
      <w:tr w:rsidR="00796779" w:rsidRPr="005B5460" w14:paraId="39423798" w14:textId="77777777" w:rsidTr="009D0EA8">
        <w:trPr>
          <w:trHeight w:val="70"/>
        </w:trPr>
        <w:tc>
          <w:tcPr>
            <w:tcW w:w="2254" w:type="dxa"/>
            <w:shd w:val="clear" w:color="auto" w:fill="D9D9D9" w:themeFill="background1" w:themeFillShade="D9"/>
          </w:tcPr>
          <w:p w14:paraId="357CB0BD"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t>Tan et al.</w:t>
            </w:r>
          </w:p>
          <w:p w14:paraId="0B951922" w14:textId="2C10BE8A" w:rsidR="000E7809" w:rsidRPr="005B5460" w:rsidRDefault="000E7809" w:rsidP="009D0EA8">
            <w:pPr>
              <w:spacing w:line="480" w:lineRule="auto"/>
              <w:rPr>
                <w:rFonts w:ascii="Times New Roman" w:hAnsi="Times New Roman" w:cs="Times New Roman"/>
              </w:rPr>
            </w:pPr>
            <w:r w:rsidRPr="005B5460">
              <w:rPr>
                <w:rFonts w:ascii="Times New Roman" w:hAnsi="Times New Roman" w:cs="Times New Roman"/>
              </w:rPr>
              <w:lastRenderedPageBreak/>
              <w:t xml:space="preserve">2012 </w:t>
            </w:r>
            <w:r w:rsidR="005C3E1B"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{"citationItems":[{"id":"ITEM-1","itemData":{"DOI":"10.1016/j.ejso.2012.07.003","ISSN":"1532-2157 (Electronic)","PMID":"22809860","abstract":"AIM: Limb-salvage surgery has become the standard of care for extremity  osteosarcoma. In this study, we investigated the survival and functional outcomes of patients with osteosarcoma around the knee who were treated with limb-salvage surgery. METHODS: We retrospectively reviewed the clinical data for 120 patients with osteosarcoma around the knee who were treated with limb-salvage surgery between 1998 and 2008. The sample included 75 males and 45 females. The mean age of the patients was 18.9 years. Osteosarcoma was diagnosed in the distal femur in 78 patients and in the proximal tibia in 42 patients. Statistical analyses were conducted to process and record the patient data and analyse the surgery's efficacy, prognosis and survival rates. RESULTS: All patients were followed for 6-144 months (mean of 56.8 months). The overall 5-year survival rate was 61.8%. Lung metastasis developed in 31 patients. Local recurrence developed in 9 patients. The average Musculoskeletal Tumor Society Score (MSTS) was 25.5 points on a 30-point scale. Sixteen patients underwent prosthesis revision and twelve patients underwent amputation. The overall survivorship of the prosthesis based on Kaplan-Meier estimates was 77% at five years and 71% at ten years. There was a higher incidence of extensor lag for the patients with osteosarcoma in the proximal tibia than for those with osteosarcoma in the distal femur (P &lt; 0.01). CONCLUSIONS: Treating osteosarcoma around the knee with limb-salvage surgery can preserve most of the knee's functionality. Attention must be paid to prevent the relatively high incidence of postoperative complications.","author":[{"dropping-particle":"","family":"Tan","given":"P X","non-dropping-particle":"","parse-names":false,"suffix":""},{"dropping-particle":"","family":"Yong","given":"B C","non-dropping-particle":"","parse-names":false,"suffix":""},{"dropping-particle":"","family":"Wang","given":"J","non-dropping-particle":"","parse-names":false,"suffix":""},{"dropping-particle":"","family":"Huang","given":"G","non-dropping-particle":"","parse-names":false,"suffix":""},{"dropping-particle":"","family":"Yin","given":"J Q","non-dropping-particle":"","parse-names":false,"suffix":""},{"dropping-particle":"","family":"Zou","given":"C Y","non-dropping-particle":"","parse-names":false,"suffix":""},{"dropping-particle":"","family":"Xie","given":"X B","non-dropping-particle":"","parse-names":false,"suffix":""},{"dropping-particle":"","family":"Tang","given":"Q L","non-dropping-particle":"","parse-names":false,"suffix":""},{"dropping-particle":"","family":"Shen","given":"J N","non-dropping-particle":"","parse-names":false,"suffix":""}],"container-title":"European journal of surgical oncology : the journal of the European Society of  Surgical Oncology and the British Association of Surgical Oncology","id":"ITEM-1","issue":"12","issued":{"date-parts":[["2012","12"]]},"language":"eng","page":"1171-1177","publisher-place":"England","title":"Analysis of the efficacy and prognosis of limb-salvage surgery for osteosarcoma  around the knee.","type":"article-journal","volume":"38"},"uris":["http://www.mendeley.com/documents/?uuid=ba59065b-75e0-4ba0-9ab8-7e2c83b0d0ec"]}],"mendeley":{"formattedCitation":"(41)","plainTextFormattedCitation":"(41)","previouslyFormattedCitation":"(42)"},"properties":{"noteIndex":0},"schema":"https://github.com/citation-style-language/schema/raw/master/csl-citation.json"}</w:instrText>
            </w:r>
            <w:r w:rsidR="005C3E1B" w:rsidRPr="005B5460">
              <w:rPr>
                <w:rFonts w:ascii="Times New Roman" w:hAnsi="Times New Roman" w:cs="Times New Roman"/>
              </w:rPr>
              <w:fldChar w:fldCharType="separate"/>
            </w:r>
            <w:r w:rsidR="009D0EA8" w:rsidRPr="005B5460">
              <w:rPr>
                <w:rFonts w:ascii="Times New Roman" w:hAnsi="Times New Roman" w:cs="Times New Roman"/>
                <w:noProof/>
              </w:rPr>
              <w:t>(41)</w:t>
            </w:r>
            <w:r w:rsidR="005C3E1B" w:rsidRPr="005B5460">
              <w:rPr>
                <w:rFonts w:ascii="Times New Roman" w:hAnsi="Times New Roman" w:cs="Times New Roman"/>
              </w:rPr>
              <w:fldChar w:fldCharType="end"/>
            </w:r>
          </w:p>
        </w:tc>
        <w:tc>
          <w:tcPr>
            <w:tcW w:w="2259" w:type="dxa"/>
          </w:tcPr>
          <w:p w14:paraId="71F1D1FD"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lastRenderedPageBreak/>
              <w:sym w:font="Wingdings" w:char="F0FC"/>
            </w:r>
          </w:p>
        </w:tc>
        <w:tc>
          <w:tcPr>
            <w:tcW w:w="2225" w:type="dxa"/>
          </w:tcPr>
          <w:p w14:paraId="6511D04B" w14:textId="77777777" w:rsidR="000E7809" w:rsidRPr="005B5460" w:rsidRDefault="000E7809" w:rsidP="009D0EA8">
            <w:pPr>
              <w:spacing w:line="480" w:lineRule="auto"/>
              <w:rPr>
                <w:rFonts w:ascii="Times New Roman" w:hAnsi="Times New Roman" w:cs="Times New Roman"/>
                <w:b/>
                <w:bCs/>
              </w:rPr>
            </w:pPr>
          </w:p>
        </w:tc>
        <w:tc>
          <w:tcPr>
            <w:tcW w:w="2272" w:type="dxa"/>
          </w:tcPr>
          <w:p w14:paraId="7770B0F9"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r>
      <w:tr w:rsidR="00796779" w:rsidRPr="005B5460" w14:paraId="3F9F5BE0" w14:textId="77777777" w:rsidTr="009D0EA8">
        <w:trPr>
          <w:trHeight w:val="440"/>
        </w:trPr>
        <w:tc>
          <w:tcPr>
            <w:tcW w:w="2254" w:type="dxa"/>
            <w:shd w:val="clear" w:color="auto" w:fill="D9D9D9" w:themeFill="background1" w:themeFillShade="D9"/>
          </w:tcPr>
          <w:p w14:paraId="3C5B94DD"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t xml:space="preserve">Van </w:t>
            </w:r>
            <w:proofErr w:type="spellStart"/>
            <w:r w:rsidRPr="005B5460">
              <w:rPr>
                <w:rFonts w:ascii="Times New Roman" w:hAnsi="Times New Roman" w:cs="Times New Roman"/>
                <w:b/>
                <w:bCs/>
              </w:rPr>
              <w:t>Egmond</w:t>
            </w:r>
            <w:proofErr w:type="spellEnd"/>
            <w:r w:rsidRPr="005B5460">
              <w:rPr>
                <w:rFonts w:ascii="Times New Roman" w:hAnsi="Times New Roman" w:cs="Times New Roman"/>
                <w:b/>
                <w:bCs/>
              </w:rPr>
              <w:t xml:space="preserve">-van Dam et al. </w:t>
            </w:r>
          </w:p>
          <w:p w14:paraId="206AC98A" w14:textId="514223E0" w:rsidR="000E7809" w:rsidRPr="005B5460" w:rsidRDefault="000E7809" w:rsidP="009D0EA8">
            <w:pPr>
              <w:spacing w:line="480" w:lineRule="auto"/>
              <w:rPr>
                <w:rFonts w:ascii="Times New Roman" w:hAnsi="Times New Roman" w:cs="Times New Roman"/>
              </w:rPr>
            </w:pPr>
            <w:r w:rsidRPr="005B5460">
              <w:rPr>
                <w:rFonts w:ascii="Times New Roman" w:hAnsi="Times New Roman" w:cs="Times New Roman"/>
              </w:rPr>
              <w:t xml:space="preserve">2017 </w:t>
            </w:r>
            <w:r w:rsidR="005C3E1B" w:rsidRPr="005B5460">
              <w:rPr>
                <w:rFonts w:ascii="Times New Roman" w:hAnsi="Times New Roman" w:cs="Times New Roman"/>
              </w:rPr>
              <w:fldChar w:fldCharType="begin" w:fldLock="1"/>
            </w:r>
            <w:r w:rsidR="00181B87" w:rsidRPr="005B5460">
              <w:rPr>
                <w:rFonts w:ascii="Times New Roman" w:hAnsi="Times New Roman" w:cs="Times New Roman"/>
              </w:rPr>
              <w:instrText>ADDIN CSL_CITATION {"citationItems":[{"id":"ITEM-1","itemData":{"DOI":"10.1002/jso.24618","ISSN":"1096-9098 (Electronic)","PMID":"28384378","abstract":"BACKGROUND AND OBJECTIVES: In a previous conducted study functional outcome of young  patients with bone sarcoma located around the knee was longitudinally evaluated during the first 2 years postoperatively. Functional outcome improved significantly over the first 2 years. The purpose of this descriptive study was to evaluate the functional outcome of these patients at long-term follow-up of 7 years. METHODS: Functional outcome was assessed with the TESS, MSTS, Baecke questionnaire, and three functional performance tests: time up and down stairs (TUDS), various walking activities (VWA), and the 6-min walking test (6MWT). Linear Mixed Model has been employed for the repeated measurements. RESULTS: Twenty patients of the original study (n = 44) participated in the current study. Fifteen limb-salvage and five ablative surgery patients, median follow-up 7.4 years (6.8-8.0) (CI 95%), mean age 22.3 years (18.2-31.6). Between 2 and 7 years after surgery, 8 limb-salvage patients (53%) encountered surgery related complications. Questionnaires and functional performance tests showed no significant difference in functional outcome between 2 years and 7 years after surgery (P &lt; 0.05). CONCLUSIONS: Between 2 years and follow-up at average 7 years after surgery no further improvements were noticed at young patients with a bone sarcoma located around the knee.","author":[{"dropping-particle":"","family":"Egmond-van Dam","given":"Janneke C","non-dropping-particle":"van","parse-names":false,"suffix":""},{"dropping-particle":"","family":"Bekkering","given":"W Peter","non-dropping-particle":"","parse-names":false,"suffix":""},{"dropping-particle":"","family":"Bramer","given":"Jos A M","non-dropping-particle":"","parse-names":false,"suffix":""},{"dropping-particle":"","family":"Beishuizen","given":"Auke","non-dropping-particle":"","parse-names":false,"suffix":""},{"dropping-particle":"","family":"Fiocco","given":"Marta","non-dropping-particle":"","parse-names":false,"suffix":""},{"dropping-particle":"","family":"Dijkstra","given":"P D Sander","non-dropping-particle":"","parse-names":false,"suffix":""}],"container-title":"Journal of surgical oncology","id":"ITEM-1","issue":"8","issued":{"date-parts":[["2017","6"]]},"language":"eng","page":"1028-1032","title":"Functional outcome after surgery in patients with bone sarcoma around the knee;  results from a long-term prospective study.","type":"article-journal","volume":"115"},"uris":["http://www.mendeley.com/documents/?uuid=d0dd1dc4-c702-4d78-bb3f-fc5899a688ed"]}],"mendeley":{"formattedCitation":"(17)","plainTextFormattedCitation":"(17)","previouslyFormattedCitation":"(17)"},"properties":{"noteIndex":0},"schema":"https://github.com/citation-style-language/schema/raw/master/csl-citation.json"}</w:instrText>
            </w:r>
            <w:r w:rsidR="005C3E1B" w:rsidRPr="005B5460">
              <w:rPr>
                <w:rFonts w:ascii="Times New Roman" w:hAnsi="Times New Roman" w:cs="Times New Roman"/>
              </w:rPr>
              <w:fldChar w:fldCharType="separate"/>
            </w:r>
            <w:r w:rsidR="005C3E1B" w:rsidRPr="005B5460">
              <w:rPr>
                <w:rFonts w:ascii="Times New Roman" w:hAnsi="Times New Roman" w:cs="Times New Roman"/>
                <w:noProof/>
              </w:rPr>
              <w:t>(17)</w:t>
            </w:r>
            <w:r w:rsidR="005C3E1B" w:rsidRPr="005B5460">
              <w:rPr>
                <w:rFonts w:ascii="Times New Roman" w:hAnsi="Times New Roman" w:cs="Times New Roman"/>
              </w:rPr>
              <w:fldChar w:fldCharType="end"/>
            </w:r>
          </w:p>
        </w:tc>
        <w:tc>
          <w:tcPr>
            <w:tcW w:w="2259" w:type="dxa"/>
          </w:tcPr>
          <w:p w14:paraId="3BC27226"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c>
          <w:tcPr>
            <w:tcW w:w="2225" w:type="dxa"/>
          </w:tcPr>
          <w:p w14:paraId="2DA1EC6E"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c>
          <w:tcPr>
            <w:tcW w:w="2272" w:type="dxa"/>
          </w:tcPr>
          <w:p w14:paraId="37F7FC85"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r>
      <w:tr w:rsidR="00796779" w:rsidRPr="005B5460" w14:paraId="74E4100F" w14:textId="77777777" w:rsidTr="009D0EA8">
        <w:trPr>
          <w:trHeight w:val="440"/>
        </w:trPr>
        <w:tc>
          <w:tcPr>
            <w:tcW w:w="2254" w:type="dxa"/>
            <w:shd w:val="clear" w:color="auto" w:fill="D9D9D9" w:themeFill="background1" w:themeFillShade="D9"/>
          </w:tcPr>
          <w:p w14:paraId="5F9466E2"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t>Zhang et al.</w:t>
            </w:r>
          </w:p>
          <w:p w14:paraId="5B3BC304" w14:textId="2EBF1C37" w:rsidR="000E7809" w:rsidRPr="005B5460" w:rsidRDefault="000E7809" w:rsidP="009D0EA8">
            <w:pPr>
              <w:spacing w:line="480" w:lineRule="auto"/>
              <w:rPr>
                <w:rFonts w:ascii="Times New Roman" w:hAnsi="Times New Roman" w:cs="Times New Roman"/>
              </w:rPr>
            </w:pPr>
            <w:r w:rsidRPr="005B5460">
              <w:rPr>
                <w:rFonts w:ascii="Times New Roman" w:hAnsi="Times New Roman" w:cs="Times New Roman"/>
              </w:rPr>
              <w:t xml:space="preserve">2014 </w:t>
            </w:r>
            <w:r w:rsidR="00181B87" w:rsidRPr="005B5460">
              <w:rPr>
                <w:rFonts w:ascii="Times New Roman" w:hAnsi="Times New Roman" w:cs="Times New Roman"/>
              </w:rPr>
              <w:fldChar w:fldCharType="begin" w:fldLock="1"/>
            </w:r>
            <w:r w:rsidR="00181B87" w:rsidRPr="005B5460">
              <w:rPr>
                <w:rFonts w:ascii="Times New Roman" w:hAnsi="Times New Roman" w:cs="Times New Roman"/>
              </w:rPr>
              <w:instrText>ADDIN CSL_CITATION {"citationItems":[{"id":"ITEM-1","itemData":{"DOI":"10.3892/etm.2014.1744","ISSN":"1792-0981","abstract":"In this study, the effects of surgical removal of malignant metaphyseal bone tumors with epiphysis preservation and knee arthroplasty were analyzed. A total of 15 patients with malignant metaphyseal bone tumors were investigated. Six of these patients underwent epiphyseal preservation surgery with preoperative physeal distraction, termed the physeal distraction (PD) group. Nine patients underwent resection of the knee joint, combined with metal prosthesis transfer, termed the knee arthroplasty (KA) group. Tumor control, limb length discrepancy, range of movement (ROM) of the knee and functional outcome of lower limb [Musculoskeletal Tumor Society (MSTS) score and the Toronto extremity salvage score (TESS)] were assessed for these two groups. All 15 patients were followed-up after the surgery. One patient in the PD group was found to have lung tumor metastasis; however, no local tumor recurrence was found. In the KA group, local tumor recurrence was found in one patient, and lung metastases were observed in two cases postoperatively. The limb length discrepancy in patients of the PD group was 2.58±0.27 cm, which was significantly less compared with that in patients in the KA group (4.01±0.13 cm; P&lt;0.05). In addition, the lower limb knee ROM in patients in the PD group was 127.70±14.63°, which was increased compared to that in patients in the KA group (105.70±15.48°; P&lt;0.05). The mean MSTS score was 86.67% with a mean TESS of 82.33% in patients from the PD group, which showed no significant difference compared with the respective scores for patients in the KA group (P&gt;0.05). Therefore, epiphyseal sparing limb-saving surgeries should be considered for the treatment of malignant metaphyseal bone tumors in children, when certain indications are satisfied.","author":[{"dropping-particle":"","family":"Zhang","given":"Peng","non-dropping-particle":"","parse-names":false,"suffix":""},{"dropping-particle":"","family":"Feng","given":"Feifei","non-dropping-particle":"","parse-names":false,"suffix":""},{"dropping-particle":"","family":"Cai","given":"Qiqing","non-dropping-particle":"","parse-names":false,"suffix":""},{"dropping-particle":"","family":"Yao","given":"Weitao","non-dropping-particle":"","parse-names":false,"suffix":""},{"dropping-particle":"","family":"Gao","given":"Songtao","non-dropping-particle":"","parse-names":false,"suffix":""},{"dropping-particle":"","family":"Wang","given":"Jiaqiang","non-dropping-particle":"","parse-names":false,"suffix":""},{"dropping-particle":"","family":"Wang","given":"Xin","non-dropping-particle":"","parse-names":false,"suffix":""}],"container-title":"Experimental and therapeutic medicine","edition":"2014/05/28","id":"ITEM-1","issue":"2","issued":{"date-parts":[["2014","8"]]},"language":"eng","page":"567-572","publisher":"D.A. Spandidos","title":"Effects of metaphyseal bone tumor removal with preservation of the epiphysis and knee arthroplasty","type":"article-journal","volume":"8"},"uris":["http://www.mendeley.com/documents/?uuid=d539b6a2-627a-467e-86c8-4c9e75ef76c0"]}],"mendeley":{"formattedCitation":"(18)","plainTextFormattedCitation":"(18)","previouslyFormattedCitation":"(18)"},"properties":{"noteIndex":0},"schema":"https://github.com/citation-style-language/schema/raw/master/csl-citation.json"}</w:instrText>
            </w:r>
            <w:r w:rsidR="00181B87" w:rsidRPr="005B5460">
              <w:rPr>
                <w:rFonts w:ascii="Times New Roman" w:hAnsi="Times New Roman" w:cs="Times New Roman"/>
              </w:rPr>
              <w:fldChar w:fldCharType="separate"/>
            </w:r>
            <w:r w:rsidR="00181B87" w:rsidRPr="005B5460">
              <w:rPr>
                <w:rFonts w:ascii="Times New Roman" w:hAnsi="Times New Roman" w:cs="Times New Roman"/>
                <w:noProof/>
              </w:rPr>
              <w:t>(18)</w:t>
            </w:r>
            <w:r w:rsidR="00181B87" w:rsidRPr="005B5460">
              <w:rPr>
                <w:rFonts w:ascii="Times New Roman" w:hAnsi="Times New Roman" w:cs="Times New Roman"/>
              </w:rPr>
              <w:fldChar w:fldCharType="end"/>
            </w:r>
          </w:p>
        </w:tc>
        <w:tc>
          <w:tcPr>
            <w:tcW w:w="2259" w:type="dxa"/>
          </w:tcPr>
          <w:p w14:paraId="1EB56545"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c>
          <w:tcPr>
            <w:tcW w:w="2225" w:type="dxa"/>
          </w:tcPr>
          <w:p w14:paraId="2FFAC25D" w14:textId="77777777" w:rsidR="000E7809" w:rsidRPr="005B5460" w:rsidRDefault="000E7809" w:rsidP="009D0EA8">
            <w:pPr>
              <w:spacing w:line="480" w:lineRule="auto"/>
              <w:rPr>
                <w:rFonts w:ascii="Times New Roman" w:hAnsi="Times New Roman" w:cs="Times New Roman"/>
              </w:rPr>
            </w:pPr>
            <w:r w:rsidRPr="005B5460">
              <w:rPr>
                <w:rFonts w:ascii="Times New Roman" w:hAnsi="Times New Roman" w:cs="Times New Roman"/>
                <w:b/>
                <w:bCs/>
              </w:rPr>
              <w:sym w:font="Wingdings" w:char="F0FC"/>
            </w:r>
          </w:p>
        </w:tc>
        <w:tc>
          <w:tcPr>
            <w:tcW w:w="2272" w:type="dxa"/>
          </w:tcPr>
          <w:p w14:paraId="41FF2966"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r>
      <w:tr w:rsidR="00796779" w:rsidRPr="005B5460" w14:paraId="643DD617" w14:textId="77777777" w:rsidTr="009D0EA8">
        <w:trPr>
          <w:trHeight w:val="440"/>
        </w:trPr>
        <w:tc>
          <w:tcPr>
            <w:tcW w:w="2254" w:type="dxa"/>
            <w:shd w:val="clear" w:color="auto" w:fill="D9D9D9" w:themeFill="background1" w:themeFillShade="D9"/>
          </w:tcPr>
          <w:p w14:paraId="6C48FFC4"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t xml:space="preserve">Zhang et al. </w:t>
            </w:r>
          </w:p>
          <w:p w14:paraId="4788E6D5" w14:textId="15DC75D1" w:rsidR="000E7809" w:rsidRPr="005B5460" w:rsidRDefault="000E7809" w:rsidP="009D0EA8">
            <w:pPr>
              <w:spacing w:line="480" w:lineRule="auto"/>
              <w:rPr>
                <w:rFonts w:ascii="Times New Roman" w:hAnsi="Times New Roman" w:cs="Times New Roman"/>
              </w:rPr>
            </w:pPr>
            <w:r w:rsidRPr="005B5460">
              <w:rPr>
                <w:rFonts w:ascii="Times New Roman" w:hAnsi="Times New Roman" w:cs="Times New Roman"/>
              </w:rPr>
              <w:t>2017</w:t>
            </w:r>
            <w:r w:rsidR="00181B87" w:rsidRPr="005B5460">
              <w:rPr>
                <w:rFonts w:ascii="Times New Roman" w:hAnsi="Times New Roman" w:cs="Times New Roman"/>
              </w:rPr>
              <w:t xml:space="preserve"> </w:t>
            </w:r>
            <w:r w:rsidR="00181B87" w:rsidRPr="005B5460">
              <w:rPr>
                <w:rFonts w:ascii="Times New Roman" w:hAnsi="Times New Roman" w:cs="Times New Roman"/>
              </w:rPr>
              <w:fldChar w:fldCharType="begin" w:fldLock="1"/>
            </w:r>
            <w:r w:rsidR="005F4DC8" w:rsidRPr="005B5460">
              <w:rPr>
                <w:rFonts w:ascii="Times New Roman" w:hAnsi="Times New Roman" w:cs="Times New Roman"/>
              </w:rPr>
              <w:instrText>ADDIN CSL_CITATION {"citationItems":[{"id":"ITEM-1","itemData":{"DOI":"10.1159/000477251","ISSN":"2296-5270","abstract":"&lt;b&gt;&lt;i&gt;Background:&lt;/i&gt;&lt;/b&gt; We aimed to explore the clinical effects and prognosis of different surgical methods in upper tibia osteosarcoma. &lt;b&gt;&lt;i&gt;Methods:&lt;/i&gt;&lt;/b&gt; Among 112 patients with proximal upper tibia osteosarcoma, 40 patients were treated with amputation, 20 patients were treated with massive osteoarticular allograft, and the remaining 52 cases were treated with tumor resection and artificial joint replacement. &lt;b&gt;&lt;i&gt;Results:&lt;/i&gt;&lt;/b&gt; Recurrence was observed in 2 cases (5%) in the amputation group, in 6 cases (30%) in the massive osteoarticular allograft group, and in 6 cases (12%) in the tumor resection and artificial joint replacement group (P = 0.021). The lung metastasis rates were 40% in the amputation group, 40% in the massive osteoarticular allograft group, and 38% in the tumor resection and artificial joint replacement group (P = 0.986). The survival rates at 1, 3, and 5 years were 95%, 75%, and 45%, respectively, in the amputation group, 95%, 75%, and 35%, respectively, in the massive osteoarticular allograft group, and 92.3%, 78.8%, and 53.8%, respectively, in the tumor resection and artificial joint replacement group (P &gt; 0.05). &lt;b&gt;&lt;i&gt;Conclusions:&lt;/i&gt;&lt;/b&gt; The selection of the optimal surgical method for upper tibia osteosarcoma should be made according to the individual circumstances of the patient. Our study has significance for reducing the incidence of surgical complications and improving the quality of postoperative life.","author":[{"dropping-particle":"","family":"Zhang","given":"Y","non-dropping-particle":"","parse-names":false,"suffix":""},{"dropping-particle":"","family":"He","given":"Z","non-dropping-particle":"","parse-names":false,"suffix":""},{"dropping-particle":"","family":"Li","given":"Y","non-dropping-particle":"","parse-names":false,"suffix":""},{"dropping-particle":"","family":"Yang","given":"Y","non-dropping-particle":"","parse-names":false,"suffix":""},{"dropping-particle":"","family":"Shi","given":"J","non-dropping-particle":"","parse-names":false,"suffix":""},{"dropping-particle":"","family":"Liu","given":"X","non-dropping-particle":"","parse-names":false,"suffix":""},{"dropping-particle":"","family":"Yuan","given":"T","non-dropping-particle":"","parse-names":false,"suffix":""},{"dropping-particle":"","family":"Xia","given":"J","non-dropping-particle":"","parse-names":false,"suffix":""},{"dropping-particle":"","family":"Li","given":"D","non-dropping-particle":"","parse-names":false,"suffix":""},{"dropping-particle":"","family":"Zhang","given":"J","non-dropping-particle":"","parse-names":false,"suffix":""},{"dropping-particle":"","family":"Yang","given":"Z","non-dropping-particle":"","parse-names":false,"suffix":""}],"container-title":"Oncology Research and Treatment","id":"ITEM-1","issue":"9","issued":{"date-parts":[["2017"]]},"page":"528-532","title":"Selection of Surgical Methods in the Treatment of Upper Tibia Osteosarcoma and Prognostic Analysis","type":"article-journal","volume":"40"},"uris":["http://www.mendeley.com/documents/?uuid=17dc0c54-0ce8-42f8-9e04-ced320a9190c"]}],"mendeley":{"formattedCitation":"(13)","plainTextFormattedCitation":"(13)","previouslyFormattedCitation":"(13)"},"properties":{"noteIndex":0},"schema":"https://github.com/citation-style-language/schema/raw/master/csl-citation.json"}</w:instrText>
            </w:r>
            <w:r w:rsidR="00181B87" w:rsidRPr="005B5460">
              <w:rPr>
                <w:rFonts w:ascii="Times New Roman" w:hAnsi="Times New Roman" w:cs="Times New Roman"/>
              </w:rPr>
              <w:fldChar w:fldCharType="separate"/>
            </w:r>
            <w:r w:rsidR="00181B87" w:rsidRPr="005B5460">
              <w:rPr>
                <w:rFonts w:ascii="Times New Roman" w:hAnsi="Times New Roman" w:cs="Times New Roman"/>
                <w:noProof/>
              </w:rPr>
              <w:t>(13)</w:t>
            </w:r>
            <w:r w:rsidR="00181B87" w:rsidRPr="005B5460">
              <w:rPr>
                <w:rFonts w:ascii="Times New Roman" w:hAnsi="Times New Roman" w:cs="Times New Roman"/>
              </w:rPr>
              <w:fldChar w:fldCharType="end"/>
            </w:r>
          </w:p>
        </w:tc>
        <w:tc>
          <w:tcPr>
            <w:tcW w:w="2259" w:type="dxa"/>
          </w:tcPr>
          <w:p w14:paraId="6A0C511E"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c>
          <w:tcPr>
            <w:tcW w:w="2225" w:type="dxa"/>
          </w:tcPr>
          <w:p w14:paraId="7590E0A2" w14:textId="77777777" w:rsidR="000E7809" w:rsidRPr="005B5460" w:rsidRDefault="000E7809" w:rsidP="009D0EA8">
            <w:pPr>
              <w:spacing w:line="480" w:lineRule="auto"/>
              <w:rPr>
                <w:rFonts w:ascii="Times New Roman" w:hAnsi="Times New Roman" w:cs="Times New Roman"/>
                <w:b/>
                <w:bCs/>
              </w:rPr>
            </w:pPr>
          </w:p>
        </w:tc>
        <w:tc>
          <w:tcPr>
            <w:tcW w:w="2272" w:type="dxa"/>
          </w:tcPr>
          <w:p w14:paraId="5206A6E7" w14:textId="77777777" w:rsidR="000E7809" w:rsidRPr="005B5460" w:rsidRDefault="000E7809"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r>
      <w:tr w:rsidR="009F646C" w:rsidRPr="009C2BA7" w14:paraId="1078DA44" w14:textId="77777777" w:rsidTr="009D0EA8">
        <w:trPr>
          <w:trHeight w:val="440"/>
        </w:trPr>
        <w:tc>
          <w:tcPr>
            <w:tcW w:w="2254" w:type="dxa"/>
            <w:shd w:val="clear" w:color="auto" w:fill="D9D9D9" w:themeFill="background1" w:themeFillShade="D9"/>
          </w:tcPr>
          <w:p w14:paraId="113ACEA9" w14:textId="77777777" w:rsidR="009F646C" w:rsidRPr="005B5460" w:rsidRDefault="009F646C" w:rsidP="009D0EA8">
            <w:pPr>
              <w:spacing w:line="480" w:lineRule="auto"/>
              <w:rPr>
                <w:rFonts w:ascii="Times New Roman" w:hAnsi="Times New Roman" w:cs="Times New Roman"/>
                <w:b/>
                <w:bCs/>
              </w:rPr>
            </w:pPr>
            <w:r w:rsidRPr="005B5460">
              <w:rPr>
                <w:rFonts w:ascii="Times New Roman" w:hAnsi="Times New Roman" w:cs="Times New Roman"/>
                <w:b/>
                <w:bCs/>
              </w:rPr>
              <w:t>Carty et al.</w:t>
            </w:r>
          </w:p>
          <w:p w14:paraId="1F122A94" w14:textId="73481DE7" w:rsidR="009F646C" w:rsidRPr="005B5460" w:rsidRDefault="009F646C" w:rsidP="009D0EA8">
            <w:pPr>
              <w:spacing w:line="480" w:lineRule="auto"/>
              <w:rPr>
                <w:rFonts w:ascii="Times New Roman" w:hAnsi="Times New Roman" w:cs="Times New Roman"/>
              </w:rPr>
            </w:pPr>
            <w:r w:rsidRPr="005B5460">
              <w:rPr>
                <w:rFonts w:ascii="Times New Roman" w:hAnsi="Times New Roman" w:cs="Times New Roman"/>
              </w:rPr>
              <w:t xml:space="preserve">2010 </w:t>
            </w:r>
            <w:r w:rsidRPr="005B5460">
              <w:rPr>
                <w:rFonts w:ascii="Times New Roman" w:hAnsi="Times New Roman" w:cs="Times New Roman"/>
              </w:rPr>
              <w:fldChar w:fldCharType="begin" w:fldLock="1"/>
            </w:r>
            <w:r w:rsidR="009D0EA8" w:rsidRPr="005B5460">
              <w:rPr>
                <w:rFonts w:ascii="Times New Roman" w:hAnsi="Times New Roman" w:cs="Times New Roman"/>
              </w:rPr>
              <w:instrText>ADDIN CSL_CITATION {"citationItems":[{"id":"ITEM-1","itemData":{"DOI":"10.1016/j.jelekin.2009.06.001","ISSN":"1873-5711 (Electronic)","PMID":"19560372","abstract":"Bone sarcomas are the fourth most common cancer in individuals under 25 years of  age. Limb salvage procedures have become increasingly popular for the treatment of osteosarcomas as they have functional and physiological benefits over traditional amputative procedures. The purpose of this study was to assess locomotor patterns post lower limb salvage surgery via electromyographic and energetic measurement techniques on a group of intra-articular knee osteosarcoma patients greater than one year post surgery. A retrospective outcome study was undertaken on 20 limb salvage patients (10 female, 10 male) recruited from the Queensland Bone Tumour Registry. Results showed prolonged activation of rectus femoris and prolonged co-contraction of the rectus femoris and hamstring muscles (p&gt;0.05) in the affected limb of the limb salvage group compared to a control group. Prolonged rectus femoris activation and co-contraction was also evident in the unaffected lower limb suggesting alterations in gait programming within higher neuronal centres. The results are important for the development of rehabilitation programs as they suggest an overall reprogramming of the gait pattern, thereby limiting the impact of conventional strength and stretching interventions.","author":[{"dropping-particle":"","family":"Carty","given":"Christopher P","non-dropping-particle":"","parse-names":false,"suffix":""},{"dropping-particle":"","family":"Bennett","given":"Michael B","non-dropping-particle":"","parse-names":false,"suffix":""},{"dropping-particle":"","family":"Dickinson","given":"Ian C","non-dropping-particle":"","parse-names":false,"suffix":""},{"dropping-particle":"","family":"Steadman","given":"Peter","non-dropping-particle":"","parse-names":false,"suffix":""}],"container-title":"Journal of electromyography and kinesiology : official journal of the International  Society of Electrophysiological Kinesiology","id":"ITEM-1","issue":"3","issued":{"date-parts":[["2010","6"]]},"language":"eng","page":"502-507","publisher-place":"England","title":"Electromyographic assessment of Gait function following limb salvage procedures for  bone sarcoma.","type":"article-journal","volume":"20"},"uris":["http://www.mendeley.com/documents/?uuid=57551b0b-a7d3-40bc-afbc-aaa68c704341"]}],"mendeley":{"formattedCitation":"(43)","plainTextFormattedCitation":"(43)","previouslyFormattedCitation":"(38)"},"properties":{"noteIndex":0},"schema":"https://github.com/citation-style-language/schema/raw/master/csl-citation.json"}</w:instrText>
            </w:r>
            <w:r w:rsidRPr="005B5460">
              <w:rPr>
                <w:rFonts w:ascii="Times New Roman" w:hAnsi="Times New Roman" w:cs="Times New Roman"/>
              </w:rPr>
              <w:fldChar w:fldCharType="separate"/>
            </w:r>
            <w:r w:rsidR="009D0EA8" w:rsidRPr="005B5460">
              <w:rPr>
                <w:rFonts w:ascii="Times New Roman" w:hAnsi="Times New Roman" w:cs="Times New Roman"/>
                <w:noProof/>
              </w:rPr>
              <w:t>(43)</w:t>
            </w:r>
            <w:r w:rsidRPr="005B5460">
              <w:rPr>
                <w:rFonts w:ascii="Times New Roman" w:hAnsi="Times New Roman" w:cs="Times New Roman"/>
              </w:rPr>
              <w:fldChar w:fldCharType="end"/>
            </w:r>
          </w:p>
        </w:tc>
        <w:tc>
          <w:tcPr>
            <w:tcW w:w="2259" w:type="dxa"/>
          </w:tcPr>
          <w:p w14:paraId="16F83A52" w14:textId="19A1FE79" w:rsidR="009F646C" w:rsidRPr="005B5460" w:rsidRDefault="009F646C"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c>
          <w:tcPr>
            <w:tcW w:w="2225" w:type="dxa"/>
          </w:tcPr>
          <w:p w14:paraId="4BE22B5D" w14:textId="77777777" w:rsidR="009F646C" w:rsidRPr="005B5460" w:rsidRDefault="009F646C" w:rsidP="009D0EA8">
            <w:pPr>
              <w:spacing w:line="480" w:lineRule="auto"/>
              <w:rPr>
                <w:rFonts w:ascii="Times New Roman" w:hAnsi="Times New Roman" w:cs="Times New Roman"/>
                <w:b/>
                <w:bCs/>
              </w:rPr>
            </w:pPr>
          </w:p>
        </w:tc>
        <w:tc>
          <w:tcPr>
            <w:tcW w:w="2272" w:type="dxa"/>
          </w:tcPr>
          <w:p w14:paraId="3EA664E1" w14:textId="76AC34E8" w:rsidR="009F646C" w:rsidRPr="005B5460" w:rsidRDefault="009F646C" w:rsidP="009D0EA8">
            <w:pPr>
              <w:spacing w:line="480" w:lineRule="auto"/>
              <w:rPr>
                <w:rFonts w:ascii="Times New Roman" w:hAnsi="Times New Roman" w:cs="Times New Roman"/>
                <w:b/>
                <w:bCs/>
              </w:rPr>
            </w:pPr>
            <w:r w:rsidRPr="005B5460">
              <w:rPr>
                <w:rFonts w:ascii="Times New Roman" w:hAnsi="Times New Roman" w:cs="Times New Roman"/>
                <w:b/>
                <w:bCs/>
              </w:rPr>
              <w:sym w:font="Wingdings" w:char="F0FC"/>
            </w:r>
          </w:p>
        </w:tc>
      </w:tr>
    </w:tbl>
    <w:p w14:paraId="47E0AFC5" w14:textId="77777777" w:rsidR="00631CE9" w:rsidRPr="009C2BA7" w:rsidRDefault="00631CE9" w:rsidP="0081009E">
      <w:pPr>
        <w:spacing w:line="480" w:lineRule="auto"/>
        <w:rPr>
          <w:rFonts w:ascii="Times New Roman" w:hAnsi="Times New Roman" w:cs="Times New Roman"/>
        </w:rPr>
      </w:pPr>
    </w:p>
    <w:p w14:paraId="0F8381CD" w14:textId="530BE176" w:rsidR="00926F7C" w:rsidRPr="009C2BA7" w:rsidRDefault="00926F7C">
      <w:pPr>
        <w:spacing w:after="0" w:line="240" w:lineRule="auto"/>
        <w:rPr>
          <w:rFonts w:ascii="Times New Roman" w:hAnsi="Times New Roman" w:cs="Times New Roman"/>
        </w:rPr>
      </w:pPr>
    </w:p>
    <w:sectPr w:rsidR="00926F7C" w:rsidRPr="009C2BA7" w:rsidSect="00631CE9">
      <w:pgSz w:w="11900" w:h="16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80EB16" w14:textId="77777777" w:rsidR="0044125E" w:rsidRDefault="0044125E" w:rsidP="0032329D">
      <w:pPr>
        <w:spacing w:after="0" w:line="240" w:lineRule="auto"/>
      </w:pPr>
      <w:r>
        <w:separator/>
      </w:r>
    </w:p>
  </w:endnote>
  <w:endnote w:type="continuationSeparator" w:id="0">
    <w:p w14:paraId="1125A6B5" w14:textId="77777777" w:rsidR="0044125E" w:rsidRDefault="0044125E" w:rsidP="0032329D">
      <w:pPr>
        <w:spacing w:after="0" w:line="240" w:lineRule="auto"/>
      </w:pPr>
      <w:r>
        <w:continuationSeparator/>
      </w:r>
    </w:p>
  </w:endnote>
  <w:endnote w:type="continuationNotice" w:id="1">
    <w:p w14:paraId="00414BFC" w14:textId="77777777" w:rsidR="0044125E" w:rsidRDefault="004412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Georgia">
    <w:altName w:val="﷽﷽﷽﷽﷽﷽﷽﷽䇀Ĥ怀"/>
    <w:panose1 w:val="020405020504050203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43655469"/>
      <w:docPartObj>
        <w:docPartGallery w:val="Page Numbers (Bottom of Page)"/>
        <w:docPartUnique/>
      </w:docPartObj>
    </w:sdtPr>
    <w:sdtEndPr>
      <w:rPr>
        <w:rStyle w:val="PageNumber"/>
      </w:rPr>
    </w:sdtEndPr>
    <w:sdtContent>
      <w:p w14:paraId="74C2D316" w14:textId="4B5CD308" w:rsidR="009D0EA8" w:rsidRDefault="009D0EA8" w:rsidP="00631C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599C02" w14:textId="77777777" w:rsidR="009D0EA8" w:rsidRDefault="009D0EA8" w:rsidP="003232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B3F98" w14:textId="77777777" w:rsidR="009D0EA8" w:rsidRPr="005163BD" w:rsidRDefault="009D0EA8">
    <w:pPr>
      <w:pStyle w:val="Footer"/>
      <w:tabs>
        <w:tab w:val="clear" w:pos="4680"/>
        <w:tab w:val="clear" w:pos="9360"/>
      </w:tabs>
      <w:jc w:val="center"/>
      <w:rPr>
        <w:rFonts w:asciiTheme="majorHAnsi" w:hAnsiTheme="majorHAnsi" w:cstheme="majorHAnsi"/>
        <w:caps/>
        <w:noProof/>
      </w:rPr>
    </w:pPr>
    <w:r w:rsidRPr="005163BD">
      <w:rPr>
        <w:rFonts w:asciiTheme="majorHAnsi" w:hAnsiTheme="majorHAnsi" w:cstheme="majorHAnsi"/>
        <w:caps/>
      </w:rPr>
      <w:fldChar w:fldCharType="begin"/>
    </w:r>
    <w:r w:rsidRPr="005163BD">
      <w:rPr>
        <w:rFonts w:asciiTheme="majorHAnsi" w:hAnsiTheme="majorHAnsi" w:cstheme="majorHAnsi"/>
        <w:caps/>
      </w:rPr>
      <w:instrText xml:space="preserve"> PAGE   \* MERGEFORMAT </w:instrText>
    </w:r>
    <w:r w:rsidRPr="005163BD">
      <w:rPr>
        <w:rFonts w:asciiTheme="majorHAnsi" w:hAnsiTheme="majorHAnsi" w:cstheme="majorHAnsi"/>
        <w:caps/>
      </w:rPr>
      <w:fldChar w:fldCharType="separate"/>
    </w:r>
    <w:r w:rsidRPr="005163BD">
      <w:rPr>
        <w:rFonts w:asciiTheme="majorHAnsi" w:hAnsiTheme="majorHAnsi" w:cstheme="majorHAnsi"/>
        <w:caps/>
        <w:noProof/>
      </w:rPr>
      <w:t>2</w:t>
    </w:r>
    <w:r w:rsidRPr="005163BD">
      <w:rPr>
        <w:rFonts w:asciiTheme="majorHAnsi" w:hAnsiTheme="majorHAnsi" w:cstheme="majorHAnsi"/>
        <w:caps/>
        <w:noProof/>
      </w:rPr>
      <w:fldChar w:fldCharType="end"/>
    </w:r>
  </w:p>
  <w:p w14:paraId="36C2D10F" w14:textId="77777777" w:rsidR="009D0EA8" w:rsidRDefault="009D0EA8" w:rsidP="0032329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DF4D8" w14:textId="77777777" w:rsidR="0044125E" w:rsidRDefault="0044125E" w:rsidP="0032329D">
      <w:pPr>
        <w:spacing w:after="0" w:line="240" w:lineRule="auto"/>
      </w:pPr>
      <w:r>
        <w:separator/>
      </w:r>
    </w:p>
  </w:footnote>
  <w:footnote w:type="continuationSeparator" w:id="0">
    <w:p w14:paraId="5A347978" w14:textId="77777777" w:rsidR="0044125E" w:rsidRDefault="0044125E" w:rsidP="0032329D">
      <w:pPr>
        <w:spacing w:after="0" w:line="240" w:lineRule="auto"/>
      </w:pPr>
      <w:r>
        <w:continuationSeparator/>
      </w:r>
    </w:p>
  </w:footnote>
  <w:footnote w:type="continuationNotice" w:id="1">
    <w:p w14:paraId="64312B0F" w14:textId="77777777" w:rsidR="0044125E" w:rsidRDefault="0044125E">
      <w:pPr>
        <w:spacing w:after="0" w:line="240" w:lineRule="auto"/>
      </w:pPr>
    </w:p>
  </w:footnote>
  <w:footnote w:id="2">
    <w:p w14:paraId="6AE46DF4" w14:textId="11D2CE34" w:rsidR="009D0EA8" w:rsidRPr="00631CE9" w:rsidRDefault="009D0EA8" w:rsidP="00631CE9">
      <w:pPr>
        <w:pStyle w:val="FootnoteText"/>
        <w:spacing w:line="480" w:lineRule="auto"/>
        <w:rPr>
          <w:rFonts w:ascii="Georgia" w:hAnsi="Georgia"/>
        </w:rPr>
      </w:pPr>
      <w:r w:rsidRPr="00631CE9">
        <w:rPr>
          <w:rFonts w:ascii="Georgia" w:hAnsi="Georgia"/>
        </w:rPr>
        <w:t xml:space="preserve">Abbreviations: LSS = Limb salvage surgery; AKA = Above knee amputation; </w:t>
      </w:r>
      <w:r>
        <w:rPr>
          <w:rFonts w:ascii="Georgia" w:hAnsi="Georgia"/>
        </w:rPr>
        <w:t>PT = Proximal tibia; DF = Distal femur; IAR = Intra-articular replacement; EAR = Extra-articular replacement.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40491560"/>
      <w:docPartObj>
        <w:docPartGallery w:val="Page Numbers (Top of Page)"/>
        <w:docPartUnique/>
      </w:docPartObj>
    </w:sdtPr>
    <w:sdtEndPr>
      <w:rPr>
        <w:rStyle w:val="PageNumber"/>
      </w:rPr>
    </w:sdtEndPr>
    <w:sdtContent>
      <w:p w14:paraId="547B52F0" w14:textId="4B803272" w:rsidR="009D0EA8" w:rsidRDefault="009D0EA8" w:rsidP="00631CE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02E0EA" w14:textId="77777777" w:rsidR="009D0EA8" w:rsidRDefault="009D0EA8" w:rsidP="0032329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1E94E" w14:textId="67B2A32E" w:rsidR="009D0EA8" w:rsidRDefault="009D0EA8">
    <w:pPr>
      <w:pStyle w:val="Header"/>
    </w:pPr>
    <w:r>
      <w:t>Recovery outcomes following limb salvage surgery</w:t>
    </w:r>
  </w:p>
  <w:p w14:paraId="542BB81E" w14:textId="77777777" w:rsidR="009D0EA8" w:rsidRDefault="009D0EA8" w:rsidP="0032329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65280"/>
    <w:multiLevelType w:val="multilevel"/>
    <w:tmpl w:val="87F6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36843"/>
    <w:multiLevelType w:val="hybridMultilevel"/>
    <w:tmpl w:val="97C862C2"/>
    <w:lvl w:ilvl="0" w:tplc="E9CE0600">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091048E4"/>
    <w:multiLevelType w:val="hybridMultilevel"/>
    <w:tmpl w:val="80B63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5A5027"/>
    <w:multiLevelType w:val="hybridMultilevel"/>
    <w:tmpl w:val="2CCC0C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206948"/>
    <w:multiLevelType w:val="hybridMultilevel"/>
    <w:tmpl w:val="7D14C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2D5EE6"/>
    <w:multiLevelType w:val="hybridMultilevel"/>
    <w:tmpl w:val="F580F9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221D15"/>
    <w:multiLevelType w:val="hybridMultilevel"/>
    <w:tmpl w:val="AA1EF6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54231"/>
    <w:multiLevelType w:val="hybridMultilevel"/>
    <w:tmpl w:val="4C26A7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DF4B24"/>
    <w:multiLevelType w:val="hybridMultilevel"/>
    <w:tmpl w:val="CE4CF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0B7C31"/>
    <w:multiLevelType w:val="hybridMultilevel"/>
    <w:tmpl w:val="5AEEDD3E"/>
    <w:lvl w:ilvl="0" w:tplc="8BC0B71A">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AF7065"/>
    <w:multiLevelType w:val="hybridMultilevel"/>
    <w:tmpl w:val="0150D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B33F1B"/>
    <w:multiLevelType w:val="hybridMultilevel"/>
    <w:tmpl w:val="AD52A5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C74EC3"/>
    <w:multiLevelType w:val="hybridMultilevel"/>
    <w:tmpl w:val="89029144"/>
    <w:lvl w:ilvl="0" w:tplc="EDFA159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1F4490"/>
    <w:multiLevelType w:val="hybridMultilevel"/>
    <w:tmpl w:val="99B64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EA7E96"/>
    <w:multiLevelType w:val="hybridMultilevel"/>
    <w:tmpl w:val="45600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A0D6ACC"/>
    <w:multiLevelType w:val="hybridMultilevel"/>
    <w:tmpl w:val="C55AB5AC"/>
    <w:lvl w:ilvl="0" w:tplc="08090001">
      <w:start w:val="1"/>
      <w:numFmt w:val="bullet"/>
      <w:lvlText w:val=""/>
      <w:lvlJc w:val="left"/>
      <w:pPr>
        <w:ind w:left="702" w:hanging="360"/>
      </w:pPr>
      <w:rPr>
        <w:rFonts w:ascii="Symbol" w:hAnsi="Symbol" w:hint="default"/>
      </w:rPr>
    </w:lvl>
    <w:lvl w:ilvl="1" w:tplc="08090003" w:tentative="1">
      <w:start w:val="1"/>
      <w:numFmt w:val="bullet"/>
      <w:lvlText w:val="o"/>
      <w:lvlJc w:val="left"/>
      <w:pPr>
        <w:ind w:left="1422" w:hanging="360"/>
      </w:pPr>
      <w:rPr>
        <w:rFonts w:ascii="Courier New" w:hAnsi="Courier New" w:cs="Courier New" w:hint="default"/>
      </w:rPr>
    </w:lvl>
    <w:lvl w:ilvl="2" w:tplc="08090005" w:tentative="1">
      <w:start w:val="1"/>
      <w:numFmt w:val="bullet"/>
      <w:lvlText w:val=""/>
      <w:lvlJc w:val="left"/>
      <w:pPr>
        <w:ind w:left="2142" w:hanging="360"/>
      </w:pPr>
      <w:rPr>
        <w:rFonts w:ascii="Wingdings" w:hAnsi="Wingdings" w:hint="default"/>
      </w:rPr>
    </w:lvl>
    <w:lvl w:ilvl="3" w:tplc="08090001" w:tentative="1">
      <w:start w:val="1"/>
      <w:numFmt w:val="bullet"/>
      <w:lvlText w:val=""/>
      <w:lvlJc w:val="left"/>
      <w:pPr>
        <w:ind w:left="2862" w:hanging="360"/>
      </w:pPr>
      <w:rPr>
        <w:rFonts w:ascii="Symbol" w:hAnsi="Symbol" w:hint="default"/>
      </w:rPr>
    </w:lvl>
    <w:lvl w:ilvl="4" w:tplc="08090003" w:tentative="1">
      <w:start w:val="1"/>
      <w:numFmt w:val="bullet"/>
      <w:lvlText w:val="o"/>
      <w:lvlJc w:val="left"/>
      <w:pPr>
        <w:ind w:left="3582" w:hanging="360"/>
      </w:pPr>
      <w:rPr>
        <w:rFonts w:ascii="Courier New" w:hAnsi="Courier New" w:cs="Courier New" w:hint="default"/>
      </w:rPr>
    </w:lvl>
    <w:lvl w:ilvl="5" w:tplc="08090005" w:tentative="1">
      <w:start w:val="1"/>
      <w:numFmt w:val="bullet"/>
      <w:lvlText w:val=""/>
      <w:lvlJc w:val="left"/>
      <w:pPr>
        <w:ind w:left="4302" w:hanging="360"/>
      </w:pPr>
      <w:rPr>
        <w:rFonts w:ascii="Wingdings" w:hAnsi="Wingdings" w:hint="default"/>
      </w:rPr>
    </w:lvl>
    <w:lvl w:ilvl="6" w:tplc="08090001" w:tentative="1">
      <w:start w:val="1"/>
      <w:numFmt w:val="bullet"/>
      <w:lvlText w:val=""/>
      <w:lvlJc w:val="left"/>
      <w:pPr>
        <w:ind w:left="5022" w:hanging="360"/>
      </w:pPr>
      <w:rPr>
        <w:rFonts w:ascii="Symbol" w:hAnsi="Symbol" w:hint="default"/>
      </w:rPr>
    </w:lvl>
    <w:lvl w:ilvl="7" w:tplc="08090003" w:tentative="1">
      <w:start w:val="1"/>
      <w:numFmt w:val="bullet"/>
      <w:lvlText w:val="o"/>
      <w:lvlJc w:val="left"/>
      <w:pPr>
        <w:ind w:left="5742" w:hanging="360"/>
      </w:pPr>
      <w:rPr>
        <w:rFonts w:ascii="Courier New" w:hAnsi="Courier New" w:cs="Courier New" w:hint="default"/>
      </w:rPr>
    </w:lvl>
    <w:lvl w:ilvl="8" w:tplc="08090005" w:tentative="1">
      <w:start w:val="1"/>
      <w:numFmt w:val="bullet"/>
      <w:lvlText w:val=""/>
      <w:lvlJc w:val="left"/>
      <w:pPr>
        <w:ind w:left="6462" w:hanging="360"/>
      </w:pPr>
      <w:rPr>
        <w:rFonts w:ascii="Wingdings" w:hAnsi="Wingdings" w:hint="default"/>
      </w:rPr>
    </w:lvl>
  </w:abstractNum>
  <w:abstractNum w:abstractNumId="16" w15:restartNumberingAfterBreak="0">
    <w:nsid w:val="33EB7769"/>
    <w:multiLevelType w:val="hybridMultilevel"/>
    <w:tmpl w:val="8D3A8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E824F1"/>
    <w:multiLevelType w:val="hybridMultilevel"/>
    <w:tmpl w:val="C040E4F2"/>
    <w:lvl w:ilvl="0" w:tplc="8BC0B71A">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DE741A"/>
    <w:multiLevelType w:val="hybridMultilevel"/>
    <w:tmpl w:val="73700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C1A7953"/>
    <w:multiLevelType w:val="hybridMultilevel"/>
    <w:tmpl w:val="6BBA1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FC82552"/>
    <w:multiLevelType w:val="hybridMultilevel"/>
    <w:tmpl w:val="F03E4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0664B9E"/>
    <w:multiLevelType w:val="hybridMultilevel"/>
    <w:tmpl w:val="62885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1B460E5"/>
    <w:multiLevelType w:val="hybridMultilevel"/>
    <w:tmpl w:val="035892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9D5284"/>
    <w:multiLevelType w:val="hybridMultilevel"/>
    <w:tmpl w:val="96B645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C7080D"/>
    <w:multiLevelType w:val="hybridMultilevel"/>
    <w:tmpl w:val="988CD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7651AE"/>
    <w:multiLevelType w:val="hybridMultilevel"/>
    <w:tmpl w:val="506E2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81E7657"/>
    <w:multiLevelType w:val="hybridMultilevel"/>
    <w:tmpl w:val="84567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443CF6"/>
    <w:multiLevelType w:val="hybridMultilevel"/>
    <w:tmpl w:val="508A3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EDE53B6"/>
    <w:multiLevelType w:val="hybridMultilevel"/>
    <w:tmpl w:val="23C48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93429E"/>
    <w:multiLevelType w:val="multilevel"/>
    <w:tmpl w:val="E3FA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4D09F4"/>
    <w:multiLevelType w:val="hybridMultilevel"/>
    <w:tmpl w:val="F57E7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C140C2"/>
    <w:multiLevelType w:val="hybridMultilevel"/>
    <w:tmpl w:val="C35E9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A665EE"/>
    <w:multiLevelType w:val="hybridMultilevel"/>
    <w:tmpl w:val="3B745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0E6DD9"/>
    <w:multiLevelType w:val="multilevel"/>
    <w:tmpl w:val="DE420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DF332E"/>
    <w:multiLevelType w:val="hybridMultilevel"/>
    <w:tmpl w:val="B51C9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E147B6C"/>
    <w:multiLevelType w:val="hybridMultilevel"/>
    <w:tmpl w:val="7EEA5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F870BD9"/>
    <w:multiLevelType w:val="hybridMultilevel"/>
    <w:tmpl w:val="58F08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00745E0"/>
    <w:multiLevelType w:val="hybridMultilevel"/>
    <w:tmpl w:val="B6EE67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48F134C"/>
    <w:multiLevelType w:val="hybridMultilevel"/>
    <w:tmpl w:val="A6301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9995C5B"/>
    <w:multiLevelType w:val="hybridMultilevel"/>
    <w:tmpl w:val="A34E536C"/>
    <w:lvl w:ilvl="0" w:tplc="8BC0B71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0B019C"/>
    <w:multiLevelType w:val="hybridMultilevel"/>
    <w:tmpl w:val="C33A0E36"/>
    <w:lvl w:ilvl="0" w:tplc="04090001">
      <w:start w:val="1"/>
      <w:numFmt w:val="bullet"/>
      <w:lvlText w:val=""/>
      <w:lvlJc w:val="left"/>
      <w:pPr>
        <w:ind w:left="36" w:hanging="360"/>
      </w:pPr>
      <w:rPr>
        <w:rFonts w:ascii="Symbol" w:hAnsi="Symbol" w:hint="default"/>
      </w:rPr>
    </w:lvl>
    <w:lvl w:ilvl="1" w:tplc="04090003" w:tentative="1">
      <w:start w:val="1"/>
      <w:numFmt w:val="bullet"/>
      <w:lvlText w:val="o"/>
      <w:lvlJc w:val="left"/>
      <w:pPr>
        <w:ind w:left="756" w:hanging="360"/>
      </w:pPr>
      <w:rPr>
        <w:rFonts w:ascii="Courier New" w:hAnsi="Courier New" w:cs="Courier New" w:hint="default"/>
      </w:rPr>
    </w:lvl>
    <w:lvl w:ilvl="2" w:tplc="04090005" w:tentative="1">
      <w:start w:val="1"/>
      <w:numFmt w:val="bullet"/>
      <w:lvlText w:val=""/>
      <w:lvlJc w:val="left"/>
      <w:pPr>
        <w:ind w:left="1476" w:hanging="360"/>
      </w:pPr>
      <w:rPr>
        <w:rFonts w:ascii="Wingdings" w:hAnsi="Wingdings" w:hint="default"/>
      </w:rPr>
    </w:lvl>
    <w:lvl w:ilvl="3" w:tplc="04090001" w:tentative="1">
      <w:start w:val="1"/>
      <w:numFmt w:val="bullet"/>
      <w:lvlText w:val=""/>
      <w:lvlJc w:val="left"/>
      <w:pPr>
        <w:ind w:left="2196" w:hanging="360"/>
      </w:pPr>
      <w:rPr>
        <w:rFonts w:ascii="Symbol" w:hAnsi="Symbol" w:hint="default"/>
      </w:rPr>
    </w:lvl>
    <w:lvl w:ilvl="4" w:tplc="04090003" w:tentative="1">
      <w:start w:val="1"/>
      <w:numFmt w:val="bullet"/>
      <w:lvlText w:val="o"/>
      <w:lvlJc w:val="left"/>
      <w:pPr>
        <w:ind w:left="2916" w:hanging="360"/>
      </w:pPr>
      <w:rPr>
        <w:rFonts w:ascii="Courier New" w:hAnsi="Courier New" w:cs="Courier New" w:hint="default"/>
      </w:rPr>
    </w:lvl>
    <w:lvl w:ilvl="5" w:tplc="04090005" w:tentative="1">
      <w:start w:val="1"/>
      <w:numFmt w:val="bullet"/>
      <w:lvlText w:val=""/>
      <w:lvlJc w:val="left"/>
      <w:pPr>
        <w:ind w:left="3636" w:hanging="360"/>
      </w:pPr>
      <w:rPr>
        <w:rFonts w:ascii="Wingdings" w:hAnsi="Wingdings" w:hint="default"/>
      </w:rPr>
    </w:lvl>
    <w:lvl w:ilvl="6" w:tplc="04090001" w:tentative="1">
      <w:start w:val="1"/>
      <w:numFmt w:val="bullet"/>
      <w:lvlText w:val=""/>
      <w:lvlJc w:val="left"/>
      <w:pPr>
        <w:ind w:left="4356" w:hanging="360"/>
      </w:pPr>
      <w:rPr>
        <w:rFonts w:ascii="Symbol" w:hAnsi="Symbol" w:hint="default"/>
      </w:rPr>
    </w:lvl>
    <w:lvl w:ilvl="7" w:tplc="04090003" w:tentative="1">
      <w:start w:val="1"/>
      <w:numFmt w:val="bullet"/>
      <w:lvlText w:val="o"/>
      <w:lvlJc w:val="left"/>
      <w:pPr>
        <w:ind w:left="5076" w:hanging="360"/>
      </w:pPr>
      <w:rPr>
        <w:rFonts w:ascii="Courier New" w:hAnsi="Courier New" w:cs="Courier New" w:hint="default"/>
      </w:rPr>
    </w:lvl>
    <w:lvl w:ilvl="8" w:tplc="04090005" w:tentative="1">
      <w:start w:val="1"/>
      <w:numFmt w:val="bullet"/>
      <w:lvlText w:val=""/>
      <w:lvlJc w:val="left"/>
      <w:pPr>
        <w:ind w:left="5796" w:hanging="360"/>
      </w:pPr>
      <w:rPr>
        <w:rFonts w:ascii="Wingdings" w:hAnsi="Wingdings" w:hint="default"/>
      </w:rPr>
    </w:lvl>
  </w:abstractNum>
  <w:abstractNum w:abstractNumId="41" w15:restartNumberingAfterBreak="0">
    <w:nsid w:val="6D75035A"/>
    <w:multiLevelType w:val="hybridMultilevel"/>
    <w:tmpl w:val="94700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E63214"/>
    <w:multiLevelType w:val="hybridMultilevel"/>
    <w:tmpl w:val="4AB2F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5260D96"/>
    <w:multiLevelType w:val="hybridMultilevel"/>
    <w:tmpl w:val="B0E84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5616935"/>
    <w:multiLevelType w:val="hybridMultilevel"/>
    <w:tmpl w:val="86D4E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A57EA8"/>
    <w:multiLevelType w:val="hybridMultilevel"/>
    <w:tmpl w:val="86A60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FB68D7"/>
    <w:multiLevelType w:val="multilevel"/>
    <w:tmpl w:val="BBE2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B4287D"/>
    <w:multiLevelType w:val="multilevel"/>
    <w:tmpl w:val="12EEB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56097E"/>
    <w:multiLevelType w:val="hybridMultilevel"/>
    <w:tmpl w:val="276E06C4"/>
    <w:lvl w:ilvl="0" w:tplc="6136DA5A">
      <w:numFmt w:val="bullet"/>
      <w:lvlText w:val=""/>
      <w:lvlJc w:val="left"/>
      <w:pPr>
        <w:ind w:left="1440" w:hanging="108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CE73E7"/>
    <w:multiLevelType w:val="hybridMultilevel"/>
    <w:tmpl w:val="55CCC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28"/>
  </w:num>
  <w:num w:numId="3">
    <w:abstractNumId w:val="31"/>
  </w:num>
  <w:num w:numId="4">
    <w:abstractNumId w:val="43"/>
  </w:num>
  <w:num w:numId="5">
    <w:abstractNumId w:val="27"/>
  </w:num>
  <w:num w:numId="6">
    <w:abstractNumId w:val="30"/>
  </w:num>
  <w:num w:numId="7">
    <w:abstractNumId w:val="32"/>
  </w:num>
  <w:num w:numId="8">
    <w:abstractNumId w:val="49"/>
  </w:num>
  <w:num w:numId="9">
    <w:abstractNumId w:val="20"/>
  </w:num>
  <w:num w:numId="10">
    <w:abstractNumId w:val="11"/>
  </w:num>
  <w:num w:numId="11">
    <w:abstractNumId w:val="19"/>
  </w:num>
  <w:num w:numId="12">
    <w:abstractNumId w:val="8"/>
  </w:num>
  <w:num w:numId="13">
    <w:abstractNumId w:val="3"/>
  </w:num>
  <w:num w:numId="14">
    <w:abstractNumId w:val="35"/>
  </w:num>
  <w:num w:numId="15">
    <w:abstractNumId w:val="34"/>
  </w:num>
  <w:num w:numId="16">
    <w:abstractNumId w:val="38"/>
  </w:num>
  <w:num w:numId="17">
    <w:abstractNumId w:val="18"/>
  </w:num>
  <w:num w:numId="18">
    <w:abstractNumId w:val="16"/>
  </w:num>
  <w:num w:numId="19">
    <w:abstractNumId w:val="2"/>
  </w:num>
  <w:num w:numId="20">
    <w:abstractNumId w:val="14"/>
  </w:num>
  <w:num w:numId="21">
    <w:abstractNumId w:val="13"/>
  </w:num>
  <w:num w:numId="22">
    <w:abstractNumId w:val="24"/>
  </w:num>
  <w:num w:numId="23">
    <w:abstractNumId w:val="10"/>
  </w:num>
  <w:num w:numId="24">
    <w:abstractNumId w:val="25"/>
  </w:num>
  <w:num w:numId="25">
    <w:abstractNumId w:val="5"/>
  </w:num>
  <w:num w:numId="26">
    <w:abstractNumId w:val="37"/>
  </w:num>
  <w:num w:numId="27">
    <w:abstractNumId w:val="21"/>
  </w:num>
  <w:num w:numId="28">
    <w:abstractNumId w:val="42"/>
  </w:num>
  <w:num w:numId="29">
    <w:abstractNumId w:val="4"/>
  </w:num>
  <w:num w:numId="30">
    <w:abstractNumId w:val="36"/>
  </w:num>
  <w:num w:numId="31">
    <w:abstractNumId w:val="9"/>
  </w:num>
  <w:num w:numId="32">
    <w:abstractNumId w:val="7"/>
  </w:num>
  <w:num w:numId="33">
    <w:abstractNumId w:val="6"/>
  </w:num>
  <w:num w:numId="34">
    <w:abstractNumId w:val="23"/>
  </w:num>
  <w:num w:numId="35">
    <w:abstractNumId w:val="17"/>
  </w:num>
  <w:num w:numId="36">
    <w:abstractNumId w:val="40"/>
  </w:num>
  <w:num w:numId="37">
    <w:abstractNumId w:val="26"/>
  </w:num>
  <w:num w:numId="38">
    <w:abstractNumId w:val="48"/>
  </w:num>
  <w:num w:numId="39">
    <w:abstractNumId w:val="39"/>
  </w:num>
  <w:num w:numId="40">
    <w:abstractNumId w:val="12"/>
  </w:num>
  <w:num w:numId="41">
    <w:abstractNumId w:val="22"/>
  </w:num>
  <w:num w:numId="42">
    <w:abstractNumId w:val="44"/>
  </w:num>
  <w:num w:numId="43">
    <w:abstractNumId w:val="15"/>
  </w:num>
  <w:num w:numId="44">
    <w:abstractNumId w:val="1"/>
  </w:num>
  <w:num w:numId="45">
    <w:abstractNumId w:val="46"/>
  </w:num>
  <w:num w:numId="46">
    <w:abstractNumId w:val="0"/>
  </w:num>
  <w:num w:numId="47">
    <w:abstractNumId w:val="47"/>
  </w:num>
  <w:num w:numId="48">
    <w:abstractNumId w:val="29"/>
  </w:num>
  <w:num w:numId="49">
    <w:abstractNumId w:val="41"/>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546"/>
    <w:rsid w:val="00005BDC"/>
    <w:rsid w:val="00006361"/>
    <w:rsid w:val="00011435"/>
    <w:rsid w:val="00012604"/>
    <w:rsid w:val="00015FBF"/>
    <w:rsid w:val="00024336"/>
    <w:rsid w:val="00034E97"/>
    <w:rsid w:val="00036690"/>
    <w:rsid w:val="00042F1A"/>
    <w:rsid w:val="000500A4"/>
    <w:rsid w:val="0005012F"/>
    <w:rsid w:val="000510EF"/>
    <w:rsid w:val="0005110C"/>
    <w:rsid w:val="000524AE"/>
    <w:rsid w:val="0005683A"/>
    <w:rsid w:val="00060AB2"/>
    <w:rsid w:val="000613D6"/>
    <w:rsid w:val="0006155D"/>
    <w:rsid w:val="000711E1"/>
    <w:rsid w:val="00072473"/>
    <w:rsid w:val="00074C23"/>
    <w:rsid w:val="00075292"/>
    <w:rsid w:val="0007788C"/>
    <w:rsid w:val="000817FD"/>
    <w:rsid w:val="0008261C"/>
    <w:rsid w:val="000832D8"/>
    <w:rsid w:val="00083478"/>
    <w:rsid w:val="000865B4"/>
    <w:rsid w:val="000938AD"/>
    <w:rsid w:val="00095AD9"/>
    <w:rsid w:val="00097897"/>
    <w:rsid w:val="000A21B4"/>
    <w:rsid w:val="000A2D69"/>
    <w:rsid w:val="000A2EDA"/>
    <w:rsid w:val="000B0B86"/>
    <w:rsid w:val="000B1560"/>
    <w:rsid w:val="000B65F6"/>
    <w:rsid w:val="000B7B56"/>
    <w:rsid w:val="000C2A67"/>
    <w:rsid w:val="000C3A33"/>
    <w:rsid w:val="000C6E2F"/>
    <w:rsid w:val="000D44DC"/>
    <w:rsid w:val="000D450A"/>
    <w:rsid w:val="000E006F"/>
    <w:rsid w:val="000E18A2"/>
    <w:rsid w:val="000E2BB7"/>
    <w:rsid w:val="000E7809"/>
    <w:rsid w:val="000E7B25"/>
    <w:rsid w:val="000F03ED"/>
    <w:rsid w:val="00100166"/>
    <w:rsid w:val="00101239"/>
    <w:rsid w:val="00102581"/>
    <w:rsid w:val="0010349D"/>
    <w:rsid w:val="001055F7"/>
    <w:rsid w:val="00106915"/>
    <w:rsid w:val="00110710"/>
    <w:rsid w:val="00114605"/>
    <w:rsid w:val="001155B5"/>
    <w:rsid w:val="001175AA"/>
    <w:rsid w:val="00117C6B"/>
    <w:rsid w:val="00121129"/>
    <w:rsid w:val="001216F5"/>
    <w:rsid w:val="001259ED"/>
    <w:rsid w:val="001267ED"/>
    <w:rsid w:val="0013079A"/>
    <w:rsid w:val="001338C7"/>
    <w:rsid w:val="00143095"/>
    <w:rsid w:val="00151966"/>
    <w:rsid w:val="00161A5A"/>
    <w:rsid w:val="001627F5"/>
    <w:rsid w:val="001733DD"/>
    <w:rsid w:val="00175BC4"/>
    <w:rsid w:val="001771EB"/>
    <w:rsid w:val="00181652"/>
    <w:rsid w:val="00181B87"/>
    <w:rsid w:val="00183318"/>
    <w:rsid w:val="001843C3"/>
    <w:rsid w:val="00184A1C"/>
    <w:rsid w:val="00186368"/>
    <w:rsid w:val="001934AE"/>
    <w:rsid w:val="001A270B"/>
    <w:rsid w:val="001B3623"/>
    <w:rsid w:val="001B411B"/>
    <w:rsid w:val="001B4546"/>
    <w:rsid w:val="001C6134"/>
    <w:rsid w:val="001C7E81"/>
    <w:rsid w:val="001D1DBA"/>
    <w:rsid w:val="001D2902"/>
    <w:rsid w:val="001D70E6"/>
    <w:rsid w:val="001D7488"/>
    <w:rsid w:val="001E0484"/>
    <w:rsid w:val="001E22CC"/>
    <w:rsid w:val="001E473B"/>
    <w:rsid w:val="001E4FC2"/>
    <w:rsid w:val="001E509A"/>
    <w:rsid w:val="001E56E6"/>
    <w:rsid w:val="001F1EB4"/>
    <w:rsid w:val="001F25C9"/>
    <w:rsid w:val="001F5CE3"/>
    <w:rsid w:val="001F77C5"/>
    <w:rsid w:val="002142F5"/>
    <w:rsid w:val="00214971"/>
    <w:rsid w:val="0021600D"/>
    <w:rsid w:val="002373EB"/>
    <w:rsid w:val="00237CFB"/>
    <w:rsid w:val="00246071"/>
    <w:rsid w:val="00246187"/>
    <w:rsid w:val="002545D6"/>
    <w:rsid w:val="0025482A"/>
    <w:rsid w:val="00257B77"/>
    <w:rsid w:val="00260664"/>
    <w:rsid w:val="00261BB1"/>
    <w:rsid w:val="002677CA"/>
    <w:rsid w:val="00277225"/>
    <w:rsid w:val="00281083"/>
    <w:rsid w:val="002836F9"/>
    <w:rsid w:val="002858BD"/>
    <w:rsid w:val="002866C9"/>
    <w:rsid w:val="002873D7"/>
    <w:rsid w:val="0029093B"/>
    <w:rsid w:val="0029128B"/>
    <w:rsid w:val="00293A7A"/>
    <w:rsid w:val="002979E9"/>
    <w:rsid w:val="002A1924"/>
    <w:rsid w:val="002A5BB6"/>
    <w:rsid w:val="002B59B4"/>
    <w:rsid w:val="002B6144"/>
    <w:rsid w:val="002C0F3C"/>
    <w:rsid w:val="002C1A02"/>
    <w:rsid w:val="002C4467"/>
    <w:rsid w:val="002C65A3"/>
    <w:rsid w:val="002C694E"/>
    <w:rsid w:val="002D58DB"/>
    <w:rsid w:val="002D65D8"/>
    <w:rsid w:val="002E31F5"/>
    <w:rsid w:val="002E3352"/>
    <w:rsid w:val="002E3496"/>
    <w:rsid w:val="002E3A97"/>
    <w:rsid w:val="002E6EE0"/>
    <w:rsid w:val="00302D10"/>
    <w:rsid w:val="003135BD"/>
    <w:rsid w:val="00313783"/>
    <w:rsid w:val="00314719"/>
    <w:rsid w:val="00315C1F"/>
    <w:rsid w:val="0032329D"/>
    <w:rsid w:val="00324D13"/>
    <w:rsid w:val="00330064"/>
    <w:rsid w:val="0034083D"/>
    <w:rsid w:val="00341A56"/>
    <w:rsid w:val="00344140"/>
    <w:rsid w:val="003503BA"/>
    <w:rsid w:val="003561CE"/>
    <w:rsid w:val="0035661B"/>
    <w:rsid w:val="00357D66"/>
    <w:rsid w:val="00362CFF"/>
    <w:rsid w:val="00363BB5"/>
    <w:rsid w:val="00365705"/>
    <w:rsid w:val="00365F52"/>
    <w:rsid w:val="00366872"/>
    <w:rsid w:val="003752F7"/>
    <w:rsid w:val="00375B7D"/>
    <w:rsid w:val="0037642B"/>
    <w:rsid w:val="00376E62"/>
    <w:rsid w:val="00380E05"/>
    <w:rsid w:val="00380E98"/>
    <w:rsid w:val="0038124F"/>
    <w:rsid w:val="003849C2"/>
    <w:rsid w:val="0038516E"/>
    <w:rsid w:val="003871F9"/>
    <w:rsid w:val="003878BA"/>
    <w:rsid w:val="003B0EB3"/>
    <w:rsid w:val="003C2D39"/>
    <w:rsid w:val="003C5868"/>
    <w:rsid w:val="003D0F9A"/>
    <w:rsid w:val="003D2520"/>
    <w:rsid w:val="003D5D16"/>
    <w:rsid w:val="003D6D3A"/>
    <w:rsid w:val="003E0E68"/>
    <w:rsid w:val="003E2192"/>
    <w:rsid w:val="003E49BA"/>
    <w:rsid w:val="003F6E37"/>
    <w:rsid w:val="00401CEC"/>
    <w:rsid w:val="004023D4"/>
    <w:rsid w:val="004027B8"/>
    <w:rsid w:val="00403756"/>
    <w:rsid w:val="004055F3"/>
    <w:rsid w:val="00411C17"/>
    <w:rsid w:val="0042108D"/>
    <w:rsid w:val="00422B7F"/>
    <w:rsid w:val="004245A3"/>
    <w:rsid w:val="004271BF"/>
    <w:rsid w:val="00430415"/>
    <w:rsid w:val="00432C09"/>
    <w:rsid w:val="004337D8"/>
    <w:rsid w:val="00434579"/>
    <w:rsid w:val="00437CDE"/>
    <w:rsid w:val="00437F9B"/>
    <w:rsid w:val="0044125E"/>
    <w:rsid w:val="00442A6F"/>
    <w:rsid w:val="00444DD3"/>
    <w:rsid w:val="00450C42"/>
    <w:rsid w:val="00453DC1"/>
    <w:rsid w:val="00454C92"/>
    <w:rsid w:val="004570DC"/>
    <w:rsid w:val="00474F9A"/>
    <w:rsid w:val="00476EEF"/>
    <w:rsid w:val="00480840"/>
    <w:rsid w:val="00481C60"/>
    <w:rsid w:val="00482E31"/>
    <w:rsid w:val="00483049"/>
    <w:rsid w:val="004841AD"/>
    <w:rsid w:val="0048719E"/>
    <w:rsid w:val="00490BE8"/>
    <w:rsid w:val="00490C12"/>
    <w:rsid w:val="004933BB"/>
    <w:rsid w:val="00494753"/>
    <w:rsid w:val="00494883"/>
    <w:rsid w:val="004A50C4"/>
    <w:rsid w:val="004A55C5"/>
    <w:rsid w:val="004A5C4A"/>
    <w:rsid w:val="004A5E8D"/>
    <w:rsid w:val="004A6BD9"/>
    <w:rsid w:val="004B163C"/>
    <w:rsid w:val="004B1E76"/>
    <w:rsid w:val="004B3EAD"/>
    <w:rsid w:val="004B664B"/>
    <w:rsid w:val="004C0C99"/>
    <w:rsid w:val="004C0D54"/>
    <w:rsid w:val="004C4B4B"/>
    <w:rsid w:val="004D03EC"/>
    <w:rsid w:val="004D0C32"/>
    <w:rsid w:val="004D0D21"/>
    <w:rsid w:val="004D153C"/>
    <w:rsid w:val="004D7062"/>
    <w:rsid w:val="004D75AB"/>
    <w:rsid w:val="004E3D1A"/>
    <w:rsid w:val="004E4DE5"/>
    <w:rsid w:val="004E5D7A"/>
    <w:rsid w:val="004E6088"/>
    <w:rsid w:val="004F37CE"/>
    <w:rsid w:val="004F39D1"/>
    <w:rsid w:val="0050600F"/>
    <w:rsid w:val="00510FD1"/>
    <w:rsid w:val="0051193A"/>
    <w:rsid w:val="00513ACB"/>
    <w:rsid w:val="00514C98"/>
    <w:rsid w:val="005163BD"/>
    <w:rsid w:val="005177FE"/>
    <w:rsid w:val="0052012A"/>
    <w:rsid w:val="005220B0"/>
    <w:rsid w:val="00524C8F"/>
    <w:rsid w:val="00526110"/>
    <w:rsid w:val="0052631A"/>
    <w:rsid w:val="005321DC"/>
    <w:rsid w:val="005401A6"/>
    <w:rsid w:val="00547746"/>
    <w:rsid w:val="00554042"/>
    <w:rsid w:val="005546A4"/>
    <w:rsid w:val="00563F35"/>
    <w:rsid w:val="00566958"/>
    <w:rsid w:val="005728DC"/>
    <w:rsid w:val="00572C77"/>
    <w:rsid w:val="00575BD2"/>
    <w:rsid w:val="00580AC8"/>
    <w:rsid w:val="0058381B"/>
    <w:rsid w:val="005917A0"/>
    <w:rsid w:val="0059219F"/>
    <w:rsid w:val="00592CCA"/>
    <w:rsid w:val="00592E42"/>
    <w:rsid w:val="00594155"/>
    <w:rsid w:val="00594697"/>
    <w:rsid w:val="005A25C0"/>
    <w:rsid w:val="005A4197"/>
    <w:rsid w:val="005A4B64"/>
    <w:rsid w:val="005B320D"/>
    <w:rsid w:val="005B3498"/>
    <w:rsid w:val="005B39C5"/>
    <w:rsid w:val="005B5460"/>
    <w:rsid w:val="005B6B0F"/>
    <w:rsid w:val="005C12DF"/>
    <w:rsid w:val="005C1CAF"/>
    <w:rsid w:val="005C1CB7"/>
    <w:rsid w:val="005C1E26"/>
    <w:rsid w:val="005C3E1B"/>
    <w:rsid w:val="005D21B8"/>
    <w:rsid w:val="005D5E60"/>
    <w:rsid w:val="005E200F"/>
    <w:rsid w:val="005E7A53"/>
    <w:rsid w:val="005F1C3C"/>
    <w:rsid w:val="005F3E74"/>
    <w:rsid w:val="005F4DC8"/>
    <w:rsid w:val="005F54F1"/>
    <w:rsid w:val="005F62E3"/>
    <w:rsid w:val="005F6FAB"/>
    <w:rsid w:val="00602E4F"/>
    <w:rsid w:val="006068FD"/>
    <w:rsid w:val="006110D8"/>
    <w:rsid w:val="006118B8"/>
    <w:rsid w:val="006126FE"/>
    <w:rsid w:val="00614188"/>
    <w:rsid w:val="0061590B"/>
    <w:rsid w:val="00615A7F"/>
    <w:rsid w:val="00615EFA"/>
    <w:rsid w:val="00616667"/>
    <w:rsid w:val="006179F2"/>
    <w:rsid w:val="00624DE4"/>
    <w:rsid w:val="00625603"/>
    <w:rsid w:val="0062710C"/>
    <w:rsid w:val="00627B4B"/>
    <w:rsid w:val="00630D6C"/>
    <w:rsid w:val="00631CE9"/>
    <w:rsid w:val="00641076"/>
    <w:rsid w:val="00643BC4"/>
    <w:rsid w:val="00651700"/>
    <w:rsid w:val="006611FA"/>
    <w:rsid w:val="006647A2"/>
    <w:rsid w:val="00666460"/>
    <w:rsid w:val="006701B9"/>
    <w:rsid w:val="0067784F"/>
    <w:rsid w:val="00680968"/>
    <w:rsid w:val="00680D7E"/>
    <w:rsid w:val="0068432F"/>
    <w:rsid w:val="0068582C"/>
    <w:rsid w:val="00692DC4"/>
    <w:rsid w:val="00692F7C"/>
    <w:rsid w:val="006942BC"/>
    <w:rsid w:val="0069594B"/>
    <w:rsid w:val="006A0E53"/>
    <w:rsid w:val="006A21DE"/>
    <w:rsid w:val="006A6C6D"/>
    <w:rsid w:val="006B1E54"/>
    <w:rsid w:val="006B591D"/>
    <w:rsid w:val="006B5E9A"/>
    <w:rsid w:val="006B6FB0"/>
    <w:rsid w:val="006D0A01"/>
    <w:rsid w:val="006D3F09"/>
    <w:rsid w:val="006D5B16"/>
    <w:rsid w:val="006D6086"/>
    <w:rsid w:val="006D7404"/>
    <w:rsid w:val="006D7C83"/>
    <w:rsid w:val="006E24A9"/>
    <w:rsid w:val="006E3260"/>
    <w:rsid w:val="006E7682"/>
    <w:rsid w:val="006F0B43"/>
    <w:rsid w:val="006F1431"/>
    <w:rsid w:val="006F2C2C"/>
    <w:rsid w:val="006F6671"/>
    <w:rsid w:val="006F6C77"/>
    <w:rsid w:val="00700DBA"/>
    <w:rsid w:val="0070583B"/>
    <w:rsid w:val="007109F5"/>
    <w:rsid w:val="00711A8B"/>
    <w:rsid w:val="00714A4B"/>
    <w:rsid w:val="00721F42"/>
    <w:rsid w:val="00726445"/>
    <w:rsid w:val="00733D32"/>
    <w:rsid w:val="0073406D"/>
    <w:rsid w:val="00741D74"/>
    <w:rsid w:val="007434D6"/>
    <w:rsid w:val="007461C4"/>
    <w:rsid w:val="007544D4"/>
    <w:rsid w:val="00756B80"/>
    <w:rsid w:val="00757295"/>
    <w:rsid w:val="007649FE"/>
    <w:rsid w:val="007712FE"/>
    <w:rsid w:val="00774FEF"/>
    <w:rsid w:val="007765C2"/>
    <w:rsid w:val="00781CA5"/>
    <w:rsid w:val="00781E9F"/>
    <w:rsid w:val="00782AE2"/>
    <w:rsid w:val="00784A03"/>
    <w:rsid w:val="00786871"/>
    <w:rsid w:val="00786C9B"/>
    <w:rsid w:val="00792F97"/>
    <w:rsid w:val="00796779"/>
    <w:rsid w:val="007A5D23"/>
    <w:rsid w:val="007A5E54"/>
    <w:rsid w:val="007B35F2"/>
    <w:rsid w:val="007B3F32"/>
    <w:rsid w:val="007B6371"/>
    <w:rsid w:val="007B6AC0"/>
    <w:rsid w:val="007B6F98"/>
    <w:rsid w:val="007C0F88"/>
    <w:rsid w:val="007C3999"/>
    <w:rsid w:val="007C5C80"/>
    <w:rsid w:val="007C6572"/>
    <w:rsid w:val="007C7119"/>
    <w:rsid w:val="007D0609"/>
    <w:rsid w:val="007E3529"/>
    <w:rsid w:val="007E51F4"/>
    <w:rsid w:val="007E576F"/>
    <w:rsid w:val="007E7F9C"/>
    <w:rsid w:val="007F56E0"/>
    <w:rsid w:val="007F6660"/>
    <w:rsid w:val="007F667B"/>
    <w:rsid w:val="007F7590"/>
    <w:rsid w:val="00800426"/>
    <w:rsid w:val="00801E5C"/>
    <w:rsid w:val="0080300D"/>
    <w:rsid w:val="008077AD"/>
    <w:rsid w:val="00807C2B"/>
    <w:rsid w:val="00807EC9"/>
    <w:rsid w:val="0081009E"/>
    <w:rsid w:val="00810B30"/>
    <w:rsid w:val="00813241"/>
    <w:rsid w:val="00817011"/>
    <w:rsid w:val="0082162E"/>
    <w:rsid w:val="00822DBF"/>
    <w:rsid w:val="0082325C"/>
    <w:rsid w:val="008256C2"/>
    <w:rsid w:val="00832681"/>
    <w:rsid w:val="00834A45"/>
    <w:rsid w:val="008352CC"/>
    <w:rsid w:val="008374C3"/>
    <w:rsid w:val="00837E34"/>
    <w:rsid w:val="00844C32"/>
    <w:rsid w:val="0084608D"/>
    <w:rsid w:val="008533EE"/>
    <w:rsid w:val="008536AD"/>
    <w:rsid w:val="00853935"/>
    <w:rsid w:val="00853ADC"/>
    <w:rsid w:val="0085497F"/>
    <w:rsid w:val="00857CFD"/>
    <w:rsid w:val="00861025"/>
    <w:rsid w:val="0086192F"/>
    <w:rsid w:val="00861B9D"/>
    <w:rsid w:val="00866F66"/>
    <w:rsid w:val="00870197"/>
    <w:rsid w:val="008710B4"/>
    <w:rsid w:val="00872A8D"/>
    <w:rsid w:val="00873635"/>
    <w:rsid w:val="00875905"/>
    <w:rsid w:val="008829A3"/>
    <w:rsid w:val="008872B6"/>
    <w:rsid w:val="00897A73"/>
    <w:rsid w:val="008A14F8"/>
    <w:rsid w:val="008A6410"/>
    <w:rsid w:val="008A7374"/>
    <w:rsid w:val="008B05BB"/>
    <w:rsid w:val="008B28F5"/>
    <w:rsid w:val="008B39E2"/>
    <w:rsid w:val="008B4348"/>
    <w:rsid w:val="008C18D9"/>
    <w:rsid w:val="008C1ADA"/>
    <w:rsid w:val="008C3F86"/>
    <w:rsid w:val="008C4F63"/>
    <w:rsid w:val="008C5C69"/>
    <w:rsid w:val="008C7252"/>
    <w:rsid w:val="008C7752"/>
    <w:rsid w:val="008D11B5"/>
    <w:rsid w:val="008D4165"/>
    <w:rsid w:val="008D6E4D"/>
    <w:rsid w:val="008E0B7B"/>
    <w:rsid w:val="008E0F08"/>
    <w:rsid w:val="008E107A"/>
    <w:rsid w:val="008E33B4"/>
    <w:rsid w:val="008E34EE"/>
    <w:rsid w:val="008E66CB"/>
    <w:rsid w:val="008F1CFE"/>
    <w:rsid w:val="008F4428"/>
    <w:rsid w:val="008F44E9"/>
    <w:rsid w:val="008F50A4"/>
    <w:rsid w:val="008F55F9"/>
    <w:rsid w:val="00911C67"/>
    <w:rsid w:val="009143B8"/>
    <w:rsid w:val="0091567A"/>
    <w:rsid w:val="00916189"/>
    <w:rsid w:val="00920349"/>
    <w:rsid w:val="009220C4"/>
    <w:rsid w:val="0092311D"/>
    <w:rsid w:val="00923B99"/>
    <w:rsid w:val="00923E73"/>
    <w:rsid w:val="00924163"/>
    <w:rsid w:val="00924442"/>
    <w:rsid w:val="0092492F"/>
    <w:rsid w:val="00926F7C"/>
    <w:rsid w:val="00927EF0"/>
    <w:rsid w:val="00930279"/>
    <w:rsid w:val="0093785F"/>
    <w:rsid w:val="00937C46"/>
    <w:rsid w:val="00947126"/>
    <w:rsid w:val="0095456F"/>
    <w:rsid w:val="00955B37"/>
    <w:rsid w:val="0096162A"/>
    <w:rsid w:val="0096170E"/>
    <w:rsid w:val="009632A1"/>
    <w:rsid w:val="00964E8B"/>
    <w:rsid w:val="009651A5"/>
    <w:rsid w:val="00965289"/>
    <w:rsid w:val="00970214"/>
    <w:rsid w:val="00970B78"/>
    <w:rsid w:val="0097105F"/>
    <w:rsid w:val="00975A23"/>
    <w:rsid w:val="00977BD1"/>
    <w:rsid w:val="00977C0C"/>
    <w:rsid w:val="0098026A"/>
    <w:rsid w:val="00983379"/>
    <w:rsid w:val="00990F72"/>
    <w:rsid w:val="00997583"/>
    <w:rsid w:val="009A01B1"/>
    <w:rsid w:val="009A111A"/>
    <w:rsid w:val="009A38BF"/>
    <w:rsid w:val="009A7271"/>
    <w:rsid w:val="009B1822"/>
    <w:rsid w:val="009B4CC7"/>
    <w:rsid w:val="009C1CBA"/>
    <w:rsid w:val="009C2BA7"/>
    <w:rsid w:val="009C556C"/>
    <w:rsid w:val="009C62A6"/>
    <w:rsid w:val="009D0AA5"/>
    <w:rsid w:val="009D0EA8"/>
    <w:rsid w:val="009D2566"/>
    <w:rsid w:val="009D4CEE"/>
    <w:rsid w:val="009D7B35"/>
    <w:rsid w:val="009D7E14"/>
    <w:rsid w:val="009E0F8E"/>
    <w:rsid w:val="009E4D56"/>
    <w:rsid w:val="009E5108"/>
    <w:rsid w:val="009E71C1"/>
    <w:rsid w:val="009F1E97"/>
    <w:rsid w:val="009F38C6"/>
    <w:rsid w:val="009F4587"/>
    <w:rsid w:val="009F4822"/>
    <w:rsid w:val="009F646C"/>
    <w:rsid w:val="009F7641"/>
    <w:rsid w:val="00A00FF5"/>
    <w:rsid w:val="00A01E63"/>
    <w:rsid w:val="00A032CE"/>
    <w:rsid w:val="00A04E47"/>
    <w:rsid w:val="00A06B03"/>
    <w:rsid w:val="00A10837"/>
    <w:rsid w:val="00A108AF"/>
    <w:rsid w:val="00A10DEE"/>
    <w:rsid w:val="00A15183"/>
    <w:rsid w:val="00A17456"/>
    <w:rsid w:val="00A23B26"/>
    <w:rsid w:val="00A253C8"/>
    <w:rsid w:val="00A254F8"/>
    <w:rsid w:val="00A25A40"/>
    <w:rsid w:val="00A50017"/>
    <w:rsid w:val="00A502DB"/>
    <w:rsid w:val="00A506A1"/>
    <w:rsid w:val="00A52A68"/>
    <w:rsid w:val="00A559E7"/>
    <w:rsid w:val="00A64CF1"/>
    <w:rsid w:val="00A740E5"/>
    <w:rsid w:val="00A74150"/>
    <w:rsid w:val="00A74164"/>
    <w:rsid w:val="00A80CA1"/>
    <w:rsid w:val="00A82CAF"/>
    <w:rsid w:val="00A82D69"/>
    <w:rsid w:val="00A86667"/>
    <w:rsid w:val="00A90365"/>
    <w:rsid w:val="00A93B62"/>
    <w:rsid w:val="00A95E09"/>
    <w:rsid w:val="00A96B84"/>
    <w:rsid w:val="00AA0B16"/>
    <w:rsid w:val="00AA273D"/>
    <w:rsid w:val="00AA32EA"/>
    <w:rsid w:val="00AA5D15"/>
    <w:rsid w:val="00AA72CD"/>
    <w:rsid w:val="00AA7CB9"/>
    <w:rsid w:val="00AB0193"/>
    <w:rsid w:val="00AB197B"/>
    <w:rsid w:val="00AB1C2F"/>
    <w:rsid w:val="00AB24F7"/>
    <w:rsid w:val="00AB553F"/>
    <w:rsid w:val="00AB75A6"/>
    <w:rsid w:val="00AC07A5"/>
    <w:rsid w:val="00AC2BA4"/>
    <w:rsid w:val="00AC43E6"/>
    <w:rsid w:val="00AC4F17"/>
    <w:rsid w:val="00AC61D6"/>
    <w:rsid w:val="00AD0B02"/>
    <w:rsid w:val="00AD19E0"/>
    <w:rsid w:val="00AD443F"/>
    <w:rsid w:val="00AE1156"/>
    <w:rsid w:val="00AE43C4"/>
    <w:rsid w:val="00AF065F"/>
    <w:rsid w:val="00AF33F6"/>
    <w:rsid w:val="00B03945"/>
    <w:rsid w:val="00B050D4"/>
    <w:rsid w:val="00B0770E"/>
    <w:rsid w:val="00B07E25"/>
    <w:rsid w:val="00B12794"/>
    <w:rsid w:val="00B1355C"/>
    <w:rsid w:val="00B147CE"/>
    <w:rsid w:val="00B17059"/>
    <w:rsid w:val="00B2091B"/>
    <w:rsid w:val="00B2179F"/>
    <w:rsid w:val="00B24F98"/>
    <w:rsid w:val="00B3342A"/>
    <w:rsid w:val="00B342B2"/>
    <w:rsid w:val="00B34AF6"/>
    <w:rsid w:val="00B37DFA"/>
    <w:rsid w:val="00B41F24"/>
    <w:rsid w:val="00B43482"/>
    <w:rsid w:val="00B4422D"/>
    <w:rsid w:val="00B44E41"/>
    <w:rsid w:val="00B4574F"/>
    <w:rsid w:val="00B471E5"/>
    <w:rsid w:val="00B505A9"/>
    <w:rsid w:val="00B532AA"/>
    <w:rsid w:val="00B63CBC"/>
    <w:rsid w:val="00B66B3A"/>
    <w:rsid w:val="00B6742B"/>
    <w:rsid w:val="00B71070"/>
    <w:rsid w:val="00B720B7"/>
    <w:rsid w:val="00B73873"/>
    <w:rsid w:val="00B73CB8"/>
    <w:rsid w:val="00B752D2"/>
    <w:rsid w:val="00B81F91"/>
    <w:rsid w:val="00B84833"/>
    <w:rsid w:val="00B865FE"/>
    <w:rsid w:val="00B920D8"/>
    <w:rsid w:val="00B95403"/>
    <w:rsid w:val="00B97EFF"/>
    <w:rsid w:val="00BA4BF5"/>
    <w:rsid w:val="00BA6E79"/>
    <w:rsid w:val="00BA7C1C"/>
    <w:rsid w:val="00BB020D"/>
    <w:rsid w:val="00BB1E86"/>
    <w:rsid w:val="00BB268F"/>
    <w:rsid w:val="00BB5546"/>
    <w:rsid w:val="00BC0586"/>
    <w:rsid w:val="00BC2514"/>
    <w:rsid w:val="00BC2A87"/>
    <w:rsid w:val="00BD2A98"/>
    <w:rsid w:val="00BD3970"/>
    <w:rsid w:val="00BD4EAC"/>
    <w:rsid w:val="00BE0421"/>
    <w:rsid w:val="00BE0AE9"/>
    <w:rsid w:val="00BE710F"/>
    <w:rsid w:val="00BF05EE"/>
    <w:rsid w:val="00BF2558"/>
    <w:rsid w:val="00BF2669"/>
    <w:rsid w:val="00BF69B4"/>
    <w:rsid w:val="00C0412F"/>
    <w:rsid w:val="00C1102C"/>
    <w:rsid w:val="00C1213D"/>
    <w:rsid w:val="00C1377B"/>
    <w:rsid w:val="00C1784B"/>
    <w:rsid w:val="00C20E10"/>
    <w:rsid w:val="00C22E2B"/>
    <w:rsid w:val="00C25395"/>
    <w:rsid w:val="00C25768"/>
    <w:rsid w:val="00C27596"/>
    <w:rsid w:val="00C317CA"/>
    <w:rsid w:val="00C32667"/>
    <w:rsid w:val="00C42607"/>
    <w:rsid w:val="00C44830"/>
    <w:rsid w:val="00C51EC8"/>
    <w:rsid w:val="00C52499"/>
    <w:rsid w:val="00C55E23"/>
    <w:rsid w:val="00C613EC"/>
    <w:rsid w:val="00C651D3"/>
    <w:rsid w:val="00C66044"/>
    <w:rsid w:val="00C73837"/>
    <w:rsid w:val="00C7477F"/>
    <w:rsid w:val="00C75BB0"/>
    <w:rsid w:val="00C8307A"/>
    <w:rsid w:val="00C92FA8"/>
    <w:rsid w:val="00CA0AB0"/>
    <w:rsid w:val="00CA1540"/>
    <w:rsid w:val="00CA198C"/>
    <w:rsid w:val="00CA22C8"/>
    <w:rsid w:val="00CA4D8A"/>
    <w:rsid w:val="00CA6401"/>
    <w:rsid w:val="00CA7D49"/>
    <w:rsid w:val="00CB3867"/>
    <w:rsid w:val="00CC3F9E"/>
    <w:rsid w:val="00CC7A19"/>
    <w:rsid w:val="00CD1A5C"/>
    <w:rsid w:val="00CD5108"/>
    <w:rsid w:val="00CE2747"/>
    <w:rsid w:val="00CE3D64"/>
    <w:rsid w:val="00CE7F5E"/>
    <w:rsid w:val="00CF404F"/>
    <w:rsid w:val="00D009DF"/>
    <w:rsid w:val="00D0127B"/>
    <w:rsid w:val="00D01459"/>
    <w:rsid w:val="00D0433C"/>
    <w:rsid w:val="00D055D4"/>
    <w:rsid w:val="00D05FA1"/>
    <w:rsid w:val="00D0795A"/>
    <w:rsid w:val="00D113B4"/>
    <w:rsid w:val="00D12B05"/>
    <w:rsid w:val="00D14BC2"/>
    <w:rsid w:val="00D24919"/>
    <w:rsid w:val="00D2520D"/>
    <w:rsid w:val="00D25E28"/>
    <w:rsid w:val="00D34C8F"/>
    <w:rsid w:val="00D43BED"/>
    <w:rsid w:val="00D44170"/>
    <w:rsid w:val="00D44F1D"/>
    <w:rsid w:val="00D47C25"/>
    <w:rsid w:val="00D51F31"/>
    <w:rsid w:val="00D52A54"/>
    <w:rsid w:val="00D52EA2"/>
    <w:rsid w:val="00D62175"/>
    <w:rsid w:val="00D62C10"/>
    <w:rsid w:val="00D6309A"/>
    <w:rsid w:val="00D653AE"/>
    <w:rsid w:val="00D706CE"/>
    <w:rsid w:val="00D755B5"/>
    <w:rsid w:val="00D7749E"/>
    <w:rsid w:val="00D8682C"/>
    <w:rsid w:val="00D90F0E"/>
    <w:rsid w:val="00D910C4"/>
    <w:rsid w:val="00D92DA4"/>
    <w:rsid w:val="00D93B5D"/>
    <w:rsid w:val="00D946A9"/>
    <w:rsid w:val="00D96B71"/>
    <w:rsid w:val="00D97F32"/>
    <w:rsid w:val="00DA0D9A"/>
    <w:rsid w:val="00DA1074"/>
    <w:rsid w:val="00DA406D"/>
    <w:rsid w:val="00DA603D"/>
    <w:rsid w:val="00DB1993"/>
    <w:rsid w:val="00DB1D24"/>
    <w:rsid w:val="00DB2BB7"/>
    <w:rsid w:val="00DB3536"/>
    <w:rsid w:val="00DB7AFD"/>
    <w:rsid w:val="00DC3013"/>
    <w:rsid w:val="00DC321B"/>
    <w:rsid w:val="00DC375C"/>
    <w:rsid w:val="00DC44A8"/>
    <w:rsid w:val="00DC52D1"/>
    <w:rsid w:val="00DC6E3B"/>
    <w:rsid w:val="00DC6FD4"/>
    <w:rsid w:val="00DC7091"/>
    <w:rsid w:val="00DD220C"/>
    <w:rsid w:val="00DD266A"/>
    <w:rsid w:val="00DD66AF"/>
    <w:rsid w:val="00DD6AAF"/>
    <w:rsid w:val="00DE09B8"/>
    <w:rsid w:val="00DE0AFF"/>
    <w:rsid w:val="00DE49A9"/>
    <w:rsid w:val="00DE627B"/>
    <w:rsid w:val="00DE71F3"/>
    <w:rsid w:val="00DF550F"/>
    <w:rsid w:val="00DF5DC8"/>
    <w:rsid w:val="00DF7BD2"/>
    <w:rsid w:val="00E01842"/>
    <w:rsid w:val="00E02056"/>
    <w:rsid w:val="00E024FC"/>
    <w:rsid w:val="00E05D8E"/>
    <w:rsid w:val="00E31DE9"/>
    <w:rsid w:val="00E3366F"/>
    <w:rsid w:val="00E3643E"/>
    <w:rsid w:val="00E463E2"/>
    <w:rsid w:val="00E5490A"/>
    <w:rsid w:val="00E54E73"/>
    <w:rsid w:val="00E6231A"/>
    <w:rsid w:val="00E63F36"/>
    <w:rsid w:val="00E70D3C"/>
    <w:rsid w:val="00E84E15"/>
    <w:rsid w:val="00E85385"/>
    <w:rsid w:val="00E86027"/>
    <w:rsid w:val="00E94141"/>
    <w:rsid w:val="00E951E7"/>
    <w:rsid w:val="00E9626B"/>
    <w:rsid w:val="00E96CA6"/>
    <w:rsid w:val="00EA125A"/>
    <w:rsid w:val="00EA57E9"/>
    <w:rsid w:val="00EA657F"/>
    <w:rsid w:val="00EB08BA"/>
    <w:rsid w:val="00EB5223"/>
    <w:rsid w:val="00EC1D79"/>
    <w:rsid w:val="00EC5137"/>
    <w:rsid w:val="00ED2909"/>
    <w:rsid w:val="00ED5FD2"/>
    <w:rsid w:val="00EE0974"/>
    <w:rsid w:val="00EE0B64"/>
    <w:rsid w:val="00EE64DE"/>
    <w:rsid w:val="00EF0174"/>
    <w:rsid w:val="00EF555F"/>
    <w:rsid w:val="00EF725C"/>
    <w:rsid w:val="00F04E93"/>
    <w:rsid w:val="00F11B6F"/>
    <w:rsid w:val="00F148A2"/>
    <w:rsid w:val="00F15E6A"/>
    <w:rsid w:val="00F20066"/>
    <w:rsid w:val="00F20E40"/>
    <w:rsid w:val="00F2454C"/>
    <w:rsid w:val="00F24923"/>
    <w:rsid w:val="00F306EA"/>
    <w:rsid w:val="00F333E5"/>
    <w:rsid w:val="00F371ED"/>
    <w:rsid w:val="00F420A8"/>
    <w:rsid w:val="00F47002"/>
    <w:rsid w:val="00F47BA6"/>
    <w:rsid w:val="00F50007"/>
    <w:rsid w:val="00F5028F"/>
    <w:rsid w:val="00F55022"/>
    <w:rsid w:val="00F56B1C"/>
    <w:rsid w:val="00F56ECB"/>
    <w:rsid w:val="00F57AE8"/>
    <w:rsid w:val="00F61B23"/>
    <w:rsid w:val="00F638FA"/>
    <w:rsid w:val="00F730DF"/>
    <w:rsid w:val="00F84082"/>
    <w:rsid w:val="00F84B28"/>
    <w:rsid w:val="00F92598"/>
    <w:rsid w:val="00FA23B0"/>
    <w:rsid w:val="00FB1784"/>
    <w:rsid w:val="00FB4746"/>
    <w:rsid w:val="00FB498F"/>
    <w:rsid w:val="00FB6BC3"/>
    <w:rsid w:val="00FC2A8A"/>
    <w:rsid w:val="00FC3F8D"/>
    <w:rsid w:val="00FC4635"/>
    <w:rsid w:val="00FD1171"/>
    <w:rsid w:val="00FD1E33"/>
    <w:rsid w:val="00FD23BB"/>
    <w:rsid w:val="00FD6D66"/>
    <w:rsid w:val="00FD7782"/>
    <w:rsid w:val="00FD7AD5"/>
    <w:rsid w:val="00FD7D2E"/>
    <w:rsid w:val="00FE1DA9"/>
    <w:rsid w:val="00FE32CC"/>
    <w:rsid w:val="00FE339C"/>
    <w:rsid w:val="00FE7C38"/>
    <w:rsid w:val="00FF1875"/>
    <w:rsid w:val="00FF3022"/>
    <w:rsid w:val="00FF3CC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B6CAC1"/>
  <w15:docId w15:val="{A93CF426-3C27-4ED9-B619-B43317078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546"/>
    <w:pPr>
      <w:spacing w:after="160" w:line="259" w:lineRule="auto"/>
    </w:pPr>
    <w:rPr>
      <w:sz w:val="22"/>
      <w:szCs w:val="22"/>
    </w:rPr>
  </w:style>
  <w:style w:type="paragraph" w:styleId="Heading2">
    <w:name w:val="heading 2"/>
    <w:basedOn w:val="Normal"/>
    <w:next w:val="Normal"/>
    <w:link w:val="Heading2Char"/>
    <w:qFormat/>
    <w:rsid w:val="007E3529"/>
    <w:pPr>
      <w:spacing w:after="0" w:line="240" w:lineRule="auto"/>
      <w:jc w:val="center"/>
      <w:outlineLvl w:val="1"/>
    </w:pPr>
    <w:rPr>
      <w:rFonts w:ascii="Times New Roman" w:eastAsia="Times New Roman" w:hAnsi="Times New Roman" w:cs="Times New Roman"/>
      <w:b/>
      <w:bCs/>
      <w:color w:val="000000"/>
      <w:kern w:val="28"/>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54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B4546"/>
    <w:rPr>
      <w:rFonts w:ascii="Times New Roman" w:hAnsi="Times New Roman" w:cs="Times New Roman"/>
      <w:sz w:val="18"/>
      <w:szCs w:val="18"/>
    </w:rPr>
  </w:style>
  <w:style w:type="paragraph" w:styleId="Footer">
    <w:name w:val="footer"/>
    <w:basedOn w:val="Normal"/>
    <w:link w:val="FooterChar"/>
    <w:uiPriority w:val="99"/>
    <w:unhideWhenUsed/>
    <w:rsid w:val="00323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29D"/>
    <w:rPr>
      <w:sz w:val="22"/>
      <w:szCs w:val="22"/>
    </w:rPr>
  </w:style>
  <w:style w:type="character" w:styleId="PageNumber">
    <w:name w:val="page number"/>
    <w:basedOn w:val="DefaultParagraphFont"/>
    <w:uiPriority w:val="99"/>
    <w:semiHidden/>
    <w:unhideWhenUsed/>
    <w:rsid w:val="0032329D"/>
  </w:style>
  <w:style w:type="paragraph" w:styleId="Header">
    <w:name w:val="header"/>
    <w:basedOn w:val="Normal"/>
    <w:link w:val="HeaderChar"/>
    <w:uiPriority w:val="99"/>
    <w:unhideWhenUsed/>
    <w:rsid w:val="00323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29D"/>
    <w:rPr>
      <w:sz w:val="22"/>
      <w:szCs w:val="22"/>
    </w:rPr>
  </w:style>
  <w:style w:type="paragraph" w:styleId="ListParagraph">
    <w:name w:val="List Paragraph"/>
    <w:basedOn w:val="Normal"/>
    <w:uiPriority w:val="34"/>
    <w:qFormat/>
    <w:rsid w:val="00926F7C"/>
    <w:pPr>
      <w:ind w:left="720"/>
      <w:contextualSpacing/>
    </w:pPr>
  </w:style>
  <w:style w:type="character" w:styleId="CommentReference">
    <w:name w:val="annotation reference"/>
    <w:basedOn w:val="DefaultParagraphFont"/>
    <w:uiPriority w:val="99"/>
    <w:semiHidden/>
    <w:unhideWhenUsed/>
    <w:rsid w:val="00923E73"/>
    <w:rPr>
      <w:sz w:val="16"/>
      <w:szCs w:val="16"/>
    </w:rPr>
  </w:style>
  <w:style w:type="paragraph" w:styleId="CommentText">
    <w:name w:val="annotation text"/>
    <w:basedOn w:val="Normal"/>
    <w:link w:val="CommentTextChar"/>
    <w:uiPriority w:val="99"/>
    <w:unhideWhenUsed/>
    <w:rsid w:val="00923E73"/>
    <w:pPr>
      <w:spacing w:line="240" w:lineRule="auto"/>
    </w:pPr>
    <w:rPr>
      <w:sz w:val="20"/>
      <w:szCs w:val="20"/>
    </w:rPr>
  </w:style>
  <w:style w:type="character" w:customStyle="1" w:styleId="CommentTextChar">
    <w:name w:val="Comment Text Char"/>
    <w:basedOn w:val="DefaultParagraphFont"/>
    <w:link w:val="CommentText"/>
    <w:uiPriority w:val="99"/>
    <w:rsid w:val="00923E73"/>
    <w:rPr>
      <w:sz w:val="20"/>
      <w:szCs w:val="20"/>
    </w:rPr>
  </w:style>
  <w:style w:type="paragraph" w:styleId="CommentSubject">
    <w:name w:val="annotation subject"/>
    <w:basedOn w:val="CommentText"/>
    <w:next w:val="CommentText"/>
    <w:link w:val="CommentSubjectChar"/>
    <w:uiPriority w:val="99"/>
    <w:semiHidden/>
    <w:unhideWhenUsed/>
    <w:rsid w:val="00923E73"/>
    <w:rPr>
      <w:b/>
      <w:bCs/>
    </w:rPr>
  </w:style>
  <w:style w:type="character" w:customStyle="1" w:styleId="CommentSubjectChar">
    <w:name w:val="Comment Subject Char"/>
    <w:basedOn w:val="CommentTextChar"/>
    <w:link w:val="CommentSubject"/>
    <w:uiPriority w:val="99"/>
    <w:semiHidden/>
    <w:rsid w:val="00923E73"/>
    <w:rPr>
      <w:b/>
      <w:bCs/>
      <w:sz w:val="20"/>
      <w:szCs w:val="20"/>
    </w:rPr>
  </w:style>
  <w:style w:type="character" w:customStyle="1" w:styleId="Heading2Char">
    <w:name w:val="Heading 2 Char"/>
    <w:basedOn w:val="DefaultParagraphFont"/>
    <w:link w:val="Heading2"/>
    <w:rsid w:val="007E3529"/>
    <w:rPr>
      <w:rFonts w:ascii="Times New Roman" w:eastAsia="Times New Roman" w:hAnsi="Times New Roman" w:cs="Times New Roman"/>
      <w:b/>
      <w:bCs/>
      <w:color w:val="000000"/>
      <w:kern w:val="28"/>
      <w:lang w:val="en-CA" w:eastAsia="en-CA"/>
    </w:rPr>
  </w:style>
  <w:style w:type="table" w:styleId="TableGrid">
    <w:name w:val="Table Grid"/>
    <w:basedOn w:val="TableNormal"/>
    <w:uiPriority w:val="39"/>
    <w:rsid w:val="007E3529"/>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3529"/>
    <w:rPr>
      <w:color w:val="0563C1" w:themeColor="hyperlink"/>
      <w:u w:val="single"/>
    </w:rPr>
  </w:style>
  <w:style w:type="paragraph" w:styleId="FootnoteText">
    <w:name w:val="footnote text"/>
    <w:basedOn w:val="Normal"/>
    <w:link w:val="FootnoteTextChar"/>
    <w:uiPriority w:val="99"/>
    <w:semiHidden/>
    <w:unhideWhenUsed/>
    <w:rsid w:val="007E35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3529"/>
    <w:rPr>
      <w:sz w:val="20"/>
      <w:szCs w:val="20"/>
    </w:rPr>
  </w:style>
  <w:style w:type="character" w:styleId="FootnoteReference">
    <w:name w:val="footnote reference"/>
    <w:basedOn w:val="DefaultParagraphFont"/>
    <w:uiPriority w:val="99"/>
    <w:semiHidden/>
    <w:unhideWhenUsed/>
    <w:rsid w:val="007E3529"/>
    <w:rPr>
      <w:vertAlign w:val="superscript"/>
    </w:rPr>
  </w:style>
  <w:style w:type="paragraph" w:styleId="Caption">
    <w:name w:val="caption"/>
    <w:basedOn w:val="Normal"/>
    <w:next w:val="Normal"/>
    <w:uiPriority w:val="35"/>
    <w:unhideWhenUsed/>
    <w:qFormat/>
    <w:rsid w:val="007E3529"/>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7E3529"/>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E3529"/>
    <w:rPr>
      <w:sz w:val="22"/>
      <w:szCs w:val="22"/>
    </w:rPr>
  </w:style>
  <w:style w:type="character" w:customStyle="1" w:styleId="UnresolvedMention1">
    <w:name w:val="Unresolved Mention1"/>
    <w:basedOn w:val="DefaultParagraphFont"/>
    <w:uiPriority w:val="99"/>
    <w:semiHidden/>
    <w:unhideWhenUsed/>
    <w:rsid w:val="007E3529"/>
    <w:rPr>
      <w:color w:val="605E5C"/>
      <w:shd w:val="clear" w:color="auto" w:fill="E1DFDD"/>
    </w:rPr>
  </w:style>
  <w:style w:type="paragraph" w:styleId="NoSpacing">
    <w:name w:val="No Spacing"/>
    <w:link w:val="NoSpacingChar"/>
    <w:uiPriority w:val="1"/>
    <w:qFormat/>
    <w:rsid w:val="007E3529"/>
    <w:rPr>
      <w:rFonts w:eastAsiaTheme="minorEastAsia"/>
      <w:sz w:val="22"/>
      <w:szCs w:val="22"/>
      <w:lang w:val="en-US"/>
    </w:rPr>
  </w:style>
  <w:style w:type="character" w:customStyle="1" w:styleId="NoSpacingChar">
    <w:name w:val="No Spacing Char"/>
    <w:basedOn w:val="DefaultParagraphFont"/>
    <w:link w:val="NoSpacing"/>
    <w:uiPriority w:val="1"/>
    <w:rsid w:val="007E3529"/>
    <w:rPr>
      <w:rFonts w:eastAsiaTheme="minorEastAsia"/>
      <w:sz w:val="22"/>
      <w:szCs w:val="22"/>
      <w:lang w:val="en-US"/>
    </w:rPr>
  </w:style>
  <w:style w:type="character" w:customStyle="1" w:styleId="UnresolvedMention2">
    <w:name w:val="Unresolved Mention2"/>
    <w:basedOn w:val="DefaultParagraphFont"/>
    <w:uiPriority w:val="99"/>
    <w:semiHidden/>
    <w:unhideWhenUsed/>
    <w:rsid w:val="0081009E"/>
    <w:rPr>
      <w:color w:val="605E5C"/>
      <w:shd w:val="clear" w:color="auto" w:fill="E1DFDD"/>
    </w:rPr>
  </w:style>
  <w:style w:type="character" w:styleId="FollowedHyperlink">
    <w:name w:val="FollowedHyperlink"/>
    <w:basedOn w:val="DefaultParagraphFont"/>
    <w:uiPriority w:val="99"/>
    <w:semiHidden/>
    <w:unhideWhenUsed/>
    <w:rsid w:val="00DC375C"/>
    <w:rPr>
      <w:color w:val="954F72" w:themeColor="followedHyperlink"/>
      <w:u w:val="single"/>
    </w:rPr>
  </w:style>
  <w:style w:type="paragraph" w:styleId="NormalWeb">
    <w:name w:val="Normal (Web)"/>
    <w:basedOn w:val="Normal"/>
    <w:uiPriority w:val="99"/>
    <w:unhideWhenUsed/>
    <w:rsid w:val="00DE0A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A72CD"/>
    <w:rPr>
      <w:color w:val="605E5C"/>
      <w:shd w:val="clear" w:color="auto" w:fill="E1DFDD"/>
    </w:rPr>
  </w:style>
  <w:style w:type="paragraph" w:customStyle="1" w:styleId="Articletitle">
    <w:name w:val="Article title"/>
    <w:basedOn w:val="Normal"/>
    <w:next w:val="Normal"/>
    <w:qFormat/>
    <w:rsid w:val="00781E9F"/>
    <w:pPr>
      <w:spacing w:after="120" w:line="360" w:lineRule="auto"/>
    </w:pPr>
    <w:rPr>
      <w:rFonts w:ascii="Times New Roman" w:eastAsia="Times New Roman" w:hAnsi="Times New Roman" w:cs="Times New Roman"/>
      <w:b/>
      <w:sz w:val="28"/>
      <w:szCs w:val="24"/>
      <w:lang w:eastAsia="en-GB"/>
    </w:rPr>
  </w:style>
  <w:style w:type="paragraph" w:customStyle="1" w:styleId="Authornames">
    <w:name w:val="Author names"/>
    <w:basedOn w:val="Normal"/>
    <w:next w:val="Normal"/>
    <w:qFormat/>
    <w:rsid w:val="00781E9F"/>
    <w:pPr>
      <w:spacing w:before="240" w:after="0" w:line="360" w:lineRule="auto"/>
    </w:pPr>
    <w:rPr>
      <w:rFonts w:ascii="Times New Roman" w:eastAsia="Times New Roman" w:hAnsi="Times New Roman" w:cs="Times New Roman"/>
      <w:sz w:val="28"/>
      <w:szCs w:val="24"/>
      <w:lang w:eastAsia="en-GB"/>
    </w:rPr>
  </w:style>
  <w:style w:type="paragraph" w:customStyle="1" w:styleId="Affiliation">
    <w:name w:val="Affiliation"/>
    <w:basedOn w:val="Normal"/>
    <w:qFormat/>
    <w:rsid w:val="00781E9F"/>
    <w:pPr>
      <w:spacing w:before="240" w:after="0" w:line="360" w:lineRule="auto"/>
    </w:pPr>
    <w:rPr>
      <w:rFonts w:ascii="Times New Roman" w:eastAsia="Times New Roman" w:hAnsi="Times New Roman" w:cs="Times New Roman"/>
      <w:i/>
      <w:sz w:val="24"/>
      <w:szCs w:val="24"/>
      <w:lang w:eastAsia="en-GB"/>
    </w:rPr>
  </w:style>
  <w:style w:type="paragraph" w:customStyle="1" w:styleId="Abstract">
    <w:name w:val="Abstract"/>
    <w:basedOn w:val="Normal"/>
    <w:next w:val="Keywords"/>
    <w:qFormat/>
    <w:rsid w:val="00781E9F"/>
    <w:pPr>
      <w:spacing w:before="360" w:after="300" w:line="360" w:lineRule="auto"/>
      <w:ind w:left="720" w:right="567"/>
      <w:contextualSpacing/>
    </w:pPr>
    <w:rPr>
      <w:rFonts w:ascii="Times New Roman" w:eastAsia="Times New Roman" w:hAnsi="Times New Roman" w:cs="Times New Roman"/>
      <w:szCs w:val="24"/>
      <w:lang w:eastAsia="en-GB"/>
    </w:rPr>
  </w:style>
  <w:style w:type="paragraph" w:customStyle="1" w:styleId="Keywords">
    <w:name w:val="Keywords"/>
    <w:basedOn w:val="Normal"/>
    <w:next w:val="Normal"/>
    <w:qFormat/>
    <w:rsid w:val="00781E9F"/>
    <w:pPr>
      <w:spacing w:before="240" w:after="240" w:line="360" w:lineRule="auto"/>
      <w:ind w:left="720" w:right="567"/>
    </w:pPr>
    <w:rPr>
      <w:rFonts w:ascii="Times New Roman" w:eastAsia="Times New Roman" w:hAnsi="Times New Roman" w:cs="Times New Roman"/>
      <w:szCs w:val="24"/>
      <w:lang w:eastAsia="en-GB"/>
    </w:rPr>
  </w:style>
  <w:style w:type="paragraph" w:customStyle="1" w:styleId="Correspondencedetails">
    <w:name w:val="Correspondence details"/>
    <w:basedOn w:val="Normal"/>
    <w:qFormat/>
    <w:rsid w:val="00781E9F"/>
    <w:pPr>
      <w:spacing w:before="240" w:after="0" w:line="360" w:lineRule="auto"/>
    </w:pPr>
    <w:rPr>
      <w:rFonts w:ascii="Times New Roman" w:eastAsia="Times New Roman" w:hAnsi="Times New Roman" w:cs="Times New Roman"/>
      <w:sz w:val="24"/>
      <w:szCs w:val="24"/>
      <w:lang w:eastAsia="en-GB"/>
    </w:rPr>
  </w:style>
  <w:style w:type="character" w:customStyle="1" w:styleId="citation-doi">
    <w:name w:val="citation-doi"/>
    <w:basedOn w:val="DefaultParagraphFont"/>
    <w:rsid w:val="00923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018830">
      <w:bodyDiv w:val="1"/>
      <w:marLeft w:val="0"/>
      <w:marRight w:val="0"/>
      <w:marTop w:val="0"/>
      <w:marBottom w:val="0"/>
      <w:divBdr>
        <w:top w:val="none" w:sz="0" w:space="0" w:color="auto"/>
        <w:left w:val="none" w:sz="0" w:space="0" w:color="auto"/>
        <w:bottom w:val="none" w:sz="0" w:space="0" w:color="auto"/>
        <w:right w:val="none" w:sz="0" w:space="0" w:color="auto"/>
      </w:divBdr>
    </w:div>
    <w:div w:id="294022031">
      <w:bodyDiv w:val="1"/>
      <w:marLeft w:val="0"/>
      <w:marRight w:val="0"/>
      <w:marTop w:val="0"/>
      <w:marBottom w:val="0"/>
      <w:divBdr>
        <w:top w:val="none" w:sz="0" w:space="0" w:color="auto"/>
        <w:left w:val="none" w:sz="0" w:space="0" w:color="auto"/>
        <w:bottom w:val="none" w:sz="0" w:space="0" w:color="auto"/>
        <w:right w:val="none" w:sz="0" w:space="0" w:color="auto"/>
      </w:divBdr>
    </w:div>
    <w:div w:id="308368644">
      <w:bodyDiv w:val="1"/>
      <w:marLeft w:val="0"/>
      <w:marRight w:val="0"/>
      <w:marTop w:val="0"/>
      <w:marBottom w:val="0"/>
      <w:divBdr>
        <w:top w:val="none" w:sz="0" w:space="0" w:color="auto"/>
        <w:left w:val="none" w:sz="0" w:space="0" w:color="auto"/>
        <w:bottom w:val="none" w:sz="0" w:space="0" w:color="auto"/>
        <w:right w:val="none" w:sz="0" w:space="0" w:color="auto"/>
      </w:divBdr>
    </w:div>
    <w:div w:id="351541127">
      <w:bodyDiv w:val="1"/>
      <w:marLeft w:val="0"/>
      <w:marRight w:val="0"/>
      <w:marTop w:val="0"/>
      <w:marBottom w:val="0"/>
      <w:divBdr>
        <w:top w:val="none" w:sz="0" w:space="0" w:color="auto"/>
        <w:left w:val="none" w:sz="0" w:space="0" w:color="auto"/>
        <w:bottom w:val="none" w:sz="0" w:space="0" w:color="auto"/>
        <w:right w:val="none" w:sz="0" w:space="0" w:color="auto"/>
      </w:divBdr>
    </w:div>
    <w:div w:id="563610615">
      <w:bodyDiv w:val="1"/>
      <w:marLeft w:val="0"/>
      <w:marRight w:val="0"/>
      <w:marTop w:val="0"/>
      <w:marBottom w:val="0"/>
      <w:divBdr>
        <w:top w:val="none" w:sz="0" w:space="0" w:color="auto"/>
        <w:left w:val="none" w:sz="0" w:space="0" w:color="auto"/>
        <w:bottom w:val="none" w:sz="0" w:space="0" w:color="auto"/>
        <w:right w:val="none" w:sz="0" w:space="0" w:color="auto"/>
      </w:divBdr>
    </w:div>
    <w:div w:id="642274958">
      <w:bodyDiv w:val="1"/>
      <w:marLeft w:val="0"/>
      <w:marRight w:val="0"/>
      <w:marTop w:val="0"/>
      <w:marBottom w:val="0"/>
      <w:divBdr>
        <w:top w:val="none" w:sz="0" w:space="0" w:color="auto"/>
        <w:left w:val="none" w:sz="0" w:space="0" w:color="auto"/>
        <w:bottom w:val="none" w:sz="0" w:space="0" w:color="auto"/>
        <w:right w:val="none" w:sz="0" w:space="0" w:color="auto"/>
      </w:divBdr>
    </w:div>
    <w:div w:id="685401860">
      <w:bodyDiv w:val="1"/>
      <w:marLeft w:val="0"/>
      <w:marRight w:val="0"/>
      <w:marTop w:val="0"/>
      <w:marBottom w:val="0"/>
      <w:divBdr>
        <w:top w:val="none" w:sz="0" w:space="0" w:color="auto"/>
        <w:left w:val="none" w:sz="0" w:space="0" w:color="auto"/>
        <w:bottom w:val="none" w:sz="0" w:space="0" w:color="auto"/>
        <w:right w:val="none" w:sz="0" w:space="0" w:color="auto"/>
      </w:divBdr>
      <w:divsChild>
        <w:div w:id="2139712857">
          <w:marLeft w:val="0"/>
          <w:marRight w:val="0"/>
          <w:marTop w:val="0"/>
          <w:marBottom w:val="0"/>
          <w:divBdr>
            <w:top w:val="none" w:sz="0" w:space="0" w:color="auto"/>
            <w:left w:val="none" w:sz="0" w:space="0" w:color="auto"/>
            <w:bottom w:val="none" w:sz="0" w:space="0" w:color="auto"/>
            <w:right w:val="none" w:sz="0" w:space="0" w:color="auto"/>
          </w:divBdr>
          <w:divsChild>
            <w:div w:id="765424678">
              <w:marLeft w:val="0"/>
              <w:marRight w:val="0"/>
              <w:marTop w:val="0"/>
              <w:marBottom w:val="0"/>
              <w:divBdr>
                <w:top w:val="none" w:sz="0" w:space="0" w:color="auto"/>
                <w:left w:val="none" w:sz="0" w:space="0" w:color="auto"/>
                <w:bottom w:val="none" w:sz="0" w:space="0" w:color="auto"/>
                <w:right w:val="none" w:sz="0" w:space="0" w:color="auto"/>
              </w:divBdr>
              <w:divsChild>
                <w:div w:id="1297755627">
                  <w:marLeft w:val="0"/>
                  <w:marRight w:val="0"/>
                  <w:marTop w:val="0"/>
                  <w:marBottom w:val="0"/>
                  <w:divBdr>
                    <w:top w:val="none" w:sz="0" w:space="0" w:color="auto"/>
                    <w:left w:val="none" w:sz="0" w:space="0" w:color="auto"/>
                    <w:bottom w:val="none" w:sz="0" w:space="0" w:color="auto"/>
                    <w:right w:val="none" w:sz="0" w:space="0" w:color="auto"/>
                  </w:divBdr>
                  <w:divsChild>
                    <w:div w:id="11197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338136">
      <w:bodyDiv w:val="1"/>
      <w:marLeft w:val="0"/>
      <w:marRight w:val="0"/>
      <w:marTop w:val="0"/>
      <w:marBottom w:val="0"/>
      <w:divBdr>
        <w:top w:val="none" w:sz="0" w:space="0" w:color="auto"/>
        <w:left w:val="none" w:sz="0" w:space="0" w:color="auto"/>
        <w:bottom w:val="none" w:sz="0" w:space="0" w:color="auto"/>
        <w:right w:val="none" w:sz="0" w:space="0" w:color="auto"/>
      </w:divBdr>
    </w:div>
    <w:div w:id="999894162">
      <w:bodyDiv w:val="1"/>
      <w:marLeft w:val="0"/>
      <w:marRight w:val="0"/>
      <w:marTop w:val="0"/>
      <w:marBottom w:val="0"/>
      <w:divBdr>
        <w:top w:val="none" w:sz="0" w:space="0" w:color="auto"/>
        <w:left w:val="none" w:sz="0" w:space="0" w:color="auto"/>
        <w:bottom w:val="none" w:sz="0" w:space="0" w:color="auto"/>
        <w:right w:val="none" w:sz="0" w:space="0" w:color="auto"/>
      </w:divBdr>
    </w:div>
    <w:div w:id="1148400531">
      <w:bodyDiv w:val="1"/>
      <w:marLeft w:val="0"/>
      <w:marRight w:val="0"/>
      <w:marTop w:val="0"/>
      <w:marBottom w:val="0"/>
      <w:divBdr>
        <w:top w:val="none" w:sz="0" w:space="0" w:color="auto"/>
        <w:left w:val="none" w:sz="0" w:space="0" w:color="auto"/>
        <w:bottom w:val="none" w:sz="0" w:space="0" w:color="auto"/>
        <w:right w:val="none" w:sz="0" w:space="0" w:color="auto"/>
      </w:divBdr>
    </w:div>
    <w:div w:id="1211117154">
      <w:bodyDiv w:val="1"/>
      <w:marLeft w:val="0"/>
      <w:marRight w:val="0"/>
      <w:marTop w:val="0"/>
      <w:marBottom w:val="0"/>
      <w:divBdr>
        <w:top w:val="none" w:sz="0" w:space="0" w:color="auto"/>
        <w:left w:val="none" w:sz="0" w:space="0" w:color="auto"/>
        <w:bottom w:val="none" w:sz="0" w:space="0" w:color="auto"/>
        <w:right w:val="none" w:sz="0" w:space="0" w:color="auto"/>
      </w:divBdr>
    </w:div>
    <w:div w:id="1218198201">
      <w:bodyDiv w:val="1"/>
      <w:marLeft w:val="0"/>
      <w:marRight w:val="0"/>
      <w:marTop w:val="0"/>
      <w:marBottom w:val="0"/>
      <w:divBdr>
        <w:top w:val="none" w:sz="0" w:space="0" w:color="auto"/>
        <w:left w:val="none" w:sz="0" w:space="0" w:color="auto"/>
        <w:bottom w:val="none" w:sz="0" w:space="0" w:color="auto"/>
        <w:right w:val="none" w:sz="0" w:space="0" w:color="auto"/>
      </w:divBdr>
    </w:div>
    <w:div w:id="1417433092">
      <w:bodyDiv w:val="1"/>
      <w:marLeft w:val="0"/>
      <w:marRight w:val="0"/>
      <w:marTop w:val="0"/>
      <w:marBottom w:val="0"/>
      <w:divBdr>
        <w:top w:val="none" w:sz="0" w:space="0" w:color="auto"/>
        <w:left w:val="none" w:sz="0" w:space="0" w:color="auto"/>
        <w:bottom w:val="none" w:sz="0" w:space="0" w:color="auto"/>
        <w:right w:val="none" w:sz="0" w:space="0" w:color="auto"/>
      </w:divBdr>
    </w:div>
    <w:div w:id="1421176544">
      <w:bodyDiv w:val="1"/>
      <w:marLeft w:val="0"/>
      <w:marRight w:val="0"/>
      <w:marTop w:val="0"/>
      <w:marBottom w:val="0"/>
      <w:divBdr>
        <w:top w:val="none" w:sz="0" w:space="0" w:color="auto"/>
        <w:left w:val="none" w:sz="0" w:space="0" w:color="auto"/>
        <w:bottom w:val="none" w:sz="0" w:space="0" w:color="auto"/>
        <w:right w:val="none" w:sz="0" w:space="0" w:color="auto"/>
      </w:divBdr>
    </w:div>
    <w:div w:id="1434672093">
      <w:bodyDiv w:val="1"/>
      <w:marLeft w:val="0"/>
      <w:marRight w:val="0"/>
      <w:marTop w:val="0"/>
      <w:marBottom w:val="0"/>
      <w:divBdr>
        <w:top w:val="none" w:sz="0" w:space="0" w:color="auto"/>
        <w:left w:val="none" w:sz="0" w:space="0" w:color="auto"/>
        <w:bottom w:val="none" w:sz="0" w:space="0" w:color="auto"/>
        <w:right w:val="none" w:sz="0" w:space="0" w:color="auto"/>
      </w:divBdr>
    </w:div>
    <w:div w:id="1482498512">
      <w:bodyDiv w:val="1"/>
      <w:marLeft w:val="0"/>
      <w:marRight w:val="0"/>
      <w:marTop w:val="0"/>
      <w:marBottom w:val="0"/>
      <w:divBdr>
        <w:top w:val="none" w:sz="0" w:space="0" w:color="auto"/>
        <w:left w:val="none" w:sz="0" w:space="0" w:color="auto"/>
        <w:bottom w:val="none" w:sz="0" w:space="0" w:color="auto"/>
        <w:right w:val="none" w:sz="0" w:space="0" w:color="auto"/>
      </w:divBdr>
    </w:div>
    <w:div w:id="1486705395">
      <w:bodyDiv w:val="1"/>
      <w:marLeft w:val="0"/>
      <w:marRight w:val="0"/>
      <w:marTop w:val="0"/>
      <w:marBottom w:val="0"/>
      <w:divBdr>
        <w:top w:val="none" w:sz="0" w:space="0" w:color="auto"/>
        <w:left w:val="none" w:sz="0" w:space="0" w:color="auto"/>
        <w:bottom w:val="none" w:sz="0" w:space="0" w:color="auto"/>
        <w:right w:val="none" w:sz="0" w:space="0" w:color="auto"/>
      </w:divBdr>
    </w:div>
    <w:div w:id="1738163954">
      <w:bodyDiv w:val="1"/>
      <w:marLeft w:val="0"/>
      <w:marRight w:val="0"/>
      <w:marTop w:val="0"/>
      <w:marBottom w:val="0"/>
      <w:divBdr>
        <w:top w:val="none" w:sz="0" w:space="0" w:color="auto"/>
        <w:left w:val="none" w:sz="0" w:space="0" w:color="auto"/>
        <w:bottom w:val="none" w:sz="0" w:space="0" w:color="auto"/>
        <w:right w:val="none" w:sz="0" w:space="0" w:color="auto"/>
      </w:divBdr>
    </w:div>
    <w:div w:id="1819567318">
      <w:bodyDiv w:val="1"/>
      <w:marLeft w:val="0"/>
      <w:marRight w:val="0"/>
      <w:marTop w:val="0"/>
      <w:marBottom w:val="0"/>
      <w:divBdr>
        <w:top w:val="none" w:sz="0" w:space="0" w:color="auto"/>
        <w:left w:val="none" w:sz="0" w:space="0" w:color="auto"/>
        <w:bottom w:val="none" w:sz="0" w:space="0" w:color="auto"/>
        <w:right w:val="none" w:sz="0" w:space="0" w:color="auto"/>
      </w:divBdr>
    </w:div>
    <w:div w:id="1855874035">
      <w:bodyDiv w:val="1"/>
      <w:marLeft w:val="0"/>
      <w:marRight w:val="0"/>
      <w:marTop w:val="0"/>
      <w:marBottom w:val="0"/>
      <w:divBdr>
        <w:top w:val="none" w:sz="0" w:space="0" w:color="auto"/>
        <w:left w:val="none" w:sz="0" w:space="0" w:color="auto"/>
        <w:bottom w:val="none" w:sz="0" w:space="0" w:color="auto"/>
        <w:right w:val="none" w:sz="0" w:space="0" w:color="auto"/>
      </w:divBdr>
    </w:div>
    <w:div w:id="1924679687">
      <w:bodyDiv w:val="1"/>
      <w:marLeft w:val="0"/>
      <w:marRight w:val="0"/>
      <w:marTop w:val="0"/>
      <w:marBottom w:val="0"/>
      <w:divBdr>
        <w:top w:val="none" w:sz="0" w:space="0" w:color="auto"/>
        <w:left w:val="none" w:sz="0" w:space="0" w:color="auto"/>
        <w:bottom w:val="none" w:sz="0" w:space="0" w:color="auto"/>
        <w:right w:val="none" w:sz="0" w:space="0" w:color="auto"/>
      </w:divBdr>
    </w:div>
    <w:div w:id="2047486350">
      <w:bodyDiv w:val="1"/>
      <w:marLeft w:val="0"/>
      <w:marRight w:val="0"/>
      <w:marTop w:val="0"/>
      <w:marBottom w:val="0"/>
      <w:divBdr>
        <w:top w:val="none" w:sz="0" w:space="0" w:color="auto"/>
        <w:left w:val="none" w:sz="0" w:space="0" w:color="auto"/>
        <w:bottom w:val="none" w:sz="0" w:space="0" w:color="auto"/>
        <w:right w:val="none" w:sz="0" w:space="0" w:color="auto"/>
      </w:divBdr>
    </w:div>
    <w:div w:id="2126145433">
      <w:bodyDiv w:val="1"/>
      <w:marLeft w:val="0"/>
      <w:marRight w:val="0"/>
      <w:marTop w:val="0"/>
      <w:marBottom w:val="0"/>
      <w:divBdr>
        <w:top w:val="none" w:sz="0" w:space="0" w:color="auto"/>
        <w:left w:val="none" w:sz="0" w:space="0" w:color="auto"/>
        <w:bottom w:val="none" w:sz="0" w:space="0" w:color="auto"/>
        <w:right w:val="none" w:sz="0" w:space="0" w:color="auto"/>
      </w:divBdr>
    </w:div>
    <w:div w:id="212765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d.metcalf@soton.ac.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82C50-46BE-499F-80D4-9A47AB448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46</Pages>
  <Words>101867</Words>
  <Characters>580647</Characters>
  <Application>Microsoft Office Word</Application>
  <DocSecurity>0</DocSecurity>
  <Lines>4838</Lines>
  <Paragraphs>1362</Paragraphs>
  <ScaleCrop>false</ScaleCrop>
  <HeadingPairs>
    <vt:vector size="2" baseType="variant">
      <vt:variant>
        <vt:lpstr>Title</vt:lpstr>
      </vt:variant>
      <vt:variant>
        <vt:i4>1</vt:i4>
      </vt:variant>
    </vt:vector>
  </HeadingPairs>
  <TitlesOfParts>
    <vt:vector size="1" baseType="lpstr">
      <vt:lpstr/>
    </vt:vector>
  </TitlesOfParts>
  <Company>PHT (IPHIS)</Company>
  <LinksUpToDate>false</LinksUpToDate>
  <CharactersWithSpaces>681152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Metcalf C.</dc:creator>
  <cp:lastModifiedBy>steven denton</cp:lastModifiedBy>
  <cp:revision>248</cp:revision>
  <cp:lastPrinted>2020-12-11T08:56:00Z</cp:lastPrinted>
  <dcterms:created xsi:type="dcterms:W3CDTF">2020-12-11T08:48:00Z</dcterms:created>
  <dcterms:modified xsi:type="dcterms:W3CDTF">2021-03-11T01:31:00Z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http://www.zotero.org/styles/vancouver</vt:lpwstr>
  </property>
  <property fmtid="{D5CDD505-2E9C-101B-9397-08002B2CF9AE}" pid="24" name="Mendeley Unique User Id_1">
    <vt:lpwstr>194b467f-b2db-3e61-a500-3e41e4060b83</vt:lpwstr>
  </property>
</Properties>
</file>