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0338" w14:textId="293377A6" w:rsidR="00154BD1" w:rsidRPr="002A11EE" w:rsidRDefault="00F44DAA" w:rsidP="001241E1">
      <w:pPr>
        <w:spacing w:line="480" w:lineRule="auto"/>
        <w:jc w:val="both"/>
        <w:rPr>
          <w:b/>
          <w:bCs/>
          <w:sz w:val="32"/>
          <w:szCs w:val="32"/>
        </w:rPr>
      </w:pPr>
      <w:bookmarkStart w:id="0" w:name="_Hlk36625599"/>
      <w:bookmarkStart w:id="1" w:name="_GoBack"/>
      <w:bookmarkEnd w:id="1"/>
      <w:r w:rsidRPr="002A11EE">
        <w:rPr>
          <w:b/>
          <w:bCs/>
          <w:sz w:val="32"/>
          <w:szCs w:val="32"/>
        </w:rPr>
        <w:t>T</w:t>
      </w:r>
      <w:r w:rsidR="00154BD1" w:rsidRPr="002A11EE">
        <w:rPr>
          <w:b/>
          <w:bCs/>
          <w:sz w:val="32"/>
          <w:szCs w:val="32"/>
        </w:rPr>
        <w:t xml:space="preserve">he single use Lidocaine Hydrochloride </w:t>
      </w:r>
      <w:r w:rsidR="00A9784D" w:rsidRPr="002A11EE">
        <w:rPr>
          <w:b/>
          <w:bCs/>
          <w:sz w:val="32"/>
          <w:szCs w:val="32"/>
        </w:rPr>
        <w:t xml:space="preserve">5 per cent w/v </w:t>
      </w:r>
      <w:r w:rsidR="00154BD1" w:rsidRPr="002A11EE">
        <w:rPr>
          <w:b/>
          <w:bCs/>
          <w:sz w:val="32"/>
          <w:szCs w:val="32"/>
        </w:rPr>
        <w:t xml:space="preserve">and Phenylephrine Hydrochloride </w:t>
      </w:r>
      <w:r w:rsidR="00A9784D" w:rsidRPr="002A11EE">
        <w:rPr>
          <w:b/>
          <w:bCs/>
          <w:sz w:val="32"/>
          <w:szCs w:val="32"/>
        </w:rPr>
        <w:t>0.5</w:t>
      </w:r>
      <w:r w:rsidR="00970D0F" w:rsidRPr="002A11EE">
        <w:rPr>
          <w:b/>
          <w:bCs/>
          <w:sz w:val="32"/>
          <w:szCs w:val="32"/>
        </w:rPr>
        <w:t xml:space="preserve"> </w:t>
      </w:r>
      <w:r w:rsidR="00970D0F" w:rsidRPr="00B11AEC">
        <w:rPr>
          <w:b/>
          <w:bCs/>
          <w:sz w:val="32"/>
          <w:szCs w:val="32"/>
        </w:rPr>
        <w:t xml:space="preserve">per cent </w:t>
      </w:r>
      <w:r w:rsidR="00A9784D" w:rsidRPr="002A11EE">
        <w:rPr>
          <w:b/>
          <w:bCs/>
          <w:sz w:val="32"/>
          <w:szCs w:val="32"/>
        </w:rPr>
        <w:t xml:space="preserve">w/v </w:t>
      </w:r>
      <w:r w:rsidR="00154BD1" w:rsidRPr="002A11EE">
        <w:rPr>
          <w:b/>
          <w:bCs/>
          <w:sz w:val="32"/>
          <w:szCs w:val="32"/>
        </w:rPr>
        <w:t xml:space="preserve">topical </w:t>
      </w:r>
      <w:r w:rsidR="00A9784D" w:rsidRPr="002A11EE">
        <w:rPr>
          <w:b/>
          <w:bCs/>
          <w:sz w:val="32"/>
          <w:szCs w:val="32"/>
        </w:rPr>
        <w:t>spray, can it now be employed as a multi-use atomiser?</w:t>
      </w:r>
    </w:p>
    <w:bookmarkEnd w:id="0"/>
    <w:p w14:paraId="51E08E06" w14:textId="77777777" w:rsidR="00F44DAA" w:rsidRPr="002A11EE" w:rsidRDefault="00F44DAA" w:rsidP="001241E1">
      <w:pPr>
        <w:pStyle w:val="Heading3"/>
        <w:jc w:val="both"/>
      </w:pPr>
    </w:p>
    <w:p w14:paraId="7F91D9E3" w14:textId="58F7A20B" w:rsidR="00F44DAA" w:rsidRPr="002A11EE" w:rsidRDefault="00F44DAA" w:rsidP="001241E1">
      <w:pPr>
        <w:pStyle w:val="Heading3"/>
        <w:jc w:val="both"/>
      </w:pPr>
      <w:r w:rsidRPr="002A11EE">
        <w:t>Author</w:t>
      </w:r>
      <w:r w:rsidR="00EE7B50" w:rsidRPr="002A11EE">
        <w:t xml:space="preserve">s &amp; their </w:t>
      </w:r>
      <w:r w:rsidRPr="002A11EE">
        <w:t>department of work and name of affiliated institution(s)</w:t>
      </w:r>
    </w:p>
    <w:p w14:paraId="1960DB8B" w14:textId="77777777" w:rsidR="00F44DAA" w:rsidRPr="002A11EE" w:rsidRDefault="00F44DAA" w:rsidP="001241E1">
      <w:pPr>
        <w:pStyle w:val="Heading3"/>
        <w:jc w:val="both"/>
      </w:pPr>
    </w:p>
    <w:p w14:paraId="76E375EF" w14:textId="04D5F763" w:rsidR="00EE7B50" w:rsidRPr="002A11EE" w:rsidRDefault="00EE7B50" w:rsidP="001241E1">
      <w:pPr>
        <w:pStyle w:val="ListParagraph"/>
        <w:numPr>
          <w:ilvl w:val="0"/>
          <w:numId w:val="4"/>
        </w:numPr>
        <w:spacing w:line="480" w:lineRule="auto"/>
        <w:jc w:val="both"/>
        <w:rPr>
          <w:rFonts w:ascii="Times New Roman" w:hAnsi="Times New Roman"/>
          <w:sz w:val="24"/>
          <w:szCs w:val="24"/>
        </w:rPr>
      </w:pPr>
      <w:r w:rsidRPr="002A11EE">
        <w:rPr>
          <w:rFonts w:ascii="Times New Roman" w:hAnsi="Times New Roman"/>
          <w:sz w:val="24"/>
          <w:szCs w:val="24"/>
        </w:rPr>
        <w:t>Mr Mandar Jog</w:t>
      </w:r>
      <w:r w:rsidR="008B6B89" w:rsidRPr="002A11EE">
        <w:rPr>
          <w:rFonts w:ascii="Times New Roman" w:hAnsi="Times New Roman"/>
          <w:sz w:val="24"/>
          <w:szCs w:val="24"/>
        </w:rPr>
        <w:t>,</w:t>
      </w:r>
      <w:r w:rsidRPr="002A11EE">
        <w:rPr>
          <w:rFonts w:ascii="Times New Roman" w:hAnsi="Times New Roman"/>
          <w:sz w:val="24"/>
          <w:szCs w:val="24"/>
        </w:rPr>
        <w:t xml:space="preserve"> FRCS (ORL-HNS)</w:t>
      </w:r>
    </w:p>
    <w:p w14:paraId="0F304F42" w14:textId="5D1DC3AE" w:rsidR="00EE7B50" w:rsidRPr="002A11EE" w:rsidRDefault="00EE7B50" w:rsidP="001241E1">
      <w:pPr>
        <w:ind w:left="720"/>
        <w:jc w:val="both"/>
        <w:rPr>
          <w:lang w:eastAsia="en-GB"/>
        </w:rPr>
      </w:pPr>
      <w:r w:rsidRPr="002A11EE">
        <w:t xml:space="preserve">Department of Otolaryngology, </w:t>
      </w:r>
      <w:r w:rsidRPr="002A11EE">
        <w:rPr>
          <w:lang w:eastAsia="en-GB"/>
        </w:rPr>
        <w:t>University Hospital Southampton NHS Foundation Trust</w:t>
      </w:r>
    </w:p>
    <w:p w14:paraId="59E8C5FF" w14:textId="77777777" w:rsidR="00EE7B50" w:rsidRPr="002A11EE" w:rsidRDefault="00EE7B50" w:rsidP="001241E1">
      <w:pPr>
        <w:ind w:left="720"/>
        <w:jc w:val="both"/>
      </w:pPr>
    </w:p>
    <w:p w14:paraId="4B5D4D26" w14:textId="77C1769C" w:rsidR="00EE7B50" w:rsidRPr="002A11EE" w:rsidRDefault="00EE7B50" w:rsidP="001241E1">
      <w:pPr>
        <w:pStyle w:val="ListParagraph"/>
        <w:numPr>
          <w:ilvl w:val="0"/>
          <w:numId w:val="4"/>
        </w:numPr>
        <w:spacing w:line="480" w:lineRule="auto"/>
        <w:jc w:val="both"/>
        <w:rPr>
          <w:rFonts w:ascii="Times New Roman" w:hAnsi="Times New Roman"/>
          <w:sz w:val="24"/>
          <w:szCs w:val="24"/>
        </w:rPr>
      </w:pPr>
      <w:bookmarkStart w:id="2" w:name="_Hlk36631969"/>
      <w:r w:rsidRPr="002A11EE">
        <w:rPr>
          <w:rFonts w:ascii="Times New Roman" w:hAnsi="Times New Roman"/>
          <w:sz w:val="24"/>
          <w:szCs w:val="24"/>
        </w:rPr>
        <w:t>Miss Inga Zudovaite</w:t>
      </w:r>
      <w:r w:rsidR="003435E8" w:rsidRPr="002A11EE">
        <w:rPr>
          <w:rFonts w:ascii="Times New Roman" w:hAnsi="Times New Roman"/>
          <w:sz w:val="24"/>
          <w:szCs w:val="24"/>
        </w:rPr>
        <w:t xml:space="preserve">, BSc </w:t>
      </w:r>
      <w:r w:rsidR="003435E8" w:rsidRPr="002A11EE">
        <w:rPr>
          <w:rFonts w:ascii="Times New Roman" w:hAnsi="Times New Roman"/>
          <w:color w:val="212121"/>
          <w:sz w:val="24"/>
          <w:szCs w:val="24"/>
          <w:shd w:val="clear" w:color="auto" w:fill="FFFFFF"/>
        </w:rPr>
        <w:t>(Hons)</w:t>
      </w:r>
    </w:p>
    <w:p w14:paraId="55659128" w14:textId="77777777" w:rsidR="00EE7B50" w:rsidRPr="002A11EE" w:rsidRDefault="00EE7B50" w:rsidP="001241E1">
      <w:pPr>
        <w:shd w:val="clear" w:color="auto" w:fill="FFFFFF"/>
        <w:ind w:left="720"/>
        <w:jc w:val="both"/>
      </w:pPr>
      <w:bookmarkStart w:id="3" w:name="_Hlk36632002"/>
      <w:bookmarkEnd w:id="2"/>
      <w:r w:rsidRPr="002A11EE">
        <w:rPr>
          <w:lang w:eastAsia="en-GB"/>
        </w:rPr>
        <w:t xml:space="preserve">Department of Microbiology, University Hospital Southampton NHS Foundation </w:t>
      </w:r>
      <w:bookmarkEnd w:id="3"/>
      <w:r w:rsidRPr="002A11EE">
        <w:rPr>
          <w:lang w:eastAsia="en-GB"/>
        </w:rPr>
        <w:t xml:space="preserve">Trust and </w:t>
      </w:r>
      <w:r w:rsidRPr="002A11EE">
        <w:rPr>
          <w:shd w:val="clear" w:color="auto" w:fill="FFFFFF"/>
        </w:rPr>
        <w:t>Microbiology and Innovation Research Unit (MIRU), Southampton, UK</w:t>
      </w:r>
      <w:r w:rsidRPr="002A11EE">
        <w:t xml:space="preserve"> </w:t>
      </w:r>
    </w:p>
    <w:p w14:paraId="347E8A04" w14:textId="77777777" w:rsidR="00EE7B50" w:rsidRPr="002A11EE" w:rsidRDefault="00EE7B50" w:rsidP="001241E1">
      <w:pPr>
        <w:spacing w:line="480" w:lineRule="auto"/>
        <w:jc w:val="both"/>
      </w:pPr>
    </w:p>
    <w:p w14:paraId="7581972A" w14:textId="48155751" w:rsidR="00EE7B50" w:rsidRPr="002A11EE" w:rsidRDefault="00EE7B50" w:rsidP="001241E1">
      <w:pPr>
        <w:pStyle w:val="ListParagraph"/>
        <w:numPr>
          <w:ilvl w:val="0"/>
          <w:numId w:val="4"/>
        </w:numPr>
        <w:spacing w:line="480" w:lineRule="auto"/>
        <w:jc w:val="both"/>
        <w:rPr>
          <w:rFonts w:ascii="Times New Roman" w:hAnsi="Times New Roman"/>
          <w:sz w:val="24"/>
          <w:szCs w:val="24"/>
          <w:shd w:val="clear" w:color="auto" w:fill="FFFFFF"/>
        </w:rPr>
      </w:pPr>
      <w:bookmarkStart w:id="4" w:name="_Hlk36632069"/>
      <w:r w:rsidRPr="002A11EE">
        <w:rPr>
          <w:rFonts w:ascii="Times New Roman" w:hAnsi="Times New Roman"/>
          <w:sz w:val="24"/>
          <w:szCs w:val="24"/>
          <w:shd w:val="clear" w:color="auto" w:fill="FFFFFF"/>
        </w:rPr>
        <w:t>Mr Matthew O'</w:t>
      </w:r>
      <w:r w:rsidR="00B10E9A" w:rsidRPr="002A11EE">
        <w:rPr>
          <w:rFonts w:ascii="Times New Roman" w:hAnsi="Times New Roman"/>
          <w:sz w:val="24"/>
          <w:szCs w:val="24"/>
          <w:shd w:val="clear" w:color="auto" w:fill="FFFFFF"/>
        </w:rPr>
        <w:t>D</w:t>
      </w:r>
      <w:r w:rsidRPr="002A11EE">
        <w:rPr>
          <w:rFonts w:ascii="Times New Roman" w:hAnsi="Times New Roman"/>
          <w:sz w:val="24"/>
          <w:szCs w:val="24"/>
          <w:shd w:val="clear" w:color="auto" w:fill="FFFFFF"/>
        </w:rPr>
        <w:t>wyer</w:t>
      </w:r>
      <w:r w:rsidR="00B10E9A" w:rsidRPr="002A11EE">
        <w:rPr>
          <w:rFonts w:ascii="Times New Roman" w:hAnsi="Times New Roman"/>
          <w:sz w:val="24"/>
          <w:szCs w:val="24"/>
          <w:shd w:val="clear" w:color="auto" w:fill="FFFFFF"/>
        </w:rPr>
        <w:t xml:space="preserve">, </w:t>
      </w:r>
      <w:r w:rsidR="00B10E9A" w:rsidRPr="002A11EE">
        <w:rPr>
          <w:rFonts w:ascii="Times New Roman" w:hAnsi="Times New Roman"/>
          <w:color w:val="212121"/>
          <w:sz w:val="24"/>
          <w:szCs w:val="24"/>
          <w:shd w:val="clear" w:color="auto" w:fill="FFFFFF"/>
        </w:rPr>
        <w:t>BSc (Hons) MSc CSci FIBMS</w:t>
      </w:r>
    </w:p>
    <w:bookmarkEnd w:id="4"/>
    <w:p w14:paraId="07910CB0" w14:textId="77777777" w:rsidR="00EE7B50" w:rsidRPr="002A11EE" w:rsidRDefault="00EE7B50" w:rsidP="001241E1">
      <w:pPr>
        <w:shd w:val="clear" w:color="auto" w:fill="FFFFFF"/>
        <w:ind w:left="720"/>
        <w:jc w:val="both"/>
      </w:pPr>
      <w:r w:rsidRPr="002A11EE">
        <w:rPr>
          <w:lang w:eastAsia="en-GB"/>
        </w:rPr>
        <w:t xml:space="preserve">Department of Microbiology, University Hospital Southampton NHS Foundation Trust and </w:t>
      </w:r>
      <w:r w:rsidRPr="002A11EE">
        <w:rPr>
          <w:shd w:val="clear" w:color="auto" w:fill="FFFFFF"/>
        </w:rPr>
        <w:t>Microbiology and Innovation Research Unit (MIRU), Southampton, UK</w:t>
      </w:r>
      <w:r w:rsidRPr="002A11EE">
        <w:t xml:space="preserve"> </w:t>
      </w:r>
    </w:p>
    <w:p w14:paraId="62A07B1A" w14:textId="77777777" w:rsidR="00EE7B50" w:rsidRPr="002A11EE" w:rsidRDefault="00EE7B50" w:rsidP="001241E1">
      <w:pPr>
        <w:spacing w:line="480" w:lineRule="auto"/>
        <w:jc w:val="both"/>
      </w:pPr>
    </w:p>
    <w:p w14:paraId="419F7301" w14:textId="1F804CD6" w:rsidR="00EE7B50" w:rsidRPr="002A11EE" w:rsidRDefault="00EE7B50" w:rsidP="001241E1">
      <w:pPr>
        <w:pStyle w:val="ListParagraph"/>
        <w:numPr>
          <w:ilvl w:val="0"/>
          <w:numId w:val="4"/>
        </w:numPr>
        <w:shd w:val="clear" w:color="auto" w:fill="FFFFFF"/>
        <w:spacing w:line="256" w:lineRule="auto"/>
        <w:jc w:val="both"/>
        <w:rPr>
          <w:rFonts w:ascii="Times New Roman" w:eastAsia="Times New Roman" w:hAnsi="Times New Roman"/>
          <w:sz w:val="24"/>
          <w:szCs w:val="24"/>
          <w:lang w:eastAsia="en-GB"/>
        </w:rPr>
      </w:pPr>
      <w:bookmarkStart w:id="5" w:name="_Hlk36632030"/>
      <w:r w:rsidRPr="002A11EE">
        <w:rPr>
          <w:rFonts w:ascii="Times New Roman" w:hAnsi="Times New Roman"/>
          <w:sz w:val="24"/>
          <w:szCs w:val="24"/>
        </w:rPr>
        <w:t>Dr Kordo Saeed</w:t>
      </w:r>
      <w:bookmarkEnd w:id="5"/>
      <w:r w:rsidR="008B6B89" w:rsidRPr="002A11EE">
        <w:rPr>
          <w:rFonts w:ascii="Times New Roman" w:hAnsi="Times New Roman"/>
          <w:sz w:val="24"/>
          <w:szCs w:val="24"/>
        </w:rPr>
        <w:t>,</w:t>
      </w:r>
      <w:r w:rsidRPr="002A11EE">
        <w:rPr>
          <w:rFonts w:ascii="Times New Roman" w:hAnsi="Times New Roman"/>
          <w:sz w:val="24"/>
          <w:szCs w:val="24"/>
        </w:rPr>
        <w:t xml:space="preserve"> </w:t>
      </w:r>
      <w:r w:rsidRPr="002A11EE">
        <w:rPr>
          <w:rFonts w:ascii="Times New Roman" w:hAnsi="Times New Roman"/>
          <w:sz w:val="24"/>
          <w:szCs w:val="24"/>
          <w:shd w:val="clear" w:color="auto" w:fill="FFFFFF"/>
        </w:rPr>
        <w:t>MSc FRCPath MD</w:t>
      </w:r>
      <w:r w:rsidRPr="002A11EE">
        <w:rPr>
          <w:rFonts w:ascii="Times New Roman" w:eastAsia="Times New Roman" w:hAnsi="Times New Roman"/>
          <w:sz w:val="24"/>
          <w:szCs w:val="24"/>
          <w:lang w:eastAsia="en-GB"/>
        </w:rPr>
        <w:t xml:space="preserve"> </w:t>
      </w:r>
    </w:p>
    <w:p w14:paraId="1D0BD00C" w14:textId="77777777" w:rsidR="00EE7B50" w:rsidRPr="002A11EE" w:rsidRDefault="00EE7B50" w:rsidP="001241E1">
      <w:pPr>
        <w:shd w:val="clear" w:color="auto" w:fill="FFFFFF"/>
        <w:ind w:left="720"/>
        <w:jc w:val="both"/>
        <w:rPr>
          <w:rFonts w:eastAsia="Calibri"/>
        </w:rPr>
      </w:pPr>
      <w:r w:rsidRPr="002A11EE">
        <w:rPr>
          <w:lang w:eastAsia="en-GB"/>
        </w:rPr>
        <w:t xml:space="preserve">Department of Microbiology, University Hospital Southampton NHS Foundation Trust and </w:t>
      </w:r>
      <w:r w:rsidRPr="002A11EE">
        <w:rPr>
          <w:shd w:val="clear" w:color="auto" w:fill="FFFFFF"/>
        </w:rPr>
        <w:t>Microbiology and Innovation Research Unit (MIRU), Southampton, UK</w:t>
      </w:r>
      <w:r w:rsidRPr="002A11EE">
        <w:t xml:space="preserve"> </w:t>
      </w:r>
    </w:p>
    <w:p w14:paraId="6939184D" w14:textId="77777777" w:rsidR="00EE7B50" w:rsidRPr="002A11EE" w:rsidRDefault="00EE7B50" w:rsidP="001241E1">
      <w:pPr>
        <w:shd w:val="clear" w:color="auto" w:fill="FFFFFF"/>
        <w:ind w:firstLine="720"/>
        <w:jc w:val="both"/>
        <w:rPr>
          <w:lang w:eastAsia="en-GB"/>
        </w:rPr>
      </w:pPr>
      <w:r w:rsidRPr="002A11EE">
        <w:rPr>
          <w:lang w:eastAsia="en-GB"/>
        </w:rPr>
        <w:t>University of Southampton, School of Medicine, Southampton, UK</w:t>
      </w:r>
    </w:p>
    <w:p w14:paraId="4E6627CD" w14:textId="77777777" w:rsidR="00EE7B50" w:rsidRPr="002A11EE" w:rsidRDefault="00EE7B50" w:rsidP="001241E1">
      <w:pPr>
        <w:shd w:val="clear" w:color="auto" w:fill="FFFFFF"/>
        <w:jc w:val="both"/>
        <w:rPr>
          <w:lang w:eastAsia="en-GB"/>
        </w:rPr>
      </w:pPr>
    </w:p>
    <w:p w14:paraId="4011B78B" w14:textId="15DD1542" w:rsidR="00EE7B50" w:rsidRPr="002A11EE" w:rsidRDefault="00890AF5" w:rsidP="001241E1">
      <w:pPr>
        <w:pStyle w:val="ListParagraph"/>
        <w:numPr>
          <w:ilvl w:val="0"/>
          <w:numId w:val="4"/>
        </w:numPr>
        <w:spacing w:line="480" w:lineRule="auto"/>
        <w:jc w:val="both"/>
        <w:rPr>
          <w:rFonts w:ascii="Times New Roman" w:hAnsi="Times New Roman"/>
          <w:sz w:val="24"/>
          <w:szCs w:val="24"/>
        </w:rPr>
      </w:pPr>
      <w:r w:rsidRPr="00B11AEC">
        <w:rPr>
          <w:rFonts w:ascii="Times New Roman" w:hAnsi="Times New Roman"/>
          <w:sz w:val="24"/>
          <w:szCs w:val="24"/>
        </w:rPr>
        <w:t>D</w:t>
      </w:r>
      <w:r w:rsidR="00EE7B50" w:rsidRPr="00B11AEC">
        <w:rPr>
          <w:rFonts w:ascii="Times New Roman" w:hAnsi="Times New Roman"/>
          <w:sz w:val="24"/>
          <w:szCs w:val="24"/>
        </w:rPr>
        <w:t>r T</w:t>
      </w:r>
      <w:r w:rsidR="00970D0F" w:rsidRPr="00B11AEC">
        <w:rPr>
          <w:rFonts w:ascii="Times New Roman" w:hAnsi="Times New Roman"/>
          <w:sz w:val="24"/>
          <w:szCs w:val="24"/>
        </w:rPr>
        <w:t xml:space="preserve"> </w:t>
      </w:r>
      <w:r w:rsidR="00EE7B50" w:rsidRPr="00B11AEC">
        <w:rPr>
          <w:rFonts w:ascii="Times New Roman" w:hAnsi="Times New Roman"/>
          <w:sz w:val="24"/>
          <w:szCs w:val="24"/>
        </w:rPr>
        <w:t>Singh</w:t>
      </w:r>
      <w:r w:rsidR="008B6B89" w:rsidRPr="00B11AEC">
        <w:rPr>
          <w:rFonts w:ascii="Times New Roman" w:hAnsi="Times New Roman"/>
          <w:sz w:val="24"/>
          <w:szCs w:val="24"/>
        </w:rPr>
        <w:t>,</w:t>
      </w:r>
      <w:r w:rsidR="00EE7B50" w:rsidRPr="00B11AEC">
        <w:rPr>
          <w:rFonts w:ascii="Times New Roman" w:hAnsi="Times New Roman"/>
          <w:sz w:val="24"/>
          <w:szCs w:val="24"/>
        </w:rPr>
        <w:t xml:space="preserve"> </w:t>
      </w:r>
      <w:r w:rsidR="00F56070" w:rsidRPr="00B11AEC">
        <w:rPr>
          <w:rFonts w:ascii="Times New Roman" w:hAnsi="Times New Roman"/>
          <w:sz w:val="24"/>
          <w:szCs w:val="24"/>
        </w:rPr>
        <w:t xml:space="preserve">LLM, </w:t>
      </w:r>
      <w:r w:rsidR="00EE7B50" w:rsidRPr="002A11EE">
        <w:rPr>
          <w:rFonts w:ascii="Times New Roman" w:hAnsi="Times New Roman"/>
          <w:sz w:val="24"/>
          <w:szCs w:val="24"/>
        </w:rPr>
        <w:t>PhD</w:t>
      </w:r>
    </w:p>
    <w:p w14:paraId="02BB21B2" w14:textId="28F4AF86" w:rsidR="00EE7B50" w:rsidRPr="002A11EE" w:rsidRDefault="00EE7B50" w:rsidP="001241E1">
      <w:pPr>
        <w:ind w:left="720"/>
        <w:jc w:val="both"/>
        <w:rPr>
          <w:lang w:eastAsia="en-GB"/>
        </w:rPr>
      </w:pPr>
      <w:r w:rsidRPr="002A11EE">
        <w:t xml:space="preserve">Department of Otolaryngology, </w:t>
      </w:r>
      <w:r w:rsidRPr="002A11EE">
        <w:rPr>
          <w:lang w:eastAsia="en-GB"/>
        </w:rPr>
        <w:t>University Hospital Southampton NHS Foundation Trust</w:t>
      </w:r>
    </w:p>
    <w:p w14:paraId="4DFE6E90" w14:textId="77777777" w:rsidR="00EE7B50" w:rsidRPr="002A11EE" w:rsidRDefault="00EE7B50" w:rsidP="001241E1">
      <w:pPr>
        <w:ind w:left="720"/>
        <w:jc w:val="both"/>
      </w:pPr>
    </w:p>
    <w:p w14:paraId="3D83E902" w14:textId="77777777" w:rsidR="00F44DAA" w:rsidRPr="002A11EE" w:rsidRDefault="00F44DAA" w:rsidP="001241E1">
      <w:pPr>
        <w:pStyle w:val="Heading3"/>
        <w:jc w:val="both"/>
      </w:pPr>
    </w:p>
    <w:p w14:paraId="1E82105F" w14:textId="77777777" w:rsidR="00362828" w:rsidRPr="002A11EE" w:rsidRDefault="00362828" w:rsidP="001241E1">
      <w:pPr>
        <w:jc w:val="both"/>
        <w:rPr>
          <w:b/>
          <w:bCs/>
        </w:rPr>
      </w:pPr>
      <w:r w:rsidRPr="002A11EE">
        <w:rPr>
          <w:b/>
          <w:bCs/>
        </w:rPr>
        <w:t>Name and address of author responsible for correspondence and proofs</w:t>
      </w:r>
    </w:p>
    <w:p w14:paraId="617A6F81" w14:textId="77777777" w:rsidR="00362828" w:rsidRPr="002A11EE" w:rsidRDefault="00362828" w:rsidP="001241E1">
      <w:pPr>
        <w:spacing w:after="4" w:line="480" w:lineRule="auto"/>
        <w:ind w:left="-5" w:right="7"/>
        <w:jc w:val="both"/>
        <w:rPr>
          <w:b/>
          <w:bCs/>
        </w:rPr>
      </w:pPr>
    </w:p>
    <w:p w14:paraId="7AB655D1" w14:textId="7EBADB42" w:rsidR="00362828" w:rsidRPr="002A11EE" w:rsidRDefault="00362828" w:rsidP="001241E1">
      <w:pPr>
        <w:spacing w:after="4" w:line="480" w:lineRule="auto"/>
        <w:ind w:left="-5" w:right="7"/>
        <w:jc w:val="both"/>
        <w:rPr>
          <w:sz w:val="22"/>
          <w:szCs w:val="22"/>
        </w:rPr>
      </w:pPr>
      <w:r w:rsidRPr="002A11EE">
        <w:lastRenderedPageBreak/>
        <w:t xml:space="preserve">Mr Mandar Jog </w:t>
      </w:r>
    </w:p>
    <w:p w14:paraId="40071DC6" w14:textId="77777777" w:rsidR="00362828" w:rsidRPr="002A11EE" w:rsidRDefault="00362828" w:rsidP="001241E1">
      <w:pPr>
        <w:spacing w:after="4" w:line="480" w:lineRule="auto"/>
        <w:ind w:left="-5" w:right="7"/>
        <w:jc w:val="both"/>
      </w:pPr>
      <w:r w:rsidRPr="002A11EE">
        <w:t xml:space="preserve">Department of Otolaryngology </w:t>
      </w:r>
    </w:p>
    <w:p w14:paraId="6C0E0FAA" w14:textId="1BFEE4A3" w:rsidR="00362828" w:rsidRPr="002A11EE" w:rsidRDefault="00362828" w:rsidP="001241E1">
      <w:pPr>
        <w:spacing w:after="4" w:line="480" w:lineRule="auto"/>
        <w:ind w:left="-5" w:right="7"/>
        <w:jc w:val="both"/>
      </w:pPr>
      <w:r w:rsidRPr="002A11EE">
        <w:t xml:space="preserve">Mail point </w:t>
      </w:r>
      <w:r w:rsidR="00C062FF" w:rsidRPr="002A11EE">
        <w:t>O</w:t>
      </w:r>
      <w:r w:rsidRPr="002A11EE">
        <w:t xml:space="preserve">EN </w:t>
      </w:r>
    </w:p>
    <w:p w14:paraId="35F924F4" w14:textId="320B817A" w:rsidR="00362828" w:rsidRPr="002A11EE" w:rsidRDefault="00362828" w:rsidP="001241E1">
      <w:pPr>
        <w:spacing w:after="4" w:line="480" w:lineRule="auto"/>
        <w:ind w:left="-5" w:right="7"/>
        <w:jc w:val="both"/>
      </w:pPr>
      <w:r w:rsidRPr="002A11EE">
        <w:t>A Level</w:t>
      </w:r>
    </w:p>
    <w:p w14:paraId="727BEBAF" w14:textId="77777777" w:rsidR="00362828" w:rsidRPr="002A11EE" w:rsidRDefault="00362828" w:rsidP="001241E1">
      <w:pPr>
        <w:spacing w:after="4" w:line="480" w:lineRule="auto"/>
        <w:ind w:left="-5" w:right="7"/>
        <w:jc w:val="both"/>
      </w:pPr>
      <w:r w:rsidRPr="002A11EE">
        <w:t xml:space="preserve">Royal South Hants Hospital </w:t>
      </w:r>
    </w:p>
    <w:p w14:paraId="170D8D64" w14:textId="77777777" w:rsidR="00362828" w:rsidRPr="002A11EE" w:rsidRDefault="00362828" w:rsidP="001241E1">
      <w:pPr>
        <w:spacing w:after="4" w:line="480" w:lineRule="auto"/>
        <w:ind w:left="-5" w:right="7"/>
        <w:jc w:val="both"/>
      </w:pPr>
      <w:r w:rsidRPr="002A11EE">
        <w:t xml:space="preserve">Brintons Terrace </w:t>
      </w:r>
    </w:p>
    <w:p w14:paraId="7DF5EFB2" w14:textId="77777777" w:rsidR="00362828" w:rsidRPr="002A11EE" w:rsidRDefault="00362828" w:rsidP="001241E1">
      <w:pPr>
        <w:spacing w:after="4" w:line="480" w:lineRule="auto"/>
        <w:ind w:left="-5" w:right="7"/>
        <w:jc w:val="both"/>
      </w:pPr>
      <w:r w:rsidRPr="002A11EE">
        <w:t xml:space="preserve">Southampton </w:t>
      </w:r>
      <w:bookmarkStart w:id="6" w:name="_Hlk36630414"/>
      <w:r w:rsidRPr="002A11EE">
        <w:t xml:space="preserve">SO14 0YG </w:t>
      </w:r>
      <w:bookmarkEnd w:id="6"/>
    </w:p>
    <w:p w14:paraId="5EF96C9C" w14:textId="3E934763" w:rsidR="00362828" w:rsidRPr="002A11EE" w:rsidRDefault="00362828" w:rsidP="001241E1">
      <w:pPr>
        <w:spacing w:after="4" w:line="480" w:lineRule="auto"/>
        <w:ind w:left="-5" w:right="7"/>
        <w:jc w:val="both"/>
      </w:pPr>
      <w:r w:rsidRPr="002A11EE">
        <w:t xml:space="preserve">E-mail: </w:t>
      </w:r>
      <w:hyperlink r:id="rId9" w:history="1">
        <w:r w:rsidR="00EE7B50" w:rsidRPr="002A11EE">
          <w:rPr>
            <w:rStyle w:val="Hyperlink"/>
          </w:rPr>
          <w:t>Mandar.Jog@uhs.nhs.uk</w:t>
        </w:r>
      </w:hyperlink>
    </w:p>
    <w:p w14:paraId="332664ED" w14:textId="77777777" w:rsidR="00EE7B50" w:rsidRPr="002A11EE" w:rsidRDefault="00EE7B50" w:rsidP="001241E1">
      <w:pPr>
        <w:spacing w:after="4" w:line="480" w:lineRule="auto"/>
        <w:ind w:left="-5" w:right="7"/>
        <w:jc w:val="both"/>
      </w:pPr>
    </w:p>
    <w:p w14:paraId="3600FDCF" w14:textId="6B8967E5" w:rsidR="00F44DAA" w:rsidRPr="002A11EE" w:rsidRDefault="00EE7B50" w:rsidP="001241E1">
      <w:pPr>
        <w:pStyle w:val="Notes"/>
        <w:jc w:val="both"/>
      </w:pPr>
      <w:r w:rsidRPr="002A11EE">
        <w:rPr>
          <w:color w:val="auto"/>
          <w:sz w:val="24"/>
        </w:rPr>
        <w:t>The paper has not been presented at any meeting.</w:t>
      </w:r>
    </w:p>
    <w:p w14:paraId="2797F374" w14:textId="77777777" w:rsidR="00F44DAA" w:rsidRPr="002A11EE" w:rsidRDefault="00F44DAA" w:rsidP="001241E1">
      <w:pPr>
        <w:jc w:val="both"/>
      </w:pPr>
    </w:p>
    <w:p w14:paraId="0B638109" w14:textId="77777777" w:rsidR="00F44DAA" w:rsidRPr="002A11EE" w:rsidRDefault="00F44DAA" w:rsidP="001241E1">
      <w:pPr>
        <w:jc w:val="both"/>
      </w:pPr>
    </w:p>
    <w:p w14:paraId="0F6DD100" w14:textId="37F6DB63" w:rsidR="00F44DAA" w:rsidRPr="002A11EE" w:rsidRDefault="00F44DAA" w:rsidP="001241E1">
      <w:pPr>
        <w:pStyle w:val="Heading2"/>
        <w:jc w:val="both"/>
      </w:pPr>
      <w:r w:rsidRPr="002A11EE">
        <w:br w:type="page"/>
      </w:r>
      <w:r w:rsidRPr="002A11EE">
        <w:lastRenderedPageBreak/>
        <w:t>Abstract</w:t>
      </w:r>
    </w:p>
    <w:p w14:paraId="144B4387" w14:textId="77777777" w:rsidR="005607CF" w:rsidRPr="002A11EE" w:rsidRDefault="005607CF" w:rsidP="001241E1">
      <w:pPr>
        <w:jc w:val="both"/>
      </w:pPr>
    </w:p>
    <w:p w14:paraId="1958E564" w14:textId="77777777" w:rsidR="005607CF" w:rsidRPr="002A11EE" w:rsidRDefault="005607CF" w:rsidP="001241E1">
      <w:pPr>
        <w:jc w:val="both"/>
      </w:pPr>
    </w:p>
    <w:p w14:paraId="28BF07E3" w14:textId="77777777" w:rsidR="005607CF" w:rsidRPr="002A11EE" w:rsidRDefault="005607CF" w:rsidP="001241E1">
      <w:pPr>
        <w:spacing w:line="480" w:lineRule="auto"/>
        <w:jc w:val="both"/>
        <w:rPr>
          <w:b/>
          <w:bCs/>
        </w:rPr>
      </w:pPr>
      <w:r w:rsidRPr="002A11EE">
        <w:rPr>
          <w:b/>
          <w:bCs/>
        </w:rPr>
        <w:t>Objective</w:t>
      </w:r>
    </w:p>
    <w:p w14:paraId="439E6389" w14:textId="192A0A48" w:rsidR="005607CF" w:rsidRPr="002A11EE" w:rsidRDefault="0083561F" w:rsidP="001241E1">
      <w:pPr>
        <w:spacing w:line="480" w:lineRule="auto"/>
        <w:jc w:val="both"/>
      </w:pPr>
      <w:r w:rsidRPr="00B11AEC">
        <w:t>Our aim was to</w:t>
      </w:r>
      <w:r w:rsidR="005607CF" w:rsidRPr="00B11AEC">
        <w:t xml:space="preserve"> </w:t>
      </w:r>
      <w:r w:rsidR="005607CF" w:rsidRPr="002A11EE">
        <w:t>investigate the risk of contamination of lidocaine hydrochloride 5 per cent w</w:t>
      </w:r>
      <w:r w:rsidR="005607CF" w:rsidRPr="002A11EE">
        <w:rPr>
          <w:rFonts w:eastAsia="Calibri"/>
        </w:rPr>
        <w:t>/</w:t>
      </w:r>
      <w:r w:rsidR="005607CF" w:rsidRPr="002A11EE">
        <w:t xml:space="preserve">v and phenylephrine hydrochloride 0.5 per cent </w:t>
      </w:r>
      <w:r w:rsidR="00AE192C">
        <w:t xml:space="preserve">w/v </w:t>
      </w:r>
      <w:r w:rsidR="005607CF" w:rsidRPr="002A11EE">
        <w:t xml:space="preserve">topical solution after modification of its application technique. </w:t>
      </w:r>
    </w:p>
    <w:p w14:paraId="2E5D50F8" w14:textId="77777777" w:rsidR="005607CF" w:rsidRPr="002A11EE" w:rsidRDefault="005607CF" w:rsidP="001241E1">
      <w:pPr>
        <w:spacing w:line="480" w:lineRule="auto"/>
        <w:jc w:val="both"/>
      </w:pPr>
    </w:p>
    <w:p w14:paraId="4CF7F789" w14:textId="77777777" w:rsidR="005607CF" w:rsidRPr="002A11EE" w:rsidRDefault="005607CF" w:rsidP="001241E1">
      <w:pPr>
        <w:spacing w:line="480" w:lineRule="auto"/>
        <w:jc w:val="both"/>
        <w:rPr>
          <w:b/>
          <w:bCs/>
        </w:rPr>
      </w:pPr>
      <w:r w:rsidRPr="002A11EE">
        <w:rPr>
          <w:b/>
          <w:bCs/>
        </w:rPr>
        <w:t>Methods</w:t>
      </w:r>
    </w:p>
    <w:p w14:paraId="22B6218D" w14:textId="206B6753" w:rsidR="008707D5" w:rsidRPr="00B11AEC" w:rsidRDefault="005607CF" w:rsidP="008707D5">
      <w:pPr>
        <w:pStyle w:val="ListParagraph"/>
        <w:spacing w:line="480" w:lineRule="auto"/>
        <w:ind w:left="0"/>
        <w:jc w:val="both"/>
        <w:rPr>
          <w:rFonts w:ascii="Times New Roman" w:hAnsi="Times New Roman"/>
          <w:sz w:val="24"/>
          <w:szCs w:val="24"/>
        </w:rPr>
      </w:pPr>
      <w:r w:rsidRPr="002A11EE">
        <w:rPr>
          <w:rFonts w:ascii="Times New Roman" w:hAnsi="Times New Roman"/>
          <w:sz w:val="24"/>
          <w:szCs w:val="24"/>
        </w:rPr>
        <w:t xml:space="preserve">This paper reports a prospective </w:t>
      </w:r>
      <w:r w:rsidR="00890AF5" w:rsidRPr="00B11AEC">
        <w:rPr>
          <w:rFonts w:ascii="Times New Roman" w:hAnsi="Times New Roman"/>
          <w:sz w:val="24"/>
          <w:szCs w:val="24"/>
        </w:rPr>
        <w:t xml:space="preserve">basic sciences </w:t>
      </w:r>
      <w:r w:rsidRPr="002A11EE">
        <w:rPr>
          <w:rFonts w:ascii="Times New Roman" w:hAnsi="Times New Roman"/>
          <w:sz w:val="24"/>
          <w:szCs w:val="24"/>
        </w:rPr>
        <w:t xml:space="preserve">study involving </w:t>
      </w:r>
      <w:r w:rsidRPr="00B11AEC">
        <w:rPr>
          <w:rFonts w:ascii="Times New Roman" w:hAnsi="Times New Roman"/>
          <w:sz w:val="24"/>
          <w:szCs w:val="24"/>
        </w:rPr>
        <w:t>2</w:t>
      </w:r>
      <w:r w:rsidR="00946297" w:rsidRPr="00B11AEC">
        <w:rPr>
          <w:rFonts w:ascii="Times New Roman" w:hAnsi="Times New Roman"/>
          <w:sz w:val="24"/>
          <w:szCs w:val="24"/>
        </w:rPr>
        <w:t xml:space="preserve">2 </w:t>
      </w:r>
      <w:r w:rsidRPr="00B11AEC">
        <w:rPr>
          <w:rFonts w:ascii="Times New Roman" w:hAnsi="Times New Roman"/>
          <w:sz w:val="24"/>
          <w:szCs w:val="24"/>
        </w:rPr>
        <w:t xml:space="preserve">samples </w:t>
      </w:r>
      <w:r w:rsidR="00946297" w:rsidRPr="00B11AEC">
        <w:rPr>
          <w:rFonts w:ascii="Times New Roman" w:hAnsi="Times New Roman"/>
          <w:sz w:val="24"/>
          <w:szCs w:val="24"/>
        </w:rPr>
        <w:t xml:space="preserve">and one control sample </w:t>
      </w:r>
      <w:r w:rsidRPr="002A11EE">
        <w:rPr>
          <w:rFonts w:ascii="Times New Roman" w:hAnsi="Times New Roman"/>
          <w:sz w:val="24"/>
          <w:szCs w:val="24"/>
        </w:rPr>
        <w:t>of the lidocaine hydrochloride and phenylephrine hydrochloride topical anaesthetic spray. The</w:t>
      </w:r>
      <w:r w:rsidR="00672006" w:rsidRPr="002A11EE">
        <w:rPr>
          <w:rFonts w:ascii="Times New Roman" w:hAnsi="Times New Roman"/>
          <w:sz w:val="24"/>
          <w:szCs w:val="24"/>
        </w:rPr>
        <w:t xml:space="preserve"> s</w:t>
      </w:r>
      <w:r w:rsidRPr="002A11EE">
        <w:rPr>
          <w:rFonts w:ascii="Times New Roman" w:hAnsi="Times New Roman"/>
          <w:sz w:val="24"/>
          <w:szCs w:val="24"/>
        </w:rPr>
        <w:t>amples were assessed for microbiological contamination after a single use on patients after modifying technique of its application.</w:t>
      </w:r>
      <w:r w:rsidR="008707D5" w:rsidRPr="002A11EE">
        <w:rPr>
          <w:rFonts w:ascii="Times New Roman" w:hAnsi="Times New Roman"/>
          <w:color w:val="00B050"/>
          <w:sz w:val="24"/>
          <w:szCs w:val="24"/>
        </w:rPr>
        <w:t xml:space="preserve"> </w:t>
      </w:r>
      <w:r w:rsidR="00BF507C" w:rsidRPr="00B11AEC">
        <w:rPr>
          <w:rFonts w:ascii="Times New Roman" w:hAnsi="Times New Roman"/>
          <w:sz w:val="24"/>
          <w:szCs w:val="24"/>
        </w:rPr>
        <w:t xml:space="preserve">Our modification involves keeping </w:t>
      </w:r>
      <w:r w:rsidR="008707D5" w:rsidRPr="00B11AEC">
        <w:rPr>
          <w:rFonts w:ascii="Times New Roman" w:hAnsi="Times New Roman"/>
          <w:sz w:val="24"/>
          <w:szCs w:val="24"/>
        </w:rPr>
        <w:t>the nozzle (actuator) pressed down while withdrawing the spray from patient for at least 30 cm (one foot) before releasing the nozzle (actuator) and reapplying the spray.</w:t>
      </w:r>
    </w:p>
    <w:p w14:paraId="488DCE3B" w14:textId="77777777" w:rsidR="008707D5" w:rsidRPr="002A11EE" w:rsidRDefault="008707D5" w:rsidP="008707D5">
      <w:pPr>
        <w:pStyle w:val="ListParagraph"/>
        <w:spacing w:line="480" w:lineRule="auto"/>
        <w:jc w:val="both"/>
        <w:rPr>
          <w:rFonts w:ascii="Times New Roman" w:hAnsi="Times New Roman"/>
          <w:color w:val="FF0000"/>
          <w:sz w:val="24"/>
          <w:szCs w:val="24"/>
        </w:rPr>
      </w:pPr>
    </w:p>
    <w:p w14:paraId="669A9A6B" w14:textId="77777777" w:rsidR="005607CF" w:rsidRPr="002A11EE" w:rsidRDefault="005607CF" w:rsidP="001241E1">
      <w:pPr>
        <w:spacing w:line="480" w:lineRule="auto"/>
        <w:jc w:val="both"/>
        <w:rPr>
          <w:b/>
          <w:bCs/>
        </w:rPr>
      </w:pPr>
      <w:r w:rsidRPr="002A11EE">
        <w:rPr>
          <w:b/>
          <w:bCs/>
        </w:rPr>
        <w:t xml:space="preserve">Results </w:t>
      </w:r>
    </w:p>
    <w:p w14:paraId="5422E4F8" w14:textId="424F1609" w:rsidR="005607CF" w:rsidRPr="002A11EE" w:rsidRDefault="005607CF" w:rsidP="001241E1">
      <w:pPr>
        <w:spacing w:after="8" w:line="480" w:lineRule="auto"/>
        <w:ind w:left="-15" w:right="945"/>
        <w:jc w:val="both"/>
      </w:pPr>
      <w:r w:rsidRPr="002A11EE">
        <w:t xml:space="preserve">Three out of 23 samples confirmed bacterial growth in the contents of the bottles but there was no growth in any of the samples from the pump. We </w:t>
      </w:r>
      <w:r w:rsidR="0083561F" w:rsidRPr="00B11AEC">
        <w:t>considered</w:t>
      </w:r>
      <w:r w:rsidRPr="00B11AEC">
        <w:t xml:space="preserve"> </w:t>
      </w:r>
      <w:r w:rsidRPr="002A11EE">
        <w:t xml:space="preserve">that these </w:t>
      </w:r>
      <w:r w:rsidR="001241E1" w:rsidRPr="002A11EE">
        <w:t>bacteria are</w:t>
      </w:r>
      <w:r w:rsidRPr="002A11EE">
        <w:t xml:space="preserve"> contaminants.</w:t>
      </w:r>
    </w:p>
    <w:p w14:paraId="59B6DFB9" w14:textId="77777777" w:rsidR="005607CF" w:rsidRDefault="005607CF" w:rsidP="001241E1">
      <w:pPr>
        <w:spacing w:after="8" w:line="480" w:lineRule="auto"/>
        <w:ind w:left="-15" w:right="945"/>
        <w:jc w:val="both"/>
      </w:pPr>
    </w:p>
    <w:p w14:paraId="67FFC37A" w14:textId="77777777" w:rsidR="00F56070" w:rsidRDefault="00F56070" w:rsidP="001241E1">
      <w:pPr>
        <w:spacing w:after="8" w:line="480" w:lineRule="auto"/>
        <w:ind w:left="-15" w:right="945"/>
        <w:jc w:val="both"/>
      </w:pPr>
    </w:p>
    <w:p w14:paraId="59FB18DA" w14:textId="77777777" w:rsidR="00F56070" w:rsidRDefault="00F56070" w:rsidP="001241E1">
      <w:pPr>
        <w:spacing w:after="8" w:line="480" w:lineRule="auto"/>
        <w:ind w:left="-15" w:right="945"/>
        <w:jc w:val="both"/>
      </w:pPr>
    </w:p>
    <w:p w14:paraId="10F554DD" w14:textId="77777777" w:rsidR="00F56070" w:rsidRPr="002A11EE" w:rsidRDefault="00F56070" w:rsidP="001241E1">
      <w:pPr>
        <w:spacing w:after="8" w:line="480" w:lineRule="auto"/>
        <w:ind w:left="-15" w:right="945"/>
        <w:jc w:val="both"/>
      </w:pPr>
    </w:p>
    <w:p w14:paraId="57B1B00C" w14:textId="77777777" w:rsidR="005607CF" w:rsidRPr="002A11EE" w:rsidRDefault="005607CF" w:rsidP="001241E1">
      <w:pPr>
        <w:spacing w:line="480" w:lineRule="auto"/>
        <w:jc w:val="both"/>
        <w:rPr>
          <w:b/>
          <w:bCs/>
        </w:rPr>
      </w:pPr>
      <w:r w:rsidRPr="002A11EE">
        <w:rPr>
          <w:b/>
          <w:bCs/>
        </w:rPr>
        <w:lastRenderedPageBreak/>
        <w:t>Conclusions</w:t>
      </w:r>
    </w:p>
    <w:p w14:paraId="56BB8F27" w14:textId="6F0D299D" w:rsidR="005607CF" w:rsidRPr="002A11EE" w:rsidRDefault="005607CF" w:rsidP="001241E1">
      <w:pPr>
        <w:spacing w:after="31" w:line="480" w:lineRule="auto"/>
        <w:ind w:left="17" w:right="6"/>
        <w:jc w:val="both"/>
      </w:pPr>
      <w:r w:rsidRPr="002A11EE">
        <w:t xml:space="preserve">There is a </w:t>
      </w:r>
      <w:r w:rsidR="00F56070">
        <w:t>potential</w:t>
      </w:r>
      <w:r w:rsidRPr="002A11EE">
        <w:t xml:space="preserve"> to use the lidocaine hydrochloride 5 per cent w</w:t>
      </w:r>
      <w:r w:rsidRPr="002A11EE">
        <w:rPr>
          <w:rFonts w:eastAsia="Calibri"/>
        </w:rPr>
        <w:t>/</w:t>
      </w:r>
      <w:r w:rsidRPr="002A11EE">
        <w:t>v and phenylephrine hydrochloride 0.5 per cent w</w:t>
      </w:r>
      <w:r w:rsidRPr="002A11EE">
        <w:rPr>
          <w:rFonts w:eastAsia="Calibri"/>
        </w:rPr>
        <w:t>/</w:t>
      </w:r>
      <w:r w:rsidRPr="002A11EE">
        <w:t>v topical solution as a multi-use spray</w:t>
      </w:r>
      <w:r w:rsidR="00F56070">
        <w:t xml:space="preserve"> by </w:t>
      </w:r>
      <w:r w:rsidRPr="002A11EE">
        <w:t>changing the actuator between patients.</w:t>
      </w:r>
      <w:r w:rsidR="00F56070">
        <w:t xml:space="preserve"> </w:t>
      </w:r>
      <w:r w:rsidR="0083561F">
        <w:t>This would have significant beneficial cost implications without the attendant infection control risk.</w:t>
      </w:r>
    </w:p>
    <w:p w14:paraId="746FC05A" w14:textId="77777777" w:rsidR="005607CF" w:rsidRPr="002A11EE" w:rsidRDefault="005607CF" w:rsidP="001241E1">
      <w:pPr>
        <w:spacing w:after="31" w:line="480" w:lineRule="auto"/>
        <w:ind w:left="17" w:right="6"/>
        <w:jc w:val="both"/>
      </w:pPr>
    </w:p>
    <w:p w14:paraId="7E334031" w14:textId="77777777" w:rsidR="005607CF" w:rsidRPr="002A11EE" w:rsidRDefault="005607CF" w:rsidP="001241E1">
      <w:pPr>
        <w:spacing w:after="8" w:line="480" w:lineRule="auto"/>
        <w:ind w:left="-5" w:right="945"/>
        <w:jc w:val="both"/>
        <w:rPr>
          <w:rFonts w:eastAsia="Calibri"/>
          <w:b/>
          <w:bCs/>
        </w:rPr>
      </w:pPr>
      <w:r w:rsidRPr="002A11EE">
        <w:rPr>
          <w:rFonts w:eastAsia="Calibri"/>
          <w:b/>
          <w:bCs/>
        </w:rPr>
        <w:t>Key words</w:t>
      </w:r>
    </w:p>
    <w:p w14:paraId="0F328F9D" w14:textId="77777777" w:rsidR="005607CF" w:rsidRPr="002A11EE" w:rsidRDefault="005607CF" w:rsidP="001241E1">
      <w:pPr>
        <w:spacing w:after="8" w:line="480" w:lineRule="auto"/>
        <w:ind w:left="-5" w:right="945"/>
        <w:jc w:val="both"/>
      </w:pPr>
      <w:r w:rsidRPr="002A11EE">
        <w:t>Anaesthetics, Local; Cross Infection; Lidocaine; Phenylephrine; Endoscopy; Drug contamination</w:t>
      </w:r>
    </w:p>
    <w:p w14:paraId="7E0CEEAB" w14:textId="77777777" w:rsidR="005607CF" w:rsidRPr="002A11EE" w:rsidRDefault="005607CF" w:rsidP="001241E1">
      <w:pPr>
        <w:jc w:val="both"/>
      </w:pPr>
    </w:p>
    <w:p w14:paraId="18EE7273" w14:textId="2EC56AD1" w:rsidR="0046234A" w:rsidRPr="002A11EE" w:rsidRDefault="00F44DAA" w:rsidP="00F56070">
      <w:pPr>
        <w:pStyle w:val="Heading2"/>
        <w:jc w:val="both"/>
        <w:rPr>
          <w:b w:val="0"/>
          <w:bCs w:val="0"/>
          <w:szCs w:val="28"/>
        </w:rPr>
      </w:pPr>
      <w:r w:rsidRPr="002A11EE">
        <w:br w:type="page"/>
      </w:r>
      <w:r w:rsidR="0046234A" w:rsidRPr="002A11EE">
        <w:rPr>
          <w:szCs w:val="28"/>
        </w:rPr>
        <w:lastRenderedPageBreak/>
        <w:t>Introduction</w:t>
      </w:r>
    </w:p>
    <w:p w14:paraId="6564810D" w14:textId="77777777" w:rsidR="0083561F" w:rsidRDefault="0083561F" w:rsidP="001241E1">
      <w:pPr>
        <w:spacing w:line="480" w:lineRule="auto"/>
        <w:jc w:val="both"/>
      </w:pPr>
    </w:p>
    <w:p w14:paraId="0EA95A28" w14:textId="4F1F4DDD" w:rsidR="0046234A" w:rsidRPr="002A11EE" w:rsidRDefault="0046234A" w:rsidP="001241E1">
      <w:pPr>
        <w:spacing w:line="480" w:lineRule="auto"/>
        <w:jc w:val="both"/>
      </w:pPr>
      <w:r w:rsidRPr="002A11EE">
        <w:t>Lidocaine hydrochloride 5 per cent weight</w:t>
      </w:r>
      <w:r w:rsidRPr="002A11EE">
        <w:rPr>
          <w:rFonts w:eastAsia="Calibri"/>
        </w:rPr>
        <w:t>/</w:t>
      </w:r>
      <w:r w:rsidRPr="002A11EE">
        <w:t>volume (w</w:t>
      </w:r>
      <w:r w:rsidRPr="002A11EE">
        <w:rPr>
          <w:rFonts w:eastAsia="Calibri"/>
        </w:rPr>
        <w:t>/</w:t>
      </w:r>
      <w:r w:rsidRPr="002A11EE">
        <w:t>v) and phenylephrine hydrochloride 0.5 per cent w</w:t>
      </w:r>
      <w:r w:rsidRPr="002A11EE">
        <w:rPr>
          <w:rFonts w:eastAsia="Calibri"/>
        </w:rPr>
        <w:t>/</w:t>
      </w:r>
      <w:r w:rsidRPr="002A11EE">
        <w:t>v topical solution is a frequently used anaesthetic preparation in ENT practice. The manufacturer, Aurum Pharmaceuticals</w:t>
      </w:r>
      <w:r w:rsidRPr="002A11EE">
        <w:rPr>
          <w:vertAlign w:val="superscript"/>
        </w:rPr>
        <w:t>1</w:t>
      </w:r>
      <w:r w:rsidRPr="002A11EE">
        <w:t xml:space="preserve"> currently recommends its use as a single-use disposable pack. </w:t>
      </w:r>
    </w:p>
    <w:p w14:paraId="7EFAE5CE" w14:textId="77777777" w:rsidR="00946297" w:rsidRPr="002A11EE" w:rsidRDefault="00946297" w:rsidP="001241E1">
      <w:pPr>
        <w:spacing w:line="480" w:lineRule="auto"/>
        <w:jc w:val="both"/>
      </w:pPr>
    </w:p>
    <w:p w14:paraId="11F462BD" w14:textId="0AF8E25B" w:rsidR="0046234A" w:rsidRPr="002A11EE" w:rsidRDefault="0046234A" w:rsidP="001241E1">
      <w:pPr>
        <w:spacing w:line="480" w:lineRule="auto"/>
        <w:ind w:firstLine="215"/>
        <w:jc w:val="both"/>
      </w:pPr>
      <w:r w:rsidRPr="002A11EE">
        <w:t>In our previous paper- “</w:t>
      </w:r>
      <w:r w:rsidRPr="002A11EE">
        <w:rPr>
          <w:color w:val="000000"/>
        </w:rPr>
        <w:t>Risk of contamination of lidocaine hydrochloride and phenylephrine hydrochloride topical solution: in vivo and in vitro analyses”</w:t>
      </w:r>
      <w:r w:rsidRPr="002A11EE">
        <w:rPr>
          <w:color w:val="000000"/>
          <w:vertAlign w:val="superscript"/>
        </w:rPr>
        <w:t>2</w:t>
      </w:r>
      <w:r w:rsidRPr="002A11EE">
        <w:t>- we evaluated the potential for cross-contamination of the lidocaine hydrochloride 5 per cent w</w:t>
      </w:r>
      <w:r w:rsidRPr="002A11EE">
        <w:rPr>
          <w:rFonts w:eastAsia="Calibri"/>
        </w:rPr>
        <w:t>/</w:t>
      </w:r>
      <w:r w:rsidRPr="002A11EE">
        <w:t>v and phenylephrine hydrochloride 0.5 per cent w</w:t>
      </w:r>
      <w:r w:rsidRPr="002A11EE">
        <w:rPr>
          <w:rFonts w:eastAsia="Calibri"/>
        </w:rPr>
        <w:t>/</w:t>
      </w:r>
      <w:r w:rsidRPr="002A11EE">
        <w:t xml:space="preserve">v topical solution delivery system if used as a multidose vial in clinical practice and in laboratory settings. We demonstrated that the solution was contaminated in 2 out of 10 patients following a single use. This was further confirmed </w:t>
      </w:r>
      <w:r w:rsidR="001241E1" w:rsidRPr="002A11EE">
        <w:t xml:space="preserve">during </w:t>
      </w:r>
      <w:r w:rsidRPr="002A11EE">
        <w:t>in</w:t>
      </w:r>
      <w:r w:rsidR="001241E1" w:rsidRPr="002A11EE">
        <w:t>-</w:t>
      </w:r>
      <w:r w:rsidRPr="002A11EE">
        <w:t>vitro settings. We</w:t>
      </w:r>
      <w:r w:rsidR="006F08E3">
        <w:t>,</w:t>
      </w:r>
      <w:r w:rsidRPr="002A11EE">
        <w:t xml:space="preserve"> therefore</w:t>
      </w:r>
      <w:r w:rsidR="006F08E3">
        <w:t>,</w:t>
      </w:r>
      <w:r w:rsidRPr="002A11EE">
        <w:t xml:space="preserve"> recommended </w:t>
      </w:r>
      <w:r w:rsidR="001241E1" w:rsidRPr="002A11EE">
        <w:t>complying with</w:t>
      </w:r>
      <w:r w:rsidRPr="002A11EE">
        <w:t xml:space="preserve"> the manufacturer</w:t>
      </w:r>
      <w:r w:rsidRPr="002A11EE">
        <w:rPr>
          <w:rFonts w:eastAsia="Calibri"/>
        </w:rPr>
        <w:t>’</w:t>
      </w:r>
      <w:r w:rsidRPr="002A11EE">
        <w:t xml:space="preserve">s advice of using the solution as a single-use disposable unit. </w:t>
      </w:r>
    </w:p>
    <w:p w14:paraId="48380995" w14:textId="77777777" w:rsidR="00946297" w:rsidRPr="002A11EE" w:rsidRDefault="00946297" w:rsidP="001241E1">
      <w:pPr>
        <w:spacing w:line="480" w:lineRule="auto"/>
        <w:ind w:firstLine="215"/>
        <w:jc w:val="both"/>
      </w:pPr>
    </w:p>
    <w:p w14:paraId="677C9498" w14:textId="28D4828E" w:rsidR="0046234A" w:rsidRPr="002A11EE" w:rsidRDefault="0046234A" w:rsidP="001241E1">
      <w:pPr>
        <w:spacing w:line="480" w:lineRule="auto"/>
        <w:ind w:firstLine="215"/>
        <w:jc w:val="both"/>
        <w:rPr>
          <w:vertAlign w:val="superscript"/>
        </w:rPr>
      </w:pPr>
      <w:r w:rsidRPr="002A11EE">
        <w:t>However, empirical observation suggests that this advice is not stringently followed in clinical practice. The common practices include changing the actuator between different patients but using the same bottle and solution, or alternatively, combining the contents of two or more bottles in one single bottle and then using it as a multi-use spray, changing the actuator between patients. When challenged the common reasons cited for such practices are significant cost reduction and conflicting evidence in the medical literature regarding possible cross-contamination from the multiple use of the nasal sprays.</w:t>
      </w:r>
      <w:r w:rsidRPr="002A11EE">
        <w:rPr>
          <w:vertAlign w:val="superscript"/>
        </w:rPr>
        <w:t>3-7</w:t>
      </w:r>
    </w:p>
    <w:p w14:paraId="315D844E" w14:textId="17A7E54B" w:rsidR="0046234A" w:rsidRPr="002A11EE" w:rsidRDefault="0046234A" w:rsidP="001241E1">
      <w:pPr>
        <w:spacing w:after="266" w:line="480" w:lineRule="auto"/>
        <w:ind w:left="5" w:right="6" w:firstLine="210"/>
        <w:jc w:val="both"/>
      </w:pPr>
      <w:r w:rsidRPr="002A11EE">
        <w:lastRenderedPageBreak/>
        <w:t xml:space="preserve">We have developed a practical </w:t>
      </w:r>
      <w:r w:rsidRPr="00B11AEC">
        <w:t>ea</w:t>
      </w:r>
      <w:r w:rsidR="0083561F" w:rsidRPr="00B11AEC">
        <w:t>sy-to-</w:t>
      </w:r>
      <w:r w:rsidR="006F08E3" w:rsidRPr="00B11AEC">
        <w:t>use</w:t>
      </w:r>
      <w:r w:rsidRPr="00B11AEC">
        <w:t xml:space="preserve"> </w:t>
      </w:r>
      <w:r w:rsidRPr="002A11EE">
        <w:t>technique for application of the spray in day</w:t>
      </w:r>
      <w:r w:rsidR="001241E1" w:rsidRPr="002A11EE">
        <w:t>-</w:t>
      </w:r>
      <w:r w:rsidRPr="002A11EE">
        <w:t>to</w:t>
      </w:r>
      <w:r w:rsidR="0083561F">
        <w:t>-</w:t>
      </w:r>
      <w:r w:rsidRPr="002A11EE">
        <w:t>day practice. We kept the nozzle (actuator) pressed</w:t>
      </w:r>
      <w:r w:rsidR="001241E1" w:rsidRPr="002A11EE">
        <w:t xml:space="preserve"> down</w:t>
      </w:r>
      <w:r w:rsidRPr="002A11EE">
        <w:t xml:space="preserve"> </w:t>
      </w:r>
      <w:r w:rsidRPr="00B11AEC">
        <w:t>whil</w:t>
      </w:r>
      <w:r w:rsidR="0083561F" w:rsidRPr="00B11AEC">
        <w:t>st</w:t>
      </w:r>
      <w:r w:rsidRPr="002A11EE">
        <w:t xml:space="preserve"> withdrawing the spray from patient for at least </w:t>
      </w:r>
      <w:r w:rsidR="00C01F54" w:rsidRPr="00B11AEC">
        <w:t xml:space="preserve">30 cm </w:t>
      </w:r>
      <w:r w:rsidR="00C01F54" w:rsidRPr="002A11EE">
        <w:t>(</w:t>
      </w:r>
      <w:r w:rsidRPr="002A11EE">
        <w:t>one foot</w:t>
      </w:r>
      <w:r w:rsidR="00C01F54" w:rsidRPr="002A11EE">
        <w:t>)</w:t>
      </w:r>
      <w:r w:rsidRPr="002A11EE">
        <w:t xml:space="preserve"> before releasing the nozzle (actuator) and reapplying the spray. A thorough literature review suggests that this methodology has not been evaluated for contamination.</w:t>
      </w:r>
    </w:p>
    <w:p w14:paraId="6BA96C31" w14:textId="77777777" w:rsidR="0046234A" w:rsidRPr="002A11EE" w:rsidRDefault="0046234A" w:rsidP="001241E1">
      <w:pPr>
        <w:spacing w:after="266" w:line="480" w:lineRule="auto"/>
        <w:ind w:left="5" w:right="6" w:firstLine="210"/>
        <w:jc w:val="both"/>
      </w:pPr>
      <w:r w:rsidRPr="002A11EE">
        <w:t xml:space="preserve">The aim of this study was to determine whether the pump and contents of the bottle were contaminated following a single use in patients after modifying method of application of the spray. </w:t>
      </w:r>
    </w:p>
    <w:p w14:paraId="5DA8750E" w14:textId="77777777" w:rsidR="0046234A" w:rsidRPr="002A11EE" w:rsidRDefault="0046234A" w:rsidP="001241E1">
      <w:pPr>
        <w:jc w:val="both"/>
        <w:rPr>
          <w:b/>
          <w:bCs/>
          <w:sz w:val="28"/>
          <w:szCs w:val="28"/>
        </w:rPr>
      </w:pPr>
      <w:r w:rsidRPr="002A11EE">
        <w:br w:type="page"/>
      </w:r>
      <w:r w:rsidRPr="002A11EE">
        <w:rPr>
          <w:b/>
          <w:bCs/>
          <w:sz w:val="28"/>
          <w:szCs w:val="28"/>
        </w:rPr>
        <w:lastRenderedPageBreak/>
        <w:t>Materials and Methods</w:t>
      </w:r>
    </w:p>
    <w:p w14:paraId="229F9199" w14:textId="77777777" w:rsidR="0046234A" w:rsidRPr="002A11EE" w:rsidRDefault="0046234A" w:rsidP="001241E1">
      <w:pPr>
        <w:jc w:val="both"/>
        <w:rPr>
          <w:b/>
          <w:bCs/>
          <w:sz w:val="28"/>
          <w:szCs w:val="28"/>
        </w:rPr>
      </w:pPr>
    </w:p>
    <w:p w14:paraId="5EA1698E" w14:textId="0C3E75FE" w:rsidR="0046234A" w:rsidRPr="002A11EE" w:rsidRDefault="0046234A" w:rsidP="001241E1">
      <w:pPr>
        <w:spacing w:line="480" w:lineRule="auto"/>
        <w:ind w:left="17" w:right="6"/>
        <w:jc w:val="both"/>
      </w:pPr>
      <w:r w:rsidRPr="002A11EE">
        <w:t xml:space="preserve">This study was conducted by the ENT and microbiology departments of a tertiary referral university hospital (University Hospital Southampton NHS Foundation Trust). The study did not require ethical approval because it was a quality improvement project. </w:t>
      </w:r>
      <w:r w:rsidR="001241E1" w:rsidRPr="002A11EE">
        <w:t>As such i</w:t>
      </w:r>
      <w:r w:rsidRPr="002A11EE">
        <w:t>t was registered as an audit</w:t>
      </w:r>
      <w:r w:rsidR="00C51323">
        <w:t xml:space="preserve"> (Audit registration number 6559)</w:t>
      </w:r>
      <w:r w:rsidRPr="002A11EE">
        <w:t>.</w:t>
      </w:r>
    </w:p>
    <w:p w14:paraId="2C8E64B2" w14:textId="77777777" w:rsidR="00946297" w:rsidRPr="002A11EE" w:rsidRDefault="00946297" w:rsidP="001241E1">
      <w:pPr>
        <w:spacing w:line="480" w:lineRule="auto"/>
        <w:ind w:left="17" w:right="6"/>
        <w:jc w:val="both"/>
      </w:pPr>
    </w:p>
    <w:p w14:paraId="6A6EE8F5" w14:textId="66B13616" w:rsidR="00D511AB" w:rsidRPr="00B11AEC" w:rsidRDefault="0046234A" w:rsidP="009E73E1">
      <w:pPr>
        <w:spacing w:line="480" w:lineRule="auto"/>
        <w:jc w:val="both"/>
      </w:pPr>
      <w:r w:rsidRPr="002A11EE">
        <w:t xml:space="preserve"> The study involved </w:t>
      </w:r>
      <w:r w:rsidR="0083561F" w:rsidRPr="00B11AEC">
        <w:t xml:space="preserve">the single </w:t>
      </w:r>
      <w:r w:rsidRPr="002A11EE">
        <w:t>application of lidocaine hydrochloride 5 per cent w</w:t>
      </w:r>
      <w:r w:rsidRPr="002A11EE">
        <w:rPr>
          <w:rFonts w:eastAsia="Calibri"/>
        </w:rPr>
        <w:t>/</w:t>
      </w:r>
      <w:r w:rsidRPr="002A11EE">
        <w:t xml:space="preserve">v and phenylephrine hydrochloride 0.5 per cent w/v topical solution as a single-use spray on 22 random patients attending ENT clinic, prior to undergoing nasal pharyngolaryngoscopy, as part of their routine clinical care. </w:t>
      </w:r>
      <w:bookmarkStart w:id="7" w:name="_Hlk38487544"/>
      <w:r w:rsidR="00417D8C" w:rsidRPr="00B11AEC">
        <w:t>We believe that this sample size of 22 represent</w:t>
      </w:r>
      <w:r w:rsidR="00C01F54" w:rsidRPr="00B11AEC">
        <w:t>s</w:t>
      </w:r>
      <w:r w:rsidR="00417D8C" w:rsidRPr="00B11AEC">
        <w:t xml:space="preserve"> cohort of </w:t>
      </w:r>
      <w:r w:rsidR="00C01F54" w:rsidRPr="00B11AEC">
        <w:t xml:space="preserve">routine </w:t>
      </w:r>
      <w:r w:rsidR="00417D8C" w:rsidRPr="00B11AEC">
        <w:t xml:space="preserve">ENT outpatients. </w:t>
      </w:r>
      <w:bookmarkStart w:id="8" w:name="_Hlk38487560"/>
      <w:bookmarkEnd w:id="7"/>
      <w:r w:rsidR="00D511AB" w:rsidRPr="00B11AEC">
        <w:t xml:space="preserve">In addition, one control sample was collected to quality control the </w:t>
      </w:r>
      <w:r w:rsidR="00417D8C" w:rsidRPr="00B11AEC">
        <w:t>containers</w:t>
      </w:r>
      <w:r w:rsidR="00D511AB" w:rsidRPr="00B11AEC">
        <w:t xml:space="preserve">, </w:t>
      </w:r>
      <w:r w:rsidR="00AE192C" w:rsidRPr="00B11AEC">
        <w:t>applicators,</w:t>
      </w:r>
      <w:r w:rsidR="00D511AB" w:rsidRPr="00B11AEC">
        <w:t xml:space="preserve"> and the laboratory </w:t>
      </w:r>
      <w:r w:rsidR="00417D8C" w:rsidRPr="00B11AEC">
        <w:t>process</w:t>
      </w:r>
      <w:r w:rsidR="00D511AB" w:rsidRPr="00B11AEC">
        <w:t>.</w:t>
      </w:r>
      <w:r w:rsidR="00D511AB" w:rsidRPr="00B11AEC">
        <w:rPr>
          <w:shd w:val="clear" w:color="auto" w:fill="FFFFFF"/>
        </w:rPr>
        <w:t xml:space="preserve"> </w:t>
      </w:r>
      <w:r w:rsidR="00D511AB" w:rsidRPr="00B11AEC">
        <w:t>Thus, in total</w:t>
      </w:r>
      <w:r w:rsidR="00417D8C" w:rsidRPr="00B11AEC">
        <w:t>,</w:t>
      </w:r>
      <w:r w:rsidR="00D511AB" w:rsidRPr="00B11AEC">
        <w:t xml:space="preserve"> 23 samples were analysed</w:t>
      </w:r>
      <w:bookmarkEnd w:id="8"/>
      <w:r w:rsidR="00D511AB" w:rsidRPr="00B11AEC">
        <w:t>.</w:t>
      </w:r>
    </w:p>
    <w:p w14:paraId="193AD351" w14:textId="77777777" w:rsidR="00417D8C" w:rsidRPr="002A11EE" w:rsidRDefault="00417D8C" w:rsidP="00D511AB">
      <w:pPr>
        <w:spacing w:line="480" w:lineRule="auto"/>
      </w:pPr>
    </w:p>
    <w:p w14:paraId="715B57A8" w14:textId="421BD48C" w:rsidR="0046234A" w:rsidRPr="002A11EE" w:rsidRDefault="0046234A" w:rsidP="001241E1">
      <w:pPr>
        <w:spacing w:line="480" w:lineRule="auto"/>
        <w:ind w:left="17" w:right="6"/>
        <w:jc w:val="both"/>
      </w:pPr>
      <w:r w:rsidRPr="002A11EE">
        <w:t>Aseptic precautions were taken to reduce any contamination whilst handling the bottle and nozzle (actuator). The manufacturer’s recommendations</w:t>
      </w:r>
      <w:r w:rsidRPr="002A11EE">
        <w:rPr>
          <w:vertAlign w:val="superscript"/>
        </w:rPr>
        <w:t>1</w:t>
      </w:r>
      <w:r w:rsidRPr="002A11EE">
        <w:t xml:space="preserve"> were followed in assembling the pump spray. Immediately before use, the screw cap and rubber stopper were removed from the bottle. The pump was screwed onto the bottle. The nozzle (actuator) was pushed onto the top of the pump. The pump was primed by pressing down on the pump-nozzle (pump-actuator) three times before use. The solution was sprayed </w:t>
      </w:r>
      <w:r w:rsidR="00B36514" w:rsidRPr="00B11AEC">
        <w:t>once</w:t>
      </w:r>
      <w:r w:rsidR="00B36514" w:rsidRPr="00B36514">
        <w:rPr>
          <w:color w:val="00B0F0"/>
        </w:rPr>
        <w:t xml:space="preserve"> </w:t>
      </w:r>
      <w:r w:rsidRPr="002A11EE">
        <w:t xml:space="preserve">in </w:t>
      </w:r>
      <w:r w:rsidR="00B36514">
        <w:t xml:space="preserve">the </w:t>
      </w:r>
      <w:r w:rsidRPr="002A11EE">
        <w:t xml:space="preserve">patient’s nose or nose and </w:t>
      </w:r>
      <w:r w:rsidR="009D7688" w:rsidRPr="00B11AEC">
        <w:t>then</w:t>
      </w:r>
      <w:r w:rsidR="009D7688" w:rsidRPr="009D7688">
        <w:rPr>
          <w:color w:val="00B0F0"/>
        </w:rPr>
        <w:t xml:space="preserve"> </w:t>
      </w:r>
      <w:r w:rsidRPr="002A11EE">
        <w:t xml:space="preserve">throat. </w:t>
      </w:r>
      <w:bookmarkStart w:id="9" w:name="_Hlk38485734"/>
      <w:r w:rsidRPr="002A11EE">
        <w:t xml:space="preserve">The pump spray was withdrawn from the patient with the nozzle (actuator) </w:t>
      </w:r>
      <w:r w:rsidRPr="00B11AEC">
        <w:t>pressed down</w:t>
      </w:r>
      <w:r w:rsidR="009D7688" w:rsidRPr="00B11AEC">
        <w:t xml:space="preserve"> </w:t>
      </w:r>
      <w:r w:rsidR="009D7688">
        <w:t>to avoid the suck-back Venturi</w:t>
      </w:r>
      <w:r w:rsidRPr="002A11EE">
        <w:t xml:space="preserve"> effect. </w:t>
      </w:r>
      <w:r w:rsidR="009D7688" w:rsidRPr="00B11AEC">
        <w:t>The nozzle</w:t>
      </w:r>
      <w:r w:rsidRPr="00B11AEC">
        <w:t xml:space="preserve"> was released </w:t>
      </w:r>
      <w:r w:rsidRPr="002A11EE">
        <w:t xml:space="preserve">at least </w:t>
      </w:r>
      <w:r w:rsidR="008B46FA" w:rsidRPr="002A11EE">
        <w:t xml:space="preserve">30 cm </w:t>
      </w:r>
      <w:r w:rsidRPr="002A11EE">
        <w:t>(approximately</w:t>
      </w:r>
      <w:r w:rsidR="008B46FA" w:rsidRPr="002A11EE">
        <w:t xml:space="preserve"> one foot</w:t>
      </w:r>
      <w:r w:rsidRPr="002A11EE">
        <w:t xml:space="preserve">) away from the patient. The pump spray was </w:t>
      </w:r>
      <w:r w:rsidRPr="00B11AEC">
        <w:t>reapplied</w:t>
      </w:r>
      <w:r w:rsidRPr="002A11EE">
        <w:t xml:space="preserve"> in above manner if necessary. </w:t>
      </w:r>
      <w:bookmarkStart w:id="10" w:name="_Hlk38484571"/>
      <w:bookmarkEnd w:id="9"/>
      <w:r w:rsidR="00222B01" w:rsidRPr="00B11AEC">
        <w:t>In this manner, o</w:t>
      </w:r>
      <w:r w:rsidR="001E2559" w:rsidRPr="00B11AEC">
        <w:t xml:space="preserve">ne or two doses of spray per nostril or throat were </w:t>
      </w:r>
      <w:r w:rsidR="001E2559" w:rsidRPr="00B11AEC">
        <w:lastRenderedPageBreak/>
        <w:t>squirted</w:t>
      </w:r>
      <w:r w:rsidR="009E73E1" w:rsidRPr="00B11AEC">
        <w:t>,</w:t>
      </w:r>
      <w:r w:rsidR="001E2559" w:rsidRPr="00B11AEC">
        <w:t xml:space="preserve"> keeping the total dose well below maximal permissible </w:t>
      </w:r>
      <w:r w:rsidR="00CA43E3" w:rsidRPr="00B11AEC">
        <w:t xml:space="preserve">dose of </w:t>
      </w:r>
      <w:r w:rsidR="001E2559" w:rsidRPr="00B11AEC">
        <w:t>8 sprays in total</w:t>
      </w:r>
      <w:r w:rsidR="00CA43E3" w:rsidRPr="00B11AEC">
        <w:t>,</w:t>
      </w:r>
      <w:r w:rsidR="001E2559" w:rsidRPr="00B11AEC">
        <w:t xml:space="preserve"> in adults, and children over 12 years</w:t>
      </w:r>
      <w:r w:rsidR="001E2559" w:rsidRPr="00B11AEC">
        <w:rPr>
          <w:vertAlign w:val="superscript"/>
        </w:rPr>
        <w:t>1</w:t>
      </w:r>
      <w:bookmarkEnd w:id="10"/>
      <w:r w:rsidR="001E2559" w:rsidRPr="00B11AEC">
        <w:rPr>
          <w:vertAlign w:val="superscript"/>
        </w:rPr>
        <w:t xml:space="preserve"> </w:t>
      </w:r>
      <w:r w:rsidR="001E2559" w:rsidRPr="00B11AEC">
        <w:t xml:space="preserve">. </w:t>
      </w:r>
      <w:r w:rsidRPr="002A11EE">
        <w:t>The pump spray assembly (</w:t>
      </w:r>
      <w:r w:rsidR="00730405" w:rsidRPr="002A11EE">
        <w:t>i.e.,</w:t>
      </w:r>
      <w:r w:rsidRPr="002A11EE">
        <w:t xml:space="preserve"> the nozzle/actuator, the </w:t>
      </w:r>
      <w:r w:rsidR="00946297" w:rsidRPr="002A11EE">
        <w:t>pump,</w:t>
      </w:r>
      <w:r w:rsidRPr="002A11EE">
        <w:t xml:space="preserve"> and the bottle with the remaining solution) was transferred to the microbiology laboratory for bacteriological analysis. </w:t>
      </w:r>
    </w:p>
    <w:p w14:paraId="0C682AE7" w14:textId="77777777" w:rsidR="00946297" w:rsidRPr="002A11EE" w:rsidRDefault="00946297" w:rsidP="001241E1">
      <w:pPr>
        <w:spacing w:line="480" w:lineRule="auto"/>
        <w:ind w:left="17" w:right="6"/>
        <w:jc w:val="both"/>
      </w:pPr>
    </w:p>
    <w:p w14:paraId="583EB786" w14:textId="6C2DE46D" w:rsidR="0046234A" w:rsidRPr="002A11EE" w:rsidRDefault="0046234A" w:rsidP="001241E1">
      <w:pPr>
        <w:spacing w:line="480" w:lineRule="auto"/>
        <w:ind w:left="17" w:right="6"/>
        <w:jc w:val="both"/>
      </w:pPr>
      <w:r w:rsidRPr="002A11EE">
        <w:t xml:space="preserve"> </w:t>
      </w:r>
      <w:r w:rsidRPr="002A11EE">
        <w:rPr>
          <w:color w:val="FF0000"/>
        </w:rPr>
        <w:t xml:space="preserve"> </w:t>
      </w:r>
      <w:r w:rsidR="00CA43E3" w:rsidRPr="00B11AEC">
        <w:t>T</w:t>
      </w:r>
      <w:r w:rsidRPr="00B11AEC">
        <w:t xml:space="preserve">wenty-two samples and a negative control </w:t>
      </w:r>
      <w:r w:rsidRPr="002A11EE">
        <w:t>(lidocaine hydrochloride 5 per cent w</w:t>
      </w:r>
      <w:r w:rsidRPr="002A11EE">
        <w:rPr>
          <w:rFonts w:eastAsia="Calibri"/>
        </w:rPr>
        <w:t>/</w:t>
      </w:r>
      <w:r w:rsidRPr="002A11EE">
        <w:t>v and phenylephrine hydrochloride 0.5 per cent w/v topical solution in its sealed container)</w:t>
      </w:r>
      <w:r w:rsidR="00CA43E3" w:rsidRPr="002A11EE">
        <w:t xml:space="preserve">, </w:t>
      </w:r>
      <w:r w:rsidR="00F56070" w:rsidRPr="00B11AEC">
        <w:t>[</w:t>
      </w:r>
      <w:r w:rsidR="00CA43E3" w:rsidRPr="00B11AEC">
        <w:t xml:space="preserve">total </w:t>
      </w:r>
      <w:r w:rsidR="009D7688" w:rsidRPr="00B11AEC">
        <w:t xml:space="preserve">of </w:t>
      </w:r>
      <w:r w:rsidR="00CA43E3" w:rsidRPr="00B11AEC">
        <w:t>23 samples</w:t>
      </w:r>
      <w:r w:rsidR="00F56070" w:rsidRPr="00B11AEC">
        <w:t>]</w:t>
      </w:r>
      <w:r w:rsidR="00CA43E3" w:rsidRPr="00B11AEC">
        <w:t>,</w:t>
      </w:r>
      <w:r w:rsidRPr="002A11EE">
        <w:t xml:space="preserve"> were collected and delivered to the microbiology department at University </w:t>
      </w:r>
      <w:r w:rsidR="00A82340" w:rsidRPr="002A11EE">
        <w:t xml:space="preserve">of </w:t>
      </w:r>
      <w:r w:rsidRPr="002A11EE">
        <w:t xml:space="preserve">Southampton </w:t>
      </w:r>
      <w:r w:rsidR="00A82340" w:rsidRPr="002A11EE">
        <w:t xml:space="preserve">NHS </w:t>
      </w:r>
      <w:r w:rsidRPr="002A11EE">
        <w:t>Hospital Foundation Trust</w:t>
      </w:r>
      <w:r w:rsidR="00946297" w:rsidRPr="002A11EE">
        <w:t xml:space="preserve">. </w:t>
      </w:r>
    </w:p>
    <w:p w14:paraId="7D81CB53" w14:textId="77777777" w:rsidR="00946297" w:rsidRPr="002A11EE" w:rsidRDefault="00946297" w:rsidP="001241E1">
      <w:pPr>
        <w:spacing w:line="480" w:lineRule="auto"/>
        <w:ind w:left="17" w:right="6"/>
        <w:jc w:val="both"/>
      </w:pPr>
    </w:p>
    <w:p w14:paraId="7913744E" w14:textId="77777777" w:rsidR="0046234A" w:rsidRPr="002A11EE" w:rsidRDefault="0046234A" w:rsidP="001241E1">
      <w:pPr>
        <w:spacing w:line="480" w:lineRule="auto"/>
        <w:ind w:left="17" w:right="6"/>
        <w:jc w:val="both"/>
      </w:pPr>
      <w:r w:rsidRPr="002A11EE">
        <w:t xml:space="preserve">Each sample was divided into three parts: A – nozzle (actuator), B – pump content, C – bottle content. Samples were treated as sterile and processed using aseptic techniques in Class II biosafety cabinet (the air circulates upwards and is filtered out by HEPA filters in order to protect the sample from outside contamination). The nozzle (actuator) was cut off with sterile scissors, placed into FAB (Fastidious Anaerobe Broth) to extract possible bacterial growth and vortexed in order to distribute it evenly throughout the broth. Three drops of FAB broth, two drops of lidocaine from the pump (solution was collected by blocking and pressing the top of the dispenser pump and collecting the lidocaine hydrochloride in a sterile universal container) and three drops of bottle content were inoculated on corresponding set of plates. All samples were inoculated on CHOC (Columbia agar with chocolate horse blood), CBA (Columbia agar with horse blood) and CLED (Cystine-lactose-electrolyte-deficient agar with andrades indicator) agar plates. All growth was examined and identified using Matrix-assisted </w:t>
      </w:r>
      <w:r w:rsidRPr="002A11EE">
        <w:lastRenderedPageBreak/>
        <w:t>laser desorption/ionization mass spectrometer by biomedical scientist and interpreted by a consultant microbiologist.</w:t>
      </w:r>
    </w:p>
    <w:p w14:paraId="15D027B5" w14:textId="17CF0F0C" w:rsidR="0046234A" w:rsidRPr="002A11EE" w:rsidRDefault="001241E1" w:rsidP="001241E1">
      <w:pPr>
        <w:jc w:val="both"/>
        <w:rPr>
          <w:b/>
          <w:bCs/>
          <w:sz w:val="28"/>
          <w:szCs w:val="28"/>
        </w:rPr>
      </w:pPr>
      <w:r w:rsidRPr="002A11EE">
        <w:br w:type="page"/>
      </w:r>
      <w:r w:rsidR="0046234A" w:rsidRPr="002A11EE">
        <w:rPr>
          <w:b/>
          <w:bCs/>
          <w:sz w:val="28"/>
          <w:szCs w:val="28"/>
        </w:rPr>
        <w:lastRenderedPageBreak/>
        <w:t>Results</w:t>
      </w:r>
    </w:p>
    <w:p w14:paraId="7D80FDB2" w14:textId="77777777" w:rsidR="001241E1" w:rsidRPr="002A11EE" w:rsidRDefault="001241E1" w:rsidP="001241E1">
      <w:pPr>
        <w:jc w:val="both"/>
        <w:rPr>
          <w:b/>
          <w:bCs/>
          <w:sz w:val="28"/>
          <w:szCs w:val="28"/>
        </w:rPr>
      </w:pPr>
    </w:p>
    <w:p w14:paraId="68FAED1D" w14:textId="6895164D" w:rsidR="0046234A" w:rsidRPr="002A11EE" w:rsidRDefault="0046234A" w:rsidP="001241E1">
      <w:pPr>
        <w:spacing w:line="480" w:lineRule="auto"/>
        <w:jc w:val="both"/>
      </w:pPr>
      <w:r w:rsidRPr="002A11EE">
        <w:t xml:space="preserve">The results are tabulated in table I. </w:t>
      </w:r>
    </w:p>
    <w:p w14:paraId="3A8565A2" w14:textId="77777777" w:rsidR="00A82340" w:rsidRPr="002A11EE" w:rsidRDefault="00A82340" w:rsidP="001241E1">
      <w:pPr>
        <w:spacing w:line="480" w:lineRule="auto"/>
        <w:jc w:val="both"/>
      </w:pPr>
    </w:p>
    <w:p w14:paraId="48876A6B" w14:textId="56E61293" w:rsidR="00D511AB" w:rsidRPr="00B11AEC" w:rsidRDefault="0046234A" w:rsidP="00D511AB">
      <w:pPr>
        <w:spacing w:after="349" w:line="480" w:lineRule="auto"/>
        <w:ind w:left="17" w:right="6"/>
        <w:jc w:val="both"/>
      </w:pPr>
      <w:r w:rsidRPr="002A11EE">
        <w:t xml:space="preserve">The control sample did not demonstrate any growth in nozzle (actuator), pump or bottle. Twelve nozzles </w:t>
      </w:r>
      <w:bookmarkStart w:id="11" w:name="_Hlk38489390"/>
      <w:r w:rsidRPr="002A11EE">
        <w:t xml:space="preserve">(actuators) </w:t>
      </w:r>
      <w:bookmarkEnd w:id="11"/>
      <w:r w:rsidRPr="002A11EE">
        <w:t xml:space="preserve">have shown bacterial </w:t>
      </w:r>
      <w:r w:rsidR="00730405" w:rsidRPr="002A11EE">
        <w:t>growth,</w:t>
      </w:r>
      <w:r w:rsidRPr="002A11EE">
        <w:t xml:space="preserve"> but these bacteria are part of normal nasal flora. There was no growth from any of 22 pump samples from patients but three samples from contents of bottles from patients had bacterial growth; two had Staphylococcus hominis and one grew Rothia mucilaginosa. </w:t>
      </w:r>
      <w:bookmarkStart w:id="12" w:name="_Hlk38486494"/>
      <w:r w:rsidR="00D511AB" w:rsidRPr="00B11AEC">
        <w:rPr>
          <w:shd w:val="clear" w:color="auto" w:fill="FFFFFF"/>
        </w:rPr>
        <w:t xml:space="preserve">The bottle contaminants varied from </w:t>
      </w:r>
      <w:r w:rsidR="008D3640" w:rsidRPr="00B11AEC">
        <w:rPr>
          <w:shd w:val="clear" w:color="auto" w:fill="FFFFFF"/>
        </w:rPr>
        <w:t xml:space="preserve">the </w:t>
      </w:r>
      <w:r w:rsidR="00D511AB" w:rsidRPr="00B11AEC">
        <w:rPr>
          <w:shd w:val="clear" w:color="auto" w:fill="FFFFFF"/>
        </w:rPr>
        <w:t>nozzle</w:t>
      </w:r>
      <w:r w:rsidR="008D3640" w:rsidRPr="00B11AEC">
        <w:rPr>
          <w:shd w:val="clear" w:color="auto" w:fill="FFFFFF"/>
        </w:rPr>
        <w:t>s</w:t>
      </w:r>
      <w:r w:rsidR="00D511AB" w:rsidRPr="00B11AEC">
        <w:rPr>
          <w:shd w:val="clear" w:color="auto" w:fill="FFFFFF"/>
        </w:rPr>
        <w:t xml:space="preserve"> </w:t>
      </w:r>
      <w:r w:rsidR="008D3640" w:rsidRPr="00B11AEC">
        <w:t xml:space="preserve">(actuators) </w:t>
      </w:r>
      <w:r w:rsidR="00D511AB" w:rsidRPr="00B11AEC">
        <w:rPr>
          <w:shd w:val="clear" w:color="auto" w:fill="FFFFFF"/>
        </w:rPr>
        <w:t>in each positive contaminant case.</w:t>
      </w:r>
    </w:p>
    <w:bookmarkEnd w:id="12"/>
    <w:p w14:paraId="2873EB83" w14:textId="37A10AA1" w:rsidR="0046234A" w:rsidRPr="002A11EE" w:rsidRDefault="0046234A" w:rsidP="009D7688">
      <w:pPr>
        <w:jc w:val="both"/>
        <w:rPr>
          <w:b/>
          <w:bCs/>
          <w:sz w:val="28"/>
          <w:szCs w:val="28"/>
        </w:rPr>
      </w:pPr>
      <w:r w:rsidRPr="002A11EE">
        <w:br w:type="page"/>
      </w:r>
      <w:r w:rsidRPr="002A11EE">
        <w:rPr>
          <w:b/>
          <w:bCs/>
          <w:sz w:val="28"/>
          <w:szCs w:val="28"/>
        </w:rPr>
        <w:lastRenderedPageBreak/>
        <w:t>Discussion</w:t>
      </w:r>
    </w:p>
    <w:p w14:paraId="10D4A7D8" w14:textId="77777777" w:rsidR="00B36514" w:rsidRDefault="00B36514" w:rsidP="001241E1">
      <w:pPr>
        <w:spacing w:line="480" w:lineRule="auto"/>
        <w:ind w:left="17" w:right="6"/>
        <w:jc w:val="both"/>
      </w:pPr>
    </w:p>
    <w:p w14:paraId="021ED94F" w14:textId="6FB51432" w:rsidR="0046234A" w:rsidRPr="002A11EE" w:rsidRDefault="0046234A" w:rsidP="001241E1">
      <w:pPr>
        <w:spacing w:line="480" w:lineRule="auto"/>
        <w:ind w:left="17" w:right="6"/>
        <w:jc w:val="both"/>
      </w:pPr>
      <w:r w:rsidRPr="002A11EE">
        <w:t>This study demonstrates that by modifying technique of application of the spray contamination of the pump and remaining solution in the bottle can be avoided.</w:t>
      </w:r>
    </w:p>
    <w:p w14:paraId="16AF1FAF" w14:textId="77777777" w:rsidR="0095552B" w:rsidRPr="002A11EE" w:rsidRDefault="0095552B" w:rsidP="001241E1">
      <w:pPr>
        <w:spacing w:line="480" w:lineRule="auto"/>
        <w:ind w:left="17" w:right="6"/>
        <w:jc w:val="both"/>
      </w:pPr>
    </w:p>
    <w:p w14:paraId="74836192" w14:textId="7762229D" w:rsidR="0046234A" w:rsidRPr="002A11EE" w:rsidRDefault="0046234A" w:rsidP="001241E1">
      <w:pPr>
        <w:spacing w:line="480" w:lineRule="auto"/>
        <w:ind w:left="17" w:right="6"/>
        <w:jc w:val="both"/>
      </w:pPr>
      <w:r w:rsidRPr="002A11EE">
        <w:t>In this study, three samples from contents of bottles had bacterial growth, two had Staphylococcus hominis and one grew Rothia mucilaginosa. These bacteria are likely to be contaminants as they do not match isolates from their respective nozzles (actuators), and, secondly, retrieving fluid from the pump bottle assembly and applying on culture is a challenging process which, we believe, may have led to contamination.</w:t>
      </w:r>
    </w:p>
    <w:p w14:paraId="0AD6DDCB" w14:textId="77777777" w:rsidR="00946297" w:rsidRPr="002A11EE" w:rsidRDefault="00946297" w:rsidP="001241E1">
      <w:pPr>
        <w:spacing w:line="480" w:lineRule="auto"/>
        <w:ind w:left="17" w:right="6"/>
        <w:jc w:val="both"/>
      </w:pPr>
    </w:p>
    <w:p w14:paraId="6F430EE1" w14:textId="700778DA" w:rsidR="0046234A" w:rsidRPr="002A11EE" w:rsidRDefault="0046234A" w:rsidP="001241E1">
      <w:pPr>
        <w:spacing w:line="480" w:lineRule="auto"/>
        <w:ind w:left="17" w:right="6"/>
        <w:jc w:val="both"/>
      </w:pPr>
      <w:r w:rsidRPr="002A11EE">
        <w:t xml:space="preserve">Furthermore, this study showed that, twelve nozzles (actuators) had grown bacteria. Though these bacteria are part of normal nasal flora we advise change of nozzles between patients if the spray were to be used on more than one patient. </w:t>
      </w:r>
    </w:p>
    <w:p w14:paraId="69B447AB" w14:textId="77777777" w:rsidR="00946297" w:rsidRPr="002A11EE" w:rsidRDefault="00946297" w:rsidP="001241E1">
      <w:pPr>
        <w:spacing w:line="480" w:lineRule="auto"/>
        <w:ind w:left="17" w:right="6"/>
        <w:jc w:val="both"/>
      </w:pPr>
    </w:p>
    <w:p w14:paraId="7A9ED3C8" w14:textId="24623C85" w:rsidR="0046234A" w:rsidRPr="002A11EE" w:rsidRDefault="0046234A" w:rsidP="001241E1">
      <w:pPr>
        <w:spacing w:line="480" w:lineRule="auto"/>
        <w:ind w:left="17" w:right="6"/>
        <w:jc w:val="both"/>
      </w:pPr>
      <w:r w:rsidRPr="002A11EE">
        <w:t xml:space="preserve">The modification in application technique of the spray may have avoided the </w:t>
      </w:r>
      <w:r w:rsidR="009D7688">
        <w:t>suck-</w:t>
      </w:r>
      <w:r w:rsidRPr="002A11EE">
        <w:t xml:space="preserve">back </w:t>
      </w:r>
      <w:r w:rsidR="009D7688">
        <w:t xml:space="preserve">Venturi </w:t>
      </w:r>
      <w:r w:rsidRPr="002A11EE">
        <w:t>effect. However, it is user dependent, but this study has shown that by a simple modification in application technique there is a possibility that the lidocaine hydrochloride 5 per cent w</w:t>
      </w:r>
      <w:r w:rsidRPr="002A11EE">
        <w:rPr>
          <w:rFonts w:eastAsia="Calibri"/>
        </w:rPr>
        <w:t>/</w:t>
      </w:r>
      <w:r w:rsidRPr="002A11EE">
        <w:t xml:space="preserve">v and phenylephrine hydrochloride 0.5 per cent </w:t>
      </w:r>
      <w:r w:rsidR="0095552B" w:rsidRPr="002A11EE">
        <w:t xml:space="preserve">w/v </w:t>
      </w:r>
      <w:r w:rsidRPr="002A11EE">
        <w:t>topical solution can be used on more than one patient without risk of spreading infection.</w:t>
      </w:r>
    </w:p>
    <w:p w14:paraId="3EE759BA" w14:textId="77777777" w:rsidR="00946297" w:rsidRPr="002A11EE" w:rsidRDefault="00946297" w:rsidP="001241E1">
      <w:pPr>
        <w:spacing w:line="480" w:lineRule="auto"/>
        <w:ind w:left="17" w:right="6"/>
        <w:jc w:val="both"/>
      </w:pPr>
    </w:p>
    <w:p w14:paraId="3A2F9E36" w14:textId="4A13C262" w:rsidR="0046234A" w:rsidRPr="002A11EE" w:rsidRDefault="0046234A" w:rsidP="001241E1">
      <w:pPr>
        <w:spacing w:after="228" w:line="480" w:lineRule="auto"/>
        <w:ind w:left="15" w:right="6"/>
        <w:jc w:val="both"/>
      </w:pPr>
      <w:r w:rsidRPr="002A11EE">
        <w:t>Current clinical evidence questions the routine use of topical anaesthetic spray in flexible laryngoscopy.</w:t>
      </w:r>
      <w:r w:rsidRPr="002A11EE">
        <w:rPr>
          <w:vertAlign w:val="superscript"/>
        </w:rPr>
        <w:t>8</w:t>
      </w:r>
      <w:r w:rsidRPr="002A11EE">
        <w:rPr>
          <w:color w:val="0000FF"/>
          <w:vertAlign w:val="superscript"/>
        </w:rPr>
        <w:t xml:space="preserve"> </w:t>
      </w:r>
      <w:r w:rsidRPr="002A11EE">
        <w:t xml:space="preserve">However, it is often required when rigid nasal endoscopy or flexible nasal </w:t>
      </w:r>
      <w:r w:rsidRPr="002A11EE">
        <w:lastRenderedPageBreak/>
        <w:t xml:space="preserve">pharyngolaryngoscopy is used for minor interventions in out-patient settings or when the patient </w:t>
      </w:r>
      <w:r w:rsidR="009D7688">
        <w:t>has a preference</w:t>
      </w:r>
      <w:r w:rsidRPr="002A11EE">
        <w:rPr>
          <w:vertAlign w:val="superscript"/>
        </w:rPr>
        <w:t>2</w:t>
      </w:r>
      <w:r w:rsidRPr="002A11EE">
        <w:t xml:space="preserve">. </w:t>
      </w:r>
    </w:p>
    <w:p w14:paraId="1D2D5302" w14:textId="77777777" w:rsidR="00946297" w:rsidRPr="002A11EE" w:rsidRDefault="00946297" w:rsidP="001241E1">
      <w:pPr>
        <w:spacing w:after="228" w:line="480" w:lineRule="auto"/>
        <w:ind w:left="15" w:right="6"/>
        <w:jc w:val="both"/>
      </w:pPr>
    </w:p>
    <w:p w14:paraId="4FD54F83" w14:textId="6ED62819" w:rsidR="0046234A" w:rsidRPr="002A11EE" w:rsidRDefault="0046234A" w:rsidP="001241E1">
      <w:pPr>
        <w:spacing w:after="228" w:line="480" w:lineRule="auto"/>
        <w:ind w:left="15" w:right="6"/>
        <w:jc w:val="both"/>
      </w:pPr>
      <w:r w:rsidRPr="002A11EE">
        <w:t>Thus, the lidocaine hydrochloride 5 per cent w</w:t>
      </w:r>
      <w:r w:rsidRPr="002A11EE">
        <w:rPr>
          <w:rFonts w:eastAsia="Calibri"/>
        </w:rPr>
        <w:t>/</w:t>
      </w:r>
      <w:r w:rsidRPr="002A11EE">
        <w:t>v and phenylephrine hydrochloride 0.5 per cent w</w:t>
      </w:r>
      <w:r w:rsidRPr="002A11EE">
        <w:rPr>
          <w:rFonts w:eastAsia="Calibri"/>
        </w:rPr>
        <w:t>/</w:t>
      </w:r>
      <w:r w:rsidRPr="002A11EE">
        <w:t>v topical solution makes up a substantial part of any otolaryngology department’s pharmaceutical budget</w:t>
      </w:r>
      <w:r w:rsidRPr="002A11EE">
        <w:rPr>
          <w:vertAlign w:val="superscript"/>
        </w:rPr>
        <w:t>2</w:t>
      </w:r>
      <w:r w:rsidRPr="002A11EE">
        <w:t xml:space="preserve">. </w:t>
      </w:r>
    </w:p>
    <w:p w14:paraId="28CD4603" w14:textId="77777777" w:rsidR="00946297" w:rsidRPr="002A11EE" w:rsidRDefault="00946297" w:rsidP="001241E1">
      <w:pPr>
        <w:spacing w:after="228" w:line="480" w:lineRule="auto"/>
        <w:ind w:left="15" w:right="6"/>
        <w:jc w:val="both"/>
      </w:pPr>
    </w:p>
    <w:p w14:paraId="455842E2" w14:textId="6603AF8A" w:rsidR="0046234A" w:rsidRPr="002A11EE" w:rsidRDefault="0046234A" w:rsidP="001241E1">
      <w:pPr>
        <w:spacing w:after="228" w:line="480" w:lineRule="auto"/>
        <w:ind w:left="15" w:right="6"/>
        <w:jc w:val="both"/>
      </w:pPr>
      <w:r w:rsidRPr="002A11EE">
        <w:t>Therefore, these findings have a potential to make savings which could be quite considerable over time.</w:t>
      </w:r>
    </w:p>
    <w:p w14:paraId="367221CB" w14:textId="77777777" w:rsidR="00946297" w:rsidRPr="002A11EE" w:rsidRDefault="00946297" w:rsidP="001241E1">
      <w:pPr>
        <w:spacing w:after="228" w:line="480" w:lineRule="auto"/>
        <w:ind w:left="15" w:right="6"/>
        <w:jc w:val="both"/>
      </w:pPr>
    </w:p>
    <w:p w14:paraId="660AC053" w14:textId="67B885B1" w:rsidR="0046234A" w:rsidRPr="002A11EE" w:rsidRDefault="0046234A" w:rsidP="001241E1">
      <w:pPr>
        <w:spacing w:line="480" w:lineRule="auto"/>
        <w:jc w:val="both"/>
        <w:rPr>
          <w:vertAlign w:val="superscript"/>
        </w:rPr>
      </w:pPr>
      <w:r w:rsidRPr="002A11EE">
        <w:t xml:space="preserve">The Venturi principle atomisers and positive displacement pumps have </w:t>
      </w:r>
      <w:r w:rsidR="009D7688">
        <w:t>a long history of usage</w:t>
      </w:r>
      <w:r w:rsidRPr="002A11EE">
        <w:t xml:space="preserve"> to deliver </w:t>
      </w:r>
      <w:r w:rsidR="009D7688">
        <w:t>ENT medication</w:t>
      </w:r>
      <w:r w:rsidRPr="002A11EE">
        <w:t xml:space="preserve">. It should be realised that the Venturi effect may theoretically also occur on release of the pump through a suction effect. This is supported by many studies which have also have demonstrated the potential for contamination of the venturi principle atomisers delivery systems due to the ‘suck-back’ </w:t>
      </w:r>
      <w:r w:rsidR="009D7688">
        <w:t xml:space="preserve">Venturi </w:t>
      </w:r>
      <w:r w:rsidRPr="002A11EE">
        <w:t>effect.</w:t>
      </w:r>
      <w:r w:rsidRPr="002A11EE">
        <w:rPr>
          <w:vertAlign w:val="superscript"/>
        </w:rPr>
        <w:t>6,7,9</w:t>
      </w:r>
      <w:r w:rsidRPr="002A11EE">
        <w:rPr>
          <w:color w:val="0000FF"/>
          <w:vertAlign w:val="superscript"/>
        </w:rPr>
        <w:t xml:space="preserve"> </w:t>
      </w:r>
      <w:r w:rsidRPr="002A11EE">
        <w:t>This has led to the development of positive displacement atomisers to deliver drugs into the nasal cavity.</w:t>
      </w:r>
      <w:r w:rsidRPr="002A11EE">
        <w:rPr>
          <w:vertAlign w:val="superscript"/>
        </w:rPr>
        <w:t>3,7</w:t>
      </w:r>
      <w:r w:rsidRPr="002A11EE">
        <w:rPr>
          <w:color w:val="0000FF"/>
          <w:vertAlign w:val="superscript"/>
        </w:rPr>
        <w:t xml:space="preserve">  </w:t>
      </w:r>
      <w:r w:rsidRPr="002A11EE">
        <w:t>Wolfe et al. compared the risk of contamination between Venturi type devices and positive displacement pumps, and found that positive displacement atomisers never became internally contaminated.</w:t>
      </w:r>
      <w:r w:rsidRPr="002A11EE">
        <w:rPr>
          <w:vertAlign w:val="superscript"/>
        </w:rPr>
        <w:t>7</w:t>
      </w:r>
      <w:r w:rsidRPr="002A11EE">
        <w:rPr>
          <w:color w:val="0000FF"/>
          <w:vertAlign w:val="superscript"/>
        </w:rPr>
        <w:t xml:space="preserve"> </w:t>
      </w:r>
      <w:r w:rsidRPr="002A11EE">
        <w:t xml:space="preserve">In addition, Rashid and Karagama found no evidence of </w:t>
      </w:r>
      <w:r w:rsidRPr="002A11EE">
        <w:lastRenderedPageBreak/>
        <w:t>contamination with a multi-use xylocaine spray using spectrophotometer and culture analysis.</w:t>
      </w:r>
      <w:r w:rsidRPr="002A11EE">
        <w:rPr>
          <w:vertAlign w:val="superscript"/>
        </w:rPr>
        <w:t>10</w:t>
      </w:r>
    </w:p>
    <w:p w14:paraId="0324336F" w14:textId="77777777" w:rsidR="00946297" w:rsidRPr="002A11EE" w:rsidRDefault="00946297" w:rsidP="001241E1">
      <w:pPr>
        <w:spacing w:line="480" w:lineRule="auto"/>
        <w:jc w:val="both"/>
        <w:rPr>
          <w:color w:val="0000FF"/>
          <w:vertAlign w:val="superscript"/>
        </w:rPr>
      </w:pPr>
    </w:p>
    <w:p w14:paraId="45812364" w14:textId="1626F670" w:rsidR="0046234A" w:rsidRPr="002A11EE" w:rsidRDefault="0046234A" w:rsidP="001241E1">
      <w:pPr>
        <w:spacing w:line="480" w:lineRule="auto"/>
        <w:ind w:left="5" w:right="6" w:firstLine="210"/>
        <w:jc w:val="both"/>
      </w:pPr>
      <w:r w:rsidRPr="002A11EE">
        <w:t>This is contrary to the findings of our previous study</w:t>
      </w:r>
      <w:r w:rsidRPr="002A11EE">
        <w:rPr>
          <w:vertAlign w:val="superscript"/>
        </w:rPr>
        <w:t xml:space="preserve">2 </w:t>
      </w:r>
      <w:r w:rsidRPr="002A11EE">
        <w:t>where it was demonstrated that the lidocaine hydrochloride 5 per cent w</w:t>
      </w:r>
      <w:r w:rsidRPr="002A11EE">
        <w:rPr>
          <w:rFonts w:eastAsia="Calibri"/>
        </w:rPr>
        <w:t>/</w:t>
      </w:r>
      <w:r w:rsidRPr="002A11EE">
        <w:t xml:space="preserve">v and phenylephrine hydrochloride 0.5 per cent </w:t>
      </w:r>
      <w:r w:rsidR="0095552B" w:rsidRPr="002A11EE">
        <w:t xml:space="preserve">w/v </w:t>
      </w:r>
      <w:r w:rsidRPr="002A11EE">
        <w:t xml:space="preserve">topical solution was contaminated in in-vivo and in-vitro settings even after single use. </w:t>
      </w:r>
    </w:p>
    <w:p w14:paraId="6D37B8AE" w14:textId="77777777" w:rsidR="00946297" w:rsidRPr="002A11EE" w:rsidRDefault="00946297" w:rsidP="001241E1">
      <w:pPr>
        <w:spacing w:line="480" w:lineRule="auto"/>
        <w:ind w:left="5" w:right="6" w:firstLine="210"/>
        <w:jc w:val="both"/>
      </w:pPr>
    </w:p>
    <w:p w14:paraId="06379B1C" w14:textId="551C69D5" w:rsidR="0046234A" w:rsidRPr="002A11EE" w:rsidRDefault="0046234A" w:rsidP="001241E1">
      <w:pPr>
        <w:spacing w:line="480" w:lineRule="auto"/>
        <w:ind w:left="5" w:right="6" w:firstLine="210"/>
        <w:jc w:val="both"/>
      </w:pPr>
      <w:r w:rsidRPr="002A11EE">
        <w:t>However, in practice, clinicians follow various strategies and use the lidocaine hydrochloride 5 per cent w</w:t>
      </w:r>
      <w:r w:rsidRPr="002A11EE">
        <w:rPr>
          <w:rFonts w:eastAsia="Calibri"/>
        </w:rPr>
        <w:t>/</w:t>
      </w:r>
      <w:r w:rsidRPr="002A11EE">
        <w:t xml:space="preserve">v and phenylephrine hydrochloride 0.5 per cent </w:t>
      </w:r>
      <w:r w:rsidR="0095552B" w:rsidRPr="002A11EE">
        <w:t xml:space="preserve">w/v </w:t>
      </w:r>
      <w:r w:rsidRPr="002A11EE">
        <w:t>topical solution as multi-use vial. These strategies include</w:t>
      </w:r>
      <w:r w:rsidRPr="002A11EE">
        <w:rPr>
          <w:vertAlign w:val="superscript"/>
        </w:rPr>
        <w:t xml:space="preserve"> </w:t>
      </w:r>
      <w:r w:rsidRPr="002A11EE">
        <w:t>changing the actuator between different patients but using the same bottle and solution, or alternatively, combining the contents of two or more bottles in one single bottle and then using it as a multi-use spray, changing the actuator between patients</w:t>
      </w:r>
      <w:r w:rsidRPr="002A11EE">
        <w:rPr>
          <w:vertAlign w:val="superscript"/>
        </w:rPr>
        <w:t>2</w:t>
      </w:r>
      <w:r w:rsidR="00946297" w:rsidRPr="002A11EE">
        <w:t xml:space="preserve">. </w:t>
      </w:r>
      <w:r w:rsidRPr="002A11EE">
        <w:t>Other strategies followed are avoidance of any direct contact of equipment with nasal mucosa; use of a bacteriostatic preservative in the nasal spray; use of a nasal speculum; application of continuous, less than 1 second spray to the nasal cavity; and wiping the nozzle of the atomisers with an isopropyl alcohol pad after each use</w:t>
      </w:r>
      <w:r w:rsidRPr="002A11EE">
        <w:rPr>
          <w:vertAlign w:val="superscript"/>
        </w:rPr>
        <w:t>4,11</w:t>
      </w:r>
      <w:r w:rsidRPr="002A11EE">
        <w:t xml:space="preserve">. </w:t>
      </w:r>
    </w:p>
    <w:p w14:paraId="6E708D6E" w14:textId="77777777" w:rsidR="00946297" w:rsidRPr="002A11EE" w:rsidRDefault="00946297" w:rsidP="001241E1">
      <w:pPr>
        <w:spacing w:line="480" w:lineRule="auto"/>
        <w:ind w:left="5" w:right="6" w:firstLine="210"/>
        <w:jc w:val="both"/>
      </w:pPr>
    </w:p>
    <w:p w14:paraId="1E46243E" w14:textId="6EEEAD4B" w:rsidR="0046234A" w:rsidRPr="002A11EE" w:rsidRDefault="0046234A" w:rsidP="001241E1">
      <w:pPr>
        <w:spacing w:line="480" w:lineRule="auto"/>
        <w:ind w:left="5" w:right="6" w:firstLine="210"/>
        <w:jc w:val="both"/>
      </w:pPr>
      <w:r w:rsidRPr="002A11EE">
        <w:t>These practices are followed to decrease the risk of infection transmission.</w:t>
      </w:r>
      <w:r w:rsidRPr="002A11EE">
        <w:rPr>
          <w:vertAlign w:val="superscript"/>
        </w:rPr>
        <w:t>4,11</w:t>
      </w:r>
      <w:r w:rsidRPr="002A11EE">
        <w:rPr>
          <w:color w:val="0000FF"/>
          <w:vertAlign w:val="superscript"/>
        </w:rPr>
        <w:t xml:space="preserve"> </w:t>
      </w:r>
      <w:r w:rsidRPr="002A11EE">
        <w:t>and, we believe, probably for cost savings purposes</w:t>
      </w:r>
      <w:r w:rsidRPr="002A11EE">
        <w:rPr>
          <w:vertAlign w:val="superscript"/>
        </w:rPr>
        <w:t>2</w:t>
      </w:r>
      <w:r w:rsidRPr="002A11EE">
        <w:t>.</w:t>
      </w:r>
    </w:p>
    <w:p w14:paraId="557B0BA8" w14:textId="77777777" w:rsidR="00946297" w:rsidRPr="002A11EE" w:rsidRDefault="00946297" w:rsidP="001241E1">
      <w:pPr>
        <w:spacing w:line="480" w:lineRule="auto"/>
        <w:ind w:left="5" w:right="6" w:firstLine="210"/>
        <w:jc w:val="both"/>
      </w:pPr>
    </w:p>
    <w:p w14:paraId="0892D266" w14:textId="195CB0A9" w:rsidR="005C07EB" w:rsidRDefault="0046234A" w:rsidP="00946297">
      <w:pPr>
        <w:spacing w:line="480" w:lineRule="auto"/>
        <w:ind w:left="5" w:right="6" w:firstLine="210"/>
        <w:jc w:val="both"/>
      </w:pPr>
      <w:r w:rsidRPr="002A11EE">
        <w:t>Therefore, we developed a remedy and have tested its safety and efficacy in routine ENT clinical practice. We have demonstrated that by modification of technique of application of the spray</w:t>
      </w:r>
      <w:r w:rsidR="00222B01">
        <w:t xml:space="preserve"> </w:t>
      </w:r>
      <w:r w:rsidRPr="002A11EE">
        <w:t xml:space="preserve">contamination can be avoided. Though the technique is user dependant it has </w:t>
      </w:r>
      <w:r w:rsidRPr="002A11EE">
        <w:lastRenderedPageBreak/>
        <w:t>created prospect of using lidocaine hydrochloride 5 per cent w</w:t>
      </w:r>
      <w:r w:rsidRPr="002A11EE">
        <w:rPr>
          <w:rFonts w:eastAsia="Calibri"/>
        </w:rPr>
        <w:t>/</w:t>
      </w:r>
      <w:r w:rsidRPr="002A11EE">
        <w:t>v and phenylephrine hydrochloride 0.5 per cent w</w:t>
      </w:r>
      <w:r w:rsidRPr="002A11EE">
        <w:rPr>
          <w:rFonts w:eastAsia="Calibri"/>
        </w:rPr>
        <w:t>/</w:t>
      </w:r>
      <w:r w:rsidRPr="002A11EE">
        <w:t xml:space="preserve">v topical solution assembly as a multi-use vial. </w:t>
      </w:r>
    </w:p>
    <w:p w14:paraId="13F210E0" w14:textId="77777777" w:rsidR="005C07EB" w:rsidRDefault="005C07EB">
      <w:r>
        <w:br w:type="page"/>
      </w:r>
    </w:p>
    <w:p w14:paraId="1BDD4F19" w14:textId="588B040E" w:rsidR="00B36514" w:rsidRDefault="0046234A" w:rsidP="005C07EB">
      <w:pPr>
        <w:spacing w:line="480" w:lineRule="auto"/>
        <w:ind w:right="6"/>
        <w:jc w:val="both"/>
      </w:pPr>
      <w:r w:rsidRPr="002A11EE">
        <w:rPr>
          <w:b/>
          <w:bCs/>
          <w:sz w:val="28"/>
          <w:szCs w:val="28"/>
        </w:rPr>
        <w:lastRenderedPageBreak/>
        <w:t>Conclusions</w:t>
      </w:r>
    </w:p>
    <w:p w14:paraId="62FBD669" w14:textId="039E3A19" w:rsidR="0046234A" w:rsidRPr="002A11EE" w:rsidRDefault="0046234A" w:rsidP="001241E1">
      <w:pPr>
        <w:spacing w:after="31" w:line="480" w:lineRule="auto"/>
        <w:ind w:left="17" w:right="6"/>
        <w:jc w:val="both"/>
      </w:pPr>
      <w:r w:rsidRPr="002A11EE">
        <w:t>This study has revealed that by modification of application technique of the lidocaine hydrochloride 5 per cent w</w:t>
      </w:r>
      <w:r w:rsidRPr="002A11EE">
        <w:rPr>
          <w:rFonts w:eastAsia="Calibri"/>
        </w:rPr>
        <w:t>/</w:t>
      </w:r>
      <w:r w:rsidRPr="002A11EE">
        <w:t>v and phenylephrine hydrochloride 0.5 per cent w</w:t>
      </w:r>
      <w:r w:rsidRPr="002A11EE">
        <w:rPr>
          <w:rFonts w:eastAsia="Calibri"/>
        </w:rPr>
        <w:t>/</w:t>
      </w:r>
      <w:r w:rsidRPr="002A11EE">
        <w:t xml:space="preserve">v topical solution spray contamination can be avoided. </w:t>
      </w:r>
    </w:p>
    <w:p w14:paraId="6827768B" w14:textId="77777777" w:rsidR="00946297" w:rsidRPr="002A11EE" w:rsidRDefault="00946297" w:rsidP="001241E1">
      <w:pPr>
        <w:spacing w:after="31" w:line="480" w:lineRule="auto"/>
        <w:ind w:left="17" w:right="6"/>
        <w:jc w:val="both"/>
      </w:pPr>
    </w:p>
    <w:p w14:paraId="6DFADA98" w14:textId="3B7E5F20" w:rsidR="00946297" w:rsidRPr="00B11AEC" w:rsidRDefault="00B36514" w:rsidP="001241E1">
      <w:pPr>
        <w:spacing w:after="31" w:line="480" w:lineRule="auto"/>
        <w:ind w:left="17" w:right="6"/>
        <w:jc w:val="both"/>
      </w:pPr>
      <w:r w:rsidRPr="00B11AEC">
        <w:t xml:space="preserve">Although we advise </w:t>
      </w:r>
      <w:r w:rsidR="00EA61E8">
        <w:t xml:space="preserve">readers </w:t>
      </w:r>
      <w:r w:rsidRPr="00B11AEC">
        <w:t xml:space="preserve">to follow the manufacturer’s guidance on single use, this does not always </w:t>
      </w:r>
      <w:r w:rsidR="006E6693" w:rsidRPr="00B11AEC">
        <w:t>represent</w:t>
      </w:r>
      <w:r w:rsidRPr="00B11AEC">
        <w:t xml:space="preserve"> a ‘real-world’ situation and </w:t>
      </w:r>
      <w:r w:rsidR="00EA61E8">
        <w:t xml:space="preserve">the </w:t>
      </w:r>
      <w:r w:rsidRPr="00B11AEC">
        <w:t xml:space="preserve">variance of procedure </w:t>
      </w:r>
      <w:r w:rsidR="00EA61E8">
        <w:t xml:space="preserve">which is </w:t>
      </w:r>
      <w:r w:rsidRPr="00B11AEC">
        <w:t>encountered in practice. We assessed the potential to use the lidocaine hydrochloride 5 per cent w/v and phenylephrine hydrochloride 0.5 per cent w/v topical solution as a multi-use spray, by simply changing the actuator between patients.</w:t>
      </w:r>
    </w:p>
    <w:p w14:paraId="24C2E4EF" w14:textId="77777777" w:rsidR="00B36514" w:rsidRPr="002A11EE" w:rsidRDefault="00B36514" w:rsidP="001241E1">
      <w:pPr>
        <w:spacing w:after="31" w:line="480" w:lineRule="auto"/>
        <w:ind w:left="17" w:right="6"/>
        <w:jc w:val="both"/>
      </w:pPr>
    </w:p>
    <w:p w14:paraId="02F2AAA2" w14:textId="1C9700A0" w:rsidR="0046234A" w:rsidRPr="002A11EE" w:rsidRDefault="0046234A" w:rsidP="001241E1">
      <w:pPr>
        <w:spacing w:after="31" w:line="480" w:lineRule="auto"/>
        <w:ind w:left="17" w:right="6"/>
        <w:jc w:val="both"/>
      </w:pPr>
      <w:r w:rsidRPr="002A11EE">
        <w:t xml:space="preserve">   This has a significant cost savings implication for the pharmaceutical budget of </w:t>
      </w:r>
      <w:r w:rsidR="001241E1" w:rsidRPr="002A11EE">
        <w:t>an</w:t>
      </w:r>
      <w:r w:rsidRPr="002A11EE">
        <w:t xml:space="preserve"> ENT department</w:t>
      </w:r>
      <w:r w:rsidR="00890AF5">
        <w:t xml:space="preserve"> without </w:t>
      </w:r>
      <w:r w:rsidR="00F56070">
        <w:t xml:space="preserve">the </w:t>
      </w:r>
      <w:r w:rsidR="00890AF5">
        <w:t>attendant risk of infection</w:t>
      </w:r>
      <w:r w:rsidRPr="002A11EE">
        <w:t>.</w:t>
      </w:r>
    </w:p>
    <w:p w14:paraId="23464AAE" w14:textId="487E24CF" w:rsidR="00F44DAA" w:rsidRPr="005C07EB" w:rsidRDefault="0046234A" w:rsidP="005C07EB">
      <w:pPr>
        <w:spacing w:line="480" w:lineRule="auto"/>
        <w:jc w:val="both"/>
        <w:rPr>
          <w:b/>
          <w:bCs/>
          <w:sz w:val="28"/>
          <w:szCs w:val="28"/>
        </w:rPr>
      </w:pPr>
      <w:r w:rsidRPr="002A11EE">
        <w:br w:type="page"/>
      </w:r>
      <w:r w:rsidR="00F44DAA" w:rsidRPr="005C07EB">
        <w:rPr>
          <w:b/>
          <w:bCs/>
          <w:sz w:val="28"/>
          <w:szCs w:val="28"/>
        </w:rPr>
        <w:lastRenderedPageBreak/>
        <w:t>Acknowledgements</w:t>
      </w:r>
    </w:p>
    <w:p w14:paraId="26ABF852" w14:textId="69C6CF96" w:rsidR="00B63C65" w:rsidRPr="002A11EE" w:rsidRDefault="00B7534C" w:rsidP="00946297">
      <w:pPr>
        <w:spacing w:line="480" w:lineRule="auto"/>
        <w:jc w:val="both"/>
      </w:pPr>
      <w:r w:rsidRPr="002A11EE">
        <w:t>None to declare.</w:t>
      </w:r>
    </w:p>
    <w:p w14:paraId="0B168C6E" w14:textId="77777777" w:rsidR="00946297" w:rsidRPr="002A11EE" w:rsidRDefault="00946297" w:rsidP="00946297">
      <w:pPr>
        <w:spacing w:line="480" w:lineRule="auto"/>
        <w:jc w:val="both"/>
      </w:pPr>
    </w:p>
    <w:p w14:paraId="0806D324" w14:textId="7B1610C1" w:rsidR="00B63C65" w:rsidRPr="002A11EE" w:rsidRDefault="00B63C65" w:rsidP="00946297">
      <w:pPr>
        <w:spacing w:line="480" w:lineRule="auto"/>
        <w:jc w:val="both"/>
      </w:pPr>
      <w:r w:rsidRPr="002A11EE">
        <w:rPr>
          <w:b/>
          <w:sz w:val="28"/>
          <w:szCs w:val="28"/>
        </w:rPr>
        <w:t>Funding</w:t>
      </w:r>
    </w:p>
    <w:p w14:paraId="08DEBC7C" w14:textId="03ED80BE" w:rsidR="00B63C65" w:rsidRPr="002A11EE" w:rsidRDefault="00B7534C" w:rsidP="00946297">
      <w:pPr>
        <w:spacing w:line="480" w:lineRule="auto"/>
        <w:jc w:val="both"/>
      </w:pPr>
      <w:r w:rsidRPr="002A11EE">
        <w:t>We have not received any funding and we do not have any competing financial interests to declare.</w:t>
      </w:r>
    </w:p>
    <w:p w14:paraId="63F1A18F" w14:textId="4D01B6EC" w:rsidR="00B63C65" w:rsidRPr="002A11EE" w:rsidRDefault="00B63C65" w:rsidP="001241E1">
      <w:pPr>
        <w:jc w:val="both"/>
      </w:pPr>
    </w:p>
    <w:p w14:paraId="47CFD3D9" w14:textId="1891A53B" w:rsidR="00F44DAA" w:rsidRPr="002A11EE" w:rsidRDefault="00F44DAA" w:rsidP="001241E1">
      <w:pPr>
        <w:pStyle w:val="Heading2"/>
        <w:jc w:val="both"/>
      </w:pPr>
      <w:r w:rsidRPr="002A11EE">
        <w:br w:type="page"/>
      </w:r>
      <w:r w:rsidRPr="002A11EE">
        <w:lastRenderedPageBreak/>
        <w:t>References</w:t>
      </w:r>
    </w:p>
    <w:p w14:paraId="267C7FF6" w14:textId="1145BB57" w:rsidR="005607CF" w:rsidRPr="002A11EE" w:rsidRDefault="005607CF" w:rsidP="001241E1">
      <w:pPr>
        <w:jc w:val="both"/>
      </w:pPr>
    </w:p>
    <w:p w14:paraId="54FE9688" w14:textId="77777777" w:rsidR="005607CF" w:rsidRPr="002A11EE" w:rsidRDefault="005607CF" w:rsidP="001241E1">
      <w:pPr>
        <w:spacing w:line="480" w:lineRule="auto"/>
        <w:jc w:val="both"/>
        <w:rPr>
          <w:b/>
          <w:bCs/>
        </w:rPr>
      </w:pPr>
    </w:p>
    <w:p w14:paraId="45E1D318" w14:textId="77777777" w:rsidR="005607CF" w:rsidRPr="002A11EE" w:rsidRDefault="005607CF" w:rsidP="001241E1">
      <w:pPr>
        <w:pStyle w:val="ListParagraph"/>
        <w:numPr>
          <w:ilvl w:val="0"/>
          <w:numId w:val="3"/>
        </w:numPr>
        <w:spacing w:line="480" w:lineRule="auto"/>
        <w:jc w:val="both"/>
        <w:rPr>
          <w:rFonts w:ascii="Times New Roman" w:hAnsi="Times New Roman"/>
          <w:sz w:val="24"/>
          <w:szCs w:val="24"/>
        </w:rPr>
      </w:pPr>
      <w:r w:rsidRPr="002A11EE">
        <w:rPr>
          <w:rFonts w:ascii="Times New Roman" w:hAnsi="Times New Roman"/>
          <w:sz w:val="24"/>
          <w:szCs w:val="24"/>
        </w:rPr>
        <w:t>Aurum Pharmaceuticals Ltd, Romford, RM3 8UG, England, UK. Lidocaine Hydrochloride 5 per cent w/v and Phenylephrine Hydrochloride 0.5 per cent w/v Topical Solution. Package Leaflet: Information for the user. April 2017.</w:t>
      </w:r>
    </w:p>
    <w:p w14:paraId="036C2AF2" w14:textId="1A8444E0" w:rsidR="005607CF" w:rsidRPr="002A11EE" w:rsidRDefault="005607CF" w:rsidP="001241E1">
      <w:pPr>
        <w:pStyle w:val="ListParagraph"/>
        <w:numPr>
          <w:ilvl w:val="0"/>
          <w:numId w:val="3"/>
        </w:numPr>
        <w:spacing w:line="480" w:lineRule="auto"/>
        <w:jc w:val="both"/>
        <w:rPr>
          <w:rFonts w:ascii="Times New Roman" w:hAnsi="Times New Roman"/>
          <w:sz w:val="24"/>
          <w:szCs w:val="24"/>
        </w:rPr>
      </w:pPr>
      <w:r w:rsidRPr="002A11EE">
        <w:rPr>
          <w:rFonts w:ascii="Times New Roman" w:hAnsi="Times New Roman"/>
          <w:sz w:val="24"/>
          <w:szCs w:val="24"/>
        </w:rPr>
        <w:t xml:space="preserve">Jog M, </w:t>
      </w:r>
      <w:hyperlink r:id="rId10" w:history="1">
        <w:r w:rsidRPr="002A11EE">
          <w:rPr>
            <w:rFonts w:ascii="Times New Roman" w:hAnsi="Times New Roman"/>
            <w:sz w:val="24"/>
            <w:szCs w:val="24"/>
          </w:rPr>
          <w:t>Sachidananda R</w:t>
        </w:r>
      </w:hyperlink>
      <w:r w:rsidRPr="002A11EE">
        <w:rPr>
          <w:rFonts w:ascii="Times New Roman" w:hAnsi="Times New Roman"/>
          <w:sz w:val="24"/>
          <w:szCs w:val="24"/>
        </w:rPr>
        <w:t>, </w:t>
      </w:r>
      <w:hyperlink r:id="rId11" w:history="1">
        <w:r w:rsidRPr="002A11EE">
          <w:rPr>
            <w:rFonts w:ascii="Times New Roman" w:hAnsi="Times New Roman"/>
            <w:sz w:val="24"/>
            <w:szCs w:val="24"/>
          </w:rPr>
          <w:t>Saeed K</w:t>
        </w:r>
      </w:hyperlink>
      <w:r w:rsidRPr="002A11EE">
        <w:rPr>
          <w:rFonts w:ascii="Times New Roman" w:hAnsi="Times New Roman"/>
          <w:sz w:val="24"/>
          <w:szCs w:val="24"/>
        </w:rPr>
        <w:t>.</w:t>
      </w:r>
      <w:r w:rsidRPr="002A11EE">
        <w:rPr>
          <w:rFonts w:ascii="Times New Roman" w:hAnsi="Times New Roman"/>
          <w:b/>
          <w:bCs/>
          <w:sz w:val="24"/>
          <w:szCs w:val="24"/>
        </w:rPr>
        <w:t xml:space="preserve"> </w:t>
      </w:r>
      <w:r w:rsidRPr="002A11EE">
        <w:rPr>
          <w:rFonts w:ascii="Times New Roman" w:hAnsi="Times New Roman"/>
          <w:color w:val="000000"/>
          <w:sz w:val="24"/>
          <w:szCs w:val="24"/>
        </w:rPr>
        <w:t>Risk of contamination of lidocaine hydrochloride and phenylephrine hydrochloride topical solution: in vivo and in vitro analyses.</w:t>
      </w:r>
      <w:r w:rsidR="00F20642" w:rsidRPr="002A11EE">
        <w:rPr>
          <w:rFonts w:ascii="Times New Roman" w:hAnsi="Times New Roman"/>
          <w:i/>
          <w:iCs/>
          <w:sz w:val="24"/>
          <w:szCs w:val="24"/>
        </w:rPr>
        <w:t xml:space="preserve"> J Laryngol Otol</w:t>
      </w:r>
      <w:r w:rsidRPr="002A11EE">
        <w:rPr>
          <w:rFonts w:ascii="Times New Roman" w:hAnsi="Times New Roman"/>
          <w:sz w:val="24"/>
          <w:szCs w:val="24"/>
          <w:shd w:val="clear" w:color="auto" w:fill="FFFFFF"/>
        </w:rPr>
        <w:t> </w:t>
      </w:r>
      <w:r w:rsidRPr="002A11EE">
        <w:rPr>
          <w:rFonts w:ascii="Times New Roman" w:hAnsi="Times New Roman"/>
          <w:color w:val="000000"/>
          <w:sz w:val="24"/>
          <w:szCs w:val="24"/>
          <w:shd w:val="clear" w:color="auto" w:fill="FFFFFF"/>
        </w:rPr>
        <w:t>2013;</w:t>
      </w:r>
      <w:r w:rsidRPr="002A11EE">
        <w:rPr>
          <w:rFonts w:ascii="Times New Roman" w:hAnsi="Times New Roman"/>
          <w:b/>
          <w:bCs/>
          <w:color w:val="000000"/>
          <w:sz w:val="24"/>
          <w:szCs w:val="24"/>
          <w:shd w:val="clear" w:color="auto" w:fill="FFFFFF"/>
        </w:rPr>
        <w:t>127</w:t>
      </w:r>
      <w:r w:rsidRPr="002A11EE">
        <w:rPr>
          <w:rFonts w:ascii="Times New Roman" w:hAnsi="Times New Roman"/>
          <w:color w:val="000000"/>
          <w:sz w:val="24"/>
          <w:szCs w:val="24"/>
          <w:shd w:val="clear" w:color="auto" w:fill="FFFFFF"/>
        </w:rPr>
        <w:t>:799-801</w:t>
      </w:r>
    </w:p>
    <w:p w14:paraId="67B8369E"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Bossart PJ, Wolfe T. Venturi atomizers as potential sources of patient cross-infection. </w:t>
      </w:r>
      <w:r w:rsidRPr="002A11EE">
        <w:rPr>
          <w:rFonts w:ascii="Times New Roman" w:hAnsi="Times New Roman"/>
          <w:i/>
          <w:iCs/>
          <w:sz w:val="24"/>
          <w:szCs w:val="24"/>
        </w:rPr>
        <w:t>Am J Infect Control</w:t>
      </w:r>
      <w:r w:rsidRPr="002A11EE">
        <w:rPr>
          <w:rFonts w:ascii="Times New Roman" w:hAnsi="Times New Roman"/>
          <w:sz w:val="24"/>
          <w:szCs w:val="24"/>
        </w:rPr>
        <w:t xml:space="preserve"> 2003;</w:t>
      </w:r>
      <w:r w:rsidRPr="002A11EE">
        <w:rPr>
          <w:rFonts w:ascii="Times New Roman" w:hAnsi="Times New Roman"/>
          <w:b/>
          <w:bCs/>
          <w:sz w:val="24"/>
          <w:szCs w:val="24"/>
        </w:rPr>
        <w:t>31</w:t>
      </w:r>
      <w:r w:rsidRPr="002A11EE">
        <w:rPr>
          <w:rFonts w:ascii="Times New Roman" w:hAnsi="Times New Roman"/>
          <w:sz w:val="24"/>
          <w:szCs w:val="24"/>
        </w:rPr>
        <w:t>:441–4</w:t>
      </w:r>
    </w:p>
    <w:p w14:paraId="211427CA"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Dubin MG, White DR, Melroy CT, Gergan MT, Rutala WA, Senior BA. Multi-use Venturi nasal atomizer contamination in a clinical rhinologic practice. </w:t>
      </w:r>
      <w:r w:rsidRPr="002A11EE">
        <w:rPr>
          <w:rFonts w:ascii="Times New Roman" w:hAnsi="Times New Roman"/>
          <w:i/>
          <w:iCs/>
          <w:sz w:val="24"/>
          <w:szCs w:val="24"/>
        </w:rPr>
        <w:t xml:space="preserve">Am J Rhinol </w:t>
      </w:r>
      <w:r w:rsidRPr="002A11EE">
        <w:rPr>
          <w:rFonts w:ascii="Times New Roman" w:hAnsi="Times New Roman"/>
          <w:sz w:val="24"/>
          <w:szCs w:val="24"/>
        </w:rPr>
        <w:t>2004;</w:t>
      </w:r>
      <w:r w:rsidRPr="002A11EE">
        <w:rPr>
          <w:rFonts w:ascii="Times New Roman" w:hAnsi="Times New Roman"/>
          <w:b/>
          <w:bCs/>
          <w:sz w:val="24"/>
          <w:szCs w:val="24"/>
        </w:rPr>
        <w:t>18</w:t>
      </w:r>
      <w:r w:rsidRPr="002A11EE">
        <w:rPr>
          <w:rFonts w:ascii="Times New Roman" w:hAnsi="Times New Roman"/>
          <w:sz w:val="24"/>
          <w:szCs w:val="24"/>
        </w:rPr>
        <w:t>:151–6</w:t>
      </w:r>
    </w:p>
    <w:p w14:paraId="1D472270"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Scianna JM, Chow JM, Hotaling A. Analysis of possible crosscontamination with the Venturi system atomizer. </w:t>
      </w:r>
      <w:r w:rsidRPr="002A11EE">
        <w:rPr>
          <w:rFonts w:ascii="Times New Roman" w:hAnsi="Times New Roman"/>
          <w:i/>
          <w:iCs/>
          <w:sz w:val="24"/>
          <w:szCs w:val="24"/>
        </w:rPr>
        <w:t>Am J Rhinol</w:t>
      </w:r>
      <w:r w:rsidRPr="002A11EE">
        <w:rPr>
          <w:rFonts w:ascii="Times New Roman" w:hAnsi="Times New Roman"/>
          <w:sz w:val="24"/>
          <w:szCs w:val="24"/>
        </w:rPr>
        <w:t xml:space="preserve"> 2005;</w:t>
      </w:r>
      <w:r w:rsidRPr="002A11EE">
        <w:rPr>
          <w:rFonts w:ascii="Times New Roman" w:hAnsi="Times New Roman"/>
          <w:b/>
          <w:bCs/>
          <w:sz w:val="24"/>
          <w:szCs w:val="24"/>
        </w:rPr>
        <w:t>19</w:t>
      </w:r>
      <w:r w:rsidRPr="002A11EE">
        <w:rPr>
          <w:rFonts w:ascii="Times New Roman" w:hAnsi="Times New Roman"/>
          <w:sz w:val="24"/>
          <w:szCs w:val="24"/>
        </w:rPr>
        <w:t>:503–7</w:t>
      </w:r>
    </w:p>
    <w:p w14:paraId="4D00E30D" w14:textId="77777777" w:rsidR="005607CF" w:rsidRPr="002A11EE" w:rsidRDefault="005607CF" w:rsidP="001241E1">
      <w:pPr>
        <w:pStyle w:val="ListParagraph"/>
        <w:numPr>
          <w:ilvl w:val="0"/>
          <w:numId w:val="3"/>
        </w:numPr>
        <w:spacing w:line="480" w:lineRule="auto"/>
        <w:jc w:val="both"/>
        <w:rPr>
          <w:rFonts w:ascii="Times New Roman" w:hAnsi="Times New Roman"/>
          <w:sz w:val="24"/>
          <w:szCs w:val="24"/>
        </w:rPr>
      </w:pPr>
      <w:r w:rsidRPr="002A11EE">
        <w:rPr>
          <w:rFonts w:ascii="Times New Roman" w:hAnsi="Times New Roman"/>
          <w:sz w:val="24"/>
          <w:szCs w:val="24"/>
        </w:rPr>
        <w:t xml:space="preserve">Spraggs PD, Hanekom WH, Mochloulis G, Joseph T, Kelsey MC. The assessment of the risk of cross-infection with a multi-use nasal atomizer. </w:t>
      </w:r>
      <w:r w:rsidRPr="002A11EE">
        <w:rPr>
          <w:rFonts w:ascii="Times New Roman" w:hAnsi="Times New Roman"/>
          <w:i/>
          <w:iCs/>
          <w:sz w:val="24"/>
          <w:szCs w:val="24"/>
        </w:rPr>
        <w:t>J Hosp Infect</w:t>
      </w:r>
      <w:r w:rsidRPr="002A11EE">
        <w:rPr>
          <w:rFonts w:ascii="Times New Roman" w:hAnsi="Times New Roman"/>
          <w:sz w:val="24"/>
          <w:szCs w:val="24"/>
        </w:rPr>
        <w:t xml:space="preserve"> 1994;</w:t>
      </w:r>
      <w:r w:rsidRPr="002A11EE">
        <w:rPr>
          <w:rFonts w:ascii="Times New Roman" w:hAnsi="Times New Roman"/>
          <w:b/>
          <w:bCs/>
          <w:sz w:val="24"/>
          <w:szCs w:val="24"/>
        </w:rPr>
        <w:t>28</w:t>
      </w:r>
      <w:r w:rsidRPr="002A11EE">
        <w:rPr>
          <w:rFonts w:ascii="Times New Roman" w:hAnsi="Times New Roman"/>
          <w:sz w:val="24"/>
          <w:szCs w:val="24"/>
        </w:rPr>
        <w:t>:315–21</w:t>
      </w:r>
    </w:p>
    <w:p w14:paraId="361344B0"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Wolfe TR, Hillman TA, Bossart PJ. The comparative risks of bacterial contamination between a venturi atomizer and a positive displacement atomizer. </w:t>
      </w:r>
      <w:r w:rsidRPr="002A11EE">
        <w:rPr>
          <w:rFonts w:ascii="Times New Roman" w:hAnsi="Times New Roman"/>
          <w:i/>
          <w:iCs/>
          <w:sz w:val="24"/>
          <w:szCs w:val="24"/>
        </w:rPr>
        <w:t>Am J Rhinol</w:t>
      </w:r>
      <w:r w:rsidRPr="002A11EE">
        <w:rPr>
          <w:rFonts w:ascii="Times New Roman" w:hAnsi="Times New Roman"/>
          <w:sz w:val="24"/>
          <w:szCs w:val="24"/>
        </w:rPr>
        <w:t xml:space="preserve"> 2002;</w:t>
      </w:r>
      <w:r w:rsidRPr="002A11EE">
        <w:rPr>
          <w:rFonts w:ascii="Times New Roman" w:hAnsi="Times New Roman"/>
          <w:b/>
          <w:bCs/>
          <w:sz w:val="24"/>
          <w:szCs w:val="24"/>
        </w:rPr>
        <w:t>16</w:t>
      </w:r>
      <w:r w:rsidRPr="002A11EE">
        <w:rPr>
          <w:rFonts w:ascii="Times New Roman" w:hAnsi="Times New Roman"/>
          <w:sz w:val="24"/>
          <w:szCs w:val="24"/>
        </w:rPr>
        <w:t>:181–6</w:t>
      </w:r>
    </w:p>
    <w:p w14:paraId="1C3EDB0C"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lastRenderedPageBreak/>
        <w:t>Sunkaraneni VS, Jones SE. Topical anaesthetic or vasoconstrictor preparations for flexible fibre-optic nasal pharyngoscopy and laryngoscopy. Cochrane Database Syst Rev</w:t>
      </w:r>
      <w:r w:rsidRPr="002A11EE">
        <w:rPr>
          <w:rFonts w:ascii="Times New Roman" w:hAnsi="Times New Roman"/>
          <w:i/>
          <w:iCs/>
          <w:sz w:val="24"/>
          <w:szCs w:val="24"/>
        </w:rPr>
        <w:t xml:space="preserve"> </w:t>
      </w:r>
      <w:r w:rsidRPr="002A11EE">
        <w:rPr>
          <w:rFonts w:ascii="Times New Roman" w:hAnsi="Times New Roman"/>
          <w:sz w:val="24"/>
          <w:szCs w:val="24"/>
        </w:rPr>
        <w:t>2011;(3): CD005606</w:t>
      </w:r>
    </w:p>
    <w:p w14:paraId="32661D4C"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Coakley JF, Arthurs GJ, Wilsher TK. The need for and development of a single use disposable nasal spray. </w:t>
      </w:r>
      <w:r w:rsidRPr="002A11EE">
        <w:rPr>
          <w:rFonts w:ascii="Times New Roman" w:hAnsi="Times New Roman"/>
          <w:i/>
          <w:iCs/>
          <w:sz w:val="24"/>
          <w:szCs w:val="24"/>
        </w:rPr>
        <w:t>J Laryngol Otol</w:t>
      </w:r>
      <w:r w:rsidRPr="002A11EE">
        <w:rPr>
          <w:rFonts w:ascii="Times New Roman" w:hAnsi="Times New Roman"/>
          <w:sz w:val="24"/>
          <w:szCs w:val="24"/>
        </w:rPr>
        <w:t xml:space="preserve"> 1993;</w:t>
      </w:r>
      <w:r w:rsidRPr="002A11EE">
        <w:rPr>
          <w:rFonts w:ascii="Times New Roman" w:hAnsi="Times New Roman"/>
          <w:b/>
          <w:bCs/>
          <w:sz w:val="24"/>
          <w:szCs w:val="24"/>
        </w:rPr>
        <w:t>107</w:t>
      </w:r>
      <w:r w:rsidRPr="002A11EE">
        <w:rPr>
          <w:rFonts w:ascii="Times New Roman" w:hAnsi="Times New Roman"/>
          <w:sz w:val="24"/>
          <w:szCs w:val="24"/>
        </w:rPr>
        <w:t>:20–3</w:t>
      </w:r>
    </w:p>
    <w:p w14:paraId="127EC075" w14:textId="77777777"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Rashid M, Karagama YG. Study of microbial spread when using multiple-use nasal anaesthetic spray. </w:t>
      </w:r>
      <w:r w:rsidRPr="002A11EE">
        <w:rPr>
          <w:rFonts w:ascii="Times New Roman" w:hAnsi="Times New Roman"/>
          <w:i/>
          <w:iCs/>
          <w:sz w:val="24"/>
          <w:szCs w:val="24"/>
        </w:rPr>
        <w:t>Rhinology</w:t>
      </w:r>
      <w:r w:rsidRPr="002A11EE">
        <w:rPr>
          <w:rFonts w:ascii="Times New Roman" w:hAnsi="Times New Roman"/>
          <w:sz w:val="24"/>
          <w:szCs w:val="24"/>
        </w:rPr>
        <w:t xml:space="preserve"> 2011;</w:t>
      </w:r>
      <w:r w:rsidRPr="002A11EE">
        <w:rPr>
          <w:rFonts w:ascii="Times New Roman" w:hAnsi="Times New Roman"/>
          <w:b/>
          <w:bCs/>
          <w:sz w:val="24"/>
          <w:szCs w:val="24"/>
        </w:rPr>
        <w:t>49</w:t>
      </w:r>
      <w:r w:rsidRPr="002A11EE">
        <w:rPr>
          <w:rFonts w:ascii="Times New Roman" w:hAnsi="Times New Roman"/>
          <w:sz w:val="24"/>
          <w:szCs w:val="24"/>
        </w:rPr>
        <w:t>:281–5</w:t>
      </w:r>
    </w:p>
    <w:p w14:paraId="23AA05CC" w14:textId="31B69EB4" w:rsidR="005607CF" w:rsidRPr="002A11EE" w:rsidRDefault="005607CF" w:rsidP="001241E1">
      <w:pPr>
        <w:pStyle w:val="ListParagraph"/>
        <w:numPr>
          <w:ilvl w:val="0"/>
          <w:numId w:val="3"/>
        </w:numPr>
        <w:spacing w:after="4" w:line="480" w:lineRule="auto"/>
        <w:ind w:right="7"/>
        <w:jc w:val="both"/>
        <w:rPr>
          <w:rFonts w:ascii="Times New Roman" w:hAnsi="Times New Roman"/>
          <w:sz w:val="24"/>
          <w:szCs w:val="24"/>
        </w:rPr>
      </w:pPr>
      <w:r w:rsidRPr="002A11EE">
        <w:rPr>
          <w:rFonts w:ascii="Times New Roman" w:hAnsi="Times New Roman"/>
          <w:sz w:val="24"/>
          <w:szCs w:val="24"/>
        </w:rPr>
        <w:t xml:space="preserve">Visosky AM, Murr AH, Ng V, Dentoni T, Weir J, Haller BL. Multiple-use atomizers in outpatient otolaryngology clinics are not necessarily an infectious risk. </w:t>
      </w:r>
      <w:r w:rsidRPr="002A11EE">
        <w:rPr>
          <w:rFonts w:ascii="Times New Roman" w:hAnsi="Times New Roman"/>
          <w:i/>
          <w:iCs/>
          <w:sz w:val="24"/>
          <w:szCs w:val="24"/>
        </w:rPr>
        <w:t xml:space="preserve">Otolaryngol Head Neck Surg </w:t>
      </w:r>
      <w:r w:rsidRPr="002A11EE">
        <w:rPr>
          <w:rFonts w:ascii="Times New Roman" w:hAnsi="Times New Roman"/>
          <w:sz w:val="24"/>
          <w:szCs w:val="24"/>
        </w:rPr>
        <w:t>2003;</w:t>
      </w:r>
      <w:r w:rsidRPr="002A11EE">
        <w:rPr>
          <w:rFonts w:ascii="Times New Roman" w:hAnsi="Times New Roman"/>
          <w:b/>
          <w:bCs/>
          <w:sz w:val="24"/>
          <w:szCs w:val="24"/>
        </w:rPr>
        <w:t>128</w:t>
      </w:r>
      <w:r w:rsidRPr="002A11EE">
        <w:rPr>
          <w:rFonts w:ascii="Times New Roman" w:hAnsi="Times New Roman"/>
          <w:sz w:val="24"/>
          <w:szCs w:val="24"/>
        </w:rPr>
        <w:t>:447-51</w:t>
      </w:r>
    </w:p>
    <w:p w14:paraId="2D33A7BC" w14:textId="77777777" w:rsidR="005607CF" w:rsidRPr="002A11EE" w:rsidRDefault="005607CF" w:rsidP="001241E1">
      <w:pPr>
        <w:jc w:val="both"/>
      </w:pPr>
      <w:r w:rsidRPr="002A11EE">
        <w:br w:type="page"/>
      </w:r>
    </w:p>
    <w:p w14:paraId="522E5370" w14:textId="2AA0E3A0" w:rsidR="00F44DAA" w:rsidRPr="002A11EE" w:rsidRDefault="00F44DAA" w:rsidP="001241E1">
      <w:pPr>
        <w:pStyle w:val="Heading2"/>
        <w:jc w:val="both"/>
      </w:pPr>
      <w:bookmarkStart w:id="13" w:name="_Hlk36586283"/>
      <w:r w:rsidRPr="002A11EE">
        <w:lastRenderedPageBreak/>
        <w:t>Tables and Charts</w:t>
      </w:r>
    </w:p>
    <w:bookmarkEnd w:id="13"/>
    <w:p w14:paraId="5643C960" w14:textId="77777777" w:rsidR="00F44DAA" w:rsidRPr="002A11EE" w:rsidRDefault="00F44DAA" w:rsidP="001241E1">
      <w:pPr>
        <w:jc w:val="both"/>
      </w:pPr>
    </w:p>
    <w:p w14:paraId="019151FA" w14:textId="77777777" w:rsidR="00F44DAA" w:rsidRPr="002A11EE" w:rsidRDefault="00F44DAA" w:rsidP="001241E1">
      <w:pPr>
        <w:jc w:val="both"/>
      </w:pPr>
      <w:bookmarkStart w:id="14" w:name="_Hlk36586305"/>
      <w:r w:rsidRPr="002A11EE">
        <w:t>TABLE I</w:t>
      </w:r>
    </w:p>
    <w:p w14:paraId="3F029F17" w14:textId="67F9325D" w:rsidR="00F44DAA" w:rsidRPr="002A11EE" w:rsidRDefault="00F44DAA" w:rsidP="001241E1">
      <w:pPr>
        <w:jc w:val="both"/>
        <w:rPr>
          <w:sz w:val="20"/>
          <w:szCs w:val="20"/>
        </w:rPr>
      </w:pPr>
      <w:r w:rsidRPr="002A11EE">
        <w:rPr>
          <w:sz w:val="20"/>
          <w:szCs w:val="20"/>
        </w:rPr>
        <w:t>Titl</w:t>
      </w:r>
      <w:r w:rsidR="00B46458" w:rsidRPr="002A11EE">
        <w:rPr>
          <w:sz w:val="20"/>
          <w:szCs w:val="20"/>
        </w:rPr>
        <w:t>e</w:t>
      </w:r>
      <w:r w:rsidR="00A878D8" w:rsidRPr="002A11EE">
        <w:rPr>
          <w:b/>
          <w:bCs/>
          <w:sz w:val="20"/>
          <w:szCs w:val="20"/>
        </w:rPr>
        <w:t xml:space="preserve"> </w:t>
      </w:r>
      <w:r w:rsidR="00A878D8" w:rsidRPr="002A11EE">
        <w:rPr>
          <w:sz w:val="20"/>
          <w:szCs w:val="20"/>
        </w:rPr>
        <w:t xml:space="preserve">Culture results </w:t>
      </w:r>
      <w:r w:rsidRPr="002A11EE">
        <w:rPr>
          <w:sz w:val="20"/>
          <w:szCs w:val="20"/>
        </w:rPr>
        <w:t xml:space="preserve"> </w:t>
      </w:r>
    </w:p>
    <w:bookmarkEnd w:id="14"/>
    <w:p w14:paraId="5E0E006F" w14:textId="77777777" w:rsidR="00B46458" w:rsidRPr="002A11EE" w:rsidRDefault="00B46458" w:rsidP="001241E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32"/>
        <w:gridCol w:w="1417"/>
        <w:gridCol w:w="2529"/>
      </w:tblGrid>
      <w:tr w:rsidR="001E43F5" w:rsidRPr="002A11EE" w14:paraId="2E4B996E" w14:textId="77777777" w:rsidTr="001E43F5">
        <w:trPr>
          <w:trHeight w:val="370"/>
        </w:trPr>
        <w:tc>
          <w:tcPr>
            <w:tcW w:w="1838" w:type="dxa"/>
            <w:vMerge w:val="restart"/>
            <w:shd w:val="clear" w:color="auto" w:fill="auto"/>
          </w:tcPr>
          <w:p w14:paraId="2A921FF6" w14:textId="77777777" w:rsidR="0037180F" w:rsidRPr="002A11EE" w:rsidRDefault="0037180F" w:rsidP="001241E1">
            <w:pPr>
              <w:jc w:val="both"/>
              <w:rPr>
                <w:rFonts w:eastAsia="Calibri"/>
              </w:rPr>
            </w:pPr>
            <w:r w:rsidRPr="002A11EE">
              <w:rPr>
                <w:rFonts w:eastAsia="Calibri"/>
              </w:rPr>
              <w:t>Sample</w:t>
            </w:r>
          </w:p>
          <w:p w14:paraId="42E0E035" w14:textId="37579182" w:rsidR="0037180F" w:rsidRPr="002A11EE" w:rsidRDefault="008B46FA" w:rsidP="001241E1">
            <w:pPr>
              <w:jc w:val="both"/>
              <w:rPr>
                <w:rFonts w:eastAsia="Calibri"/>
              </w:rPr>
            </w:pPr>
            <w:r w:rsidRPr="002A11EE">
              <w:rPr>
                <w:rFonts w:eastAsia="Calibri"/>
              </w:rPr>
              <w:t>n</w:t>
            </w:r>
            <w:r w:rsidR="0037180F" w:rsidRPr="002A11EE">
              <w:rPr>
                <w:rFonts w:eastAsia="Calibri"/>
              </w:rPr>
              <w:t>umber</w:t>
            </w:r>
          </w:p>
        </w:tc>
        <w:tc>
          <w:tcPr>
            <w:tcW w:w="7178" w:type="dxa"/>
            <w:gridSpan w:val="3"/>
            <w:shd w:val="clear" w:color="auto" w:fill="auto"/>
          </w:tcPr>
          <w:p w14:paraId="480621CD" w14:textId="77777777" w:rsidR="0037180F" w:rsidRPr="002A11EE" w:rsidRDefault="0037180F" w:rsidP="001241E1">
            <w:pPr>
              <w:jc w:val="both"/>
              <w:rPr>
                <w:rFonts w:eastAsia="Calibri"/>
              </w:rPr>
            </w:pPr>
            <w:r w:rsidRPr="002A11EE">
              <w:rPr>
                <w:rFonts w:eastAsia="Calibri"/>
              </w:rPr>
              <w:t>Culture results after 48 hour incubation and MALDI ID</w:t>
            </w:r>
          </w:p>
        </w:tc>
      </w:tr>
      <w:tr w:rsidR="001E43F5" w:rsidRPr="002A11EE" w14:paraId="1CDBAA70" w14:textId="77777777" w:rsidTr="001E43F5">
        <w:tc>
          <w:tcPr>
            <w:tcW w:w="1838" w:type="dxa"/>
            <w:vMerge/>
            <w:shd w:val="clear" w:color="auto" w:fill="auto"/>
          </w:tcPr>
          <w:p w14:paraId="2549D047" w14:textId="77777777" w:rsidR="0037180F" w:rsidRPr="002A11EE" w:rsidRDefault="0037180F" w:rsidP="001241E1">
            <w:pPr>
              <w:jc w:val="both"/>
              <w:rPr>
                <w:rFonts w:eastAsia="Calibri"/>
              </w:rPr>
            </w:pPr>
          </w:p>
        </w:tc>
        <w:tc>
          <w:tcPr>
            <w:tcW w:w="3232" w:type="dxa"/>
            <w:shd w:val="clear" w:color="auto" w:fill="auto"/>
          </w:tcPr>
          <w:p w14:paraId="1BC7F9EE" w14:textId="77777777" w:rsidR="0037180F" w:rsidRPr="002A11EE" w:rsidRDefault="0037180F" w:rsidP="001241E1">
            <w:pPr>
              <w:jc w:val="both"/>
              <w:rPr>
                <w:rFonts w:eastAsia="Calibri"/>
              </w:rPr>
            </w:pPr>
            <w:r w:rsidRPr="002A11EE">
              <w:rPr>
                <w:rFonts w:eastAsia="Calibri"/>
              </w:rPr>
              <w:t>Nozzle/ Actuator (A)</w:t>
            </w:r>
          </w:p>
        </w:tc>
        <w:tc>
          <w:tcPr>
            <w:tcW w:w="1417" w:type="dxa"/>
            <w:shd w:val="clear" w:color="auto" w:fill="auto"/>
          </w:tcPr>
          <w:p w14:paraId="61CBD389" w14:textId="77777777" w:rsidR="0037180F" w:rsidRPr="002A11EE" w:rsidRDefault="0037180F" w:rsidP="001241E1">
            <w:pPr>
              <w:jc w:val="both"/>
              <w:rPr>
                <w:rFonts w:eastAsia="Calibri"/>
              </w:rPr>
            </w:pPr>
            <w:r w:rsidRPr="002A11EE">
              <w:rPr>
                <w:rFonts w:eastAsia="Calibri"/>
              </w:rPr>
              <w:t>Pump (B)</w:t>
            </w:r>
          </w:p>
        </w:tc>
        <w:tc>
          <w:tcPr>
            <w:tcW w:w="2529" w:type="dxa"/>
            <w:shd w:val="clear" w:color="auto" w:fill="auto"/>
          </w:tcPr>
          <w:p w14:paraId="637F11D3" w14:textId="77777777" w:rsidR="0037180F" w:rsidRPr="002A11EE" w:rsidRDefault="0037180F" w:rsidP="001241E1">
            <w:pPr>
              <w:jc w:val="both"/>
              <w:rPr>
                <w:rFonts w:eastAsia="Calibri"/>
              </w:rPr>
            </w:pPr>
            <w:r w:rsidRPr="002A11EE">
              <w:rPr>
                <w:rFonts w:eastAsia="Calibri"/>
              </w:rPr>
              <w:t>Bottle (C)</w:t>
            </w:r>
          </w:p>
        </w:tc>
      </w:tr>
      <w:tr w:rsidR="001E43F5" w:rsidRPr="002A11EE" w14:paraId="118C1BBF" w14:textId="77777777" w:rsidTr="001E43F5">
        <w:tc>
          <w:tcPr>
            <w:tcW w:w="1838" w:type="dxa"/>
            <w:shd w:val="clear" w:color="auto" w:fill="auto"/>
          </w:tcPr>
          <w:p w14:paraId="32265BE9" w14:textId="77777777" w:rsidR="0037180F" w:rsidRPr="002A11EE" w:rsidRDefault="0037180F" w:rsidP="001241E1">
            <w:pPr>
              <w:jc w:val="both"/>
              <w:rPr>
                <w:rFonts w:eastAsia="Calibri"/>
              </w:rPr>
            </w:pPr>
            <w:r w:rsidRPr="002A11EE">
              <w:rPr>
                <w:rFonts w:eastAsia="Calibri"/>
              </w:rPr>
              <w:t>1</w:t>
            </w:r>
          </w:p>
        </w:tc>
        <w:tc>
          <w:tcPr>
            <w:tcW w:w="3232" w:type="dxa"/>
            <w:shd w:val="clear" w:color="auto" w:fill="auto"/>
          </w:tcPr>
          <w:p w14:paraId="04A0CF97" w14:textId="5BC04D53" w:rsidR="0037180F" w:rsidRPr="002A11EE" w:rsidRDefault="0037180F" w:rsidP="001241E1">
            <w:pPr>
              <w:jc w:val="both"/>
              <w:rPr>
                <w:rFonts w:eastAsia="Calibri"/>
              </w:rPr>
            </w:pPr>
            <w:r w:rsidRPr="002A11EE">
              <w:rPr>
                <w:rFonts w:eastAsia="Calibri"/>
              </w:rPr>
              <w:t>*S</w:t>
            </w:r>
            <w:r w:rsidR="00CB279D" w:rsidRPr="002A11EE">
              <w:rPr>
                <w:rFonts w:eastAsia="Calibri"/>
              </w:rPr>
              <w:t>.</w:t>
            </w:r>
            <w:r w:rsidRPr="002A11EE">
              <w:rPr>
                <w:rFonts w:eastAsia="Calibri"/>
              </w:rPr>
              <w:t xml:space="preserve"> capitis</w:t>
            </w:r>
          </w:p>
          <w:p w14:paraId="28489472" w14:textId="7B635485" w:rsidR="0037180F" w:rsidRPr="002A11EE" w:rsidRDefault="0037180F" w:rsidP="001241E1">
            <w:pPr>
              <w:jc w:val="both"/>
              <w:rPr>
                <w:rFonts w:eastAsia="Calibri"/>
              </w:rPr>
            </w:pPr>
            <w:r w:rsidRPr="002A11EE">
              <w:rPr>
                <w:rFonts w:eastAsia="Calibri"/>
              </w:rPr>
              <w:t>*S</w:t>
            </w:r>
            <w:r w:rsidR="00CB279D" w:rsidRPr="002A11EE">
              <w:rPr>
                <w:rFonts w:eastAsia="Calibri"/>
              </w:rPr>
              <w:t>.</w:t>
            </w:r>
            <w:r w:rsidRPr="002A11EE">
              <w:rPr>
                <w:rFonts w:eastAsia="Calibri"/>
              </w:rPr>
              <w:t xml:space="preserve"> epidermidis</w:t>
            </w:r>
          </w:p>
        </w:tc>
        <w:tc>
          <w:tcPr>
            <w:tcW w:w="1417" w:type="dxa"/>
            <w:shd w:val="clear" w:color="auto" w:fill="auto"/>
          </w:tcPr>
          <w:p w14:paraId="0373A2EC"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063DF27B" w14:textId="77777777" w:rsidR="0037180F" w:rsidRPr="002A11EE" w:rsidRDefault="0037180F" w:rsidP="001241E1">
            <w:pPr>
              <w:jc w:val="both"/>
              <w:rPr>
                <w:rFonts w:eastAsia="Calibri"/>
              </w:rPr>
            </w:pPr>
            <w:r w:rsidRPr="002A11EE">
              <w:rPr>
                <w:rFonts w:eastAsia="Calibri"/>
              </w:rPr>
              <w:t>NG</w:t>
            </w:r>
          </w:p>
        </w:tc>
      </w:tr>
      <w:tr w:rsidR="001E43F5" w:rsidRPr="002A11EE" w14:paraId="74E5AF80" w14:textId="77777777" w:rsidTr="001E43F5">
        <w:tc>
          <w:tcPr>
            <w:tcW w:w="1838" w:type="dxa"/>
            <w:shd w:val="clear" w:color="auto" w:fill="auto"/>
          </w:tcPr>
          <w:p w14:paraId="471137AB" w14:textId="77777777" w:rsidR="0037180F" w:rsidRPr="002A11EE" w:rsidRDefault="0037180F" w:rsidP="001241E1">
            <w:pPr>
              <w:jc w:val="both"/>
              <w:rPr>
                <w:rFonts w:eastAsia="Calibri"/>
                <w:highlight w:val="green"/>
              </w:rPr>
            </w:pPr>
            <w:r w:rsidRPr="002A11EE">
              <w:rPr>
                <w:rFonts w:eastAsia="Calibri"/>
              </w:rPr>
              <w:t>2/ control</w:t>
            </w:r>
          </w:p>
        </w:tc>
        <w:tc>
          <w:tcPr>
            <w:tcW w:w="3232" w:type="dxa"/>
            <w:shd w:val="clear" w:color="auto" w:fill="auto"/>
          </w:tcPr>
          <w:p w14:paraId="7A916752"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3735AA94"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20DDB7EC" w14:textId="77777777" w:rsidR="0037180F" w:rsidRPr="002A11EE" w:rsidRDefault="0037180F" w:rsidP="001241E1">
            <w:pPr>
              <w:jc w:val="both"/>
              <w:rPr>
                <w:rFonts w:eastAsia="Calibri"/>
              </w:rPr>
            </w:pPr>
            <w:r w:rsidRPr="002A11EE">
              <w:rPr>
                <w:rFonts w:eastAsia="Calibri"/>
              </w:rPr>
              <w:t>NG</w:t>
            </w:r>
          </w:p>
        </w:tc>
      </w:tr>
      <w:tr w:rsidR="001E43F5" w:rsidRPr="002A11EE" w14:paraId="62FBD422" w14:textId="77777777" w:rsidTr="001E43F5">
        <w:tc>
          <w:tcPr>
            <w:tcW w:w="1838" w:type="dxa"/>
            <w:shd w:val="clear" w:color="auto" w:fill="auto"/>
          </w:tcPr>
          <w:p w14:paraId="2A8AA861" w14:textId="77777777" w:rsidR="0037180F" w:rsidRPr="002A11EE" w:rsidRDefault="0037180F" w:rsidP="001241E1">
            <w:pPr>
              <w:jc w:val="both"/>
              <w:rPr>
                <w:rFonts w:eastAsia="Calibri"/>
              </w:rPr>
            </w:pPr>
            <w:r w:rsidRPr="002A11EE">
              <w:rPr>
                <w:rFonts w:eastAsia="Calibri"/>
              </w:rPr>
              <w:t>3</w:t>
            </w:r>
          </w:p>
        </w:tc>
        <w:tc>
          <w:tcPr>
            <w:tcW w:w="3232" w:type="dxa"/>
            <w:shd w:val="clear" w:color="auto" w:fill="auto"/>
          </w:tcPr>
          <w:p w14:paraId="246A53DA"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1E1F9808"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3D182979" w14:textId="77777777" w:rsidR="0037180F" w:rsidRPr="002A11EE" w:rsidRDefault="0037180F" w:rsidP="001241E1">
            <w:pPr>
              <w:jc w:val="both"/>
              <w:rPr>
                <w:rFonts w:eastAsia="Calibri"/>
              </w:rPr>
            </w:pPr>
            <w:r w:rsidRPr="002A11EE">
              <w:rPr>
                <w:rFonts w:eastAsia="Calibri"/>
              </w:rPr>
              <w:t>NG</w:t>
            </w:r>
          </w:p>
        </w:tc>
      </w:tr>
      <w:tr w:rsidR="001E43F5" w:rsidRPr="002A11EE" w14:paraId="44C6B6AD" w14:textId="77777777" w:rsidTr="001E43F5">
        <w:tc>
          <w:tcPr>
            <w:tcW w:w="1838" w:type="dxa"/>
            <w:shd w:val="clear" w:color="auto" w:fill="auto"/>
          </w:tcPr>
          <w:p w14:paraId="7205F9A2" w14:textId="77777777" w:rsidR="0037180F" w:rsidRPr="002A11EE" w:rsidRDefault="0037180F" w:rsidP="001241E1">
            <w:pPr>
              <w:jc w:val="both"/>
              <w:rPr>
                <w:rFonts w:eastAsia="Calibri"/>
              </w:rPr>
            </w:pPr>
            <w:r w:rsidRPr="002A11EE">
              <w:rPr>
                <w:rFonts w:eastAsia="Calibri"/>
              </w:rPr>
              <w:t>4</w:t>
            </w:r>
          </w:p>
        </w:tc>
        <w:tc>
          <w:tcPr>
            <w:tcW w:w="3232" w:type="dxa"/>
            <w:shd w:val="clear" w:color="auto" w:fill="auto"/>
          </w:tcPr>
          <w:p w14:paraId="6A46C185"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377B0D51"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06BABBE3" w14:textId="77777777" w:rsidR="0037180F" w:rsidRPr="002A11EE" w:rsidRDefault="0037180F" w:rsidP="001241E1">
            <w:pPr>
              <w:jc w:val="both"/>
              <w:rPr>
                <w:rFonts w:eastAsia="Calibri"/>
              </w:rPr>
            </w:pPr>
            <w:r w:rsidRPr="002A11EE">
              <w:rPr>
                <w:rFonts w:eastAsia="Calibri"/>
              </w:rPr>
              <w:t>NG</w:t>
            </w:r>
          </w:p>
        </w:tc>
      </w:tr>
      <w:tr w:rsidR="001E43F5" w:rsidRPr="002A11EE" w14:paraId="788E608B" w14:textId="77777777" w:rsidTr="001E43F5">
        <w:tc>
          <w:tcPr>
            <w:tcW w:w="1838" w:type="dxa"/>
            <w:shd w:val="clear" w:color="auto" w:fill="auto"/>
          </w:tcPr>
          <w:p w14:paraId="165AE211" w14:textId="77777777" w:rsidR="0037180F" w:rsidRPr="002A11EE" w:rsidRDefault="0037180F" w:rsidP="001241E1">
            <w:pPr>
              <w:jc w:val="both"/>
              <w:rPr>
                <w:rFonts w:eastAsia="Calibri"/>
              </w:rPr>
            </w:pPr>
            <w:r w:rsidRPr="002A11EE">
              <w:rPr>
                <w:rFonts w:eastAsia="Calibri"/>
              </w:rPr>
              <w:t>5</w:t>
            </w:r>
          </w:p>
        </w:tc>
        <w:tc>
          <w:tcPr>
            <w:tcW w:w="3232" w:type="dxa"/>
            <w:shd w:val="clear" w:color="auto" w:fill="auto"/>
          </w:tcPr>
          <w:p w14:paraId="379F6A23"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79B790E3"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123E3BF2" w14:textId="77777777" w:rsidR="0037180F" w:rsidRPr="002A11EE" w:rsidRDefault="0037180F" w:rsidP="001241E1">
            <w:pPr>
              <w:jc w:val="both"/>
              <w:rPr>
                <w:rFonts w:eastAsia="Calibri"/>
              </w:rPr>
            </w:pPr>
            <w:r w:rsidRPr="002A11EE">
              <w:rPr>
                <w:rFonts w:eastAsia="Calibri"/>
              </w:rPr>
              <w:t>NG</w:t>
            </w:r>
          </w:p>
        </w:tc>
      </w:tr>
      <w:tr w:rsidR="001E43F5" w:rsidRPr="002A11EE" w14:paraId="7931CCE1" w14:textId="77777777" w:rsidTr="001E43F5">
        <w:tc>
          <w:tcPr>
            <w:tcW w:w="1838" w:type="dxa"/>
            <w:shd w:val="clear" w:color="auto" w:fill="auto"/>
          </w:tcPr>
          <w:p w14:paraId="091AA617" w14:textId="77777777" w:rsidR="0037180F" w:rsidRPr="002A11EE" w:rsidRDefault="0037180F" w:rsidP="001241E1">
            <w:pPr>
              <w:jc w:val="both"/>
              <w:rPr>
                <w:rFonts w:eastAsia="Calibri"/>
              </w:rPr>
            </w:pPr>
            <w:r w:rsidRPr="002A11EE">
              <w:rPr>
                <w:rFonts w:eastAsia="Calibri"/>
              </w:rPr>
              <w:t>6</w:t>
            </w:r>
          </w:p>
        </w:tc>
        <w:tc>
          <w:tcPr>
            <w:tcW w:w="3232" w:type="dxa"/>
            <w:shd w:val="clear" w:color="auto" w:fill="auto"/>
          </w:tcPr>
          <w:p w14:paraId="5E6281EB" w14:textId="77777777" w:rsidR="0037180F" w:rsidRPr="002A11EE" w:rsidRDefault="0037180F" w:rsidP="001241E1">
            <w:pPr>
              <w:jc w:val="both"/>
              <w:rPr>
                <w:rFonts w:eastAsia="Calibri"/>
              </w:rPr>
            </w:pPr>
            <w:r w:rsidRPr="002A11EE">
              <w:rPr>
                <w:rFonts w:eastAsia="Calibri"/>
              </w:rPr>
              <w:t>*S. epidermidis</w:t>
            </w:r>
          </w:p>
        </w:tc>
        <w:tc>
          <w:tcPr>
            <w:tcW w:w="1417" w:type="dxa"/>
            <w:shd w:val="clear" w:color="auto" w:fill="auto"/>
          </w:tcPr>
          <w:p w14:paraId="041EEBBE"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3146838F" w14:textId="77777777" w:rsidR="0037180F" w:rsidRPr="002A11EE" w:rsidRDefault="0037180F" w:rsidP="001241E1">
            <w:pPr>
              <w:jc w:val="both"/>
              <w:rPr>
                <w:rFonts w:eastAsia="Calibri"/>
              </w:rPr>
            </w:pPr>
            <w:r w:rsidRPr="002A11EE">
              <w:rPr>
                <w:rFonts w:eastAsia="Calibri"/>
              </w:rPr>
              <w:t>S. hominis**</w:t>
            </w:r>
          </w:p>
        </w:tc>
      </w:tr>
      <w:tr w:rsidR="001E43F5" w:rsidRPr="002A11EE" w14:paraId="53436793" w14:textId="77777777" w:rsidTr="001E43F5">
        <w:tc>
          <w:tcPr>
            <w:tcW w:w="1838" w:type="dxa"/>
            <w:shd w:val="clear" w:color="auto" w:fill="auto"/>
          </w:tcPr>
          <w:p w14:paraId="068DBBF8" w14:textId="77777777" w:rsidR="0037180F" w:rsidRPr="002A11EE" w:rsidRDefault="0037180F" w:rsidP="001241E1">
            <w:pPr>
              <w:jc w:val="both"/>
              <w:rPr>
                <w:rFonts w:eastAsia="Calibri"/>
              </w:rPr>
            </w:pPr>
            <w:r w:rsidRPr="002A11EE">
              <w:rPr>
                <w:rFonts w:eastAsia="Calibri"/>
              </w:rPr>
              <w:t>7</w:t>
            </w:r>
          </w:p>
        </w:tc>
        <w:tc>
          <w:tcPr>
            <w:tcW w:w="3232" w:type="dxa"/>
            <w:shd w:val="clear" w:color="auto" w:fill="auto"/>
          </w:tcPr>
          <w:p w14:paraId="0670BFB0"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2E7664F5"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0F0BD051" w14:textId="77777777" w:rsidR="0037180F" w:rsidRPr="002A11EE" w:rsidRDefault="0037180F" w:rsidP="001241E1">
            <w:pPr>
              <w:jc w:val="both"/>
              <w:rPr>
                <w:rFonts w:eastAsia="Calibri"/>
              </w:rPr>
            </w:pPr>
            <w:r w:rsidRPr="002A11EE">
              <w:rPr>
                <w:rFonts w:eastAsia="Calibri"/>
              </w:rPr>
              <w:t>NG</w:t>
            </w:r>
          </w:p>
        </w:tc>
      </w:tr>
      <w:tr w:rsidR="001E43F5" w:rsidRPr="002A11EE" w14:paraId="15EE3705" w14:textId="77777777" w:rsidTr="001E43F5">
        <w:tc>
          <w:tcPr>
            <w:tcW w:w="1838" w:type="dxa"/>
            <w:shd w:val="clear" w:color="auto" w:fill="auto"/>
          </w:tcPr>
          <w:p w14:paraId="5BE95C6D" w14:textId="77777777" w:rsidR="0037180F" w:rsidRPr="002A11EE" w:rsidRDefault="0037180F" w:rsidP="001241E1">
            <w:pPr>
              <w:jc w:val="both"/>
              <w:rPr>
                <w:rFonts w:eastAsia="Calibri"/>
              </w:rPr>
            </w:pPr>
            <w:r w:rsidRPr="002A11EE">
              <w:rPr>
                <w:rFonts w:eastAsia="Calibri"/>
              </w:rPr>
              <w:t>8</w:t>
            </w:r>
          </w:p>
        </w:tc>
        <w:tc>
          <w:tcPr>
            <w:tcW w:w="3232" w:type="dxa"/>
            <w:shd w:val="clear" w:color="auto" w:fill="auto"/>
          </w:tcPr>
          <w:p w14:paraId="228B9C43"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60F687EF"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6CC9D49B" w14:textId="77777777" w:rsidR="0037180F" w:rsidRPr="002A11EE" w:rsidRDefault="0037180F" w:rsidP="001241E1">
            <w:pPr>
              <w:jc w:val="both"/>
              <w:rPr>
                <w:rFonts w:eastAsia="Calibri"/>
              </w:rPr>
            </w:pPr>
            <w:r w:rsidRPr="002A11EE">
              <w:rPr>
                <w:rFonts w:eastAsia="Calibri"/>
              </w:rPr>
              <w:t>NG</w:t>
            </w:r>
          </w:p>
        </w:tc>
      </w:tr>
      <w:tr w:rsidR="001E43F5" w:rsidRPr="002A11EE" w14:paraId="7C1990C9" w14:textId="77777777" w:rsidTr="001E43F5">
        <w:tc>
          <w:tcPr>
            <w:tcW w:w="1838" w:type="dxa"/>
            <w:shd w:val="clear" w:color="auto" w:fill="auto"/>
          </w:tcPr>
          <w:p w14:paraId="6EC18644" w14:textId="77777777" w:rsidR="0037180F" w:rsidRPr="002A11EE" w:rsidRDefault="0037180F" w:rsidP="001241E1">
            <w:pPr>
              <w:jc w:val="both"/>
              <w:rPr>
                <w:rFonts w:eastAsia="Calibri"/>
              </w:rPr>
            </w:pPr>
            <w:r w:rsidRPr="002A11EE">
              <w:rPr>
                <w:rFonts w:eastAsia="Calibri"/>
              </w:rPr>
              <w:t>9</w:t>
            </w:r>
          </w:p>
        </w:tc>
        <w:tc>
          <w:tcPr>
            <w:tcW w:w="3232" w:type="dxa"/>
            <w:shd w:val="clear" w:color="auto" w:fill="auto"/>
          </w:tcPr>
          <w:p w14:paraId="1148DB89" w14:textId="77777777" w:rsidR="0037180F" w:rsidRPr="002A11EE" w:rsidRDefault="0037180F" w:rsidP="001241E1">
            <w:pPr>
              <w:jc w:val="both"/>
              <w:rPr>
                <w:rFonts w:eastAsia="Calibri"/>
              </w:rPr>
            </w:pPr>
            <w:r w:rsidRPr="002A11EE">
              <w:rPr>
                <w:rFonts w:eastAsia="Calibri"/>
              </w:rPr>
              <w:t>*S. epidermidis</w:t>
            </w:r>
          </w:p>
        </w:tc>
        <w:tc>
          <w:tcPr>
            <w:tcW w:w="1417" w:type="dxa"/>
            <w:shd w:val="clear" w:color="auto" w:fill="auto"/>
          </w:tcPr>
          <w:p w14:paraId="331AE1EC"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2959FBB1" w14:textId="77777777" w:rsidR="0037180F" w:rsidRPr="002A11EE" w:rsidRDefault="0037180F" w:rsidP="001241E1">
            <w:pPr>
              <w:jc w:val="both"/>
              <w:rPr>
                <w:rFonts w:eastAsia="Calibri"/>
              </w:rPr>
            </w:pPr>
            <w:r w:rsidRPr="002A11EE">
              <w:rPr>
                <w:rFonts w:eastAsia="Calibri"/>
              </w:rPr>
              <w:t>NG</w:t>
            </w:r>
          </w:p>
        </w:tc>
      </w:tr>
      <w:tr w:rsidR="001E43F5" w:rsidRPr="002A11EE" w14:paraId="1BAC132B" w14:textId="77777777" w:rsidTr="001E43F5">
        <w:tc>
          <w:tcPr>
            <w:tcW w:w="1838" w:type="dxa"/>
            <w:shd w:val="clear" w:color="auto" w:fill="auto"/>
          </w:tcPr>
          <w:p w14:paraId="7BD466E7" w14:textId="77777777" w:rsidR="0037180F" w:rsidRPr="002A11EE" w:rsidRDefault="0037180F" w:rsidP="001241E1">
            <w:pPr>
              <w:jc w:val="both"/>
              <w:rPr>
                <w:rFonts w:eastAsia="Calibri"/>
              </w:rPr>
            </w:pPr>
            <w:r w:rsidRPr="002A11EE">
              <w:rPr>
                <w:rFonts w:eastAsia="Calibri"/>
              </w:rPr>
              <w:t>10</w:t>
            </w:r>
          </w:p>
        </w:tc>
        <w:tc>
          <w:tcPr>
            <w:tcW w:w="3232" w:type="dxa"/>
            <w:shd w:val="clear" w:color="auto" w:fill="auto"/>
          </w:tcPr>
          <w:p w14:paraId="1E7C9DBD"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2DBC0BD7"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221F0914" w14:textId="77777777" w:rsidR="0037180F" w:rsidRPr="002A11EE" w:rsidRDefault="0037180F" w:rsidP="001241E1">
            <w:pPr>
              <w:jc w:val="both"/>
              <w:rPr>
                <w:rFonts w:eastAsia="Calibri"/>
              </w:rPr>
            </w:pPr>
            <w:r w:rsidRPr="002A11EE">
              <w:rPr>
                <w:rFonts w:eastAsia="Calibri"/>
              </w:rPr>
              <w:t>NG</w:t>
            </w:r>
          </w:p>
        </w:tc>
      </w:tr>
      <w:tr w:rsidR="001E43F5" w:rsidRPr="002A11EE" w14:paraId="68D77FA9" w14:textId="77777777" w:rsidTr="001E43F5">
        <w:tc>
          <w:tcPr>
            <w:tcW w:w="1838" w:type="dxa"/>
            <w:shd w:val="clear" w:color="auto" w:fill="auto"/>
          </w:tcPr>
          <w:p w14:paraId="3368165D" w14:textId="77777777" w:rsidR="0037180F" w:rsidRPr="002A11EE" w:rsidRDefault="0037180F" w:rsidP="001241E1">
            <w:pPr>
              <w:jc w:val="both"/>
              <w:rPr>
                <w:rFonts w:eastAsia="Calibri"/>
              </w:rPr>
            </w:pPr>
            <w:r w:rsidRPr="002A11EE">
              <w:rPr>
                <w:rFonts w:eastAsia="Calibri"/>
              </w:rPr>
              <w:t>11</w:t>
            </w:r>
          </w:p>
        </w:tc>
        <w:tc>
          <w:tcPr>
            <w:tcW w:w="3232" w:type="dxa"/>
            <w:shd w:val="clear" w:color="auto" w:fill="auto"/>
          </w:tcPr>
          <w:p w14:paraId="3B2EBB09" w14:textId="77777777" w:rsidR="0037180F" w:rsidRPr="002A11EE" w:rsidRDefault="0037180F" w:rsidP="001241E1">
            <w:pPr>
              <w:jc w:val="both"/>
              <w:rPr>
                <w:rFonts w:eastAsia="Calibri"/>
              </w:rPr>
            </w:pPr>
            <w:r w:rsidRPr="002A11EE">
              <w:rPr>
                <w:rFonts w:eastAsia="Calibri"/>
              </w:rPr>
              <w:t>* S. epidermidis</w:t>
            </w:r>
          </w:p>
        </w:tc>
        <w:tc>
          <w:tcPr>
            <w:tcW w:w="1417" w:type="dxa"/>
            <w:shd w:val="clear" w:color="auto" w:fill="auto"/>
          </w:tcPr>
          <w:p w14:paraId="0ACA2C87"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091AEBDF" w14:textId="77777777" w:rsidR="0037180F" w:rsidRPr="002A11EE" w:rsidRDefault="0037180F" w:rsidP="001241E1">
            <w:pPr>
              <w:jc w:val="both"/>
              <w:rPr>
                <w:rFonts w:eastAsia="Calibri"/>
              </w:rPr>
            </w:pPr>
            <w:r w:rsidRPr="002A11EE">
              <w:rPr>
                <w:rFonts w:eastAsia="Calibri"/>
              </w:rPr>
              <w:t>Rothia mucilaginosa**</w:t>
            </w:r>
          </w:p>
        </w:tc>
      </w:tr>
      <w:tr w:rsidR="001E43F5" w:rsidRPr="002A11EE" w14:paraId="688E8203" w14:textId="77777777" w:rsidTr="001E43F5">
        <w:tc>
          <w:tcPr>
            <w:tcW w:w="1838" w:type="dxa"/>
            <w:shd w:val="clear" w:color="auto" w:fill="auto"/>
          </w:tcPr>
          <w:p w14:paraId="2E495255" w14:textId="77777777" w:rsidR="0037180F" w:rsidRPr="002A11EE" w:rsidRDefault="0037180F" w:rsidP="001241E1">
            <w:pPr>
              <w:jc w:val="both"/>
              <w:rPr>
                <w:rFonts w:eastAsia="Calibri"/>
              </w:rPr>
            </w:pPr>
            <w:r w:rsidRPr="002A11EE">
              <w:rPr>
                <w:rFonts w:eastAsia="Calibri"/>
              </w:rPr>
              <w:t>12</w:t>
            </w:r>
          </w:p>
        </w:tc>
        <w:tc>
          <w:tcPr>
            <w:tcW w:w="3232" w:type="dxa"/>
            <w:shd w:val="clear" w:color="auto" w:fill="auto"/>
          </w:tcPr>
          <w:p w14:paraId="4DE85BD9" w14:textId="77777777" w:rsidR="0037180F" w:rsidRPr="002A11EE" w:rsidRDefault="0037180F" w:rsidP="001241E1">
            <w:pPr>
              <w:jc w:val="both"/>
              <w:rPr>
                <w:rFonts w:eastAsia="Calibri"/>
              </w:rPr>
            </w:pPr>
            <w:r w:rsidRPr="002A11EE">
              <w:rPr>
                <w:rFonts w:eastAsia="Calibri"/>
                <w:color w:val="000000"/>
              </w:rPr>
              <w:t>* S</w:t>
            </w:r>
            <w:r w:rsidRPr="002A11EE">
              <w:rPr>
                <w:rFonts w:eastAsia="Calibri"/>
                <w:i/>
                <w:iCs/>
                <w:color w:val="000000"/>
              </w:rPr>
              <w:t xml:space="preserve">. </w:t>
            </w:r>
            <w:r w:rsidRPr="002A11EE">
              <w:rPr>
                <w:rFonts w:eastAsia="Calibri"/>
                <w:color w:val="000000"/>
              </w:rPr>
              <w:t>epidermidis</w:t>
            </w:r>
          </w:p>
        </w:tc>
        <w:tc>
          <w:tcPr>
            <w:tcW w:w="1417" w:type="dxa"/>
            <w:shd w:val="clear" w:color="auto" w:fill="auto"/>
          </w:tcPr>
          <w:p w14:paraId="66186CEB"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52177273" w14:textId="77777777" w:rsidR="0037180F" w:rsidRPr="002A11EE" w:rsidRDefault="0037180F" w:rsidP="001241E1">
            <w:pPr>
              <w:jc w:val="both"/>
              <w:rPr>
                <w:rFonts w:eastAsia="Calibri"/>
              </w:rPr>
            </w:pPr>
            <w:r w:rsidRPr="002A11EE">
              <w:rPr>
                <w:rFonts w:eastAsia="Calibri"/>
              </w:rPr>
              <w:t>NG</w:t>
            </w:r>
          </w:p>
        </w:tc>
      </w:tr>
      <w:tr w:rsidR="001E43F5" w:rsidRPr="002A11EE" w14:paraId="372C7F49" w14:textId="77777777" w:rsidTr="001E43F5">
        <w:tc>
          <w:tcPr>
            <w:tcW w:w="1838" w:type="dxa"/>
            <w:shd w:val="clear" w:color="auto" w:fill="auto"/>
          </w:tcPr>
          <w:p w14:paraId="3E1E9DEF" w14:textId="77777777" w:rsidR="0037180F" w:rsidRPr="002A11EE" w:rsidRDefault="0037180F" w:rsidP="001241E1">
            <w:pPr>
              <w:jc w:val="both"/>
              <w:rPr>
                <w:rFonts w:eastAsia="Calibri"/>
              </w:rPr>
            </w:pPr>
            <w:r w:rsidRPr="002A11EE">
              <w:rPr>
                <w:rFonts w:eastAsia="Calibri"/>
              </w:rPr>
              <w:t>13</w:t>
            </w:r>
          </w:p>
        </w:tc>
        <w:tc>
          <w:tcPr>
            <w:tcW w:w="3232" w:type="dxa"/>
            <w:shd w:val="clear" w:color="auto" w:fill="auto"/>
          </w:tcPr>
          <w:p w14:paraId="379DA26E" w14:textId="368C3F99" w:rsidR="0037180F" w:rsidRPr="002A11EE" w:rsidRDefault="0037180F" w:rsidP="001241E1">
            <w:pPr>
              <w:jc w:val="both"/>
              <w:rPr>
                <w:rFonts w:eastAsia="Calibri"/>
              </w:rPr>
            </w:pPr>
            <w:r w:rsidRPr="002A11EE">
              <w:rPr>
                <w:rFonts w:eastAsia="Calibri"/>
              </w:rPr>
              <w:t>*S.</w:t>
            </w:r>
            <w:r w:rsidR="00D12E17" w:rsidRPr="002A11EE">
              <w:rPr>
                <w:rFonts w:eastAsia="Calibri"/>
              </w:rPr>
              <w:t xml:space="preserve"> </w:t>
            </w:r>
            <w:r w:rsidRPr="002A11EE">
              <w:rPr>
                <w:rFonts w:eastAsia="Calibri"/>
              </w:rPr>
              <w:t>epidermidis                       *Enterococcus faecalis</w:t>
            </w:r>
          </w:p>
        </w:tc>
        <w:tc>
          <w:tcPr>
            <w:tcW w:w="1417" w:type="dxa"/>
            <w:shd w:val="clear" w:color="auto" w:fill="auto"/>
          </w:tcPr>
          <w:p w14:paraId="356D302D"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38DDFC80" w14:textId="77777777" w:rsidR="0037180F" w:rsidRPr="002A11EE" w:rsidRDefault="0037180F" w:rsidP="001241E1">
            <w:pPr>
              <w:jc w:val="both"/>
              <w:rPr>
                <w:rFonts w:eastAsia="Calibri"/>
              </w:rPr>
            </w:pPr>
            <w:r w:rsidRPr="002A11EE">
              <w:rPr>
                <w:rFonts w:eastAsia="Calibri"/>
              </w:rPr>
              <w:t>NG</w:t>
            </w:r>
          </w:p>
        </w:tc>
      </w:tr>
      <w:tr w:rsidR="001E43F5" w:rsidRPr="002A11EE" w14:paraId="2073BCFD" w14:textId="77777777" w:rsidTr="00CB279D">
        <w:trPr>
          <w:trHeight w:val="539"/>
        </w:trPr>
        <w:tc>
          <w:tcPr>
            <w:tcW w:w="1838" w:type="dxa"/>
            <w:shd w:val="clear" w:color="auto" w:fill="auto"/>
          </w:tcPr>
          <w:p w14:paraId="411BE39E" w14:textId="77777777" w:rsidR="0037180F" w:rsidRPr="002A11EE" w:rsidRDefault="0037180F" w:rsidP="001241E1">
            <w:pPr>
              <w:jc w:val="both"/>
              <w:rPr>
                <w:rFonts w:eastAsia="Calibri"/>
              </w:rPr>
            </w:pPr>
            <w:r w:rsidRPr="002A11EE">
              <w:rPr>
                <w:rFonts w:eastAsia="Calibri"/>
              </w:rPr>
              <w:t>14</w:t>
            </w:r>
          </w:p>
        </w:tc>
        <w:tc>
          <w:tcPr>
            <w:tcW w:w="3232" w:type="dxa"/>
            <w:shd w:val="clear" w:color="auto" w:fill="auto"/>
          </w:tcPr>
          <w:p w14:paraId="65F804E7" w14:textId="352A65B2" w:rsidR="0037180F" w:rsidRPr="002A11EE" w:rsidRDefault="0037180F" w:rsidP="00CB279D">
            <w:pPr>
              <w:rPr>
                <w:rFonts w:eastAsia="Calibri"/>
              </w:rPr>
            </w:pPr>
            <w:r w:rsidRPr="002A11EE">
              <w:rPr>
                <w:rFonts w:eastAsia="Calibri"/>
              </w:rPr>
              <w:t>*S.</w:t>
            </w:r>
            <w:r w:rsidR="00D12E17" w:rsidRPr="002A11EE">
              <w:rPr>
                <w:rFonts w:eastAsia="Calibri"/>
              </w:rPr>
              <w:t xml:space="preserve"> </w:t>
            </w:r>
            <w:r w:rsidRPr="002A11EE">
              <w:rPr>
                <w:rFonts w:eastAsia="Calibri"/>
              </w:rPr>
              <w:t>epidermidis                    *C. propinquum</w:t>
            </w:r>
          </w:p>
        </w:tc>
        <w:tc>
          <w:tcPr>
            <w:tcW w:w="1417" w:type="dxa"/>
            <w:shd w:val="clear" w:color="auto" w:fill="auto"/>
          </w:tcPr>
          <w:p w14:paraId="76E11052"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333C040A" w14:textId="77777777" w:rsidR="0037180F" w:rsidRPr="002A11EE" w:rsidRDefault="0037180F" w:rsidP="001241E1">
            <w:pPr>
              <w:jc w:val="both"/>
              <w:rPr>
                <w:rFonts w:eastAsia="Calibri"/>
              </w:rPr>
            </w:pPr>
            <w:r w:rsidRPr="002A11EE">
              <w:rPr>
                <w:rFonts w:eastAsia="Calibri"/>
              </w:rPr>
              <w:t>NG</w:t>
            </w:r>
          </w:p>
        </w:tc>
      </w:tr>
      <w:tr w:rsidR="001E43F5" w:rsidRPr="002A11EE" w14:paraId="541C4715" w14:textId="77777777" w:rsidTr="001E43F5">
        <w:tc>
          <w:tcPr>
            <w:tcW w:w="1838" w:type="dxa"/>
            <w:shd w:val="clear" w:color="auto" w:fill="auto"/>
          </w:tcPr>
          <w:p w14:paraId="13260915" w14:textId="77777777" w:rsidR="0037180F" w:rsidRPr="002A11EE" w:rsidRDefault="0037180F" w:rsidP="001241E1">
            <w:pPr>
              <w:jc w:val="both"/>
              <w:rPr>
                <w:rFonts w:eastAsia="Calibri"/>
              </w:rPr>
            </w:pPr>
            <w:r w:rsidRPr="002A11EE">
              <w:rPr>
                <w:rFonts w:eastAsia="Calibri"/>
              </w:rPr>
              <w:t>15</w:t>
            </w:r>
          </w:p>
        </w:tc>
        <w:tc>
          <w:tcPr>
            <w:tcW w:w="3232" w:type="dxa"/>
            <w:shd w:val="clear" w:color="auto" w:fill="auto"/>
          </w:tcPr>
          <w:p w14:paraId="353735EF" w14:textId="77777777" w:rsidR="0037180F" w:rsidRPr="002A11EE" w:rsidRDefault="0037180F" w:rsidP="001241E1">
            <w:pPr>
              <w:jc w:val="both"/>
              <w:rPr>
                <w:rFonts w:eastAsia="Calibri"/>
              </w:rPr>
            </w:pPr>
            <w:r w:rsidRPr="002A11EE">
              <w:rPr>
                <w:rFonts w:eastAsia="Calibri"/>
              </w:rPr>
              <w:t>*S. epidermidis</w:t>
            </w:r>
          </w:p>
          <w:p w14:paraId="221CDA5B" w14:textId="77777777" w:rsidR="0037180F" w:rsidRPr="002A11EE" w:rsidRDefault="0037180F" w:rsidP="001241E1">
            <w:pPr>
              <w:jc w:val="both"/>
              <w:rPr>
                <w:rFonts w:eastAsia="Calibri"/>
              </w:rPr>
            </w:pPr>
            <w:r w:rsidRPr="002A11EE">
              <w:rPr>
                <w:rFonts w:eastAsia="Calibri"/>
              </w:rPr>
              <w:t>*C. propinquum</w:t>
            </w:r>
          </w:p>
        </w:tc>
        <w:tc>
          <w:tcPr>
            <w:tcW w:w="1417" w:type="dxa"/>
            <w:shd w:val="clear" w:color="auto" w:fill="auto"/>
          </w:tcPr>
          <w:p w14:paraId="47F1A84E"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1CD28A9C" w14:textId="77777777" w:rsidR="0037180F" w:rsidRPr="002A11EE" w:rsidRDefault="0037180F" w:rsidP="001241E1">
            <w:pPr>
              <w:jc w:val="both"/>
              <w:rPr>
                <w:rFonts w:eastAsia="Calibri"/>
              </w:rPr>
            </w:pPr>
            <w:r w:rsidRPr="002A11EE">
              <w:rPr>
                <w:rFonts w:eastAsia="Calibri"/>
              </w:rPr>
              <w:t>NG</w:t>
            </w:r>
          </w:p>
        </w:tc>
      </w:tr>
      <w:tr w:rsidR="001E43F5" w:rsidRPr="002A11EE" w14:paraId="51590F0A" w14:textId="77777777" w:rsidTr="001E43F5">
        <w:tc>
          <w:tcPr>
            <w:tcW w:w="1838" w:type="dxa"/>
            <w:shd w:val="clear" w:color="auto" w:fill="auto"/>
          </w:tcPr>
          <w:p w14:paraId="5BDFC43F" w14:textId="77777777" w:rsidR="0037180F" w:rsidRPr="002A11EE" w:rsidRDefault="0037180F" w:rsidP="001241E1">
            <w:pPr>
              <w:jc w:val="both"/>
              <w:rPr>
                <w:rFonts w:eastAsia="Calibri"/>
              </w:rPr>
            </w:pPr>
            <w:r w:rsidRPr="002A11EE">
              <w:rPr>
                <w:rFonts w:eastAsia="Calibri"/>
              </w:rPr>
              <w:t>16</w:t>
            </w:r>
          </w:p>
        </w:tc>
        <w:tc>
          <w:tcPr>
            <w:tcW w:w="3232" w:type="dxa"/>
            <w:shd w:val="clear" w:color="auto" w:fill="auto"/>
          </w:tcPr>
          <w:p w14:paraId="629F03ED" w14:textId="77777777" w:rsidR="00526D7C" w:rsidRPr="002A11EE" w:rsidRDefault="0037180F" w:rsidP="001241E1">
            <w:pPr>
              <w:jc w:val="both"/>
              <w:rPr>
                <w:rFonts w:eastAsia="Calibri"/>
              </w:rPr>
            </w:pPr>
            <w:r w:rsidRPr="002A11EE">
              <w:rPr>
                <w:rFonts w:eastAsia="Calibri"/>
              </w:rPr>
              <w:t xml:space="preserve">*C. pseudodiptheriticum  </w:t>
            </w:r>
          </w:p>
          <w:p w14:paraId="32789A00" w14:textId="70E37F7E" w:rsidR="0037180F" w:rsidRPr="002A11EE" w:rsidRDefault="0037180F" w:rsidP="001241E1">
            <w:pPr>
              <w:jc w:val="both"/>
              <w:rPr>
                <w:rFonts w:eastAsia="Calibri"/>
              </w:rPr>
            </w:pPr>
            <w:r w:rsidRPr="002A11EE">
              <w:rPr>
                <w:rFonts w:eastAsia="Calibri"/>
              </w:rPr>
              <w:t>*C. accolens</w:t>
            </w:r>
          </w:p>
        </w:tc>
        <w:tc>
          <w:tcPr>
            <w:tcW w:w="1417" w:type="dxa"/>
            <w:shd w:val="clear" w:color="auto" w:fill="auto"/>
          </w:tcPr>
          <w:p w14:paraId="57B8C82B"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66E3EF1D" w14:textId="77777777" w:rsidR="0037180F" w:rsidRPr="002A11EE" w:rsidRDefault="0037180F" w:rsidP="001241E1">
            <w:pPr>
              <w:jc w:val="both"/>
              <w:rPr>
                <w:rFonts w:eastAsia="Calibri"/>
              </w:rPr>
            </w:pPr>
            <w:r w:rsidRPr="002A11EE">
              <w:rPr>
                <w:rFonts w:eastAsia="Calibri"/>
              </w:rPr>
              <w:t>NG</w:t>
            </w:r>
          </w:p>
        </w:tc>
      </w:tr>
      <w:tr w:rsidR="001E43F5" w:rsidRPr="002A11EE" w14:paraId="0F8025D0" w14:textId="77777777" w:rsidTr="001E43F5">
        <w:tc>
          <w:tcPr>
            <w:tcW w:w="1838" w:type="dxa"/>
            <w:shd w:val="clear" w:color="auto" w:fill="auto"/>
          </w:tcPr>
          <w:p w14:paraId="60A2D4DD" w14:textId="77777777" w:rsidR="0037180F" w:rsidRPr="002A11EE" w:rsidRDefault="0037180F" w:rsidP="001241E1">
            <w:pPr>
              <w:jc w:val="both"/>
              <w:rPr>
                <w:rFonts w:eastAsia="Calibri"/>
              </w:rPr>
            </w:pPr>
            <w:r w:rsidRPr="002A11EE">
              <w:rPr>
                <w:rFonts w:eastAsia="Calibri"/>
              </w:rPr>
              <w:t>17</w:t>
            </w:r>
          </w:p>
        </w:tc>
        <w:tc>
          <w:tcPr>
            <w:tcW w:w="3232" w:type="dxa"/>
            <w:shd w:val="clear" w:color="auto" w:fill="auto"/>
          </w:tcPr>
          <w:p w14:paraId="61CD0125"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10B1C0A3"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0E37D8AD" w14:textId="77777777" w:rsidR="0037180F" w:rsidRPr="002A11EE" w:rsidRDefault="0037180F" w:rsidP="001241E1">
            <w:pPr>
              <w:jc w:val="both"/>
              <w:rPr>
                <w:rFonts w:eastAsia="Calibri"/>
              </w:rPr>
            </w:pPr>
            <w:r w:rsidRPr="002A11EE">
              <w:rPr>
                <w:rFonts w:eastAsia="Calibri"/>
              </w:rPr>
              <w:t>NG</w:t>
            </w:r>
          </w:p>
        </w:tc>
      </w:tr>
      <w:tr w:rsidR="001E43F5" w:rsidRPr="002A11EE" w14:paraId="4C207914" w14:textId="77777777" w:rsidTr="001E43F5">
        <w:tc>
          <w:tcPr>
            <w:tcW w:w="1838" w:type="dxa"/>
            <w:shd w:val="clear" w:color="auto" w:fill="auto"/>
          </w:tcPr>
          <w:p w14:paraId="4237628C" w14:textId="77777777" w:rsidR="0037180F" w:rsidRPr="002A11EE" w:rsidRDefault="0037180F" w:rsidP="001241E1">
            <w:pPr>
              <w:jc w:val="both"/>
              <w:rPr>
                <w:rFonts w:eastAsia="Calibri"/>
              </w:rPr>
            </w:pPr>
            <w:r w:rsidRPr="002A11EE">
              <w:rPr>
                <w:rFonts w:eastAsia="Calibri"/>
              </w:rPr>
              <w:t>18</w:t>
            </w:r>
          </w:p>
        </w:tc>
        <w:tc>
          <w:tcPr>
            <w:tcW w:w="3232" w:type="dxa"/>
            <w:shd w:val="clear" w:color="auto" w:fill="auto"/>
          </w:tcPr>
          <w:p w14:paraId="61CC615C"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78BFF1B7"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76A8FDE0" w14:textId="77777777" w:rsidR="0037180F" w:rsidRPr="002A11EE" w:rsidRDefault="0037180F" w:rsidP="001241E1">
            <w:pPr>
              <w:jc w:val="both"/>
              <w:rPr>
                <w:rFonts w:eastAsia="Calibri"/>
              </w:rPr>
            </w:pPr>
            <w:r w:rsidRPr="002A11EE">
              <w:rPr>
                <w:rFonts w:eastAsia="Calibri"/>
              </w:rPr>
              <w:t>NG</w:t>
            </w:r>
          </w:p>
        </w:tc>
      </w:tr>
      <w:tr w:rsidR="001E43F5" w:rsidRPr="002A11EE" w14:paraId="74ADBD42" w14:textId="77777777" w:rsidTr="001E43F5">
        <w:tc>
          <w:tcPr>
            <w:tcW w:w="1838" w:type="dxa"/>
            <w:shd w:val="clear" w:color="auto" w:fill="auto"/>
          </w:tcPr>
          <w:p w14:paraId="14D1D41A" w14:textId="77777777" w:rsidR="0037180F" w:rsidRPr="002A11EE" w:rsidRDefault="0037180F" w:rsidP="001241E1">
            <w:pPr>
              <w:jc w:val="both"/>
              <w:rPr>
                <w:rFonts w:eastAsia="Calibri"/>
              </w:rPr>
            </w:pPr>
            <w:r w:rsidRPr="002A11EE">
              <w:rPr>
                <w:rFonts w:eastAsia="Calibri"/>
              </w:rPr>
              <w:t>19</w:t>
            </w:r>
          </w:p>
        </w:tc>
        <w:tc>
          <w:tcPr>
            <w:tcW w:w="3232" w:type="dxa"/>
            <w:shd w:val="clear" w:color="auto" w:fill="auto"/>
          </w:tcPr>
          <w:p w14:paraId="50C2A922" w14:textId="77777777" w:rsidR="0037180F" w:rsidRPr="002A11EE" w:rsidRDefault="0037180F" w:rsidP="001241E1">
            <w:pPr>
              <w:jc w:val="both"/>
              <w:rPr>
                <w:rFonts w:eastAsia="Calibri"/>
              </w:rPr>
            </w:pPr>
            <w:r w:rsidRPr="002A11EE">
              <w:rPr>
                <w:rFonts w:eastAsia="Calibri"/>
              </w:rPr>
              <w:t>*S. epidermidis</w:t>
            </w:r>
          </w:p>
        </w:tc>
        <w:tc>
          <w:tcPr>
            <w:tcW w:w="1417" w:type="dxa"/>
            <w:shd w:val="clear" w:color="auto" w:fill="auto"/>
          </w:tcPr>
          <w:p w14:paraId="56DF6653"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53656A59" w14:textId="77777777" w:rsidR="0037180F" w:rsidRPr="002A11EE" w:rsidRDefault="0037180F" w:rsidP="001241E1">
            <w:pPr>
              <w:jc w:val="both"/>
              <w:rPr>
                <w:rFonts w:eastAsia="Calibri"/>
              </w:rPr>
            </w:pPr>
            <w:r w:rsidRPr="002A11EE">
              <w:rPr>
                <w:rFonts w:eastAsia="Calibri"/>
              </w:rPr>
              <w:t>S. hominis**</w:t>
            </w:r>
          </w:p>
        </w:tc>
      </w:tr>
      <w:tr w:rsidR="001E43F5" w:rsidRPr="002A11EE" w14:paraId="18A1864D" w14:textId="77777777" w:rsidTr="001E43F5">
        <w:tc>
          <w:tcPr>
            <w:tcW w:w="1838" w:type="dxa"/>
            <w:shd w:val="clear" w:color="auto" w:fill="auto"/>
          </w:tcPr>
          <w:p w14:paraId="48428084" w14:textId="77777777" w:rsidR="0037180F" w:rsidRPr="002A11EE" w:rsidRDefault="0037180F" w:rsidP="001241E1">
            <w:pPr>
              <w:jc w:val="both"/>
              <w:rPr>
                <w:rFonts w:eastAsia="Calibri"/>
              </w:rPr>
            </w:pPr>
            <w:r w:rsidRPr="002A11EE">
              <w:rPr>
                <w:rFonts w:eastAsia="Calibri"/>
              </w:rPr>
              <w:t>20</w:t>
            </w:r>
          </w:p>
        </w:tc>
        <w:tc>
          <w:tcPr>
            <w:tcW w:w="3232" w:type="dxa"/>
            <w:shd w:val="clear" w:color="auto" w:fill="auto"/>
          </w:tcPr>
          <w:p w14:paraId="3A492564" w14:textId="3D1876B8" w:rsidR="0037180F" w:rsidRPr="002A11EE" w:rsidRDefault="0037180F" w:rsidP="001241E1">
            <w:pPr>
              <w:jc w:val="both"/>
              <w:rPr>
                <w:rFonts w:eastAsia="Calibri"/>
              </w:rPr>
            </w:pPr>
            <w:r w:rsidRPr="002A11EE">
              <w:rPr>
                <w:rFonts w:eastAsia="Calibri"/>
              </w:rPr>
              <w:t>*C.</w:t>
            </w:r>
            <w:r w:rsidR="00CB279D" w:rsidRPr="002A11EE">
              <w:rPr>
                <w:rFonts w:eastAsia="Calibri"/>
              </w:rPr>
              <w:t xml:space="preserve"> </w:t>
            </w:r>
            <w:r w:rsidRPr="002A11EE">
              <w:rPr>
                <w:rFonts w:eastAsia="Calibri"/>
              </w:rPr>
              <w:t>pseudodiptheriticum</w:t>
            </w:r>
          </w:p>
        </w:tc>
        <w:tc>
          <w:tcPr>
            <w:tcW w:w="1417" w:type="dxa"/>
            <w:shd w:val="clear" w:color="auto" w:fill="auto"/>
          </w:tcPr>
          <w:p w14:paraId="232C3436"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71DBCF02" w14:textId="77777777" w:rsidR="0037180F" w:rsidRPr="002A11EE" w:rsidRDefault="0037180F" w:rsidP="001241E1">
            <w:pPr>
              <w:jc w:val="both"/>
              <w:rPr>
                <w:rFonts w:eastAsia="Calibri"/>
              </w:rPr>
            </w:pPr>
            <w:r w:rsidRPr="002A11EE">
              <w:rPr>
                <w:rFonts w:eastAsia="Calibri"/>
              </w:rPr>
              <w:t>NG</w:t>
            </w:r>
          </w:p>
        </w:tc>
      </w:tr>
      <w:tr w:rsidR="001E43F5" w:rsidRPr="002A11EE" w14:paraId="308A6364" w14:textId="77777777" w:rsidTr="001E43F5">
        <w:tc>
          <w:tcPr>
            <w:tcW w:w="1838" w:type="dxa"/>
            <w:shd w:val="clear" w:color="auto" w:fill="auto"/>
          </w:tcPr>
          <w:p w14:paraId="07A9F425" w14:textId="77777777" w:rsidR="0037180F" w:rsidRPr="002A11EE" w:rsidRDefault="0037180F" w:rsidP="001241E1">
            <w:pPr>
              <w:jc w:val="both"/>
              <w:rPr>
                <w:rFonts w:eastAsia="Calibri"/>
              </w:rPr>
            </w:pPr>
            <w:r w:rsidRPr="002A11EE">
              <w:rPr>
                <w:rFonts w:eastAsia="Calibri"/>
              </w:rPr>
              <w:t>21</w:t>
            </w:r>
          </w:p>
        </w:tc>
        <w:tc>
          <w:tcPr>
            <w:tcW w:w="3232" w:type="dxa"/>
            <w:shd w:val="clear" w:color="auto" w:fill="auto"/>
          </w:tcPr>
          <w:p w14:paraId="1E07DD73"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2EC74C7C"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2ECE045E" w14:textId="77777777" w:rsidR="0037180F" w:rsidRPr="002A11EE" w:rsidRDefault="0037180F" w:rsidP="001241E1">
            <w:pPr>
              <w:jc w:val="both"/>
              <w:rPr>
                <w:rFonts w:eastAsia="Calibri"/>
              </w:rPr>
            </w:pPr>
            <w:r w:rsidRPr="002A11EE">
              <w:rPr>
                <w:rFonts w:eastAsia="Calibri"/>
              </w:rPr>
              <w:t>NG</w:t>
            </w:r>
          </w:p>
        </w:tc>
      </w:tr>
      <w:tr w:rsidR="001E43F5" w:rsidRPr="002A11EE" w14:paraId="5EAC3AF9" w14:textId="77777777" w:rsidTr="001E43F5">
        <w:tc>
          <w:tcPr>
            <w:tcW w:w="1838" w:type="dxa"/>
            <w:shd w:val="clear" w:color="auto" w:fill="auto"/>
          </w:tcPr>
          <w:p w14:paraId="4813B39E" w14:textId="77777777" w:rsidR="0037180F" w:rsidRPr="002A11EE" w:rsidRDefault="0037180F" w:rsidP="001241E1">
            <w:pPr>
              <w:jc w:val="both"/>
              <w:rPr>
                <w:rFonts w:eastAsia="Calibri"/>
              </w:rPr>
            </w:pPr>
            <w:r w:rsidRPr="002A11EE">
              <w:rPr>
                <w:rFonts w:eastAsia="Calibri"/>
              </w:rPr>
              <w:t>22</w:t>
            </w:r>
          </w:p>
        </w:tc>
        <w:tc>
          <w:tcPr>
            <w:tcW w:w="3232" w:type="dxa"/>
            <w:shd w:val="clear" w:color="auto" w:fill="auto"/>
          </w:tcPr>
          <w:p w14:paraId="36DE8865" w14:textId="77777777" w:rsidR="0037180F" w:rsidRPr="002A11EE" w:rsidRDefault="0037180F" w:rsidP="001241E1">
            <w:pPr>
              <w:jc w:val="both"/>
              <w:rPr>
                <w:rFonts w:eastAsia="Calibri"/>
              </w:rPr>
            </w:pPr>
            <w:r w:rsidRPr="002A11EE">
              <w:rPr>
                <w:rFonts w:eastAsia="Calibri"/>
              </w:rPr>
              <w:t>NG</w:t>
            </w:r>
          </w:p>
        </w:tc>
        <w:tc>
          <w:tcPr>
            <w:tcW w:w="1417" w:type="dxa"/>
            <w:shd w:val="clear" w:color="auto" w:fill="auto"/>
          </w:tcPr>
          <w:p w14:paraId="122355EC"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70A4004B" w14:textId="77777777" w:rsidR="0037180F" w:rsidRPr="002A11EE" w:rsidRDefault="0037180F" w:rsidP="001241E1">
            <w:pPr>
              <w:jc w:val="both"/>
              <w:rPr>
                <w:rFonts w:eastAsia="Calibri"/>
              </w:rPr>
            </w:pPr>
            <w:r w:rsidRPr="002A11EE">
              <w:rPr>
                <w:rFonts w:eastAsia="Calibri"/>
              </w:rPr>
              <w:t>NG</w:t>
            </w:r>
          </w:p>
        </w:tc>
      </w:tr>
      <w:tr w:rsidR="001E43F5" w:rsidRPr="002A11EE" w14:paraId="2F2E5B4C" w14:textId="77777777" w:rsidTr="001E43F5">
        <w:tc>
          <w:tcPr>
            <w:tcW w:w="1838" w:type="dxa"/>
            <w:shd w:val="clear" w:color="auto" w:fill="auto"/>
          </w:tcPr>
          <w:p w14:paraId="105F5ADF" w14:textId="77777777" w:rsidR="0037180F" w:rsidRPr="002A11EE" w:rsidRDefault="0037180F" w:rsidP="001241E1">
            <w:pPr>
              <w:jc w:val="both"/>
              <w:rPr>
                <w:rFonts w:eastAsia="Calibri"/>
              </w:rPr>
            </w:pPr>
            <w:r w:rsidRPr="002A11EE">
              <w:rPr>
                <w:rFonts w:eastAsia="Calibri"/>
              </w:rPr>
              <w:t>23</w:t>
            </w:r>
          </w:p>
        </w:tc>
        <w:tc>
          <w:tcPr>
            <w:tcW w:w="3232" w:type="dxa"/>
            <w:shd w:val="clear" w:color="auto" w:fill="auto"/>
          </w:tcPr>
          <w:p w14:paraId="352DCC84" w14:textId="24D41075" w:rsidR="0037180F" w:rsidRPr="002A11EE" w:rsidRDefault="0037180F" w:rsidP="00CB279D">
            <w:pPr>
              <w:rPr>
                <w:rFonts w:eastAsia="Calibri"/>
              </w:rPr>
            </w:pPr>
            <w:r w:rsidRPr="002A11EE">
              <w:rPr>
                <w:rFonts w:eastAsia="Calibri"/>
              </w:rPr>
              <w:t>*S.</w:t>
            </w:r>
            <w:r w:rsidR="00CB279D" w:rsidRPr="002A11EE">
              <w:rPr>
                <w:rFonts w:eastAsia="Calibri"/>
              </w:rPr>
              <w:t xml:space="preserve"> </w:t>
            </w:r>
            <w:r w:rsidRPr="002A11EE">
              <w:rPr>
                <w:rFonts w:eastAsia="Calibri"/>
              </w:rPr>
              <w:t>aureus</w:t>
            </w:r>
            <w:r w:rsidR="0095106C" w:rsidRPr="002A11EE">
              <w:rPr>
                <w:rFonts w:eastAsia="Calibri"/>
              </w:rPr>
              <w:t>,</w:t>
            </w:r>
            <w:r w:rsidR="00CB279D" w:rsidRPr="002A11EE">
              <w:rPr>
                <w:rFonts w:eastAsia="Calibri"/>
              </w:rPr>
              <w:t xml:space="preserve"> </w:t>
            </w:r>
            <w:r w:rsidR="0095106C" w:rsidRPr="002A11EE">
              <w:rPr>
                <w:rFonts w:eastAsia="Calibri"/>
              </w:rPr>
              <w:t>*S.</w:t>
            </w:r>
            <w:r w:rsidR="00CB279D" w:rsidRPr="002A11EE">
              <w:rPr>
                <w:rFonts w:eastAsia="Calibri"/>
              </w:rPr>
              <w:t xml:space="preserve"> c</w:t>
            </w:r>
            <w:r w:rsidR="0095106C" w:rsidRPr="002A11EE">
              <w:rPr>
                <w:rFonts w:eastAsia="Calibri"/>
              </w:rPr>
              <w:t>apitis</w:t>
            </w:r>
            <w:r w:rsidRPr="002A11EE">
              <w:rPr>
                <w:rFonts w:eastAsia="Calibri"/>
              </w:rPr>
              <w:t xml:space="preserve">                                                                          *S. epidermidis</w:t>
            </w:r>
          </w:p>
        </w:tc>
        <w:tc>
          <w:tcPr>
            <w:tcW w:w="1417" w:type="dxa"/>
            <w:shd w:val="clear" w:color="auto" w:fill="auto"/>
          </w:tcPr>
          <w:p w14:paraId="390BC3F0" w14:textId="77777777" w:rsidR="0037180F" w:rsidRPr="002A11EE" w:rsidRDefault="0037180F" w:rsidP="001241E1">
            <w:pPr>
              <w:jc w:val="both"/>
              <w:rPr>
                <w:rFonts w:eastAsia="Calibri"/>
              </w:rPr>
            </w:pPr>
            <w:r w:rsidRPr="002A11EE">
              <w:rPr>
                <w:rFonts w:eastAsia="Calibri"/>
              </w:rPr>
              <w:t>NG</w:t>
            </w:r>
          </w:p>
        </w:tc>
        <w:tc>
          <w:tcPr>
            <w:tcW w:w="2529" w:type="dxa"/>
            <w:shd w:val="clear" w:color="auto" w:fill="auto"/>
          </w:tcPr>
          <w:p w14:paraId="13689BD1" w14:textId="77777777" w:rsidR="0037180F" w:rsidRPr="002A11EE" w:rsidRDefault="0037180F" w:rsidP="001241E1">
            <w:pPr>
              <w:jc w:val="both"/>
              <w:rPr>
                <w:rFonts w:eastAsia="Calibri"/>
              </w:rPr>
            </w:pPr>
            <w:r w:rsidRPr="002A11EE">
              <w:rPr>
                <w:rFonts w:eastAsia="Calibri"/>
              </w:rPr>
              <w:t>NG</w:t>
            </w:r>
          </w:p>
        </w:tc>
      </w:tr>
    </w:tbl>
    <w:p w14:paraId="6555E07E" w14:textId="77777777" w:rsidR="0037180F" w:rsidRPr="002A11EE" w:rsidRDefault="0037180F" w:rsidP="001241E1">
      <w:pPr>
        <w:jc w:val="both"/>
        <w:rPr>
          <w:sz w:val="20"/>
        </w:rPr>
      </w:pPr>
    </w:p>
    <w:p w14:paraId="5332D546" w14:textId="60D02514" w:rsidR="00B46458" w:rsidRPr="002A11EE" w:rsidRDefault="00B46458" w:rsidP="001241E1">
      <w:pPr>
        <w:spacing w:after="349"/>
        <w:ind w:left="17" w:right="6"/>
        <w:jc w:val="both"/>
      </w:pPr>
      <w:r w:rsidRPr="002A11EE">
        <w:t>S= Staphylococcus   C= Corynebacterium. NG= No growth.</w:t>
      </w:r>
    </w:p>
    <w:p w14:paraId="330D7B8E" w14:textId="2E21C6B0" w:rsidR="00B46458" w:rsidRPr="002A11EE" w:rsidRDefault="00B46458" w:rsidP="001241E1">
      <w:pPr>
        <w:spacing w:after="349"/>
        <w:ind w:left="17" w:right="6"/>
        <w:jc w:val="both"/>
      </w:pPr>
      <w:r w:rsidRPr="002A11EE">
        <w:t xml:space="preserve">*Part of normal nasal flora. </w:t>
      </w:r>
    </w:p>
    <w:p w14:paraId="3136D3BC" w14:textId="4EF3AA40" w:rsidR="00B46458" w:rsidRPr="002A11EE" w:rsidRDefault="00B46458" w:rsidP="001241E1">
      <w:pPr>
        <w:spacing w:after="349"/>
        <w:ind w:left="17" w:right="6"/>
        <w:jc w:val="both"/>
      </w:pPr>
      <w:r w:rsidRPr="002A11EE">
        <w:t xml:space="preserve">** Potential contaminants as they </w:t>
      </w:r>
      <w:r w:rsidR="00946297" w:rsidRPr="002A11EE">
        <w:t>do not</w:t>
      </w:r>
      <w:r w:rsidRPr="002A11EE">
        <w:t xml:space="preserve"> match original growth from the nozzle/actuator samples. </w:t>
      </w:r>
    </w:p>
    <w:p w14:paraId="692B3DA9" w14:textId="00078FE2" w:rsidR="00F44DAA" w:rsidRPr="002A11EE" w:rsidRDefault="002F7FED" w:rsidP="001241E1">
      <w:pPr>
        <w:pStyle w:val="Heading2"/>
        <w:jc w:val="both"/>
      </w:pPr>
      <w:r w:rsidRPr="002A11EE">
        <w:lastRenderedPageBreak/>
        <w:t>Bullet Point Summary</w:t>
      </w:r>
    </w:p>
    <w:p w14:paraId="3AE966CB" w14:textId="77777777" w:rsidR="002F7FED" w:rsidRPr="002A11EE" w:rsidRDefault="002F7FED" w:rsidP="001241E1">
      <w:pPr>
        <w:jc w:val="both"/>
      </w:pPr>
    </w:p>
    <w:p w14:paraId="1DF08A4E" w14:textId="77777777" w:rsidR="005607CF" w:rsidRPr="002A11EE" w:rsidRDefault="005607CF" w:rsidP="001241E1">
      <w:pPr>
        <w:spacing w:line="480" w:lineRule="auto"/>
        <w:jc w:val="both"/>
        <w:rPr>
          <w:b/>
          <w:bCs/>
        </w:rPr>
      </w:pPr>
    </w:p>
    <w:p w14:paraId="2FF6861D" w14:textId="0205E60B" w:rsidR="005607CF" w:rsidRPr="002A11EE" w:rsidRDefault="005607CF" w:rsidP="001241E1">
      <w:pPr>
        <w:pStyle w:val="ListParagraph"/>
        <w:numPr>
          <w:ilvl w:val="0"/>
          <w:numId w:val="2"/>
        </w:numPr>
        <w:spacing w:line="480" w:lineRule="auto"/>
        <w:jc w:val="both"/>
        <w:rPr>
          <w:rFonts w:ascii="Times New Roman" w:hAnsi="Times New Roman"/>
          <w:b/>
          <w:bCs/>
          <w:sz w:val="24"/>
          <w:szCs w:val="24"/>
        </w:rPr>
      </w:pPr>
      <w:r w:rsidRPr="002A11EE">
        <w:rPr>
          <w:rFonts w:ascii="Times New Roman" w:hAnsi="Times New Roman"/>
          <w:sz w:val="24"/>
          <w:szCs w:val="24"/>
        </w:rPr>
        <w:t>Lidocaine hydrochloride 5 per cent w/v and phenylephrine hydrochloride 0.5 per cent w/v topical solution is a frequently used anaesthetic preparation in ENT practice</w:t>
      </w:r>
      <w:r w:rsidR="00946297" w:rsidRPr="002A11EE">
        <w:rPr>
          <w:rFonts w:ascii="Times New Roman" w:hAnsi="Times New Roman"/>
          <w:sz w:val="24"/>
          <w:szCs w:val="24"/>
        </w:rPr>
        <w:t xml:space="preserve">. </w:t>
      </w:r>
    </w:p>
    <w:p w14:paraId="1F83CDB8" w14:textId="77777777" w:rsidR="005607CF" w:rsidRPr="002A11EE" w:rsidRDefault="005607CF" w:rsidP="001241E1">
      <w:pPr>
        <w:pStyle w:val="ListParagraph"/>
        <w:numPr>
          <w:ilvl w:val="0"/>
          <w:numId w:val="2"/>
        </w:numPr>
        <w:spacing w:line="480" w:lineRule="auto"/>
        <w:jc w:val="both"/>
        <w:rPr>
          <w:rFonts w:ascii="Times New Roman" w:hAnsi="Times New Roman"/>
          <w:b/>
          <w:bCs/>
          <w:sz w:val="24"/>
          <w:szCs w:val="24"/>
        </w:rPr>
      </w:pPr>
      <w:r w:rsidRPr="002A11EE">
        <w:rPr>
          <w:rFonts w:ascii="Times New Roman" w:hAnsi="Times New Roman"/>
          <w:sz w:val="24"/>
          <w:szCs w:val="24"/>
        </w:rPr>
        <w:t>It is a single use disposable pack, but advice regarding its single use is not strictly followed.</w:t>
      </w:r>
    </w:p>
    <w:p w14:paraId="2B238FA6" w14:textId="77777777" w:rsidR="00BF507C" w:rsidRPr="00B11AEC" w:rsidRDefault="005607CF" w:rsidP="00B11AEC">
      <w:pPr>
        <w:pStyle w:val="ListParagraph"/>
        <w:numPr>
          <w:ilvl w:val="0"/>
          <w:numId w:val="2"/>
        </w:numPr>
        <w:spacing w:line="480" w:lineRule="auto"/>
        <w:jc w:val="both"/>
        <w:rPr>
          <w:rFonts w:ascii="Times New Roman" w:hAnsi="Times New Roman"/>
          <w:color w:val="FF0000"/>
          <w:sz w:val="24"/>
          <w:szCs w:val="24"/>
        </w:rPr>
      </w:pPr>
      <w:r w:rsidRPr="00B11AEC">
        <w:rPr>
          <w:rFonts w:ascii="Times New Roman" w:hAnsi="Times New Roman"/>
          <w:sz w:val="24"/>
          <w:szCs w:val="24"/>
        </w:rPr>
        <w:t>This study demonstrated that by modifying method of application of the spray contamination can  avoided.</w:t>
      </w:r>
      <w:r w:rsidR="00C01F54" w:rsidRPr="00B11AEC">
        <w:rPr>
          <w:rFonts w:ascii="Times New Roman" w:hAnsi="Times New Roman"/>
          <w:sz w:val="24"/>
          <w:szCs w:val="24"/>
        </w:rPr>
        <w:t xml:space="preserve"> </w:t>
      </w:r>
      <w:r w:rsidR="00BF507C" w:rsidRPr="00B11AEC">
        <w:rPr>
          <w:rFonts w:ascii="Times New Roman" w:hAnsi="Times New Roman"/>
          <w:sz w:val="24"/>
          <w:szCs w:val="24"/>
        </w:rPr>
        <w:t>Our modification involves keeping the nozzle (actuator) pressed down while withdrawing the spray from patient for at least 30 cm (one foot) before releasing the nozzle (actuator) and reapplying the spray.</w:t>
      </w:r>
    </w:p>
    <w:p w14:paraId="0C5AF363" w14:textId="28D7CFB3" w:rsidR="00BF507C" w:rsidRDefault="005607CF" w:rsidP="00D722BC">
      <w:pPr>
        <w:pStyle w:val="ListParagraph"/>
        <w:numPr>
          <w:ilvl w:val="0"/>
          <w:numId w:val="2"/>
        </w:numPr>
        <w:spacing w:line="480" w:lineRule="auto"/>
        <w:jc w:val="both"/>
      </w:pPr>
      <w:r w:rsidRPr="002A11EE">
        <w:rPr>
          <w:rFonts w:ascii="Times New Roman" w:hAnsi="Times New Roman"/>
          <w:sz w:val="24"/>
          <w:szCs w:val="24"/>
        </w:rPr>
        <w:t>This is likely to have significant cost implications for the ENT department’s p</w:t>
      </w:r>
      <w:r w:rsidRPr="00BF507C">
        <w:rPr>
          <w:rFonts w:ascii="Times New Roman" w:hAnsi="Times New Roman"/>
          <w:sz w:val="24"/>
          <w:szCs w:val="24"/>
        </w:rPr>
        <w:t>harmaceutical budget.</w:t>
      </w:r>
    </w:p>
    <w:sectPr w:rsidR="00BF507C">
      <w:footerReference w:type="even" r:id="rId12"/>
      <w:footerReference w:type="defaul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CEFF" w14:textId="77777777" w:rsidR="000F16A2" w:rsidRDefault="000F16A2">
      <w:r>
        <w:separator/>
      </w:r>
    </w:p>
  </w:endnote>
  <w:endnote w:type="continuationSeparator" w:id="0">
    <w:p w14:paraId="450E298B" w14:textId="77777777" w:rsidR="000F16A2" w:rsidRDefault="000F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3AAF" w14:textId="77777777" w:rsidR="00F44DAA" w:rsidRDefault="00F44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225CA" w14:textId="77777777" w:rsidR="00F44DAA" w:rsidRDefault="00F44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408E" w14:textId="77777777" w:rsidR="00F44DAA" w:rsidRDefault="00F44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400">
      <w:rPr>
        <w:rStyle w:val="PageNumber"/>
        <w:noProof/>
      </w:rPr>
      <w:t>1</w:t>
    </w:r>
    <w:r>
      <w:rPr>
        <w:rStyle w:val="PageNumber"/>
      </w:rPr>
      <w:fldChar w:fldCharType="end"/>
    </w:r>
  </w:p>
  <w:p w14:paraId="5E5E57AF" w14:textId="77777777" w:rsidR="00F44DAA" w:rsidRDefault="00F44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AC04" w14:textId="77777777" w:rsidR="000F16A2" w:rsidRDefault="000F16A2">
      <w:r>
        <w:separator/>
      </w:r>
    </w:p>
  </w:footnote>
  <w:footnote w:type="continuationSeparator" w:id="0">
    <w:p w14:paraId="567ED9B2" w14:textId="77777777" w:rsidR="000F16A2" w:rsidRDefault="000F1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DCA"/>
    <w:multiLevelType w:val="hybridMultilevel"/>
    <w:tmpl w:val="4938392E"/>
    <w:lvl w:ilvl="0" w:tplc="1608A892">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76A30"/>
    <w:multiLevelType w:val="hybridMultilevel"/>
    <w:tmpl w:val="BCFCA6F6"/>
    <w:lvl w:ilvl="0" w:tplc="A5BA43A0">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5B93CE2"/>
    <w:multiLevelType w:val="hybridMultilevel"/>
    <w:tmpl w:val="EAF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F2664"/>
    <w:multiLevelType w:val="hybridMultilevel"/>
    <w:tmpl w:val="A0FEA4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4E"/>
    <w:rsid w:val="000F16A2"/>
    <w:rsid w:val="001052F0"/>
    <w:rsid w:val="001241E1"/>
    <w:rsid w:val="00154BD1"/>
    <w:rsid w:val="001E2559"/>
    <w:rsid w:val="001E43F5"/>
    <w:rsid w:val="00205683"/>
    <w:rsid w:val="00222B01"/>
    <w:rsid w:val="00282865"/>
    <w:rsid w:val="00290A24"/>
    <w:rsid w:val="002A11EE"/>
    <w:rsid w:val="002F7FED"/>
    <w:rsid w:val="00306786"/>
    <w:rsid w:val="003217E4"/>
    <w:rsid w:val="00334B6A"/>
    <w:rsid w:val="003435E8"/>
    <w:rsid w:val="00347C68"/>
    <w:rsid w:val="00362828"/>
    <w:rsid w:val="0037180F"/>
    <w:rsid w:val="0037217E"/>
    <w:rsid w:val="00417D8C"/>
    <w:rsid w:val="00417DFE"/>
    <w:rsid w:val="0046234A"/>
    <w:rsid w:val="00464985"/>
    <w:rsid w:val="005047DA"/>
    <w:rsid w:val="00526D7C"/>
    <w:rsid w:val="005607CF"/>
    <w:rsid w:val="005A459E"/>
    <w:rsid w:val="005C07EB"/>
    <w:rsid w:val="005D7D25"/>
    <w:rsid w:val="005E0A04"/>
    <w:rsid w:val="005F6BBA"/>
    <w:rsid w:val="00671E2C"/>
    <w:rsid w:val="00672006"/>
    <w:rsid w:val="006772FC"/>
    <w:rsid w:val="006E6693"/>
    <w:rsid w:val="006F08E3"/>
    <w:rsid w:val="00730405"/>
    <w:rsid w:val="00777C9B"/>
    <w:rsid w:val="0080418A"/>
    <w:rsid w:val="00811DCC"/>
    <w:rsid w:val="0083561F"/>
    <w:rsid w:val="008707D5"/>
    <w:rsid w:val="00890AF5"/>
    <w:rsid w:val="008B46FA"/>
    <w:rsid w:val="008B6B89"/>
    <w:rsid w:val="008D3640"/>
    <w:rsid w:val="008E3B55"/>
    <w:rsid w:val="00946297"/>
    <w:rsid w:val="0095106C"/>
    <w:rsid w:val="0095552B"/>
    <w:rsid w:val="00962400"/>
    <w:rsid w:val="00970D0F"/>
    <w:rsid w:val="009C1DB1"/>
    <w:rsid w:val="009C7BB8"/>
    <w:rsid w:val="009D7688"/>
    <w:rsid w:val="009E0BEC"/>
    <w:rsid w:val="009E73E1"/>
    <w:rsid w:val="00A32EC7"/>
    <w:rsid w:val="00A3401D"/>
    <w:rsid w:val="00A561BA"/>
    <w:rsid w:val="00A82340"/>
    <w:rsid w:val="00A878D8"/>
    <w:rsid w:val="00A9784D"/>
    <w:rsid w:val="00AC7EC1"/>
    <w:rsid w:val="00AE192C"/>
    <w:rsid w:val="00B10E9A"/>
    <w:rsid w:val="00B11AEC"/>
    <w:rsid w:val="00B146CE"/>
    <w:rsid w:val="00B36514"/>
    <w:rsid w:val="00B46458"/>
    <w:rsid w:val="00B63C65"/>
    <w:rsid w:val="00B7534C"/>
    <w:rsid w:val="00BC2322"/>
    <w:rsid w:val="00BF507C"/>
    <w:rsid w:val="00C01F54"/>
    <w:rsid w:val="00C062FF"/>
    <w:rsid w:val="00C51323"/>
    <w:rsid w:val="00C970A4"/>
    <w:rsid w:val="00CA43E3"/>
    <w:rsid w:val="00CB279D"/>
    <w:rsid w:val="00D03AB2"/>
    <w:rsid w:val="00D12E17"/>
    <w:rsid w:val="00D511AB"/>
    <w:rsid w:val="00DC5074"/>
    <w:rsid w:val="00EA61E8"/>
    <w:rsid w:val="00EE7B50"/>
    <w:rsid w:val="00F20642"/>
    <w:rsid w:val="00F44DAA"/>
    <w:rsid w:val="00F56070"/>
    <w:rsid w:val="00F60DC1"/>
    <w:rsid w:val="00FC3B5C"/>
    <w:rsid w:val="00FE254E"/>
    <w:rsid w:val="00FF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7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customStyle="1" w:styleId="Notes">
    <w:name w:val="Notes"/>
    <w:basedOn w:val="Normal"/>
    <w:rPr>
      <w:color w:val="808080"/>
      <w:sz w:val="18"/>
    </w:rPr>
  </w:style>
  <w:style w:type="paragraph" w:styleId="Caption">
    <w:name w:val="caption"/>
    <w:basedOn w:val="Normal"/>
    <w:next w:val="Normal"/>
    <w:qFormat/>
    <w:pPr>
      <w:jc w:val="center"/>
    </w:pPr>
    <w:rPr>
      <w:bCs/>
      <w:sz w:val="18"/>
    </w:rPr>
  </w:style>
  <w:style w:type="paragraph" w:styleId="ListParagraph">
    <w:name w:val="List Paragraph"/>
    <w:basedOn w:val="Normal"/>
    <w:uiPriority w:val="34"/>
    <w:qFormat/>
    <w:rsid w:val="005607C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607CF"/>
    <w:rPr>
      <w:color w:val="0000FF"/>
      <w:u w:val="single"/>
    </w:rPr>
  </w:style>
  <w:style w:type="table" w:styleId="TableGrid">
    <w:name w:val="Table Grid"/>
    <w:basedOn w:val="TableNormal"/>
    <w:uiPriority w:val="39"/>
    <w:rsid w:val="004623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E7B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customStyle="1" w:styleId="Notes">
    <w:name w:val="Notes"/>
    <w:basedOn w:val="Normal"/>
    <w:rPr>
      <w:color w:val="808080"/>
      <w:sz w:val="18"/>
    </w:rPr>
  </w:style>
  <w:style w:type="paragraph" w:styleId="Caption">
    <w:name w:val="caption"/>
    <w:basedOn w:val="Normal"/>
    <w:next w:val="Normal"/>
    <w:qFormat/>
    <w:pPr>
      <w:jc w:val="center"/>
    </w:pPr>
    <w:rPr>
      <w:bCs/>
      <w:sz w:val="18"/>
    </w:rPr>
  </w:style>
  <w:style w:type="paragraph" w:styleId="ListParagraph">
    <w:name w:val="List Paragraph"/>
    <w:basedOn w:val="Normal"/>
    <w:uiPriority w:val="34"/>
    <w:qFormat/>
    <w:rsid w:val="005607C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607CF"/>
    <w:rPr>
      <w:color w:val="0000FF"/>
      <w:u w:val="single"/>
    </w:rPr>
  </w:style>
  <w:style w:type="table" w:styleId="TableGrid">
    <w:name w:val="Table Grid"/>
    <w:basedOn w:val="TableNormal"/>
    <w:uiPriority w:val="39"/>
    <w:rsid w:val="004623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E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850">
      <w:bodyDiv w:val="1"/>
      <w:marLeft w:val="0"/>
      <w:marRight w:val="0"/>
      <w:marTop w:val="0"/>
      <w:marBottom w:val="0"/>
      <w:divBdr>
        <w:top w:val="none" w:sz="0" w:space="0" w:color="auto"/>
        <w:left w:val="none" w:sz="0" w:space="0" w:color="auto"/>
        <w:bottom w:val="none" w:sz="0" w:space="0" w:color="auto"/>
        <w:right w:val="none" w:sz="0" w:space="0" w:color="auto"/>
      </w:divBdr>
      <w:divsChild>
        <w:div w:id="815801153">
          <w:marLeft w:val="0"/>
          <w:marRight w:val="0"/>
          <w:marTop w:val="0"/>
          <w:marBottom w:val="0"/>
          <w:divBdr>
            <w:top w:val="none" w:sz="0" w:space="0" w:color="auto"/>
            <w:left w:val="none" w:sz="0" w:space="0" w:color="auto"/>
            <w:bottom w:val="none" w:sz="0" w:space="0" w:color="auto"/>
            <w:right w:val="none" w:sz="0" w:space="0" w:color="auto"/>
          </w:divBdr>
        </w:div>
      </w:divsChild>
    </w:div>
    <w:div w:id="1112439069">
      <w:bodyDiv w:val="1"/>
      <w:marLeft w:val="0"/>
      <w:marRight w:val="0"/>
      <w:marTop w:val="0"/>
      <w:marBottom w:val="0"/>
      <w:divBdr>
        <w:top w:val="none" w:sz="0" w:space="0" w:color="auto"/>
        <w:left w:val="none" w:sz="0" w:space="0" w:color="auto"/>
        <w:bottom w:val="none" w:sz="0" w:space="0" w:color="auto"/>
        <w:right w:val="none" w:sz="0" w:space="0" w:color="auto"/>
      </w:divBdr>
    </w:div>
    <w:div w:id="1678773251">
      <w:bodyDiv w:val="1"/>
      <w:marLeft w:val="0"/>
      <w:marRight w:val="0"/>
      <w:marTop w:val="0"/>
      <w:marBottom w:val="0"/>
      <w:divBdr>
        <w:top w:val="none" w:sz="0" w:space="0" w:color="auto"/>
        <w:left w:val="none" w:sz="0" w:space="0" w:color="auto"/>
        <w:bottom w:val="none" w:sz="0" w:space="0" w:color="auto"/>
        <w:right w:val="none" w:sz="0" w:space="0" w:color="auto"/>
      </w:divBdr>
    </w:div>
    <w:div w:id="18447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Saeed%20K%5BAuthor%5D&amp;cauthor=true&amp;cauthor_uid=238998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term=Sachidananda%20R%5BAuthor%5D&amp;cauthor=true&amp;cauthor_uid=23899822" TargetMode="External"/><Relationship Id="rId4" Type="http://schemas.microsoft.com/office/2007/relationships/stylesWithEffects" Target="stylesWithEffects.xml"/><Relationship Id="rId9" Type="http://schemas.openxmlformats.org/officeDocument/2006/relationships/hyperlink" Target="mailto:Mandar.Jog@uhs.nhs.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ll%20clients\JLOwebsite\docs\JLO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F73F-CE54-40F6-9815-EA88DC6A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JLO_Template</Template>
  <TotalTime>0</TotalTime>
  <Pages>20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 Page</vt:lpstr>
    </vt:vector>
  </TitlesOfParts>
  <Company>Tell Communications</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Nick Pring</dc:creator>
  <cp:lastModifiedBy>Saeed, Kordo</cp:lastModifiedBy>
  <cp:revision>2</cp:revision>
  <cp:lastPrinted>1901-01-01T00:00:00Z</cp:lastPrinted>
  <dcterms:created xsi:type="dcterms:W3CDTF">2021-03-11T12:32:00Z</dcterms:created>
  <dcterms:modified xsi:type="dcterms:W3CDTF">2021-03-11T12:32:00Z</dcterms:modified>
</cp:coreProperties>
</file>