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031A5" w14:textId="6624F318" w:rsidR="00EC138B" w:rsidRPr="000D6D17" w:rsidRDefault="009155C6" w:rsidP="001D1EBF">
      <w:pPr>
        <w:spacing w:line="480" w:lineRule="auto"/>
        <w:rPr>
          <w:b/>
          <w:sz w:val="24"/>
          <w:szCs w:val="24"/>
        </w:rPr>
      </w:pPr>
      <w:r w:rsidRPr="000D6D17">
        <w:rPr>
          <w:b/>
          <w:sz w:val="24"/>
          <w:szCs w:val="24"/>
        </w:rPr>
        <w:t xml:space="preserve">Infliximab at Diagnosis - </w:t>
      </w:r>
      <w:r w:rsidR="002A5138" w:rsidRPr="000D6D17">
        <w:rPr>
          <w:b/>
          <w:sz w:val="24"/>
          <w:szCs w:val="24"/>
        </w:rPr>
        <w:t xml:space="preserve">Moving towards </w:t>
      </w:r>
      <w:r w:rsidR="00FB3787" w:rsidRPr="000D6D17">
        <w:rPr>
          <w:b/>
          <w:sz w:val="24"/>
          <w:szCs w:val="24"/>
        </w:rPr>
        <w:t xml:space="preserve">Personalisation </w:t>
      </w:r>
      <w:r w:rsidR="002A5138" w:rsidRPr="000D6D17">
        <w:rPr>
          <w:b/>
          <w:sz w:val="24"/>
          <w:szCs w:val="24"/>
        </w:rPr>
        <w:t xml:space="preserve">in </w:t>
      </w:r>
      <w:r w:rsidR="00FB3787" w:rsidRPr="000D6D17">
        <w:rPr>
          <w:b/>
          <w:sz w:val="24"/>
          <w:szCs w:val="24"/>
        </w:rPr>
        <w:t xml:space="preserve">Paediatric Inflammatory Bowel Disease </w:t>
      </w:r>
    </w:p>
    <w:p w14:paraId="628CF92F" w14:textId="77777777" w:rsidR="00FB3787" w:rsidRPr="004B45D3" w:rsidRDefault="00FB3787" w:rsidP="001D1EBF">
      <w:pPr>
        <w:spacing w:line="480" w:lineRule="auto"/>
        <w:rPr>
          <w:i/>
          <w:iCs/>
          <w:sz w:val="24"/>
          <w:szCs w:val="24"/>
        </w:rPr>
      </w:pPr>
      <w:r w:rsidRPr="004B45D3">
        <w:rPr>
          <w:i/>
          <w:iCs/>
          <w:sz w:val="24"/>
          <w:szCs w:val="24"/>
        </w:rPr>
        <w:t xml:space="preserve">Commentary on </w:t>
      </w:r>
    </w:p>
    <w:p w14:paraId="1F60F405" w14:textId="55407BB4" w:rsidR="000B6E90" w:rsidRPr="004B45D3" w:rsidRDefault="00EC138B" w:rsidP="001D1EBF">
      <w:pPr>
        <w:spacing w:line="480" w:lineRule="auto"/>
        <w:rPr>
          <w:i/>
          <w:iCs/>
          <w:sz w:val="24"/>
          <w:szCs w:val="24"/>
        </w:rPr>
      </w:pPr>
      <w:r w:rsidRPr="004B45D3">
        <w:rPr>
          <w:i/>
          <w:iCs/>
          <w:sz w:val="24"/>
          <w:szCs w:val="24"/>
        </w:rPr>
        <w:t>First-line treatment with infliximab versus conventional treatment in children with newly diagnosed moderate-to-severe Crohn’s disease: an open-label multicentre randomised controlled trial</w:t>
      </w:r>
    </w:p>
    <w:p w14:paraId="7C133DA1" w14:textId="05C5AA4B" w:rsidR="00853F91" w:rsidRPr="004B45D3" w:rsidRDefault="00853F91" w:rsidP="00853F91">
      <w:pPr>
        <w:spacing w:line="480" w:lineRule="auto"/>
        <w:rPr>
          <w:rFonts w:cstheme="minorHAnsi"/>
          <w:sz w:val="24"/>
          <w:szCs w:val="24"/>
          <w:vertAlign w:val="superscript"/>
        </w:rPr>
      </w:pPr>
      <w:r w:rsidRPr="004B45D3">
        <w:rPr>
          <w:rFonts w:cstheme="minorHAnsi"/>
          <w:sz w:val="24"/>
          <w:szCs w:val="24"/>
        </w:rPr>
        <w:t xml:space="preserve">James </w:t>
      </w:r>
      <w:r w:rsidRPr="004B45D3">
        <w:rPr>
          <w:rFonts w:cstheme="minorHAnsi"/>
          <w:sz w:val="24"/>
          <w:szCs w:val="24"/>
        </w:rPr>
        <w:t>J Ashton</w:t>
      </w:r>
      <w:r w:rsidRPr="004B45D3">
        <w:rPr>
          <w:rFonts w:cstheme="minorHAnsi"/>
          <w:sz w:val="24"/>
          <w:szCs w:val="24"/>
          <w:vertAlign w:val="superscript"/>
        </w:rPr>
        <w:t>1,2</w:t>
      </w:r>
      <w:r w:rsidRPr="004B45D3">
        <w:rPr>
          <w:rFonts w:cstheme="minorHAnsi"/>
          <w:sz w:val="24"/>
          <w:szCs w:val="24"/>
        </w:rPr>
        <w:t xml:space="preserve">, </w:t>
      </w:r>
      <w:r w:rsidR="00B81BE6">
        <w:rPr>
          <w:rFonts w:cstheme="minorHAnsi"/>
          <w:sz w:val="24"/>
          <w:szCs w:val="24"/>
        </w:rPr>
        <w:t>Sarah Ennis</w:t>
      </w:r>
      <w:r w:rsidR="00B81BE6" w:rsidRPr="004B45D3">
        <w:rPr>
          <w:rFonts w:cstheme="minorHAnsi"/>
          <w:sz w:val="24"/>
          <w:szCs w:val="24"/>
          <w:vertAlign w:val="superscript"/>
        </w:rPr>
        <w:t>2</w:t>
      </w:r>
      <w:r w:rsidR="00B81BE6">
        <w:rPr>
          <w:rFonts w:cstheme="minorHAnsi"/>
          <w:sz w:val="24"/>
          <w:szCs w:val="24"/>
        </w:rPr>
        <w:t xml:space="preserve">, </w:t>
      </w:r>
      <w:r w:rsidRPr="004B45D3">
        <w:rPr>
          <w:rFonts w:cstheme="minorHAnsi"/>
          <w:sz w:val="24"/>
          <w:szCs w:val="24"/>
        </w:rPr>
        <w:t xml:space="preserve">R Mark </w:t>
      </w:r>
      <w:r w:rsidRPr="004B45D3">
        <w:rPr>
          <w:rFonts w:cstheme="minorHAnsi"/>
          <w:sz w:val="24"/>
          <w:szCs w:val="24"/>
        </w:rPr>
        <w:t>Beattie</w:t>
      </w:r>
      <w:r w:rsidRPr="004B45D3">
        <w:rPr>
          <w:rFonts w:cstheme="minorHAnsi"/>
          <w:sz w:val="24"/>
          <w:szCs w:val="24"/>
          <w:vertAlign w:val="superscript"/>
        </w:rPr>
        <w:t>1</w:t>
      </w:r>
      <w:r w:rsidR="00B81BE6">
        <w:rPr>
          <w:rFonts w:cstheme="minorHAnsi"/>
          <w:sz w:val="24"/>
          <w:szCs w:val="24"/>
          <w:vertAlign w:val="superscript"/>
        </w:rPr>
        <w:t>,2</w:t>
      </w:r>
    </w:p>
    <w:p w14:paraId="09303829" w14:textId="77777777" w:rsidR="00853F91" w:rsidRPr="004B45D3" w:rsidRDefault="00853F91" w:rsidP="00853F91">
      <w:pPr>
        <w:pStyle w:val="ListParagraph"/>
        <w:numPr>
          <w:ilvl w:val="0"/>
          <w:numId w:val="1"/>
        </w:numPr>
        <w:spacing w:line="480" w:lineRule="auto"/>
        <w:rPr>
          <w:rFonts w:cstheme="minorHAnsi"/>
          <w:sz w:val="24"/>
          <w:szCs w:val="24"/>
        </w:rPr>
      </w:pPr>
      <w:r w:rsidRPr="004B45D3">
        <w:rPr>
          <w:rFonts w:cstheme="minorHAnsi"/>
          <w:sz w:val="24"/>
          <w:szCs w:val="24"/>
        </w:rPr>
        <w:t>Department of Paediatric Gastroenterology, Southampton Children’s Hospital, Southampton, UK</w:t>
      </w:r>
    </w:p>
    <w:p w14:paraId="19E73B50" w14:textId="77777777" w:rsidR="00853F91" w:rsidRPr="004B45D3" w:rsidRDefault="00853F91" w:rsidP="00853F91">
      <w:pPr>
        <w:pStyle w:val="ListParagraph"/>
        <w:numPr>
          <w:ilvl w:val="0"/>
          <w:numId w:val="1"/>
        </w:numPr>
        <w:spacing w:line="480" w:lineRule="auto"/>
        <w:rPr>
          <w:rFonts w:cstheme="minorHAnsi"/>
          <w:sz w:val="24"/>
          <w:szCs w:val="24"/>
        </w:rPr>
      </w:pPr>
      <w:r w:rsidRPr="004B45D3">
        <w:rPr>
          <w:rFonts w:cstheme="minorHAnsi"/>
          <w:sz w:val="24"/>
          <w:szCs w:val="24"/>
        </w:rPr>
        <w:t>Human Genetics and Genomic Medicine, University of Southampton, Southampton, UK</w:t>
      </w:r>
    </w:p>
    <w:p w14:paraId="48EAA248" w14:textId="6C608A5B" w:rsidR="00EC138B" w:rsidRPr="004B45D3" w:rsidRDefault="00EC138B" w:rsidP="001D1EBF">
      <w:pPr>
        <w:spacing w:line="480" w:lineRule="auto"/>
        <w:rPr>
          <w:sz w:val="24"/>
          <w:szCs w:val="24"/>
        </w:rPr>
      </w:pPr>
    </w:p>
    <w:p w14:paraId="6AFE560C" w14:textId="77777777" w:rsidR="000D6D17" w:rsidRDefault="000D6D17">
      <w:pPr>
        <w:rPr>
          <w:sz w:val="24"/>
          <w:szCs w:val="24"/>
        </w:rPr>
      </w:pPr>
      <w:r>
        <w:rPr>
          <w:sz w:val="24"/>
          <w:szCs w:val="24"/>
        </w:rPr>
        <w:br w:type="page"/>
      </w:r>
    </w:p>
    <w:p w14:paraId="1830D81F" w14:textId="791FD18F" w:rsidR="00405EA6" w:rsidRPr="004B45D3" w:rsidRDefault="00405EA6" w:rsidP="001D1EBF">
      <w:pPr>
        <w:spacing w:line="480" w:lineRule="auto"/>
        <w:rPr>
          <w:sz w:val="24"/>
          <w:szCs w:val="24"/>
        </w:rPr>
      </w:pPr>
      <w:r w:rsidRPr="004B45D3">
        <w:rPr>
          <w:sz w:val="24"/>
          <w:szCs w:val="24"/>
        </w:rPr>
        <w:lastRenderedPageBreak/>
        <w:t>The optimal strategy for induction of remission</w:t>
      </w:r>
      <w:r w:rsidR="00AC3467" w:rsidRPr="00AC3467">
        <w:rPr>
          <w:sz w:val="24"/>
          <w:szCs w:val="24"/>
        </w:rPr>
        <w:t xml:space="preserve"> </w:t>
      </w:r>
      <w:r w:rsidR="00AC3467" w:rsidRPr="004B45D3">
        <w:rPr>
          <w:sz w:val="24"/>
          <w:szCs w:val="24"/>
        </w:rPr>
        <w:t>in paediatric Crohn’s disease</w:t>
      </w:r>
      <w:r w:rsidR="00AC3467">
        <w:rPr>
          <w:sz w:val="24"/>
          <w:szCs w:val="24"/>
        </w:rPr>
        <w:t>,</w:t>
      </w:r>
      <w:r w:rsidRPr="004B45D3">
        <w:rPr>
          <w:sz w:val="24"/>
          <w:szCs w:val="24"/>
        </w:rPr>
        <w:t xml:space="preserve"> </w:t>
      </w:r>
      <w:r w:rsidR="009155C6" w:rsidRPr="004B45D3">
        <w:rPr>
          <w:sz w:val="24"/>
          <w:szCs w:val="24"/>
        </w:rPr>
        <w:t>and in particular the timing of introduction of monoclonal antibody therapy</w:t>
      </w:r>
      <w:r w:rsidR="00AC3467">
        <w:rPr>
          <w:sz w:val="24"/>
          <w:szCs w:val="24"/>
        </w:rPr>
        <w:t>,</w:t>
      </w:r>
      <w:r w:rsidR="009155C6" w:rsidRPr="004B45D3">
        <w:rPr>
          <w:sz w:val="24"/>
          <w:szCs w:val="24"/>
        </w:rPr>
        <w:t xml:space="preserve"> </w:t>
      </w:r>
      <w:r w:rsidRPr="004B45D3">
        <w:rPr>
          <w:sz w:val="24"/>
          <w:szCs w:val="24"/>
        </w:rPr>
        <w:t>remains controversial.</w:t>
      </w:r>
      <w:r w:rsidR="009155C6" w:rsidRPr="004B45D3">
        <w:rPr>
          <w:sz w:val="24"/>
          <w:szCs w:val="24"/>
        </w:rPr>
        <w:t xml:space="preserve"> This has </w:t>
      </w:r>
      <w:r w:rsidR="00A11C87" w:rsidRPr="004B45D3">
        <w:rPr>
          <w:sz w:val="24"/>
          <w:szCs w:val="24"/>
        </w:rPr>
        <w:t>long</w:t>
      </w:r>
      <w:r w:rsidR="00AC3467">
        <w:rPr>
          <w:sz w:val="24"/>
          <w:szCs w:val="24"/>
        </w:rPr>
        <w:t>-</w:t>
      </w:r>
      <w:r w:rsidR="00A11C87" w:rsidRPr="004B45D3">
        <w:rPr>
          <w:sz w:val="24"/>
          <w:szCs w:val="24"/>
        </w:rPr>
        <w:t>term</w:t>
      </w:r>
      <w:r w:rsidR="009155C6" w:rsidRPr="004B45D3">
        <w:rPr>
          <w:sz w:val="24"/>
          <w:szCs w:val="24"/>
        </w:rPr>
        <w:t xml:space="preserve"> </w:t>
      </w:r>
      <w:r w:rsidR="0076497B" w:rsidRPr="0076497B">
        <w:rPr>
          <w:sz w:val="24"/>
          <w:szCs w:val="24"/>
        </w:rPr>
        <w:t>implications</w:t>
      </w:r>
      <w:r w:rsidR="00A11C87" w:rsidRPr="004B45D3">
        <w:rPr>
          <w:sz w:val="24"/>
          <w:szCs w:val="24"/>
        </w:rPr>
        <w:t xml:space="preserve"> in</w:t>
      </w:r>
      <w:r w:rsidR="0076497B">
        <w:rPr>
          <w:sz w:val="24"/>
          <w:szCs w:val="24"/>
        </w:rPr>
        <w:t xml:space="preserve"> </w:t>
      </w:r>
      <w:r w:rsidR="00AC3467">
        <w:rPr>
          <w:sz w:val="24"/>
          <w:szCs w:val="24"/>
        </w:rPr>
        <w:t xml:space="preserve">a </w:t>
      </w:r>
      <w:r w:rsidR="009155C6" w:rsidRPr="004B45D3">
        <w:rPr>
          <w:sz w:val="24"/>
          <w:szCs w:val="24"/>
        </w:rPr>
        <w:t>condition where short term benefit</w:t>
      </w:r>
      <w:r w:rsidR="00A11C87" w:rsidRPr="004B45D3">
        <w:rPr>
          <w:sz w:val="24"/>
          <w:szCs w:val="24"/>
        </w:rPr>
        <w:t xml:space="preserve">, </w:t>
      </w:r>
      <w:r w:rsidR="000D6D17" w:rsidRPr="004B45D3">
        <w:rPr>
          <w:sz w:val="24"/>
          <w:szCs w:val="24"/>
        </w:rPr>
        <w:t>including impact</w:t>
      </w:r>
      <w:r w:rsidR="00A11C87" w:rsidRPr="004B45D3">
        <w:rPr>
          <w:sz w:val="24"/>
          <w:szCs w:val="24"/>
        </w:rPr>
        <w:t xml:space="preserve"> on growth</w:t>
      </w:r>
      <w:r w:rsidR="0076497B">
        <w:rPr>
          <w:sz w:val="24"/>
          <w:szCs w:val="24"/>
        </w:rPr>
        <w:t>,</w:t>
      </w:r>
      <w:r w:rsidR="00A11C87" w:rsidRPr="004B45D3">
        <w:rPr>
          <w:sz w:val="24"/>
          <w:szCs w:val="24"/>
        </w:rPr>
        <w:t xml:space="preserve"> </w:t>
      </w:r>
      <w:r w:rsidR="008030CC" w:rsidRPr="004B45D3">
        <w:rPr>
          <w:sz w:val="24"/>
          <w:szCs w:val="24"/>
        </w:rPr>
        <w:t>must</w:t>
      </w:r>
      <w:r w:rsidR="009155C6" w:rsidRPr="004B45D3">
        <w:rPr>
          <w:sz w:val="24"/>
          <w:szCs w:val="24"/>
        </w:rPr>
        <w:t xml:space="preserve"> be balanced against </w:t>
      </w:r>
      <w:r w:rsidR="00945A1F" w:rsidRPr="004B45D3">
        <w:rPr>
          <w:sz w:val="24"/>
          <w:szCs w:val="24"/>
        </w:rPr>
        <w:t xml:space="preserve">the </w:t>
      </w:r>
      <w:r w:rsidR="00945A1F">
        <w:rPr>
          <w:sz w:val="24"/>
          <w:szCs w:val="24"/>
        </w:rPr>
        <w:t>potential</w:t>
      </w:r>
      <w:r w:rsidR="00AC3467">
        <w:rPr>
          <w:sz w:val="24"/>
          <w:szCs w:val="24"/>
        </w:rPr>
        <w:t xml:space="preserve"> </w:t>
      </w:r>
      <w:r w:rsidR="00A11C87" w:rsidRPr="004B45D3">
        <w:rPr>
          <w:sz w:val="24"/>
          <w:szCs w:val="24"/>
        </w:rPr>
        <w:t xml:space="preserve">need </w:t>
      </w:r>
      <w:r w:rsidR="00A11C87" w:rsidRPr="004B45D3">
        <w:rPr>
          <w:sz w:val="24"/>
          <w:szCs w:val="24"/>
        </w:rPr>
        <w:t>for treatment</w:t>
      </w:r>
      <w:r w:rsidR="00AC3467">
        <w:rPr>
          <w:sz w:val="24"/>
          <w:szCs w:val="24"/>
        </w:rPr>
        <w:t xml:space="preserve"> escalation and risks associated with therapy</w:t>
      </w:r>
      <w:r w:rsidR="009155C6" w:rsidRPr="004B45D3">
        <w:rPr>
          <w:sz w:val="24"/>
          <w:szCs w:val="24"/>
        </w:rPr>
        <w:t xml:space="preserve">. This is not helped by the fact the condition is heterogenous in type, </w:t>
      </w:r>
      <w:r w:rsidR="00A11C87" w:rsidRPr="004B45D3">
        <w:rPr>
          <w:sz w:val="24"/>
          <w:szCs w:val="24"/>
        </w:rPr>
        <w:t>distribution,</w:t>
      </w:r>
      <w:r w:rsidR="009155C6" w:rsidRPr="004B45D3">
        <w:rPr>
          <w:sz w:val="24"/>
          <w:szCs w:val="24"/>
        </w:rPr>
        <w:t xml:space="preserve"> and severity</w:t>
      </w:r>
      <w:r w:rsidR="00AC3467">
        <w:rPr>
          <w:sz w:val="24"/>
          <w:szCs w:val="24"/>
        </w:rPr>
        <w:t>.</w:t>
      </w:r>
      <w:r w:rsidR="00A11C87" w:rsidRPr="004B45D3">
        <w:rPr>
          <w:sz w:val="24"/>
          <w:szCs w:val="24"/>
        </w:rPr>
        <w:t xml:space="preserve"> </w:t>
      </w:r>
      <w:r w:rsidR="00735F2A" w:rsidRPr="004B45D3">
        <w:rPr>
          <w:sz w:val="24"/>
          <w:szCs w:val="24"/>
        </w:rPr>
        <w:t xml:space="preserve">International </w:t>
      </w:r>
      <w:r w:rsidR="00A11C87" w:rsidRPr="004B45D3">
        <w:rPr>
          <w:sz w:val="24"/>
          <w:szCs w:val="24"/>
        </w:rPr>
        <w:t>guidance</w:t>
      </w:r>
      <w:r w:rsidR="00AC3467">
        <w:rPr>
          <w:sz w:val="24"/>
          <w:szCs w:val="24"/>
        </w:rPr>
        <w:t xml:space="preserve"> currently</w:t>
      </w:r>
      <w:r w:rsidR="00A11C87" w:rsidRPr="004B45D3">
        <w:rPr>
          <w:sz w:val="24"/>
          <w:szCs w:val="24"/>
        </w:rPr>
        <w:t xml:space="preserve"> recommends</w:t>
      </w:r>
      <w:r w:rsidR="00735F2A" w:rsidRPr="004B45D3">
        <w:rPr>
          <w:sz w:val="24"/>
          <w:szCs w:val="24"/>
        </w:rPr>
        <w:t xml:space="preserve"> that </w:t>
      </w:r>
      <w:r w:rsidRPr="004B45D3">
        <w:rPr>
          <w:sz w:val="24"/>
          <w:szCs w:val="24"/>
        </w:rPr>
        <w:t xml:space="preserve">children presenting with moderate to severe </w:t>
      </w:r>
      <w:r w:rsidR="0076497B">
        <w:rPr>
          <w:sz w:val="24"/>
          <w:szCs w:val="24"/>
        </w:rPr>
        <w:t xml:space="preserve">luminal </w:t>
      </w:r>
      <w:r w:rsidRPr="004B45D3">
        <w:rPr>
          <w:sz w:val="24"/>
          <w:szCs w:val="24"/>
        </w:rPr>
        <w:t xml:space="preserve">disease </w:t>
      </w:r>
      <w:r w:rsidR="00A11C87" w:rsidRPr="004B45D3">
        <w:rPr>
          <w:sz w:val="24"/>
          <w:szCs w:val="24"/>
        </w:rPr>
        <w:t xml:space="preserve">are </w:t>
      </w:r>
      <w:r w:rsidRPr="004B45D3">
        <w:rPr>
          <w:sz w:val="24"/>
          <w:szCs w:val="24"/>
        </w:rPr>
        <w:t>commenced on exclusive enteral nutrition</w:t>
      </w:r>
      <w:r w:rsidR="00735F2A" w:rsidRPr="004B45D3">
        <w:rPr>
          <w:sz w:val="24"/>
          <w:szCs w:val="24"/>
        </w:rPr>
        <w:t xml:space="preserve"> (EEN)</w:t>
      </w:r>
      <w:r w:rsidRPr="004B45D3">
        <w:rPr>
          <w:sz w:val="24"/>
          <w:szCs w:val="24"/>
        </w:rPr>
        <w:t>, oral corticosteroids, intravenous corticosteroids or anti-TNF therapy</w:t>
      </w:r>
      <w:r w:rsidR="00AC3467">
        <w:rPr>
          <w:sz w:val="24"/>
          <w:szCs w:val="24"/>
        </w:rPr>
        <w:t>,</w:t>
      </w:r>
      <w:r w:rsidRPr="004B45D3">
        <w:rPr>
          <w:sz w:val="24"/>
          <w:szCs w:val="24"/>
        </w:rPr>
        <w:t xml:space="preserve"> </w:t>
      </w:r>
      <w:r w:rsidR="00A11C87" w:rsidRPr="004B45D3">
        <w:rPr>
          <w:sz w:val="24"/>
          <w:szCs w:val="24"/>
        </w:rPr>
        <w:t>with widespread use of exclusive enteral nutrition as first line</w:t>
      </w:r>
      <w:r w:rsidR="00AC3467">
        <w:rPr>
          <w:sz w:val="24"/>
          <w:szCs w:val="24"/>
        </w:rPr>
        <w:t xml:space="preserve"> </w:t>
      </w:r>
      <w:r w:rsidR="00AC3467" w:rsidRPr="004B45D3">
        <w:rPr>
          <w:sz w:val="24"/>
          <w:szCs w:val="24"/>
        </w:rPr>
        <w:fldChar w:fldCharType="begin" w:fldLock="1"/>
      </w:r>
      <w:r w:rsidR="00AC3467" w:rsidRPr="004B45D3">
        <w:rPr>
          <w:sz w:val="24"/>
          <w:szCs w:val="24"/>
        </w:rPr>
        <w:instrText>ADDIN CSL_CITATION {"citationItems":[{"id":"ITEM-1","itemData":{"DOI":"10.1093/ecco-jcc/jjaa161","ISSN":"1873-9946","abstract":"Objective: We aimed to provide an evidence-supported update of the ECCO-ESPGHAN guideline on the medical management of paediatric Crohn's disease [CD]. Methods: We formed 10 working groups and formulated 17 PICO-structured clinical questions [Patients, Intervention, Comparator, and Outcome]. A systematic literature search from January 1, 1991 to March 19, 2019 was conducted by a medical librarian using MEDLINE, EMBASE, and Cochrane Central databases. A shortlist of 30 provisional statements were further refined during a consensus meeting in Barcelona in October 2019 and subjected to a vote. In total 22 statements reached ≥ 80% agreement and were retained. Results: We established that it was key to identify patients at high risk of a complicated disease course at the earliest opportunity, to reduce bowel damage. Patients with perianal disease, stricturing or penetrating behaviour, or severe growth retardation should be considered for up-front anti-tumour necrosis factor [TNF] agents in combination with an immunomodulator. Therapeutic drug monitoring to guide treatment changes is recommended over empirically escalating anti-TNF dose or switching therapies. Patients with low-risk luminal CD should be induced with exclusive enteral nutrition [EEN], or with corticosteroids when EEN is not an option, and require immunomodulator-based maintenance therapy. Favourable outcomes rely on close monitoring of treatment response, with timely adjustments in therapy when treatment targets are not met. Serial faecal calprotectin measurements or small bowel imaging [ultrasound or magnetic resonance enterography] are more reliable markers of treatment response than clinical scores alone. Conclusions: We present state-of-the-art guidance on the medical treatment and long-term management of children and adolescents with CD.","author":[{"dropping-particle":"","family":"Rheenen","given":"Patrick F","non-dropping-particle":"Van","parse-names":false,"suffix":""},{"dropping-particle":"","family":"Aloi","given":"Marina","non-dropping-particle":"","parse-names":false,"suffix":""},{"dropping-particle":"","family":"Assa","given":"Amit","non-dropping-particle":"","parse-names":false,"suffix":""},{"dropping-particle":"","family":"Bronsky","given":"Jiri","non-dropping-particle":"","parse-names":false,"suffix":""},{"dropping-particle":"","family":"Escher","given":"Johanna C","non-dropping-particle":"","parse-names":false,"suffix":""},{"dropping-particle":"","family":"Fagerberg","given":"Ulrika L","non-dropping-particle":"","parse-names":false,"suffix":""},{"dropping-particle":"","family":"Gasparetto","given":"Marco","non-dropping-particle":"","parse-names":false,"suffix":""},{"dropping-particle":"","family":"Gerasimidis","given":"Konstantinos","non-dropping-particle":"","parse-names":false,"suffix":""},{"dropping-particle":"","family":"Griffiths","given":"Anne","non-dropping-particle":"","parse-names":false,"suffix":""},{"dropping-particle":"","family":"Henderson","given":"Paul","non-dropping-particle":"","parse-names":false,"suffix":""},{"dropping-particle":"","family":"Koletzko","given":"Sibylle","non-dropping-particle":"","parse-names":false,"suffix":""},{"dropping-particle":"","family":"Kolho","given":"Kaija-Leena","non-dropping-particle":"","parse-names":false,"suffix":""},{"dropping-particle":"","family":"Levine","given":"Arie","non-dropping-particle":"","parse-names":false,"suffix":""},{"dropping-particle":"","family":"Limbergen","given":"Johan","non-dropping-particle":"Van","parse-names":false,"suffix":""},{"dropping-particle":"","family":"Martin De Carpi","given":"Francisco Javier","non-dropping-particle":"","parse-names":false,"suffix":""},{"dropping-particle":"","family":"Navas-López","given":"Víctor Manuel","non-dropping-particle":"","parse-names":false,"suffix":""},{"dropping-particle":"","family":"Oliva","given":"Salvatore","non-dropping-particle":"","parse-names":false,"suffix":""},{"dropping-particle":"","family":"Ridder","given":"Lissy","non-dropping-particle":"De","parse-names":false,"suffix":""},{"dropping-particle":"","family":"Russell","given":"Richard K","non-dropping-particle":"","parse-names":false,"suffix":""},{"dropping-particle":"","family":"Shouval","given":"Dror","non-dropping-particle":"","parse-names":false,"suffix":""},{"dropping-particle":"","family":"Spinelli","given":"Antonino","non-dropping-particle":"","parse-names":false,"suffix":""},{"dropping-particle":"","family":"Turner","given":"Dan","non-dropping-particle":"","parse-names":false,"suffix":""},{"dropping-particle":"","family":"Wilson","given":"David","non-dropping-particle":"","parse-names":false,"suffix":""},{"dropping-particle":"","family":"Wine","given":"Eytan","non-dropping-particle":"","parse-names":false,"suffix":""},{"dropping-particle":"","family":"Ruemmele","given":"Frank M","non-dropping-particle":"","parse-names":false,"suffix":""}],"container-title":"Journal of Crohn’s and Colitis","id":"ITEM-1","issued":{"date-parts":[["2020"]]},"page":"1-24","publisher":"Oxford University Press (OUP)","title":"The Medical Management of Paediatric Crohn’s Disease: an ECCO-ESPGHAN Guideline Update","type":"article-journal","volume":"2020"},"uris":["http://www.mendeley.com/documents/?uuid=1fd3b212-b3b4-334c-b05c-12b2ae410ea7"]}],"mendeley":{"formattedCitation":"[1]","plainTextFormattedCitation":"[1]"},"properties":{"noteIndex":0},"schema":"https://github.com/citation-style-language/schema/raw/master/csl-citation.json"}</w:instrText>
      </w:r>
      <w:r w:rsidR="00AC3467" w:rsidRPr="004B45D3">
        <w:rPr>
          <w:sz w:val="24"/>
          <w:szCs w:val="24"/>
        </w:rPr>
        <w:fldChar w:fldCharType="separate"/>
      </w:r>
      <w:r w:rsidR="00AC3467" w:rsidRPr="004B45D3">
        <w:rPr>
          <w:noProof/>
          <w:sz w:val="24"/>
          <w:szCs w:val="24"/>
        </w:rPr>
        <w:t>[1]</w:t>
      </w:r>
      <w:r w:rsidR="00AC3467" w:rsidRPr="004B45D3">
        <w:rPr>
          <w:sz w:val="24"/>
          <w:szCs w:val="24"/>
        </w:rPr>
        <w:fldChar w:fldCharType="end"/>
      </w:r>
      <w:r w:rsidRPr="004B45D3">
        <w:rPr>
          <w:sz w:val="24"/>
          <w:szCs w:val="24"/>
        </w:rPr>
        <w:t>.</w:t>
      </w:r>
      <w:r w:rsidR="00735F2A" w:rsidRPr="004B45D3">
        <w:rPr>
          <w:sz w:val="24"/>
          <w:szCs w:val="24"/>
        </w:rPr>
        <w:t xml:space="preserve"> </w:t>
      </w:r>
      <w:r w:rsidR="0076497B">
        <w:rPr>
          <w:sz w:val="24"/>
          <w:szCs w:val="24"/>
        </w:rPr>
        <w:t xml:space="preserve"> </w:t>
      </w:r>
    </w:p>
    <w:p w14:paraId="4EA8BBF8" w14:textId="54B74798" w:rsidR="00EC138B" w:rsidRPr="004B45D3" w:rsidRDefault="001D1EBF" w:rsidP="001D1EBF">
      <w:pPr>
        <w:spacing w:line="480" w:lineRule="auto"/>
        <w:rPr>
          <w:sz w:val="24"/>
          <w:szCs w:val="24"/>
        </w:rPr>
      </w:pPr>
      <w:r w:rsidRPr="004B45D3">
        <w:rPr>
          <w:sz w:val="24"/>
          <w:szCs w:val="24"/>
        </w:rPr>
        <w:t xml:space="preserve">In their ground-breaking article, Jongsma </w:t>
      </w:r>
      <w:r w:rsidRPr="004B45D3">
        <w:rPr>
          <w:i/>
          <w:iCs/>
          <w:sz w:val="24"/>
          <w:szCs w:val="24"/>
        </w:rPr>
        <w:t xml:space="preserve">et al </w:t>
      </w:r>
      <w:r w:rsidRPr="004B45D3">
        <w:rPr>
          <w:sz w:val="24"/>
          <w:szCs w:val="24"/>
        </w:rPr>
        <w:t xml:space="preserve">describe the use of anti-TNF therapy for induction of remission , and compare this to </w:t>
      </w:r>
      <w:r w:rsidR="00AC3467">
        <w:rPr>
          <w:sz w:val="24"/>
          <w:szCs w:val="24"/>
        </w:rPr>
        <w:t>‘</w:t>
      </w:r>
      <w:r w:rsidRPr="004B45D3">
        <w:rPr>
          <w:sz w:val="24"/>
          <w:szCs w:val="24"/>
        </w:rPr>
        <w:t>conventional</w:t>
      </w:r>
      <w:r w:rsidR="00AC3467">
        <w:rPr>
          <w:sz w:val="24"/>
          <w:szCs w:val="24"/>
        </w:rPr>
        <w:t>’</w:t>
      </w:r>
      <w:r w:rsidRPr="004B45D3">
        <w:rPr>
          <w:sz w:val="24"/>
          <w:szCs w:val="24"/>
        </w:rPr>
        <w:t xml:space="preserve"> therapy in an open label randomised control trial</w:t>
      </w:r>
      <w:r w:rsidR="00D63FDA" w:rsidRPr="004B45D3">
        <w:rPr>
          <w:sz w:val="24"/>
          <w:szCs w:val="24"/>
        </w:rPr>
        <w:t xml:space="preserve"> </w:t>
      </w:r>
      <w:r w:rsidR="00CB747D" w:rsidRPr="004B45D3">
        <w:rPr>
          <w:sz w:val="24"/>
          <w:szCs w:val="24"/>
        </w:rPr>
        <w:fldChar w:fldCharType="begin" w:fldLock="1"/>
      </w:r>
      <w:r w:rsidR="00405EA6" w:rsidRPr="004B45D3">
        <w:rPr>
          <w:sz w:val="24"/>
          <w:szCs w:val="24"/>
        </w:rPr>
        <w:instrText>ADDIN CSL_CITATION {"citationItems":[{"id":"ITEM-1","itemData":{"DOI":"10.1136/gutjnl-2020-322339","ISSN":"14683288","abstract":"Objective: In newly diagnosed paediatric patients with moderate-to-severe Crohn's disease (CD), infliximab (IFX) is initiated once exclusive enteral nutrition (EEN), corticosteroid and immunomodulator therapies have failed. We aimed to investigate whether starting first-line IFX (FL-IFX) is more effective to achieve and maintain remission than conventional treatment. Design: In this multicentre open-label randomised controlled trial, untreated patients with a new diagnosis of CD (3-17 years old, weighted Paediatric CD Activity Index score (wPCDAI) &gt;40) were assigned to groups that received five infusions of 5 mg/kg IFX at weeks 0, 2, 6, 14 and 22 (FL-IFX), or EEN or oral prednisolone (1 mg/kg, maximum 40 mg) (conventional). The primary outcome was clinical remission on azathioprine, defined as a wPCDAI &lt;12.5 at week 52, without need for treatment escalation, using intention-to-treat analysis. Results: 100 patients were included, 50 in the FL-IFX group and 50 in the conventional group. Four patients did not receive treatment as per protocol. At week 10, a higher proportion of patients in the FL-IFX group than in the conventional group achieved clinical (59% vs 34%, respectively, p=0.021) and endoscopic remission (59% vs 17%, respectively, p=0.001). At week 52, the proportion of patients in clinical remission was not significantly different (p=0.421). However, 19/46 (41%) patients in the FL-IFX group were in clinical remission on azathioprine monotherapy without need for treatment escalation vs 7/48 (15%) in the conventional group (p=0.004). Conclusions: FL-IFX was superior to conventional treatment in achieving short-term clinical and endoscopic remission, and had greater likelihood of maintaining clinical remission at week 52 on azathioprine monotherapy. Trial registration number: ClinicalTrials.gov Registry (NCT02517684).","author":[{"dropping-particle":"","family":"Jongsma","given":"Maria M.E.","non-dropping-particle":"","parse-names":false,"suffix":""},{"dropping-particle":"","family":"Aardoom","given":"Martine A.","non-dropping-particle":"","parse-names":false,"suffix":""},{"dropping-particle":"","family":"Cozijnsen","given":"Martinus A.","non-dropping-particle":"","parse-names":false,"suffix":""},{"dropping-particle":"","family":"Pieterson","given":"Merel","non-dropping-particle":"Van","parse-names":false,"suffix":""},{"dropping-particle":"","family":"Meij","given":"Tim","non-dropping-particle":"De","parse-names":false,"suffix":""},{"dropping-particle":"","family":"Groeneweg","given":"Michael","non-dropping-particle":"","parse-names":false,"suffix":""},{"dropping-particle":"","family":"Norbruis","given":"Obbe F.","non-dropping-particle":"","parse-names":false,"suffix":""},{"dropping-particle":"","family":"Wolters","given":"Victorien M.","non-dropping-particle":"","parse-names":false,"suffix":""},{"dropping-particle":"","family":"Wering","given":"Herbert M.","non-dropping-particle":"Van","parse-names":false,"suffix":""},{"dropping-particle":"","family":"Hojsak","given":"Iva","non-dropping-particle":"","parse-names":false,"suffix":""},{"dropping-particle":"","family":"Kolho","given":"Kaija Leena","non-dropping-particle":"","parse-names":false,"suffix":""},{"dropping-particle":"","family":"Hummel","given":"Thalia","non-dropping-particle":"","parse-names":false,"suffix":""},{"dropping-particle":"","family":"Stapelbroek","given":"Janneke","non-dropping-particle":"","parse-names":false,"suffix":""},{"dropping-particle":"","family":"Feen","given":"Cathelijne","non-dropping-particle":"Van Der","parse-names":false,"suffix":""},{"dropping-particle":"","family":"Rheenen","given":"Patrick F.","non-dropping-particle":"Van","parse-names":false,"suffix":""},{"dropping-particle":"","family":"Wijk","given":"Michiel P.","non-dropping-particle":"Van","parse-names":false,"suffix":""},{"dropping-particle":"","family":"Teklenburg-Roord","given":"Sarah T.A.","non-dropping-particle":"","parse-names":false,"suffix":""},{"dropping-particle":"","family":"Schreurs","given":"Marco W.J.","non-dropping-particle":"","parse-names":false,"suffix":""},{"dropping-particle":"","family":"Rizopoulos","given":"Dimitris","non-dropping-particle":"","parse-names":false,"suffix":""},{"dropping-particle":"","family":"Doukas","given":"Michail","non-dropping-particle":"","parse-names":false,"suffix":""},{"dropping-particle":"","family":"Escher","given":"Johanna C.","non-dropping-particle":"","parse-names":false,"suffix":""},{"dropping-particle":"","family":"Samsom","given":"Janneke N.","non-dropping-particle":"","parse-names":false,"suffix":""},{"dropping-particle":"","family":"Ridder","given":"Lissy","non-dropping-particle":"De","parse-names":false,"suffix":""}],"container-title":"Gut","id":"ITEM-1","issued":{"date-parts":[["2021","12","31"]]},"page":"1-9","publisher":"BMJ Publishing Group","title":"First-line treatment with infliximab versus conventional treatment in children with newly diagnosed moderate-to-severe Crohn's disease: An open-label multicentre randomised controlled trial","type":"article-journal","volume":"0"},"uris":["http://www.mendeley.com/documents/?uuid=bb2b93af-b6ac-3ead-bd2f-f061367f8ac5"]}],"mendeley":{"formattedCitation":"[2]","plainTextFormattedCitation":"[2]","previouslyFormattedCitation":"[1]"},"properties":{"noteIndex":0},"schema":"https://github.com/citation-style-language/schema/raw/master/csl-citation.json"}</w:instrText>
      </w:r>
      <w:r w:rsidR="00CB747D" w:rsidRPr="004B45D3">
        <w:rPr>
          <w:sz w:val="24"/>
          <w:szCs w:val="24"/>
        </w:rPr>
        <w:fldChar w:fldCharType="separate"/>
      </w:r>
      <w:r w:rsidR="00405EA6" w:rsidRPr="004B45D3">
        <w:rPr>
          <w:noProof/>
          <w:sz w:val="24"/>
          <w:szCs w:val="24"/>
        </w:rPr>
        <w:t>[2]</w:t>
      </w:r>
      <w:r w:rsidR="00CB747D" w:rsidRPr="004B45D3">
        <w:rPr>
          <w:sz w:val="24"/>
          <w:szCs w:val="24"/>
        </w:rPr>
        <w:fldChar w:fldCharType="end"/>
      </w:r>
      <w:r w:rsidRPr="004B45D3">
        <w:rPr>
          <w:sz w:val="24"/>
          <w:szCs w:val="24"/>
        </w:rPr>
        <w:t xml:space="preserve">. </w:t>
      </w:r>
      <w:r w:rsidR="00FD2AA0">
        <w:rPr>
          <w:sz w:val="24"/>
          <w:szCs w:val="24"/>
        </w:rPr>
        <w:t xml:space="preserve">This is novel and has the potential to inform practice. </w:t>
      </w:r>
      <w:r w:rsidRPr="004B45D3">
        <w:rPr>
          <w:sz w:val="24"/>
          <w:szCs w:val="24"/>
        </w:rPr>
        <w:t xml:space="preserve">Rather than focusing on </w:t>
      </w:r>
      <w:r w:rsidR="0035163C" w:rsidRPr="004B45D3">
        <w:rPr>
          <w:sz w:val="24"/>
          <w:szCs w:val="24"/>
        </w:rPr>
        <w:t xml:space="preserve">the continued debate between </w:t>
      </w:r>
      <w:r w:rsidRPr="004B45D3">
        <w:rPr>
          <w:sz w:val="24"/>
          <w:szCs w:val="24"/>
        </w:rPr>
        <w:t xml:space="preserve">top-down </w:t>
      </w:r>
      <w:r w:rsidR="0035163C" w:rsidRPr="004B45D3">
        <w:rPr>
          <w:sz w:val="24"/>
          <w:szCs w:val="24"/>
        </w:rPr>
        <w:t>vs step-up therapy, these data inform paediatric gastroenterologists o</w:t>
      </w:r>
      <w:r w:rsidR="00D63FDA" w:rsidRPr="004B45D3">
        <w:rPr>
          <w:sz w:val="24"/>
          <w:szCs w:val="24"/>
        </w:rPr>
        <w:t>n</w:t>
      </w:r>
      <w:r w:rsidR="0035163C" w:rsidRPr="004B45D3">
        <w:rPr>
          <w:sz w:val="24"/>
          <w:szCs w:val="24"/>
        </w:rPr>
        <w:t xml:space="preserve"> the utility of induction therapy with infliximab, with the protocol </w:t>
      </w:r>
      <w:r w:rsidR="007D7EF3" w:rsidRPr="004B45D3">
        <w:rPr>
          <w:sz w:val="24"/>
          <w:szCs w:val="24"/>
        </w:rPr>
        <w:t>dictating</w:t>
      </w:r>
      <w:r w:rsidR="0035163C" w:rsidRPr="004B45D3">
        <w:rPr>
          <w:sz w:val="24"/>
          <w:szCs w:val="24"/>
        </w:rPr>
        <w:t xml:space="preserve"> patients </w:t>
      </w:r>
      <w:r w:rsidR="00D63FDA" w:rsidRPr="004B45D3">
        <w:rPr>
          <w:sz w:val="24"/>
          <w:szCs w:val="24"/>
        </w:rPr>
        <w:t>who are able should</w:t>
      </w:r>
      <w:r w:rsidR="0035163C" w:rsidRPr="004B45D3">
        <w:rPr>
          <w:sz w:val="24"/>
          <w:szCs w:val="24"/>
        </w:rPr>
        <w:t xml:space="preserve"> stop the drug after </w:t>
      </w:r>
      <w:r w:rsidR="007D7EF3" w:rsidRPr="004B45D3">
        <w:rPr>
          <w:sz w:val="24"/>
          <w:szCs w:val="24"/>
        </w:rPr>
        <w:t xml:space="preserve">the final infusion at </w:t>
      </w:r>
      <w:r w:rsidR="0035163C" w:rsidRPr="004B45D3">
        <w:rPr>
          <w:sz w:val="24"/>
          <w:szCs w:val="24"/>
        </w:rPr>
        <w:t xml:space="preserve">22 weeks. </w:t>
      </w:r>
      <w:r w:rsidR="007D7EF3" w:rsidRPr="004B45D3">
        <w:rPr>
          <w:sz w:val="24"/>
          <w:szCs w:val="24"/>
        </w:rPr>
        <w:t>The results of the study, conducted on 100 patients, highlight the efficacy of infliximab (59%) to induce clinical remission at 10 weeks compared to ‘conventional’ therapy</w:t>
      </w:r>
      <w:r w:rsidR="00D63FDA" w:rsidRPr="004B45D3">
        <w:rPr>
          <w:sz w:val="24"/>
          <w:szCs w:val="24"/>
        </w:rPr>
        <w:t xml:space="preserve"> (34%)</w:t>
      </w:r>
      <w:r w:rsidR="007D7EF3" w:rsidRPr="004B45D3">
        <w:rPr>
          <w:sz w:val="24"/>
          <w:szCs w:val="24"/>
        </w:rPr>
        <w:t xml:space="preserve">, comprising 6 weeks of </w:t>
      </w:r>
      <w:r w:rsidR="00735F2A" w:rsidRPr="004B45D3">
        <w:rPr>
          <w:sz w:val="24"/>
          <w:szCs w:val="24"/>
        </w:rPr>
        <w:t>EEN</w:t>
      </w:r>
      <w:r w:rsidR="007D7EF3" w:rsidRPr="004B45D3">
        <w:rPr>
          <w:sz w:val="24"/>
          <w:szCs w:val="24"/>
        </w:rPr>
        <w:t xml:space="preserve">, or oral corticosteroids. Azathioprine was started </w:t>
      </w:r>
      <w:r w:rsidR="00F91B02">
        <w:rPr>
          <w:sz w:val="24"/>
          <w:szCs w:val="24"/>
        </w:rPr>
        <w:t xml:space="preserve">early </w:t>
      </w:r>
      <w:r w:rsidR="007D7EF3" w:rsidRPr="004B45D3">
        <w:rPr>
          <w:sz w:val="24"/>
          <w:szCs w:val="24"/>
        </w:rPr>
        <w:t>in both treatment arms</w:t>
      </w:r>
      <w:r w:rsidR="00F91B02">
        <w:rPr>
          <w:sz w:val="24"/>
          <w:szCs w:val="24"/>
        </w:rPr>
        <w:t xml:space="preserve"> </w:t>
      </w:r>
      <w:r w:rsidR="00FD2AA0">
        <w:rPr>
          <w:sz w:val="24"/>
          <w:szCs w:val="24"/>
        </w:rPr>
        <w:t xml:space="preserve">and </w:t>
      </w:r>
      <w:r w:rsidR="00AC3467">
        <w:rPr>
          <w:sz w:val="24"/>
          <w:szCs w:val="24"/>
        </w:rPr>
        <w:t xml:space="preserve">appears </w:t>
      </w:r>
      <w:r w:rsidR="00FD2AA0">
        <w:rPr>
          <w:sz w:val="24"/>
          <w:szCs w:val="24"/>
        </w:rPr>
        <w:t>to have been well tolerated</w:t>
      </w:r>
      <w:r w:rsidR="000D6D17">
        <w:rPr>
          <w:sz w:val="24"/>
          <w:szCs w:val="24"/>
        </w:rPr>
        <w:t>.</w:t>
      </w:r>
      <w:r w:rsidR="007D7EF3" w:rsidRPr="004B45D3">
        <w:rPr>
          <w:sz w:val="24"/>
          <w:szCs w:val="24"/>
        </w:rPr>
        <w:t xml:space="preserve"> </w:t>
      </w:r>
      <w:r w:rsidR="000D6D17">
        <w:rPr>
          <w:sz w:val="24"/>
          <w:szCs w:val="24"/>
        </w:rPr>
        <w:t>At</w:t>
      </w:r>
      <w:r w:rsidR="007D7EF3" w:rsidRPr="004B45D3">
        <w:rPr>
          <w:sz w:val="24"/>
          <w:szCs w:val="24"/>
        </w:rPr>
        <w:t xml:space="preserve"> 52 weeks the results were less clear</w:t>
      </w:r>
      <w:r w:rsidR="00122552" w:rsidRPr="004B45D3">
        <w:rPr>
          <w:sz w:val="24"/>
          <w:szCs w:val="24"/>
        </w:rPr>
        <w:t xml:space="preserve">; the first-line infliximab group achieved clinical remission in 70% of patients, compared to 56% of the conventional group, p=0.42. Whilst remission without treatment escalation was observed in more first-line infliximab patients than in the conventional arm (41% vs 15% respectively), this was somewhat confounded by the effect of the induction regimen of infliximab (with azathioprine) lasting beyond 30 weeks, </w:t>
      </w:r>
      <w:r w:rsidR="00122552" w:rsidRPr="004B45D3">
        <w:rPr>
          <w:sz w:val="24"/>
          <w:szCs w:val="24"/>
        </w:rPr>
        <w:lastRenderedPageBreak/>
        <w:t>compared to the conventional arm who were on azathioprine monotherapy from</w:t>
      </w:r>
      <w:r w:rsidR="00CB747D" w:rsidRPr="004B45D3">
        <w:rPr>
          <w:sz w:val="24"/>
          <w:szCs w:val="24"/>
        </w:rPr>
        <w:t xml:space="preserve"> as early as</w:t>
      </w:r>
      <w:r w:rsidR="00122552" w:rsidRPr="004B45D3">
        <w:rPr>
          <w:sz w:val="24"/>
          <w:szCs w:val="24"/>
        </w:rPr>
        <w:t xml:space="preserve"> 6 weeks</w:t>
      </w:r>
      <w:r w:rsidR="000D6D17">
        <w:rPr>
          <w:sz w:val="24"/>
          <w:szCs w:val="24"/>
        </w:rPr>
        <w:t>.</w:t>
      </w:r>
    </w:p>
    <w:p w14:paraId="0154AF81" w14:textId="6FB23CA0" w:rsidR="00945A1F" w:rsidRDefault="00F91B02" w:rsidP="001D1EBF">
      <w:pPr>
        <w:spacing w:line="480" w:lineRule="auto"/>
        <w:rPr>
          <w:sz w:val="24"/>
          <w:szCs w:val="24"/>
        </w:rPr>
      </w:pPr>
      <w:r>
        <w:rPr>
          <w:sz w:val="24"/>
          <w:szCs w:val="24"/>
        </w:rPr>
        <w:t>The difficulty is</w:t>
      </w:r>
      <w:r w:rsidR="00AC3467">
        <w:rPr>
          <w:sz w:val="24"/>
          <w:szCs w:val="24"/>
        </w:rPr>
        <w:t>,</w:t>
      </w:r>
      <w:r>
        <w:rPr>
          <w:sz w:val="24"/>
          <w:szCs w:val="24"/>
        </w:rPr>
        <w:t xml:space="preserve"> if </w:t>
      </w:r>
      <w:r w:rsidR="00945A1F">
        <w:rPr>
          <w:sz w:val="24"/>
          <w:szCs w:val="24"/>
        </w:rPr>
        <w:t>infliximab</w:t>
      </w:r>
      <w:r>
        <w:rPr>
          <w:sz w:val="24"/>
          <w:szCs w:val="24"/>
        </w:rPr>
        <w:t xml:space="preserve"> is safe and effective at diagnosis</w:t>
      </w:r>
      <w:r w:rsidR="008030CC">
        <w:rPr>
          <w:sz w:val="24"/>
          <w:szCs w:val="24"/>
        </w:rPr>
        <w:t>,</w:t>
      </w:r>
      <w:r>
        <w:rPr>
          <w:sz w:val="24"/>
          <w:szCs w:val="24"/>
        </w:rPr>
        <w:t xml:space="preserve"> should all cases be started on it</w:t>
      </w:r>
      <w:r w:rsidR="008030CC">
        <w:rPr>
          <w:sz w:val="24"/>
          <w:szCs w:val="24"/>
        </w:rPr>
        <w:t>?</w:t>
      </w:r>
      <w:r w:rsidR="00AC3467">
        <w:rPr>
          <w:sz w:val="24"/>
          <w:szCs w:val="24"/>
        </w:rPr>
        <w:t xml:space="preserve"> This is </w:t>
      </w:r>
      <w:r>
        <w:rPr>
          <w:sz w:val="24"/>
          <w:szCs w:val="24"/>
        </w:rPr>
        <w:t xml:space="preserve">particularly </w:t>
      </w:r>
      <w:r w:rsidR="00AC3467">
        <w:rPr>
          <w:sz w:val="24"/>
          <w:szCs w:val="24"/>
        </w:rPr>
        <w:t xml:space="preserve">important </w:t>
      </w:r>
      <w:r>
        <w:rPr>
          <w:sz w:val="24"/>
          <w:szCs w:val="24"/>
        </w:rPr>
        <w:t xml:space="preserve">as in this study only 35/97 patients remained on monoclonal antibody treatment </w:t>
      </w:r>
      <w:r w:rsidR="00AC3467">
        <w:rPr>
          <w:sz w:val="24"/>
          <w:szCs w:val="24"/>
        </w:rPr>
        <w:t xml:space="preserve">at 52 weeks, </w:t>
      </w:r>
      <w:r>
        <w:rPr>
          <w:sz w:val="24"/>
          <w:szCs w:val="24"/>
        </w:rPr>
        <w:t xml:space="preserve">and as the authors discuss, in general recent guidance suggests once treatment is started it is continued. </w:t>
      </w:r>
    </w:p>
    <w:p w14:paraId="5B6F9B6C" w14:textId="71E130B6" w:rsidR="00D27483" w:rsidRDefault="0076497B" w:rsidP="00945A1F">
      <w:pPr>
        <w:spacing w:line="480" w:lineRule="auto"/>
        <w:rPr>
          <w:sz w:val="24"/>
          <w:szCs w:val="24"/>
        </w:rPr>
      </w:pPr>
      <w:r w:rsidRPr="00D33AEF">
        <w:rPr>
          <w:sz w:val="24"/>
          <w:szCs w:val="24"/>
        </w:rPr>
        <w:t xml:space="preserve">It has long been established that many patients will achieve medium-term remission without </w:t>
      </w:r>
      <w:r w:rsidRPr="0009296C">
        <w:rPr>
          <w:sz w:val="24"/>
          <w:szCs w:val="24"/>
        </w:rPr>
        <w:t>immunosuppression</w:t>
      </w:r>
      <w:r w:rsidRPr="00D33AEF">
        <w:rPr>
          <w:sz w:val="24"/>
          <w:szCs w:val="24"/>
        </w:rPr>
        <w:t xml:space="preserve">, with Markowitz </w:t>
      </w:r>
      <w:r w:rsidRPr="00D33AEF">
        <w:rPr>
          <w:i/>
          <w:iCs/>
          <w:sz w:val="24"/>
          <w:szCs w:val="24"/>
        </w:rPr>
        <w:t>et al</w:t>
      </w:r>
      <w:r w:rsidRPr="00D33AEF">
        <w:rPr>
          <w:sz w:val="24"/>
          <w:szCs w:val="24"/>
        </w:rPr>
        <w:t xml:space="preserve"> </w:t>
      </w:r>
      <w:r w:rsidR="000D6D17">
        <w:rPr>
          <w:sz w:val="24"/>
          <w:szCs w:val="24"/>
        </w:rPr>
        <w:t xml:space="preserve">, in a paediatric cohort, </w:t>
      </w:r>
      <w:r w:rsidRPr="00D33AEF">
        <w:rPr>
          <w:sz w:val="24"/>
          <w:szCs w:val="24"/>
        </w:rPr>
        <w:t xml:space="preserve">demonstrating that at 1 year post-induction therapy 43% of patients remained in remission without the need for </w:t>
      </w:r>
      <w:r>
        <w:rPr>
          <w:sz w:val="24"/>
          <w:szCs w:val="24"/>
        </w:rPr>
        <w:t xml:space="preserve">corticosteroids or </w:t>
      </w:r>
      <w:r w:rsidR="0009296C">
        <w:rPr>
          <w:sz w:val="24"/>
          <w:szCs w:val="24"/>
        </w:rPr>
        <w:t>thiopurines</w:t>
      </w:r>
      <w:r w:rsidRPr="00D33AEF">
        <w:rPr>
          <w:sz w:val="24"/>
          <w:szCs w:val="24"/>
        </w:rPr>
        <w:t xml:space="preserve"> </w:t>
      </w:r>
      <w:r w:rsidRPr="00D33AEF">
        <w:rPr>
          <w:sz w:val="24"/>
          <w:szCs w:val="24"/>
        </w:rPr>
        <w:fldChar w:fldCharType="begin" w:fldLock="1"/>
      </w:r>
      <w:r w:rsidRPr="00D33AEF">
        <w:rPr>
          <w:sz w:val="24"/>
          <w:szCs w:val="24"/>
        </w:rPr>
        <w:instrText>ADDIN CSL_CITATION {"citationItems":[{"id":"ITEM-1","itemData":{"DOI":"10.1053/gast.2000.18144","ISSN":"0016-5085","PMID":"11040176","abstract":"BACKGROUND &amp; AIMS Clinical experience suggests that 6-mercaptopurine (6-MP) is effective therapy for children with active steroid-dependent Crohn's disease (CD). We report the results of a prospective, placebo-controlled, multicenter trial evaluating the combination of 6-MP and prednisone as therapy for children with newly diagnosed moderate-to-severe CD. METHODS Fifty-five children (age, 13+/-2 years) were randomized to treatment with 6-MP (1.5 mg x kg(-1) x day(-1)) or placebo within 8 weeks of initial diagnosis. Both groups also received prednisone (40 mg/day). Prednisone dosage adjustments were based on a defined schedule determined by the change in a subject's disease activity score, and steroid administration was discontinued as remission was achieved. Study treatment with 6-MP or placebo continued for 18 months. RESULTS Groups were comparable for age, sex, and site and activity of disease. In the 6-MP group, the duration of steroid use was shorter (P&lt;0.001) and the cumulative steroid dose lower at 6, 12, and 18 months (P&lt;0.01). Although remission was induced in 89% of both groups, only 9% of the remitters in the 6-MP group relapsed compared with 47% of controls (P = 0.007). Growth was comparable in both groups. No clinically significant adverse events occurred, although mild leukopenia and increases in aminotransferase activity were noted in the 6-MP group. CONCLUSIONS Addition of 6-MP to a regimen of corticosteroids significantly lessens the need for prednisone and improves maintenance of remission. 6-MP should be part of the initial treatment regimen for children with newly diagnosed moderate-to-severe CD.","author":[{"dropping-particle":"","family":"Markowitz","given":"J","non-dropping-particle":"","parse-names":false,"suffix":""},{"dropping-particle":"","family":"Grancher","given":"K","non-dropping-particle":"","parse-names":false,"suffix":""},{"dropping-particle":"","family":"Kohn","given":"N","non-dropping-particle":"","parse-names":false,"suffix":""},{"dropping-particle":"","family":"Lesser","given":"M","non-dropping-particle":"","parse-names":false,"suffix":""},{"dropping-particle":"","family":"Daum","given":"F","non-dropping-particle":"","parse-names":false,"suffix":""}],"container-title":"Gastroenterology","id":"ITEM-1","issue":"4","issued":{"date-parts":[["2000","10"]]},"page":"895-902","title":"A multicenter trial of 6-mercaptopurine and prednisone in children with newly diagnosed Crohn's disease.","type":"article-journal","volume":"119"},"uris":["http://www.mendeley.com/documents/?uuid=f664e636-2e93-3c20-9595-7eb75ab5582f"]}],"mendeley":{"formattedCitation":"[3]","plainTextFormattedCitation":"[3]","previouslyFormattedCitation":"[2]"},"properties":{"noteIndex":0},"schema":"https://github.com/citation-style-language/schema/raw/master/csl-citation.json"}</w:instrText>
      </w:r>
      <w:r w:rsidRPr="00D33AEF">
        <w:rPr>
          <w:sz w:val="24"/>
          <w:szCs w:val="24"/>
        </w:rPr>
        <w:fldChar w:fldCharType="separate"/>
      </w:r>
      <w:r w:rsidRPr="00D33AEF">
        <w:rPr>
          <w:noProof/>
          <w:sz w:val="24"/>
          <w:szCs w:val="24"/>
        </w:rPr>
        <w:t>[3]</w:t>
      </w:r>
      <w:r w:rsidRPr="00D33AEF">
        <w:rPr>
          <w:sz w:val="24"/>
          <w:szCs w:val="24"/>
        </w:rPr>
        <w:fldChar w:fldCharType="end"/>
      </w:r>
      <w:r w:rsidRPr="00D33AEF">
        <w:rPr>
          <w:sz w:val="24"/>
          <w:szCs w:val="24"/>
        </w:rPr>
        <w:t xml:space="preserve">. </w:t>
      </w:r>
      <w:r w:rsidR="0009296C">
        <w:rPr>
          <w:sz w:val="24"/>
          <w:szCs w:val="24"/>
        </w:rPr>
        <w:t>T</w:t>
      </w:r>
      <w:r w:rsidR="000D6D17">
        <w:rPr>
          <w:sz w:val="24"/>
          <w:szCs w:val="24"/>
        </w:rPr>
        <w:t>herefore</w:t>
      </w:r>
      <w:r w:rsidR="00F91B02">
        <w:rPr>
          <w:sz w:val="24"/>
          <w:szCs w:val="24"/>
        </w:rPr>
        <w:t xml:space="preserve"> </w:t>
      </w:r>
      <w:r w:rsidR="0009296C">
        <w:rPr>
          <w:sz w:val="24"/>
          <w:szCs w:val="24"/>
        </w:rPr>
        <w:t>there is</w:t>
      </w:r>
      <w:r w:rsidR="00F91B02">
        <w:rPr>
          <w:sz w:val="24"/>
          <w:szCs w:val="24"/>
        </w:rPr>
        <w:t xml:space="preserve"> potential for large numbers of patients being on long</w:t>
      </w:r>
      <w:r w:rsidR="0009296C">
        <w:rPr>
          <w:sz w:val="24"/>
          <w:szCs w:val="24"/>
        </w:rPr>
        <w:t>-</w:t>
      </w:r>
      <w:r w:rsidR="00F91B02">
        <w:rPr>
          <w:sz w:val="24"/>
          <w:szCs w:val="24"/>
        </w:rPr>
        <w:t>term monoclonal antibody therapy who don’t necessarily need it</w:t>
      </w:r>
      <w:r w:rsidR="00945A1F">
        <w:rPr>
          <w:sz w:val="24"/>
          <w:szCs w:val="24"/>
        </w:rPr>
        <w:t xml:space="preserve"> and so w</w:t>
      </w:r>
      <w:r w:rsidR="00A90637" w:rsidRPr="004B45D3">
        <w:rPr>
          <w:sz w:val="24"/>
          <w:szCs w:val="24"/>
        </w:rPr>
        <w:t xml:space="preserve">hilst Jongsma </w:t>
      </w:r>
      <w:r w:rsidR="00A90637" w:rsidRPr="004B45D3">
        <w:rPr>
          <w:i/>
          <w:iCs/>
          <w:sz w:val="24"/>
          <w:szCs w:val="24"/>
        </w:rPr>
        <w:t>et al</w:t>
      </w:r>
      <w:r w:rsidR="00A90637" w:rsidRPr="004B45D3">
        <w:rPr>
          <w:sz w:val="24"/>
          <w:szCs w:val="24"/>
        </w:rPr>
        <w:t xml:space="preserve"> elegantly demonstrate the potential of infliximab to induce remission, </w:t>
      </w:r>
      <w:r w:rsidR="00074CFE">
        <w:rPr>
          <w:sz w:val="24"/>
          <w:szCs w:val="24"/>
        </w:rPr>
        <w:t>further</w:t>
      </w:r>
      <w:r w:rsidR="007E0379" w:rsidRPr="004B45D3">
        <w:rPr>
          <w:sz w:val="24"/>
          <w:szCs w:val="24"/>
        </w:rPr>
        <w:t xml:space="preserve"> </w:t>
      </w:r>
      <w:r w:rsidR="00A90637" w:rsidRPr="004B45D3">
        <w:rPr>
          <w:sz w:val="24"/>
          <w:szCs w:val="24"/>
        </w:rPr>
        <w:t xml:space="preserve">questions </w:t>
      </w:r>
      <w:r w:rsidR="007E0379">
        <w:rPr>
          <w:sz w:val="24"/>
          <w:szCs w:val="24"/>
        </w:rPr>
        <w:t>arise from this data set</w:t>
      </w:r>
      <w:r w:rsidR="00945A1F">
        <w:rPr>
          <w:sz w:val="24"/>
          <w:szCs w:val="24"/>
        </w:rPr>
        <w:t xml:space="preserve">; </w:t>
      </w:r>
      <w:r w:rsidR="008030CC">
        <w:rPr>
          <w:sz w:val="24"/>
          <w:szCs w:val="24"/>
        </w:rPr>
        <w:t>w</w:t>
      </w:r>
      <w:r w:rsidR="00A90637" w:rsidRPr="004B45D3">
        <w:rPr>
          <w:sz w:val="24"/>
          <w:szCs w:val="24"/>
        </w:rPr>
        <w:t>hich patients should have aggressive therapy? Who should continue on anti-TNF treatment</w:t>
      </w:r>
      <w:r w:rsidR="00E04C9B" w:rsidRPr="004B45D3">
        <w:rPr>
          <w:sz w:val="24"/>
          <w:szCs w:val="24"/>
        </w:rPr>
        <w:t xml:space="preserve"> beyond induction</w:t>
      </w:r>
      <w:r w:rsidR="00A90637" w:rsidRPr="004B45D3">
        <w:rPr>
          <w:sz w:val="24"/>
          <w:szCs w:val="24"/>
        </w:rPr>
        <w:t xml:space="preserve">? Who will develop fistulating or stricturing disease? Who will have long-term quiescent disease? </w:t>
      </w:r>
      <w:r w:rsidR="0009296C">
        <w:rPr>
          <w:sz w:val="24"/>
          <w:szCs w:val="24"/>
        </w:rPr>
        <w:t>A</w:t>
      </w:r>
      <w:r w:rsidR="007E0379">
        <w:rPr>
          <w:sz w:val="24"/>
          <w:szCs w:val="24"/>
        </w:rPr>
        <w:t>nswer</w:t>
      </w:r>
      <w:r w:rsidR="0009296C">
        <w:rPr>
          <w:sz w:val="24"/>
          <w:szCs w:val="24"/>
        </w:rPr>
        <w:t xml:space="preserve">ing these questions </w:t>
      </w:r>
      <w:r w:rsidR="007E0379">
        <w:rPr>
          <w:sz w:val="24"/>
          <w:szCs w:val="24"/>
        </w:rPr>
        <w:t>necessitate</w:t>
      </w:r>
      <w:r w:rsidR="0009296C">
        <w:rPr>
          <w:sz w:val="24"/>
          <w:szCs w:val="24"/>
        </w:rPr>
        <w:t>s</w:t>
      </w:r>
      <w:r w:rsidR="007E0379">
        <w:rPr>
          <w:sz w:val="24"/>
          <w:szCs w:val="24"/>
        </w:rPr>
        <w:t xml:space="preserve"> </w:t>
      </w:r>
      <w:r w:rsidR="00074CFE">
        <w:rPr>
          <w:sz w:val="24"/>
          <w:szCs w:val="24"/>
        </w:rPr>
        <w:t>consideration</w:t>
      </w:r>
      <w:r w:rsidR="007E0379">
        <w:rPr>
          <w:sz w:val="24"/>
          <w:szCs w:val="24"/>
        </w:rPr>
        <w:t xml:space="preserve"> of the heteroge</w:t>
      </w:r>
      <w:r w:rsidR="00074CFE">
        <w:rPr>
          <w:sz w:val="24"/>
          <w:szCs w:val="24"/>
        </w:rPr>
        <w:t>ne</w:t>
      </w:r>
      <w:r w:rsidR="007E0379">
        <w:rPr>
          <w:sz w:val="24"/>
          <w:szCs w:val="24"/>
        </w:rPr>
        <w:t xml:space="preserve">ity of </w:t>
      </w:r>
      <w:r w:rsidR="0009296C">
        <w:rPr>
          <w:sz w:val="24"/>
          <w:szCs w:val="24"/>
        </w:rPr>
        <w:t xml:space="preserve">inflammatory </w:t>
      </w:r>
      <w:r w:rsidR="0009296C" w:rsidRPr="00945A1F">
        <w:rPr>
          <w:sz w:val="24"/>
          <w:szCs w:val="24"/>
        </w:rPr>
        <w:t>bowel disease,</w:t>
      </w:r>
      <w:r w:rsidR="007E0379" w:rsidRPr="00945A1F">
        <w:rPr>
          <w:sz w:val="24"/>
          <w:szCs w:val="24"/>
        </w:rPr>
        <w:t xml:space="preserve"> and the need to better inform this by developing predictors based </w:t>
      </w:r>
      <w:r w:rsidR="008030CC">
        <w:rPr>
          <w:sz w:val="24"/>
          <w:szCs w:val="24"/>
        </w:rPr>
        <w:t>on characteristics or biomarkers</w:t>
      </w:r>
      <w:r w:rsidR="00074CFE" w:rsidRPr="00945A1F">
        <w:rPr>
          <w:sz w:val="24"/>
          <w:szCs w:val="24"/>
        </w:rPr>
        <w:t xml:space="preserve"> </w:t>
      </w:r>
      <w:r w:rsidR="00074CFE" w:rsidRPr="008030CC">
        <w:rPr>
          <w:sz w:val="24"/>
          <w:szCs w:val="24"/>
        </w:rPr>
        <w:t xml:space="preserve">at </w:t>
      </w:r>
      <w:r w:rsidR="00074CFE" w:rsidRPr="008030CC">
        <w:rPr>
          <w:sz w:val="24"/>
          <w:szCs w:val="24"/>
        </w:rPr>
        <w:t>diagnosis</w:t>
      </w:r>
      <w:r w:rsidR="008030CC">
        <w:rPr>
          <w:sz w:val="24"/>
          <w:szCs w:val="24"/>
        </w:rPr>
        <w:t>,</w:t>
      </w:r>
      <w:r w:rsidR="00945A1F" w:rsidRPr="008030CC">
        <w:rPr>
          <w:sz w:val="24"/>
          <w:szCs w:val="24"/>
        </w:rPr>
        <w:t xml:space="preserve"> </w:t>
      </w:r>
      <w:r w:rsidR="008030CC">
        <w:rPr>
          <w:sz w:val="24"/>
          <w:szCs w:val="24"/>
        </w:rPr>
        <w:t>and during</w:t>
      </w:r>
      <w:r w:rsidR="008030CC">
        <w:rPr>
          <w:sz w:val="24"/>
          <w:szCs w:val="24"/>
        </w:rPr>
        <w:t xml:space="preserve"> early</w:t>
      </w:r>
      <w:r w:rsidR="00945A1F" w:rsidRPr="008030CC">
        <w:rPr>
          <w:sz w:val="24"/>
          <w:szCs w:val="24"/>
        </w:rPr>
        <w:t xml:space="preserve"> therapy</w:t>
      </w:r>
      <w:r w:rsidR="0009296C" w:rsidRPr="008030CC">
        <w:rPr>
          <w:sz w:val="24"/>
          <w:szCs w:val="24"/>
        </w:rPr>
        <w:t xml:space="preserve">. </w:t>
      </w:r>
      <w:r w:rsidR="00074CFE" w:rsidRPr="008030CC">
        <w:rPr>
          <w:sz w:val="24"/>
          <w:szCs w:val="24"/>
        </w:rPr>
        <w:t xml:space="preserve">This </w:t>
      </w:r>
      <w:r w:rsidR="00074CFE" w:rsidRPr="008030CC">
        <w:rPr>
          <w:sz w:val="24"/>
          <w:szCs w:val="24"/>
        </w:rPr>
        <w:t>strategy moves away</w:t>
      </w:r>
      <w:r w:rsidR="00074CFE" w:rsidRPr="00945A1F">
        <w:rPr>
          <w:sz w:val="24"/>
          <w:szCs w:val="24"/>
        </w:rPr>
        <w:t xml:space="preserve"> from a one</w:t>
      </w:r>
      <w:r w:rsidR="00074CFE">
        <w:rPr>
          <w:sz w:val="24"/>
          <w:szCs w:val="24"/>
        </w:rPr>
        <w:t xml:space="preserve"> size fits all </w:t>
      </w:r>
      <w:r w:rsidR="000D6D17">
        <w:rPr>
          <w:sz w:val="24"/>
          <w:szCs w:val="24"/>
        </w:rPr>
        <w:t>approach</w:t>
      </w:r>
      <w:r w:rsidR="0009296C">
        <w:rPr>
          <w:sz w:val="24"/>
          <w:szCs w:val="24"/>
        </w:rPr>
        <w:t>,</w:t>
      </w:r>
      <w:r w:rsidR="00074CFE">
        <w:rPr>
          <w:sz w:val="24"/>
          <w:szCs w:val="24"/>
        </w:rPr>
        <w:t xml:space="preserve"> </w:t>
      </w:r>
      <w:r w:rsidR="007E0379">
        <w:rPr>
          <w:sz w:val="24"/>
          <w:szCs w:val="24"/>
        </w:rPr>
        <w:t>recognising there are multiple different phenotypes within the wide spectrum of inflammatory bowel disease</w:t>
      </w:r>
      <w:r w:rsidR="00E04C9B" w:rsidRPr="004B45D3">
        <w:rPr>
          <w:sz w:val="24"/>
          <w:szCs w:val="24"/>
        </w:rPr>
        <w:t xml:space="preserve"> </w:t>
      </w:r>
      <w:r w:rsidR="00E04C9B" w:rsidRPr="004B45D3">
        <w:rPr>
          <w:sz w:val="24"/>
          <w:szCs w:val="24"/>
        </w:rPr>
        <w:fldChar w:fldCharType="begin" w:fldLock="1"/>
      </w:r>
      <w:r w:rsidR="00405EA6" w:rsidRPr="004B45D3">
        <w:rPr>
          <w:sz w:val="24"/>
          <w:szCs w:val="24"/>
        </w:rPr>
        <w:instrText>ADDIN CSL_CITATION {"citationItems":[{"id":"ITEM-1","itemData":{"DOI":"10.21037/tp.2018.12.03","ISSN":"22244344","abstract":"© Translational Pediatrics. All rights reserved. Up to 25% of inflammatory bowel disease (IBD) presents during childhood, often with severe and extensive disease, leading to significant morbidity including delayed growth and nutritional impairment. The classical approach to management has centred on differentiation into Crohn’s disease (CD) or ulcerative colitis (UC), with subsequent treatment based on symptoms, results and complications. However, IBD is a heterogeneous condition with substantial variation in phenotype, disease course and outcome, so whilst effective treatment exists one size does not fit all. The ability to predict disease course at diagnosis, alongside tailoring medications based on response gives the potential for a more ‘personalised approach’. The move to a pre-emptive strategy to prevent IBD-related complications, whilst simultaneously minimising side effects and long-term toxicity from therapy, particularly in those with relatively indolent disease, has the potential to revolutionise care. In very early-onset IBD, personalised approaches to diagnosis and management have become the standard of treatment enabling clinicians to significantly alter the outcomes of the few children with monogenic disease. However, the promise of discoveries in genomics, microbiome and transcriptomics in paediatric IBD has not yet translated to clinical application for the vast majority of patients. Despite this, the opportunity presents itself to apply data gathered at diagnosis and follow-up to predict which patients are likely to progress to complicated disease, which will respond well and which will require additional therapy. Using complex mathematics and innovative, cutting-edge machine learning (ML) techniques gives the potential to use this data to develop personalised clinical care algorithms to treat patients more effectively, reduce toxicity and improve outcome. In this review, we will consider current management of paediatric IBD, discuss how precision medicine is making inroads into clinical practice already, examine the contemporary studies applying data to stratify patients and explore how future management may be revolutionised by personalisation with clinical, genomic and other multi-omic data.","author":[{"dropping-particle":"","family":"Ashton","given":"J.J.","non-dropping-particle":"","parse-names":false,"suffix":""},{"dropping-particle":"","family":"Mossotto","given":"E.","non-dropping-particle":"","parse-names":false,"suffix":""},{"dropping-particle":"","family":"Ennis","given":"S.","non-dropping-particle":"","parse-names":false,"suffix":""},{"dropping-particle":"","family":"Beattie","given":"R.M.","non-dropping-particle":"","parse-names":false,"suffix":""}],"container-title":"Translational Pediatrics","id":"ITEM-1","issue":"1","issued":{"date-parts":[["2019"]]},"title":"Personalising medicine in inflammatory bowel disease—current and future perspectives","type":"article-journal","volume":"8"},"uris":["http://www.mendeley.com/documents/?uuid=c32abb6d-dff8-306b-aebb-6c8e4eaf10a5"]}],"mendeley":{"formattedCitation":"[4]","plainTextFormattedCitation":"[4]","previouslyFormattedCitation":"[3]"},"properties":{"noteIndex":0},"schema":"https://github.com/citation-style-language/schema/raw/master/csl-citation.json"}</w:instrText>
      </w:r>
      <w:r w:rsidR="00E04C9B" w:rsidRPr="004B45D3">
        <w:rPr>
          <w:sz w:val="24"/>
          <w:szCs w:val="24"/>
        </w:rPr>
        <w:fldChar w:fldCharType="separate"/>
      </w:r>
      <w:r w:rsidR="00405EA6" w:rsidRPr="004B45D3">
        <w:rPr>
          <w:noProof/>
          <w:sz w:val="24"/>
          <w:szCs w:val="24"/>
        </w:rPr>
        <w:t>[4]</w:t>
      </w:r>
      <w:r w:rsidR="00E04C9B" w:rsidRPr="004B45D3">
        <w:rPr>
          <w:sz w:val="24"/>
          <w:szCs w:val="24"/>
        </w:rPr>
        <w:fldChar w:fldCharType="end"/>
      </w:r>
      <w:r w:rsidR="00A90637" w:rsidRPr="004B45D3">
        <w:rPr>
          <w:sz w:val="24"/>
          <w:szCs w:val="24"/>
        </w:rPr>
        <w:t xml:space="preserve">. </w:t>
      </w:r>
      <w:r w:rsidR="00945A1F">
        <w:rPr>
          <w:sz w:val="24"/>
          <w:szCs w:val="24"/>
        </w:rPr>
        <w:t>Although</w:t>
      </w:r>
      <w:r w:rsidR="00945A1F" w:rsidRPr="004B45D3">
        <w:rPr>
          <w:sz w:val="24"/>
          <w:szCs w:val="24"/>
        </w:rPr>
        <w:t xml:space="preserve"> </w:t>
      </w:r>
      <w:r w:rsidR="00E04C9B" w:rsidRPr="004B45D3">
        <w:rPr>
          <w:sz w:val="24"/>
          <w:szCs w:val="24"/>
        </w:rPr>
        <w:t xml:space="preserve">this ambition is clearly at the forefront of translational </w:t>
      </w:r>
      <w:r w:rsidR="00C930DB">
        <w:rPr>
          <w:sz w:val="24"/>
          <w:szCs w:val="24"/>
        </w:rPr>
        <w:t>i</w:t>
      </w:r>
      <w:r w:rsidR="00074CFE">
        <w:rPr>
          <w:sz w:val="24"/>
          <w:szCs w:val="24"/>
        </w:rPr>
        <w:t xml:space="preserve">nflammatory </w:t>
      </w:r>
      <w:r w:rsidR="00C930DB">
        <w:rPr>
          <w:sz w:val="24"/>
          <w:szCs w:val="24"/>
        </w:rPr>
        <w:t>b</w:t>
      </w:r>
      <w:r w:rsidR="00074CFE">
        <w:rPr>
          <w:sz w:val="24"/>
          <w:szCs w:val="24"/>
        </w:rPr>
        <w:t xml:space="preserve">owel </w:t>
      </w:r>
      <w:r w:rsidR="00C930DB">
        <w:rPr>
          <w:sz w:val="24"/>
          <w:szCs w:val="24"/>
        </w:rPr>
        <w:t>d</w:t>
      </w:r>
      <w:r w:rsidR="00074CFE">
        <w:rPr>
          <w:sz w:val="24"/>
          <w:szCs w:val="24"/>
        </w:rPr>
        <w:t>ise</w:t>
      </w:r>
      <w:r w:rsidR="00074CFE">
        <w:rPr>
          <w:sz w:val="24"/>
          <w:szCs w:val="24"/>
        </w:rPr>
        <w:t>ase</w:t>
      </w:r>
      <w:r w:rsidR="00E04C9B" w:rsidRPr="004B45D3">
        <w:rPr>
          <w:sz w:val="24"/>
          <w:szCs w:val="24"/>
        </w:rPr>
        <w:t xml:space="preserve"> research, </w:t>
      </w:r>
      <w:r w:rsidR="00BC17AD">
        <w:rPr>
          <w:sz w:val="24"/>
          <w:szCs w:val="24"/>
        </w:rPr>
        <w:t>this is confounded by</w:t>
      </w:r>
      <w:r w:rsidR="00945A1F" w:rsidRPr="004B45D3">
        <w:rPr>
          <w:sz w:val="24"/>
          <w:szCs w:val="24"/>
        </w:rPr>
        <w:t xml:space="preserve"> </w:t>
      </w:r>
      <w:r w:rsidR="00E04C9B" w:rsidRPr="004B45D3">
        <w:rPr>
          <w:sz w:val="24"/>
          <w:szCs w:val="24"/>
        </w:rPr>
        <w:t xml:space="preserve">realisation that genomic, </w:t>
      </w:r>
      <w:r w:rsidR="009740B9" w:rsidRPr="004B45D3">
        <w:rPr>
          <w:sz w:val="24"/>
          <w:szCs w:val="24"/>
        </w:rPr>
        <w:t>transcriptional</w:t>
      </w:r>
      <w:r w:rsidR="009740B9" w:rsidRPr="004B45D3">
        <w:rPr>
          <w:sz w:val="24"/>
          <w:szCs w:val="24"/>
        </w:rPr>
        <w:t xml:space="preserve">, </w:t>
      </w:r>
      <w:r w:rsidR="00E04C9B" w:rsidRPr="004B45D3">
        <w:rPr>
          <w:sz w:val="24"/>
          <w:szCs w:val="24"/>
        </w:rPr>
        <w:t>microbial and clinical stratification tools</w:t>
      </w:r>
      <w:r w:rsidR="00074CFE">
        <w:rPr>
          <w:sz w:val="24"/>
          <w:szCs w:val="24"/>
        </w:rPr>
        <w:t xml:space="preserve">, alongside genomic, </w:t>
      </w:r>
      <w:r w:rsidR="004B45D3">
        <w:rPr>
          <w:sz w:val="24"/>
          <w:szCs w:val="24"/>
        </w:rPr>
        <w:t>transcriptomic</w:t>
      </w:r>
      <w:r w:rsidR="00074CFE">
        <w:rPr>
          <w:sz w:val="24"/>
          <w:szCs w:val="24"/>
        </w:rPr>
        <w:t xml:space="preserve"> and microbial </w:t>
      </w:r>
      <w:r w:rsidR="00E04C9B" w:rsidRPr="004B45D3">
        <w:rPr>
          <w:sz w:val="24"/>
          <w:szCs w:val="24"/>
        </w:rPr>
        <w:t>biomarkers are difficult to identify</w:t>
      </w:r>
      <w:r w:rsidR="00424AE8" w:rsidRPr="004B45D3">
        <w:rPr>
          <w:sz w:val="24"/>
          <w:szCs w:val="24"/>
        </w:rPr>
        <w:t>,</w:t>
      </w:r>
      <w:r w:rsidR="00E04C9B" w:rsidRPr="004B45D3">
        <w:rPr>
          <w:sz w:val="24"/>
          <w:szCs w:val="24"/>
        </w:rPr>
        <w:t xml:space="preserve"> </w:t>
      </w:r>
      <w:r w:rsidR="00E04C9B" w:rsidRPr="004B45D3">
        <w:rPr>
          <w:sz w:val="24"/>
          <w:szCs w:val="24"/>
        </w:rPr>
        <w:lastRenderedPageBreak/>
        <w:t>and even more problematic to implement</w:t>
      </w:r>
      <w:r w:rsidR="000D6D17">
        <w:rPr>
          <w:sz w:val="24"/>
          <w:szCs w:val="24"/>
        </w:rPr>
        <w:t>.</w:t>
      </w:r>
      <w:r w:rsidR="0009296C">
        <w:rPr>
          <w:sz w:val="24"/>
          <w:szCs w:val="24"/>
        </w:rPr>
        <w:t xml:space="preserve"> </w:t>
      </w:r>
      <w:r w:rsidR="00E04C9B" w:rsidRPr="004B45D3">
        <w:rPr>
          <w:sz w:val="24"/>
          <w:szCs w:val="24"/>
        </w:rPr>
        <w:t>In paediatric Crohn’s disease</w:t>
      </w:r>
      <w:r w:rsidR="00C76A4E" w:rsidRPr="004B45D3">
        <w:rPr>
          <w:sz w:val="24"/>
          <w:szCs w:val="24"/>
        </w:rPr>
        <w:t>,</w:t>
      </w:r>
      <w:r w:rsidR="00E04C9B" w:rsidRPr="004B45D3">
        <w:rPr>
          <w:sz w:val="24"/>
          <w:szCs w:val="24"/>
        </w:rPr>
        <w:t xml:space="preserve"> the landmark </w:t>
      </w:r>
      <w:r w:rsidR="00C76A4E" w:rsidRPr="004B45D3">
        <w:rPr>
          <w:sz w:val="24"/>
          <w:szCs w:val="24"/>
        </w:rPr>
        <w:t xml:space="preserve">publication from </w:t>
      </w:r>
      <w:proofErr w:type="spellStart"/>
      <w:r w:rsidR="00C76A4E" w:rsidRPr="004B45D3">
        <w:rPr>
          <w:sz w:val="24"/>
          <w:szCs w:val="24"/>
        </w:rPr>
        <w:t>Kugathasan</w:t>
      </w:r>
      <w:proofErr w:type="spellEnd"/>
      <w:r w:rsidR="00C76A4E" w:rsidRPr="004B45D3">
        <w:rPr>
          <w:sz w:val="24"/>
          <w:szCs w:val="24"/>
        </w:rPr>
        <w:t xml:space="preserve"> </w:t>
      </w:r>
      <w:r w:rsidR="00C76A4E" w:rsidRPr="004B45D3">
        <w:rPr>
          <w:i/>
          <w:iCs/>
          <w:sz w:val="24"/>
          <w:szCs w:val="24"/>
        </w:rPr>
        <w:t>et al</w:t>
      </w:r>
      <w:r w:rsidR="00C76A4E" w:rsidRPr="004B45D3">
        <w:rPr>
          <w:sz w:val="24"/>
          <w:szCs w:val="24"/>
        </w:rPr>
        <w:t xml:space="preserve"> in 2017, detailed risk-models including </w:t>
      </w:r>
      <w:r w:rsidR="00FE1080">
        <w:rPr>
          <w:sz w:val="24"/>
          <w:szCs w:val="24"/>
        </w:rPr>
        <w:t xml:space="preserve">clinical features, </w:t>
      </w:r>
      <w:r w:rsidR="00C76A4E" w:rsidRPr="004B45D3">
        <w:rPr>
          <w:sz w:val="24"/>
          <w:szCs w:val="24"/>
        </w:rPr>
        <w:t xml:space="preserve">gene expression, microbial </w:t>
      </w:r>
      <w:r w:rsidR="00FE1080">
        <w:rPr>
          <w:sz w:val="24"/>
          <w:szCs w:val="24"/>
        </w:rPr>
        <w:t>profiles</w:t>
      </w:r>
      <w:r w:rsidR="00C76A4E" w:rsidRPr="004B45D3">
        <w:rPr>
          <w:sz w:val="24"/>
          <w:szCs w:val="24"/>
        </w:rPr>
        <w:t xml:space="preserve"> that predicted the occurrence of disease complications, with a maximal area under the receiver operator curve of 0.72 </w:t>
      </w:r>
      <w:r w:rsidR="00C76A4E" w:rsidRPr="004B45D3">
        <w:rPr>
          <w:sz w:val="24"/>
          <w:szCs w:val="24"/>
        </w:rPr>
        <w:fldChar w:fldCharType="begin" w:fldLock="1"/>
      </w:r>
      <w:r w:rsidR="00405EA6" w:rsidRPr="004B45D3">
        <w:rPr>
          <w:sz w:val="24"/>
          <w:szCs w:val="24"/>
        </w:rPr>
        <w:instrText>ADDIN CSL_CITATION {"citationItems":[{"id":"ITEM-1","itemData":{"DOI":"10.1016/S0140-6736(17)30317-3","ISSN":"01406736","PMID":"28259484","abstract":"BACKGROUND Stricturing and penetrating complications account for substantial morbidity and health-care costs in paediatric and adult onset Crohn's disease. Validated models to predict risk for complications are not available, and the effect of treatment on risk is unknown. METHODS We did a prospective inception cohort study of paediatric patients with newly diagnosed Crohn's disease at 28 sites in the USA and Canada. Genotypes, antimicrobial serologies, ileal gene expression, and ileal, rectal, and faecal microbiota were assessed. A competing-risk model for disease complications was derived and validated in independent groups. Propensity-score matching tested the effect of anti-tumour necrosis factor α (TNFα) therapy exposure within 90 days of diagnosis on complication risk. FINDINGS Between Nov 1, 2008, and June 30, 2012, we enrolled 913 patients, 78 (9%) of whom experienced Crohn's disease complications. The validated competing-risk model included age, race, disease location, and antimicrobial serologies and provided a sensitivity of 66% (95% CI 51-82) and specificity of 63% (55-71), with a negative predictive value of 95% (94-97). Patients who received early anti-TNFα therapy were less likely to have penetrating complications (hazard ratio [HR] 0·30, 95% CI 0·10-0·89; p=0·0296) but not stricturing complication (1·13, 0·51-2·51; 0·76) than were those who did not receive early anti-TNFα therapy. Ruminococcus was implicated in stricturing complications and Veillonella in penetrating complications. Ileal genes controlling extracellular matrix production were upregulated at diagnosis, and this gene signature was associated with stricturing in the risk model (HR 1·70, 95% CI 1·12-2·57; p=0·0120). When this gene signature was included, the model's specificity improved to 71%. INTERPRETATION Our findings support the usefulness of risk stratification of paediatric patients with Crohn's disease at diagnosis, and selection of anti-TNFα therapy. FUNDING Crohn's and Colitis Foundation of America, Cincinnati Children's Hospital Research Foundation Digestive Health Center.","author":[{"dropping-particle":"","family":"Kugathasan","given":"Subra","non-dropping-particle":"","parse-names":false,"suffix":""},{"dropping-particle":"","family":"Denson","given":"Lee A","non-dropping-particle":"","parse-names":false,"suffix":""},{"dropping-particle":"","family":"Walters","given":"Thomas D","non-dropping-particle":"","parse-names":false,"suffix":""},{"dropping-particle":"","family":"Kim","given":"Mi-Ok","non-dropping-particle":"","parse-names":false,"suffix":""},{"dropping-particle":"","family":"Marigorta","given":"Urko M","non-dropping-particle":"","parse-names":false,"suffix":""},{"dropping-particle":"","family":"Schirmer","given":"Melanie","non-dropping-particle":"","parse-names":false,"suffix":""},{"dropping-particle":"","family":"Mondal","given":"Kajari","non-dropping-particle":"","parse-names":false,"suffix":""},{"dropping-particle":"","family":"Liu","given":"Chunyan","non-dropping-particle":"","parse-names":false,"suffix":""},{"dropping-particle":"","family":"Griffiths","given":"Anne","non-dropping-particle":"","parse-names":false,"suffix":""},{"dropping-particle":"","family":"Noe","given":"Joshua D","non-dropping-particle":"","parse-names":false,"suffix":""},{"dropping-particle":"V","family":"Crandall","given":"Wallace","non-dropping-particle":"","parse-names":false,"suffix":""},{"dropping-particle":"","family":"Snapper","given":"Scott","non-dropping-particle":"","parse-names":false,"suffix":""},{"dropping-particle":"","family":"Rabizadeh","given":"Shervin","non-dropping-particle":"","parse-names":false,"suffix":""},{"dropping-particle":"","family":"Rosh","given":"Joel R","non-dropping-particle":"","parse-names":false,"suffix":""},{"dropping-particle":"","family":"Shapiro","given":"Jason M","non-dropping-particle":"","parse-names":false,"suffix":""},{"dropping-particle":"","family":"Guthery","given":"Stephen","non-dropping-particle":"","parse-names":false,"suffix":""},{"dropping-particle":"","family":"Mack","given":"David R","non-dropping-particle":"","parse-names":false,"suffix":""},{"dropping-particle":"","family":"Kellermayer","given":"Richard","non-dropping-particle":"","parse-names":false,"suffix":""},{"dropping-particle":"","family":"Kappelman","given":"Michael D","non-dropping-particle":"","parse-names":false,"suffix":""},{"dropping-particle":"","family":"Steiner","given":"Steven","non-dropping-particle":"","parse-names":false,"suffix":""},{"dropping-particle":"","family":"Moulton","given":"Dedrick E","non-dropping-particle":"","parse-names":false,"suffix":""},{"dropping-particle":"","family":"Keljo","given":"David","non-dropping-particle":"","parse-names":false,"suffix":""},{"dropping-particle":"","family":"Cohen","given":"Stanley","non-dropping-particle":"","parse-names":false,"suffix":""},{"dropping-particle":"","family":"Oliva-Hemker","given":"Maria","non-dropping-particle":"","parse-names":false,"suffix":""},{"dropping-particle":"","family":"Heyman","given":"Melvin B","non-dropping-particle":"","parse-names":false,"suffix":""},{"dropping-particle":"","family":"Otley","given":"Anthony R","non-dropping-particle":"","parse-names":false,"suffix":""},{"dropping-particle":"","family":"Baker","given":"Susan S","non-dropping-particle":"","parse-names":false,"suffix":""},{"dropping-particle":"","family":"Evans","given":"Jonathan S","non-dropping-particle":"","parse-names":false,"suffix":""},{"dropping-particle":"","family":"Kirschner","given":"Barbara S","non-dropping-particle":"","parse-names":false,"suffix":""},{"dropping-particle":"","family":"Patel","given":"Ashish S","non-dropping-particle":"","parse-names":false,"suffix":""},{"dropping-particle":"","family":"Ziring","given":"David","non-dropping-particle":"","parse-names":false,"suffix":""},{"dropping-particle":"","family":"Trapnell","given":"Bruce C","non-dropping-particle":"","parse-names":false,"suffix":""},{"dropping-particle":"","family":"Sylvester","given":"Francisco A","non-dropping-particle":"","parse-names":false,"suffix":""},{"dropping-particle":"","family":"Stephens","given":"Michael C","non-dropping-particle":"","parse-names":false,"suffix":""},{"dropping-particle":"","family":"Baldassano","given":"Robert N","non-dropping-particle":"","parse-names":false,"suffix":""},{"dropping-particle":"","family":"Markowitz","given":"James F","non-dropping-particle":"","parse-names":false,"suffix":""},{"dropping-particle":"","family":"Cho","given":"Judy","non-dropping-particle":"","parse-names":false,"suffix":""},{"dropping-particle":"","family":"Xavier","given":"Ramnik J","non-dropping-particle":"","parse-names":false,"suffix":""},{"dropping-particle":"","family":"Huttenhower","given":"Curtis","non-dropping-particle":"","parse-names":false,"suffix":""},{"dropping-particle":"","family":"Aronow","given":"Bruce J","non-dropping-particle":"","parse-names":false,"suffix":""},{"dropping-particle":"","family":"Gibson","given":"Greg","non-dropping-particle":"","parse-names":false,"suffix":""},{"dropping-particle":"","family":"Hyams","given":"Jeffrey S","non-dropping-particle":"","parse-names":false,"suffix":""},{"dropping-particle":"","family":"Dubinsky","given":"Marla C","non-dropping-particle":"","parse-names":false,"suffix":""}],"container-title":"The Lancet","id":"ITEM-1","issue":"10080","issued":{"date-parts":[["2017","4","29"]]},"page":"1710-1718","title":"Prediction of complicated disease course for children newly diagnosed with Crohn's disease: a multicentre inception cohort study","type":"article-journal","volume":"389"},"uris":["http://www.mendeley.com/documents/?uuid=64fb4080-3b65-30b1-a7cf-15a482b7e92c"]}],"mendeley":{"formattedCitation":"[5]","plainTextFormattedCitation":"[5]","previouslyFormattedCitation":"[4]"},"properties":{"noteIndex":0},"schema":"https://github.com/citation-style-language/schema/raw/master/csl-citation.json"}</w:instrText>
      </w:r>
      <w:r w:rsidR="00C76A4E" w:rsidRPr="004B45D3">
        <w:rPr>
          <w:sz w:val="24"/>
          <w:szCs w:val="24"/>
        </w:rPr>
        <w:fldChar w:fldCharType="separate"/>
      </w:r>
      <w:r w:rsidR="00405EA6" w:rsidRPr="004B45D3">
        <w:rPr>
          <w:noProof/>
          <w:sz w:val="24"/>
          <w:szCs w:val="24"/>
        </w:rPr>
        <w:t>[5]</w:t>
      </w:r>
      <w:r w:rsidR="00C76A4E" w:rsidRPr="004B45D3">
        <w:rPr>
          <w:sz w:val="24"/>
          <w:szCs w:val="24"/>
        </w:rPr>
        <w:fldChar w:fldCharType="end"/>
      </w:r>
      <w:r w:rsidR="00C76A4E" w:rsidRPr="004B45D3">
        <w:rPr>
          <w:sz w:val="24"/>
          <w:szCs w:val="24"/>
        </w:rPr>
        <w:t xml:space="preserve">. </w:t>
      </w:r>
      <w:proofErr w:type="spellStart"/>
      <w:r w:rsidR="002537A5" w:rsidRPr="004B45D3">
        <w:rPr>
          <w:sz w:val="24"/>
          <w:szCs w:val="24"/>
        </w:rPr>
        <w:t>Biasci</w:t>
      </w:r>
      <w:proofErr w:type="spellEnd"/>
      <w:r w:rsidR="00C76A4E" w:rsidRPr="004B45D3">
        <w:rPr>
          <w:sz w:val="24"/>
          <w:szCs w:val="24"/>
        </w:rPr>
        <w:t xml:space="preserve"> </w:t>
      </w:r>
      <w:r w:rsidR="00C76A4E" w:rsidRPr="004B45D3">
        <w:rPr>
          <w:i/>
          <w:iCs/>
          <w:sz w:val="24"/>
          <w:szCs w:val="24"/>
        </w:rPr>
        <w:t>et al</w:t>
      </w:r>
      <w:r w:rsidR="00C76A4E" w:rsidRPr="004B45D3">
        <w:rPr>
          <w:sz w:val="24"/>
          <w:szCs w:val="24"/>
        </w:rPr>
        <w:t xml:space="preserve"> </w:t>
      </w:r>
      <w:r w:rsidR="002537A5" w:rsidRPr="004B45D3">
        <w:rPr>
          <w:sz w:val="24"/>
          <w:szCs w:val="24"/>
        </w:rPr>
        <w:t xml:space="preserve">have published data detailing a CD8 T-cell transcriptional signature that is reported to separate </w:t>
      </w:r>
      <w:r w:rsidR="00424AE8" w:rsidRPr="004B45D3">
        <w:rPr>
          <w:sz w:val="24"/>
          <w:szCs w:val="24"/>
        </w:rPr>
        <w:t xml:space="preserve">all inflammatory bowel disease (IBD) </w:t>
      </w:r>
      <w:r w:rsidR="002537A5" w:rsidRPr="004B45D3">
        <w:rPr>
          <w:sz w:val="24"/>
          <w:szCs w:val="24"/>
        </w:rPr>
        <w:t xml:space="preserve">patients into high </w:t>
      </w:r>
      <w:r w:rsidR="0009296C" w:rsidRPr="0009296C">
        <w:rPr>
          <w:i/>
          <w:iCs/>
          <w:sz w:val="24"/>
          <w:szCs w:val="24"/>
        </w:rPr>
        <w:t>versus</w:t>
      </w:r>
      <w:r w:rsidR="0009296C" w:rsidRPr="004B45D3">
        <w:rPr>
          <w:sz w:val="24"/>
          <w:szCs w:val="24"/>
        </w:rPr>
        <w:t xml:space="preserve"> </w:t>
      </w:r>
      <w:r w:rsidR="002537A5" w:rsidRPr="004B45D3">
        <w:rPr>
          <w:sz w:val="24"/>
          <w:szCs w:val="24"/>
        </w:rPr>
        <w:t xml:space="preserve">low long-term disease activity, although this has not been </w:t>
      </w:r>
      <w:r w:rsidR="00424AE8" w:rsidRPr="004B45D3">
        <w:rPr>
          <w:sz w:val="24"/>
          <w:szCs w:val="24"/>
        </w:rPr>
        <w:t>replicated</w:t>
      </w:r>
      <w:r w:rsidR="002537A5" w:rsidRPr="004B45D3">
        <w:rPr>
          <w:sz w:val="24"/>
          <w:szCs w:val="24"/>
        </w:rPr>
        <w:t xml:space="preserve"> in paediatric cohorts </w:t>
      </w:r>
      <w:r w:rsidR="002537A5" w:rsidRPr="004B45D3">
        <w:rPr>
          <w:sz w:val="24"/>
          <w:szCs w:val="24"/>
        </w:rPr>
        <w:fldChar w:fldCharType="begin" w:fldLock="1"/>
      </w:r>
      <w:r w:rsidR="00405EA6" w:rsidRPr="004B45D3">
        <w:rPr>
          <w:sz w:val="24"/>
          <w:szCs w:val="24"/>
        </w:rPr>
        <w:instrText>ADDIN CSL_CITATION {"citationItems":[{"id":"ITEM-1","itemData":{"DOI":"10.1136/gutjnl-2019-318343","ISSN":"14683288","PMID":"31030191","abstract":"Objective We have previously described a prognostic transcriptional signature in CD8 T cells that separates patients with IBD into two phenotypically distinct subgroups, termed IBD1 and IBD2. Here we sought to develop a blood-based test that could identify these subgroups without cell separation, and thus be suitable for clinical use in Crohn's disease (CD) and ulcerative colitis (UC). Design Patients with active IBD were recruited before treatment. Transcriptomic analyses were performed on purified CD8 T cells and/or whole blood. Phenotype data were collected prospectively. IBD1/IBD2 patient subgroups were identified by consensus clustering of CD8 T cell transcriptomes. In a training cohort, machine learning was used to identify groups of genes ('classifiers') whose differential expression in whole blood recreated the IBD1/IBD2 subgroups. Genes from the best classifiers were quantitative (q)PCR optimised, and further machine learning was used to identify the optimal qPCR classifier, which was locked down for further testing. Independent validation was sought in separate cohorts of patients with CD (n=66) and UC (n=57). Results In both validation cohorts, a 17-gene qPCR-based classifier stratified patients into two distinct subgroups. Irrespective of the underlying diagnosis, IBDhi patients (analogous to the poor prognosis IBD1 subgroup) experienced significantly more aggressive disease than IBDlo patients (analogous to IBD2), with earlier need for treatment escalation (hazard ratio=2.65 (CD), 3.12 (UC)) and more escalations over time (for multiple escalations within 18 months: sensitivity=72.7% (CD), 100% (UC); negative predictive value=90.9% (CD), 100% (UC)). Conclusion This is the first validated prognostic biomarker that can predict prognosis in newly diagnosed patients with IBD and represents a step towards personalised therapy.","author":[{"dropping-particle":"","family":"Biasci","given":"Daniele","non-dropping-particle":"","parse-names":false,"suffix":""},{"dropping-particle":"","family":"Lee","given":"James C.","non-dropping-particle":"","parse-names":false,"suffix":""},{"dropping-particle":"","family":"Noor","given":"Nurulamin M.","non-dropping-particle":"","parse-names":false,"suffix":""},{"dropping-particle":"","family":"Pombal","given":"Diana R.","non-dropping-particle":"","parse-names":false,"suffix":""},{"dropping-particle":"","family":"Hou","given":"Monica","non-dropping-particle":"","parse-names":false,"suffix":""},{"dropping-particle":"","family":"Lewis","given":"Nina","non-dropping-particle":"","parse-names":false,"suffix":""},{"dropping-particle":"","family":"Ahmad","given":"Tariq","non-dropping-particle":"","parse-names":false,"suffix":""},{"dropping-particle":"","family":"Hart","given":"Ailsa","non-dropping-particle":"","parse-names":false,"suffix":""},{"dropping-particle":"","family":"Parkes","given":"Miles","non-dropping-particle":"","parse-names":false,"suffix":""},{"dropping-particle":"","family":"Mckinney","given":"Eoin F.","non-dropping-particle":"","parse-names":false,"suffix":""},{"dropping-particle":"","family":"Lyons","given":"Paul A.","non-dropping-particle":"","parse-names":false,"suffix":""},{"dropping-particle":"","family":"Smith","given":"Kenneth G.C.","non-dropping-particle":"","parse-names":false,"suffix":""}],"container-title":"Gut","id":"ITEM-1","issue":"8","issued":{"date-parts":[["2019","8","1"]]},"page":"1386-1395","publisher":"BMJ Publishing Group","title":"A blood-based prognostic biomarker in IBD","type":"article-journal","volume":"68"},"uris":["http://www.mendeley.com/documents/?uuid=09517b9e-2202-37c4-ad36-0653f3d005b3"]},{"id":"ITEM-2","itemData":{"DOI":"10.1053/j.gastro.2020.08.017","ISSN":"00165085","abstract":"&lt;h2&gt;Abstract&lt;/h2&gt;&lt;h3&gt;Background &amp; Aims&lt;/h3&gt;&lt;p&gt;Gene expression patterns of CD8&lt;sup&gt;+&lt;/sup&gt; T cells have been reported to correlate with clinical outcomes of adults with inflammatory bowel diseases (IBD). We aimed at validating these findings in independent patient cohorts.&lt;/p&gt;&lt;h3&gt;Methods&lt;/h3&gt;&lt;p&gt;We obtained peripheral blood samples from 112 children with a new diagnosis of IBD (71 with Crohn's disease and 41 with ulcerative colitis) and 19 children without IBD (controls) and recorded medical information on disease activity and outcomes. CD8&lt;sup&gt;+&lt;/sup&gt; T cells were isolated from blood samples by magnetic bead sorting at the point of diagnosis and during the course of disease. Genome-wide transcription (n=192) and DNA methylation (n=66) profiles were generated using Affymetrix and Illumina arrays, respectively. Publicly available transcriptomes and DNA methylomes of CD8&lt;sup&gt;+&lt;/sup&gt; T cells from three adult patient cohorts with and without IBD were included in data analyses.&lt;/p&gt;&lt;h3&gt;Results&lt;/h3&gt;&lt;p&gt;Previously reported CD8&lt;sup&gt;+&lt;/sup&gt; T cell prognostic expression and exhaustion signatures were only found in the original adult IBD patient cohort. These signatures could not be detected either in a pediatric, or in a second adult IBD cohort. In contrast, an association between CD8&lt;sup&gt;+&lt;/sup&gt; T cell gene expression with age and sex was detected across all three cohorts. CD8&lt;sup&gt;+&lt;/sup&gt; gene transcription was clearly associated with IBD in the two cohorts that included non-IBD controls. Lastly, DNA methylation profiles of CD8&lt;sup&gt;+&lt;/sup&gt; T cells from children with Crohn's disease correlated with age but not with disease outcome.&lt;/p&gt;&lt;h3&gt;Conclusions&lt;/h3&gt;&lt;p&gt;We were unable to validate previously reported findings of an association between CD8&lt;sup&gt;+&lt;/sup&gt; T cell gene transcription and disease outcome in IBD. Our findings reveal the challenges of developing prognostic biomarkers for patients with IBD and the importance of their validation in large, independent cohorts before clinical application.&lt;/p&gt;","author":[{"dropping-particle":"","family":"Gasparetto","given":"M.","non-dropping-particle":"","parse-names":false,"suffix":""},{"dropping-particle":"","family":"Payne","given":"F.","non-dropping-particle":"","parse-names":false,"suffix":""},{"dropping-particle":"","family":"Nayak","given":"K.","non-dropping-particle":"","parse-names":false,"suffix":""},{"dropping-particle":"","family":"Kraiczy","given":"J.","non-dropping-particle":"","parse-names":false,"suffix":""},{"dropping-particle":"","family":"Glemas","given":"C.","non-dropping-particle":"","parse-names":false,"suffix":""},{"dropping-particle":"","family":"Philip-McKenzie","given":"Y.","non-dropping-particle":"","parse-names":false,"suffix":""},{"dropping-particle":"","family":"Ross","given":"A.","non-dropping-particle":"","parse-names":false,"suffix":""},{"dropping-particle":"","family":"Edgar","given":"R.D.","non-dropping-particle":"","parse-names":false,"suffix":""},{"dropping-particle":"","family":"Zerbino","given":"D.R.","non-dropping-particle":"","parse-names":false,"suffix":""},{"dropping-particle":"","family":"Salvestrini","given":"C.","non-dropping-particle":"","parse-names":false,"suffix":""},{"dropping-particle":"","family":"Torrente","given":"F.","non-dropping-particle":"","parse-names":false,"suffix":""},{"dropping-particle":"","family":"Ventham","given":"N.T.","non-dropping-particle":"","parse-names":false,"suffix":""},{"dropping-particle":"","family":"Kalla","given":"R.","non-dropping-particle":"","parse-names":false,"suffix":""},{"dropping-particle":"","family":"Satsangi","given":"J.","non-dropping-particle":"","parse-names":false,"suffix":""},{"dropping-particle":"","family":"Sarkies","given":"P.","non-dropping-particle":"","parse-names":false,"suffix":""},{"dropping-particle":"","family":"Heuschkel","given":"R.","non-dropping-particle":"","parse-names":false,"suffix":""},{"dropping-particle":"","family":"Zilbauer","given":"M.","non-dropping-particle":"","parse-names":false,"suffix":""}],"container-title":"Gastroenterology","id":"ITEM-2","issue":"0","issued":{"date-parts":[["2020","8"]]},"publisher":"Elsevier","title":"Transcription and DNA Methylation patterns of blood derived CD8+ T cells are associated with age and Inflammatory Bowel Disease but do not predict prognosis","type":"article-journal","volume":"0"},"uris":["http://www.mendeley.com/documents/?uuid=175d025c-2929-3a96-bc19-01fa13a30198"]}],"mendeley":{"formattedCitation":"[6,7]","plainTextFormattedCitation":"[6,7]","previouslyFormattedCitation":"[5,6]"},"properties":{"noteIndex":0},"schema":"https://github.com/citation-style-language/schema/raw/master/csl-citation.json"}</w:instrText>
      </w:r>
      <w:r w:rsidR="002537A5" w:rsidRPr="004B45D3">
        <w:rPr>
          <w:sz w:val="24"/>
          <w:szCs w:val="24"/>
        </w:rPr>
        <w:fldChar w:fldCharType="separate"/>
      </w:r>
      <w:r w:rsidR="00405EA6" w:rsidRPr="004B45D3">
        <w:rPr>
          <w:noProof/>
          <w:sz w:val="24"/>
          <w:szCs w:val="24"/>
        </w:rPr>
        <w:t>[6,7]</w:t>
      </w:r>
      <w:r w:rsidR="002537A5" w:rsidRPr="004B45D3">
        <w:rPr>
          <w:sz w:val="24"/>
          <w:szCs w:val="24"/>
        </w:rPr>
        <w:fldChar w:fldCharType="end"/>
      </w:r>
      <w:r w:rsidR="002537A5" w:rsidRPr="004B45D3">
        <w:rPr>
          <w:sz w:val="24"/>
          <w:szCs w:val="24"/>
        </w:rPr>
        <w:t>.</w:t>
      </w:r>
      <w:r w:rsidR="00424AE8" w:rsidRPr="004B45D3">
        <w:rPr>
          <w:sz w:val="24"/>
          <w:szCs w:val="24"/>
        </w:rPr>
        <w:t xml:space="preserve"> </w:t>
      </w:r>
      <w:r w:rsidR="005650BA" w:rsidRPr="004B45D3">
        <w:rPr>
          <w:sz w:val="24"/>
          <w:szCs w:val="24"/>
        </w:rPr>
        <w:t>Similarly, our own group has identified a Th17 cell signature in ileal biopsies of newly diagnosed paediatric Crohn’s disease patients</w:t>
      </w:r>
      <w:r w:rsidR="0009296C">
        <w:rPr>
          <w:sz w:val="24"/>
          <w:szCs w:val="24"/>
        </w:rPr>
        <w:t xml:space="preserve"> </w:t>
      </w:r>
      <w:r w:rsidR="005650BA" w:rsidRPr="004B45D3">
        <w:rPr>
          <w:sz w:val="24"/>
          <w:szCs w:val="24"/>
        </w:rPr>
        <w:t xml:space="preserve">associated with prolonged time to relapse </w:t>
      </w:r>
      <w:r w:rsidR="005650BA" w:rsidRPr="004B45D3">
        <w:rPr>
          <w:sz w:val="24"/>
          <w:szCs w:val="24"/>
        </w:rPr>
        <w:fldChar w:fldCharType="begin" w:fldLock="1"/>
      </w:r>
      <w:r w:rsidR="00405EA6" w:rsidRPr="004B45D3">
        <w:rPr>
          <w:sz w:val="24"/>
          <w:szCs w:val="24"/>
        </w:rPr>
        <w:instrText>ADDIN CSL_CITATION {"citationItems":[{"id":"ITEM-1","itemData":{"DOI":"10.1093/ecco-jcc/jjaa236","ISSN":"1873-9946","author":[{"dropping-particle":"","family":"Ashton","given":"James J","non-dropping-particle":"","parse-names":false,"suffix":""},{"dropping-particle":"","family":"Boukas","given":"Konstantinos","non-dropping-particle":"","parse-names":false,"suffix":""},{"dropping-particle":"","family":"Davies","given":"James","non-dropping-particle":"","parse-names":false,"suffix":""},{"dropping-particle":"","family":"Stafford","given":"Imogen S","non-dropping-particle":"","parse-names":false,"suffix":""},{"dropping-particle":"","family":"Vallejo","given":"Andres F","non-dropping-particle":"","parse-names":false,"suffix":""},{"dropping-particle":"","family":"Haggarty","given":"Rachel","non-dropping-particle":"","parse-names":false,"suffix":""},{"dropping-particle":"","family":"Coelho","given":"Tracy A F","non-dropping-particle":"","parse-names":false,"suffix":""},{"dropping-particle":"","family":"Batra","given":"Akshay","non-dropping-particle":"","parse-names":false,"suffix":""},{"dropping-particle":"","family":"Afzal","given":"Nadeem A","non-dropping-particle":"","parse-names":false,"suffix":""},{"dropping-particle":"","family":"Vadgama","given":"Bhumita","non-dropping-particle":"","parse-names":false,"suffix":""},{"dropping-particle":"","family":"Williams","given":"Anthony P","non-dropping-particle":"","parse-names":false,"suffix":""},{"dropping-particle":"","family":"Beattie","given":"R Mark","non-dropping-particle":"","parse-names":false,"suffix":""},{"dropping-particle":"","family":"Polak","given":"Marta E","non-dropping-particle":"","parse-names":false,"suffix":""},{"dropping-particle":"","family":"Ennis","given":"Sarah","non-dropping-particle":"","parse-names":false,"suffix":""}],"container-title":"Journal of Crohn's and Colitis","id":"ITEM-1","issued":{"date-parts":[["2020","11","24"]]},"title":"Ileal transcriptomic analysis in paediatric Crohn’s disease reveals &lt;i&gt;IL17-&lt;/i&gt; and &lt;i&gt;NOD-&lt;/i&gt; signalling expression signatures in treatment-naïve patients and identifies epithelial cells driving differentially expressed genes","type":"article-journal"},"uris":["http://www.mendeley.com/documents/?uuid=8c493529-13c5-3878-9ade-1c8b914ab91f"]}],"mendeley":{"formattedCitation":"[8]","plainTextFormattedCitation":"[8]","previouslyFormattedCitation":"[7]"},"properties":{"noteIndex":0},"schema":"https://github.com/citation-style-language/schema/raw/master/csl-citation.json"}</w:instrText>
      </w:r>
      <w:r w:rsidR="005650BA" w:rsidRPr="004B45D3">
        <w:rPr>
          <w:sz w:val="24"/>
          <w:szCs w:val="24"/>
        </w:rPr>
        <w:fldChar w:fldCharType="separate"/>
      </w:r>
      <w:r w:rsidR="00405EA6" w:rsidRPr="004B45D3">
        <w:rPr>
          <w:noProof/>
          <w:sz w:val="24"/>
          <w:szCs w:val="24"/>
        </w:rPr>
        <w:t>[8]</w:t>
      </w:r>
      <w:r w:rsidR="005650BA" w:rsidRPr="004B45D3">
        <w:rPr>
          <w:sz w:val="24"/>
          <w:szCs w:val="24"/>
        </w:rPr>
        <w:fldChar w:fldCharType="end"/>
      </w:r>
      <w:r w:rsidR="005650BA" w:rsidRPr="004B45D3">
        <w:rPr>
          <w:sz w:val="24"/>
          <w:szCs w:val="24"/>
        </w:rPr>
        <w:t xml:space="preserve">. </w:t>
      </w:r>
      <w:r w:rsidR="00C930DB">
        <w:rPr>
          <w:sz w:val="24"/>
          <w:szCs w:val="24"/>
        </w:rPr>
        <w:t>However,</w:t>
      </w:r>
      <w:r w:rsidR="00F76A47">
        <w:rPr>
          <w:sz w:val="24"/>
          <w:szCs w:val="24"/>
        </w:rPr>
        <w:t xml:space="preserve"> d</w:t>
      </w:r>
      <w:r w:rsidR="00D27483">
        <w:rPr>
          <w:sz w:val="24"/>
          <w:szCs w:val="24"/>
        </w:rPr>
        <w:t xml:space="preserve">espite </w:t>
      </w:r>
      <w:r w:rsidR="00F76A47">
        <w:rPr>
          <w:sz w:val="24"/>
          <w:szCs w:val="24"/>
        </w:rPr>
        <w:t>increasing data</w:t>
      </w:r>
      <w:r w:rsidR="00D27483">
        <w:rPr>
          <w:sz w:val="24"/>
          <w:szCs w:val="24"/>
        </w:rPr>
        <w:t xml:space="preserve"> clinical application of these findings has lagged behind scientific reporting. </w:t>
      </w:r>
      <w:r w:rsidR="0009296C">
        <w:rPr>
          <w:sz w:val="24"/>
          <w:szCs w:val="24"/>
        </w:rPr>
        <w:t>M</w:t>
      </w:r>
      <w:r w:rsidR="000D6D17">
        <w:rPr>
          <w:sz w:val="24"/>
          <w:szCs w:val="24"/>
        </w:rPr>
        <w:t xml:space="preserve">oving forward </w:t>
      </w:r>
      <w:r w:rsidR="0009296C">
        <w:rPr>
          <w:sz w:val="24"/>
          <w:szCs w:val="24"/>
        </w:rPr>
        <w:t xml:space="preserve">it appears likely </w:t>
      </w:r>
      <w:r w:rsidR="000D6D17">
        <w:rPr>
          <w:sz w:val="24"/>
          <w:szCs w:val="24"/>
        </w:rPr>
        <w:t xml:space="preserve">that </w:t>
      </w:r>
      <w:r w:rsidR="00D27483">
        <w:rPr>
          <w:sz w:val="24"/>
          <w:szCs w:val="24"/>
        </w:rPr>
        <w:t>precisely phenotyped prospective cohorts</w:t>
      </w:r>
      <w:r w:rsidR="0009296C">
        <w:rPr>
          <w:sz w:val="24"/>
          <w:szCs w:val="24"/>
        </w:rPr>
        <w:t xml:space="preserve"> </w:t>
      </w:r>
      <w:r w:rsidR="00D27483">
        <w:rPr>
          <w:sz w:val="24"/>
          <w:szCs w:val="24"/>
        </w:rPr>
        <w:t>treated according to standardised criteria</w:t>
      </w:r>
      <w:r w:rsidR="0009296C">
        <w:rPr>
          <w:sz w:val="24"/>
          <w:szCs w:val="24"/>
        </w:rPr>
        <w:t xml:space="preserve">, rather than randomised controlled trials, </w:t>
      </w:r>
      <w:r w:rsidR="000D6D17">
        <w:rPr>
          <w:sz w:val="24"/>
          <w:szCs w:val="24"/>
        </w:rPr>
        <w:t xml:space="preserve">should </w:t>
      </w:r>
      <w:r w:rsidR="00D27483">
        <w:rPr>
          <w:sz w:val="24"/>
          <w:szCs w:val="24"/>
        </w:rPr>
        <w:t xml:space="preserve">be employed to develop stratification models which can then be updated by continued study and refinement. </w:t>
      </w:r>
    </w:p>
    <w:p w14:paraId="0F08CE54" w14:textId="7F8006E4" w:rsidR="00EC13C3" w:rsidRDefault="00D27483" w:rsidP="001D1EBF">
      <w:pPr>
        <w:spacing w:line="480" w:lineRule="auto"/>
        <w:rPr>
          <w:sz w:val="24"/>
          <w:szCs w:val="24"/>
        </w:rPr>
      </w:pPr>
      <w:r>
        <w:rPr>
          <w:sz w:val="24"/>
          <w:szCs w:val="24"/>
        </w:rPr>
        <w:t xml:space="preserve">Moving from treating patients as homogenous cohorts, to assessing them as individuals with their own specific cause of IBD, their own disease course and their own responses to </w:t>
      </w:r>
      <w:r w:rsidR="000D6D17">
        <w:rPr>
          <w:sz w:val="24"/>
          <w:szCs w:val="24"/>
        </w:rPr>
        <w:t>treatment</w:t>
      </w:r>
      <w:r>
        <w:rPr>
          <w:sz w:val="24"/>
          <w:szCs w:val="24"/>
        </w:rPr>
        <w:t xml:space="preserve"> </w:t>
      </w:r>
      <w:r w:rsidR="00BC17AD">
        <w:rPr>
          <w:sz w:val="24"/>
          <w:szCs w:val="24"/>
        </w:rPr>
        <w:t>has the potential to improve outcomes</w:t>
      </w:r>
      <w:r>
        <w:rPr>
          <w:sz w:val="24"/>
          <w:szCs w:val="24"/>
        </w:rPr>
        <w:t xml:space="preserve">. The evidence that top-down therapy promotes remission in cohorts of patients is not in question, however the appropriateness of this approach is questioned by the potential to over treat </w:t>
      </w:r>
      <w:r>
        <w:rPr>
          <w:sz w:val="24"/>
          <w:szCs w:val="24"/>
        </w:rPr>
        <w:fldChar w:fldCharType="begin" w:fldLock="1"/>
      </w:r>
      <w:r>
        <w:rPr>
          <w:sz w:val="24"/>
          <w:szCs w:val="24"/>
        </w:rPr>
        <w:instrText>ADDIN CSL_CITATION {"citationItems":[{"id":"ITEM-1","itemData":{"DOI":"10.1093/ecco-jcc/jjy014","ISSN":"1873-9946","abstract":"Background and Aims: Long-term outcomes of early combined immunosuppression [topdown] compared to conventional management [step-up] in recently diagnosed Crohn's disease [CD] are unknown. We aimed to investigate long-term outcomes of participants of the Step-up/ Top-down-trial. Methods: Trial participants' medical records were reviewed retrospectively. For 16 semesters following the 2-year trial, we recorded: clinical activity, medication use, flares, hospitalization, surgery and fistulas. Colonoscopy reports were scored as: endoscopic remission, aphthous/small ulcers or large ulcers. The primary endpoint was the proportion of semesters in remission. Results: Data were available from 119/133 patients [step-up n = 60]. During a median follow-up of 8 years, clinical remission rates were similar (70% vs 73% [p = 0.85] in step-up and top-down patients, respectively). A shorter time to flare was observed in step-up patients [median five vs nine semesters, p = 0.01]. Cumulatively, 62% of step-up patients used corticosteroids compared to 41% of top-down patients [p = 0.02]. Anti-tumour necrosis factor [anti-TNF] use was higher in the step-up group [73% vs 54%, p = 0.04]. No differences were found in to time to CD hospitalization [respectively 13 vs 14 semesters, p = 0.30], new fistula [14 vs 15 semesters, p = 0.20] or CD surgery [14 vs 15 semesters, p = 0.25]. Mucosal healing 2 years after treatment was associated with a reduced anti-TNF use, but not with differences in other long-term outcomes. Endoscopic remission occurred at similar rates between groups. Conclusions: Top-down treatment did not result in increased clinical remission during long-term follow-up, compared to step-up treatment. However, lower relapse rates and a reduced use of anti- TNF agents and corticosteroids were observed. No difference was found in rates of endoscopic remission, hospitalization, surgery or new fistulas.","author":[{"dropping-particle":"","family":"Hoekman","given":"Daniël R","non-dropping-particle":"","parse-names":false,"suffix":""},{"dropping-particle":"","family":"Stibbe","given":"Judith A","non-dropping-particle":"","parse-names":false,"suffix":""},{"dropping-particle":"","family":"Baert","given":"Filip J","non-dropping-particle":"","parse-names":false,"suffix":""},{"dropping-particle":"","family":"Caenepeel","given":"Philip","non-dropping-particle":"","parse-names":false,"suffix":""},{"dropping-particle":"","family":"Vergauwe","given":"Philippe","non-dropping-particle":"","parse-names":false,"suffix":""},{"dropping-particle":"","family":"Vos","given":"Martine","non-dropping-particle":"De","parse-names":false,"suffix":""},{"dropping-particle":"","family":"Hommes","given":"Daniel W","non-dropping-particle":"","parse-names":false,"suffix":""},{"dropping-particle":"","family":"Benninga","given":"Marc A","non-dropping-particle":"","parse-names":false,"suffix":""},{"dropping-particle":"","family":"Vermeire","given":"Severine A","non-dropping-particle":"","parse-names":false,"suffix":""},{"dropping-particle":"","family":"D’Haens","given":"Geert R","non-dropping-particle":"","parse-names":false,"suffix":""}],"container-title":"Journal of Crohn's and Colitis","id":"ITEM-1","issue":"5","issued":{"date-parts":[["2018","4","27"]]},"page":"517-524","publisher":"Oxford University Press","title":"Long-term Outcome of Early Combined Immunosuppression Versus Conventional Management in Newly Diagnosed Crohn’s Disease","type":"article-journal","volume":"12"},"uris":["http://www.mendeley.com/documents/?uuid=d892937e-0385-31e2-9637-b78c8fa0af15"]}],"mendeley":{"formattedCitation":"[9]","plainTextFormattedCitation":"[9]","previouslyFormattedCitation":"[8]"},"properties":{"noteIndex":0},"schema":"https://github.com/citation-style-language/schema/raw/master/csl-citation.json"}</w:instrText>
      </w:r>
      <w:r>
        <w:rPr>
          <w:sz w:val="24"/>
          <w:szCs w:val="24"/>
        </w:rPr>
        <w:fldChar w:fldCharType="separate"/>
      </w:r>
      <w:r>
        <w:rPr>
          <w:noProof/>
          <w:sz w:val="24"/>
          <w:szCs w:val="24"/>
        </w:rPr>
        <w:t>[9]</w:t>
      </w:r>
      <w:r>
        <w:rPr>
          <w:sz w:val="24"/>
          <w:szCs w:val="24"/>
        </w:rPr>
        <w:fldChar w:fldCharType="end"/>
      </w:r>
      <w:r>
        <w:rPr>
          <w:sz w:val="24"/>
          <w:szCs w:val="24"/>
        </w:rPr>
        <w:t xml:space="preserve">. </w:t>
      </w:r>
      <w:r w:rsidR="00F76A47">
        <w:rPr>
          <w:sz w:val="24"/>
          <w:szCs w:val="24"/>
        </w:rPr>
        <w:t>For example</w:t>
      </w:r>
      <w:r w:rsidR="00C930DB">
        <w:rPr>
          <w:sz w:val="24"/>
          <w:szCs w:val="24"/>
        </w:rPr>
        <w:t>,</w:t>
      </w:r>
      <w:r w:rsidR="00F76A47">
        <w:rPr>
          <w:sz w:val="24"/>
          <w:szCs w:val="24"/>
        </w:rPr>
        <w:t xml:space="preserve"> although </w:t>
      </w:r>
      <w:r>
        <w:rPr>
          <w:sz w:val="24"/>
          <w:szCs w:val="24"/>
        </w:rPr>
        <w:t xml:space="preserve">the impact of anti-TNF therapy on fistulating complications is demonstrable, </w:t>
      </w:r>
      <w:r w:rsidR="00F76A47">
        <w:rPr>
          <w:sz w:val="24"/>
          <w:szCs w:val="24"/>
        </w:rPr>
        <w:t xml:space="preserve">the progression of </w:t>
      </w:r>
      <w:r>
        <w:rPr>
          <w:sz w:val="24"/>
          <w:szCs w:val="24"/>
        </w:rPr>
        <w:t xml:space="preserve">fibrostenotic disease does not appear to be prevented by anti-TNF therapy </w:t>
      </w:r>
      <w:r>
        <w:rPr>
          <w:sz w:val="24"/>
          <w:szCs w:val="24"/>
        </w:rPr>
        <w:fldChar w:fldCharType="begin" w:fldLock="1"/>
      </w:r>
      <w:r>
        <w:rPr>
          <w:sz w:val="24"/>
          <w:szCs w:val="24"/>
        </w:rPr>
        <w:instrText>ADDIN CSL_CITATION {"citationItems":[{"id":"ITEM-1","itemData":{"DOI":"10.1093/ecco-jcc/jjw055","ISSN":"18764479","PMID":"26928961","abstract":"This ECCO topical review of the European Crohn's and Colitis Organisation [ECCO] focused on prediction, diagnosis, and management of fibrostenosing Crohn's disease [CD]. The objective was to achieve evidence-supported, expert consensus that provides guidance for clinical practice.","author":[{"dropping-particle":"","family":"Rieder","given":"Florian","non-dropping-particle":"","parse-names":false,"suffix":""},{"dropping-particle":"","family":"Latella","given":"Giovanni","non-dropping-particle":"","parse-names":false,"suffix":""},{"dropping-particle":"","family":"Magro","given":"Fernando","non-dropping-particle":"","parse-names":false,"suffix":""},{"dropping-particle":"","family":"Yuksel","given":"Elif S.","non-dropping-particle":"","parse-names":false,"suffix":""},{"dropping-particle":"","family":"Higgins","given":"Peter D.R.","non-dropping-particle":"","parse-names":false,"suffix":""},{"dropping-particle":"","family":"Sabatino","given":"Antonio","non-dropping-particle":"Di","parse-names":false,"suffix":""},{"dropping-particle":"","family":"Bruyn","given":"Jessica R.","non-dropping-particle":"de","parse-names":false,"suffix":""},{"dropping-particle":"","family":"Rimola","given":"Jordi","non-dropping-particle":"","parse-names":false,"suffix":""},{"dropping-particle":"","family":"Brito","given":"Jorge","non-dropping-particle":"","parse-names":false,"suffix":""},{"dropping-particle":"","family":"Bettenworth","given":"Dominik","non-dropping-particle":"","parse-names":false,"suffix":""},{"dropping-particle":"","family":"Assche","given":"Gert","non-dropping-particle":"van","parse-names":false,"suffix":""},{"dropping-particle":"","family":"Bemelman","given":"Willem","non-dropping-particle":"","parse-names":false,"suffix":""},{"dropping-particle":"","family":"d'Hoore","given":"Andre","non-dropping-particle":"","parse-names":false,"suffix":""},{"dropping-particle":"","family":"Pellino","given":"Gianluca","non-dropping-particle":"","parse-names":false,"suffix":""},{"dropping-particle":"","family":"Dignass","given":"Axel U.","non-dropping-particle":"","parse-names":false,"suffix":""}],"container-title":"Journal of Crohn's and Colitis","id":"ITEM-1","issue":"8","issued":{"date-parts":[["2016","8","1"]]},"page":"873-885","publisher":"Oxford University Press","title":"European Crohn's and colitis organisation topical review on prediction, diagnosis and management of fibrostenosing Crohn's disease","type":"article-journal","volume":"10"},"uris":["http://www.mendeley.com/documents/?uuid=32fca627-66a2-32ed-acd1-cad7f59d8173"]}],"mendeley":{"formattedCitation":"[10]","plainTextFormattedCitation":"[10]","previouslyFormattedCitation":"[9]"},"properties":{"noteIndex":0},"schema":"https://github.com/citation-style-language/schema/raw/master/csl-citation.json"}</w:instrText>
      </w:r>
      <w:r>
        <w:rPr>
          <w:sz w:val="24"/>
          <w:szCs w:val="24"/>
        </w:rPr>
        <w:fldChar w:fldCharType="separate"/>
      </w:r>
      <w:r>
        <w:rPr>
          <w:noProof/>
          <w:sz w:val="24"/>
          <w:szCs w:val="24"/>
        </w:rPr>
        <w:t>[10]</w:t>
      </w:r>
      <w:r>
        <w:rPr>
          <w:sz w:val="24"/>
          <w:szCs w:val="24"/>
        </w:rPr>
        <w:fldChar w:fldCharType="end"/>
      </w:r>
      <w:r>
        <w:rPr>
          <w:sz w:val="24"/>
          <w:szCs w:val="24"/>
        </w:rPr>
        <w:t xml:space="preserve">. </w:t>
      </w:r>
      <w:r w:rsidR="00EC13C3" w:rsidRPr="004B45D3">
        <w:rPr>
          <w:sz w:val="24"/>
          <w:szCs w:val="24"/>
        </w:rPr>
        <w:t>Jongsma and colleagues must be congratulated on their study, but we</w:t>
      </w:r>
      <w:r w:rsidR="000D2C1D">
        <w:rPr>
          <w:sz w:val="24"/>
          <w:szCs w:val="24"/>
        </w:rPr>
        <w:t xml:space="preserve"> </w:t>
      </w:r>
      <w:r w:rsidR="00EC13C3" w:rsidRPr="004B45D3">
        <w:rPr>
          <w:sz w:val="24"/>
          <w:szCs w:val="24"/>
        </w:rPr>
        <w:t xml:space="preserve">remain cautious </w:t>
      </w:r>
      <w:r w:rsidR="00F76A47">
        <w:rPr>
          <w:sz w:val="24"/>
          <w:szCs w:val="24"/>
        </w:rPr>
        <w:t xml:space="preserve">that </w:t>
      </w:r>
      <w:r w:rsidR="00F76A47" w:rsidRPr="004B45D3">
        <w:rPr>
          <w:sz w:val="24"/>
          <w:szCs w:val="24"/>
        </w:rPr>
        <w:t>the</w:t>
      </w:r>
      <w:r w:rsidR="00EC13C3" w:rsidRPr="004B45D3">
        <w:rPr>
          <w:sz w:val="24"/>
          <w:szCs w:val="24"/>
        </w:rPr>
        <w:t xml:space="preserve"> findings </w:t>
      </w:r>
      <w:r w:rsidR="0009296C">
        <w:rPr>
          <w:sz w:val="24"/>
          <w:szCs w:val="24"/>
        </w:rPr>
        <w:t xml:space="preserve">should </w:t>
      </w:r>
      <w:r w:rsidR="00EC13C3" w:rsidRPr="004B45D3">
        <w:rPr>
          <w:sz w:val="24"/>
          <w:szCs w:val="24"/>
        </w:rPr>
        <w:t xml:space="preserve">not </w:t>
      </w:r>
      <w:r w:rsidR="0009296C">
        <w:rPr>
          <w:sz w:val="24"/>
          <w:szCs w:val="24"/>
        </w:rPr>
        <w:t xml:space="preserve">be </w:t>
      </w:r>
      <w:r w:rsidR="00EC13C3" w:rsidRPr="004B45D3">
        <w:rPr>
          <w:sz w:val="24"/>
          <w:szCs w:val="24"/>
        </w:rPr>
        <w:t xml:space="preserve">over-interpreted. The future implementation of these data must be centred on accurate identification of the patients who will benefit from anti-TNF induction </w:t>
      </w:r>
      <w:r w:rsidR="00EC13C3" w:rsidRPr="004B45D3">
        <w:rPr>
          <w:sz w:val="24"/>
          <w:szCs w:val="24"/>
        </w:rPr>
        <w:lastRenderedPageBreak/>
        <w:t xml:space="preserve">therapy, sparing those not requiring it and using a better alternative in others. This study does not provide reason to advocate for the ubiquitous use of infliximab induction, rather it presents the opportunity to stratify patients and treat those who will benefit </w:t>
      </w:r>
      <w:r w:rsidR="0009296C">
        <w:rPr>
          <w:sz w:val="24"/>
          <w:szCs w:val="24"/>
        </w:rPr>
        <w:t>from</w:t>
      </w:r>
      <w:r w:rsidR="0009296C" w:rsidRPr="004B45D3">
        <w:rPr>
          <w:sz w:val="24"/>
          <w:szCs w:val="24"/>
        </w:rPr>
        <w:t xml:space="preserve"> </w:t>
      </w:r>
      <w:r w:rsidR="00EC13C3" w:rsidRPr="004B45D3">
        <w:rPr>
          <w:sz w:val="24"/>
          <w:szCs w:val="24"/>
        </w:rPr>
        <w:t xml:space="preserve">the most effective </w:t>
      </w:r>
      <w:r w:rsidR="00F03D43" w:rsidRPr="004B45D3">
        <w:rPr>
          <w:sz w:val="24"/>
          <w:szCs w:val="24"/>
        </w:rPr>
        <w:t>therapy</w:t>
      </w:r>
      <w:r w:rsidR="00EC13C3" w:rsidRPr="004B45D3">
        <w:rPr>
          <w:sz w:val="24"/>
          <w:szCs w:val="24"/>
        </w:rPr>
        <w:t>. Whilst this is not yet a reality</w:t>
      </w:r>
      <w:r w:rsidR="00D31382" w:rsidRPr="004B45D3">
        <w:rPr>
          <w:sz w:val="24"/>
          <w:szCs w:val="24"/>
        </w:rPr>
        <w:t>,</w:t>
      </w:r>
      <w:r w:rsidR="00EC13C3" w:rsidRPr="004B45D3">
        <w:rPr>
          <w:sz w:val="24"/>
          <w:szCs w:val="24"/>
        </w:rPr>
        <w:t xml:space="preserve"> the possibility of precision therapy for paediatric </w:t>
      </w:r>
      <w:r>
        <w:rPr>
          <w:sz w:val="24"/>
          <w:szCs w:val="24"/>
        </w:rPr>
        <w:t>inflammatory bowel</w:t>
      </w:r>
      <w:r w:rsidRPr="004B45D3">
        <w:rPr>
          <w:sz w:val="24"/>
          <w:szCs w:val="24"/>
        </w:rPr>
        <w:t xml:space="preserve"> </w:t>
      </w:r>
      <w:r w:rsidR="00EC13C3" w:rsidRPr="004B45D3">
        <w:rPr>
          <w:sz w:val="24"/>
          <w:szCs w:val="24"/>
        </w:rPr>
        <w:t xml:space="preserve">disease </w:t>
      </w:r>
      <w:r w:rsidR="00D31382" w:rsidRPr="004B45D3">
        <w:rPr>
          <w:sz w:val="24"/>
          <w:szCs w:val="24"/>
        </w:rPr>
        <w:t xml:space="preserve">now moves closer to clinical implementation. </w:t>
      </w:r>
    </w:p>
    <w:p w14:paraId="6D955EF3" w14:textId="52E3B5E5" w:rsidR="00C930DB" w:rsidRDefault="00C930DB" w:rsidP="001D1EBF">
      <w:pPr>
        <w:spacing w:line="480" w:lineRule="auto"/>
        <w:rPr>
          <w:sz w:val="24"/>
          <w:szCs w:val="24"/>
        </w:rPr>
      </w:pPr>
    </w:p>
    <w:p w14:paraId="04C6007D" w14:textId="3B0D7D46" w:rsidR="00C930DB" w:rsidRDefault="00C930DB" w:rsidP="001D1EBF">
      <w:pPr>
        <w:spacing w:line="480" w:lineRule="auto"/>
        <w:rPr>
          <w:sz w:val="24"/>
          <w:szCs w:val="24"/>
        </w:rPr>
      </w:pPr>
    </w:p>
    <w:p w14:paraId="0F8BB34F" w14:textId="7D6A9F1C" w:rsidR="00C930DB" w:rsidRDefault="00C930DB" w:rsidP="001D1EBF">
      <w:pPr>
        <w:spacing w:line="480" w:lineRule="auto"/>
        <w:rPr>
          <w:sz w:val="24"/>
          <w:szCs w:val="24"/>
        </w:rPr>
      </w:pPr>
    </w:p>
    <w:p w14:paraId="7E66E4F6" w14:textId="4C6AB1DE" w:rsidR="00C930DB" w:rsidRDefault="00C930DB" w:rsidP="001D1EBF">
      <w:pPr>
        <w:spacing w:line="480" w:lineRule="auto"/>
        <w:rPr>
          <w:sz w:val="24"/>
          <w:szCs w:val="24"/>
        </w:rPr>
      </w:pPr>
    </w:p>
    <w:p w14:paraId="34367F45" w14:textId="29BD49F1" w:rsidR="00C930DB" w:rsidRDefault="00C930DB" w:rsidP="001D1EBF">
      <w:pPr>
        <w:spacing w:line="480" w:lineRule="auto"/>
        <w:rPr>
          <w:sz w:val="24"/>
          <w:szCs w:val="24"/>
        </w:rPr>
      </w:pPr>
    </w:p>
    <w:p w14:paraId="5DCA6E27" w14:textId="39F0B293" w:rsidR="00C930DB" w:rsidRDefault="00C930DB" w:rsidP="001D1EBF">
      <w:pPr>
        <w:spacing w:line="480" w:lineRule="auto"/>
        <w:rPr>
          <w:sz w:val="24"/>
          <w:szCs w:val="24"/>
        </w:rPr>
      </w:pPr>
    </w:p>
    <w:p w14:paraId="61FF7429" w14:textId="20184308" w:rsidR="00C930DB" w:rsidRDefault="00C930DB" w:rsidP="001D1EBF">
      <w:pPr>
        <w:spacing w:line="480" w:lineRule="auto"/>
        <w:rPr>
          <w:sz w:val="24"/>
          <w:szCs w:val="24"/>
        </w:rPr>
      </w:pPr>
    </w:p>
    <w:p w14:paraId="5DD0403A" w14:textId="193CE55D" w:rsidR="00C930DB" w:rsidRDefault="00C930DB" w:rsidP="001D1EBF">
      <w:pPr>
        <w:spacing w:line="480" w:lineRule="auto"/>
        <w:rPr>
          <w:sz w:val="24"/>
          <w:szCs w:val="24"/>
        </w:rPr>
      </w:pPr>
    </w:p>
    <w:p w14:paraId="5037D0AA" w14:textId="084CE639" w:rsidR="00C930DB" w:rsidRDefault="00C930DB" w:rsidP="001D1EBF">
      <w:pPr>
        <w:spacing w:line="480" w:lineRule="auto"/>
        <w:rPr>
          <w:sz w:val="24"/>
          <w:szCs w:val="24"/>
        </w:rPr>
      </w:pPr>
    </w:p>
    <w:p w14:paraId="0928D1BB" w14:textId="7E02AF2C" w:rsidR="00C930DB" w:rsidRDefault="00C930DB" w:rsidP="001D1EBF">
      <w:pPr>
        <w:spacing w:line="480" w:lineRule="auto"/>
        <w:rPr>
          <w:sz w:val="24"/>
          <w:szCs w:val="24"/>
        </w:rPr>
      </w:pPr>
    </w:p>
    <w:p w14:paraId="48072CAF" w14:textId="564A1F99" w:rsidR="00C930DB" w:rsidRDefault="00C930DB" w:rsidP="001D1EBF">
      <w:pPr>
        <w:spacing w:line="480" w:lineRule="auto"/>
        <w:rPr>
          <w:sz w:val="24"/>
          <w:szCs w:val="24"/>
        </w:rPr>
      </w:pPr>
    </w:p>
    <w:p w14:paraId="74AB0B3E" w14:textId="60DB417B" w:rsidR="00C930DB" w:rsidRDefault="00C930DB" w:rsidP="001D1EBF">
      <w:pPr>
        <w:spacing w:line="480" w:lineRule="auto"/>
        <w:rPr>
          <w:sz w:val="24"/>
          <w:szCs w:val="24"/>
        </w:rPr>
      </w:pPr>
    </w:p>
    <w:p w14:paraId="566C048B" w14:textId="08F721D0" w:rsidR="00C930DB" w:rsidRDefault="00C930DB" w:rsidP="001D1EBF">
      <w:pPr>
        <w:spacing w:line="480" w:lineRule="auto"/>
        <w:rPr>
          <w:sz w:val="24"/>
          <w:szCs w:val="24"/>
        </w:rPr>
      </w:pPr>
    </w:p>
    <w:p w14:paraId="0BD8EFD3" w14:textId="1C751B2A" w:rsidR="00C930DB" w:rsidRDefault="00C930DB" w:rsidP="001D1EBF">
      <w:pPr>
        <w:spacing w:line="480" w:lineRule="auto"/>
        <w:rPr>
          <w:sz w:val="24"/>
          <w:szCs w:val="24"/>
        </w:rPr>
      </w:pPr>
    </w:p>
    <w:p w14:paraId="59061247" w14:textId="77777777" w:rsidR="00C930DB" w:rsidRPr="004B45D3" w:rsidRDefault="00C930DB" w:rsidP="001D1EBF">
      <w:pPr>
        <w:spacing w:line="480" w:lineRule="auto"/>
        <w:rPr>
          <w:sz w:val="24"/>
          <w:szCs w:val="24"/>
        </w:rPr>
      </w:pPr>
    </w:p>
    <w:p w14:paraId="0FBFFB57" w14:textId="1BE23CF5" w:rsidR="005743DE" w:rsidRPr="004B45D3" w:rsidRDefault="005743DE" w:rsidP="001D1EBF">
      <w:pPr>
        <w:spacing w:line="480" w:lineRule="auto"/>
        <w:rPr>
          <w:sz w:val="24"/>
          <w:szCs w:val="24"/>
          <w:u w:val="single"/>
        </w:rPr>
      </w:pPr>
      <w:r w:rsidRPr="004B45D3">
        <w:rPr>
          <w:sz w:val="24"/>
          <w:szCs w:val="24"/>
          <w:u w:val="single"/>
        </w:rPr>
        <w:lastRenderedPageBreak/>
        <w:t>Funding</w:t>
      </w:r>
    </w:p>
    <w:p w14:paraId="51495234" w14:textId="574DD5BA" w:rsidR="002A5138" w:rsidRPr="004B45D3" w:rsidRDefault="002A5138" w:rsidP="001D1EBF">
      <w:pPr>
        <w:spacing w:line="480" w:lineRule="auto"/>
        <w:rPr>
          <w:sz w:val="24"/>
          <w:szCs w:val="24"/>
        </w:rPr>
      </w:pPr>
      <w:r w:rsidRPr="004B45D3">
        <w:rPr>
          <w:sz w:val="24"/>
          <w:szCs w:val="24"/>
        </w:rPr>
        <w:t xml:space="preserve">JJA is funded by a personal ESPEN fellowship and an ESPR post-doctoral research grant. </w:t>
      </w:r>
    </w:p>
    <w:p w14:paraId="442310B0" w14:textId="42C802BA" w:rsidR="005743DE" w:rsidRPr="004B45D3" w:rsidRDefault="005743DE" w:rsidP="001D1EBF">
      <w:pPr>
        <w:spacing w:line="480" w:lineRule="auto"/>
        <w:rPr>
          <w:sz w:val="24"/>
          <w:szCs w:val="24"/>
          <w:u w:val="single"/>
        </w:rPr>
      </w:pPr>
      <w:r w:rsidRPr="004B45D3">
        <w:rPr>
          <w:sz w:val="24"/>
          <w:szCs w:val="24"/>
          <w:u w:val="single"/>
        </w:rPr>
        <w:t>Competing interests</w:t>
      </w:r>
    </w:p>
    <w:p w14:paraId="0E1D7A75" w14:textId="600D1D1B" w:rsidR="005743DE" w:rsidRPr="004B45D3" w:rsidRDefault="005743DE" w:rsidP="001D1EBF">
      <w:pPr>
        <w:spacing w:line="480" w:lineRule="auto"/>
        <w:rPr>
          <w:sz w:val="24"/>
          <w:szCs w:val="24"/>
        </w:rPr>
      </w:pPr>
      <w:r w:rsidRPr="004B45D3">
        <w:rPr>
          <w:sz w:val="24"/>
          <w:szCs w:val="24"/>
        </w:rPr>
        <w:t xml:space="preserve">RMB is editor in chief of Frontline Gastroenterology and BMJ Open </w:t>
      </w:r>
      <w:r w:rsidR="002A5138" w:rsidRPr="004B45D3">
        <w:rPr>
          <w:sz w:val="24"/>
          <w:szCs w:val="24"/>
        </w:rPr>
        <w:t xml:space="preserve">Gastroenterology. JJA is the social media editor of BMJ Open Gastroenterology. </w:t>
      </w:r>
    </w:p>
    <w:p w14:paraId="72227B28" w14:textId="1395B6AE" w:rsidR="002A5138" w:rsidRPr="004B45D3" w:rsidRDefault="002A5138" w:rsidP="001D1EBF">
      <w:pPr>
        <w:spacing w:line="480" w:lineRule="auto"/>
        <w:rPr>
          <w:sz w:val="24"/>
          <w:szCs w:val="24"/>
          <w:u w:val="single"/>
        </w:rPr>
      </w:pPr>
      <w:r w:rsidRPr="004B45D3">
        <w:rPr>
          <w:sz w:val="24"/>
          <w:szCs w:val="24"/>
          <w:u w:val="single"/>
        </w:rPr>
        <w:t>Twitter handles</w:t>
      </w:r>
      <w:r w:rsidR="008030CC">
        <w:rPr>
          <w:sz w:val="24"/>
          <w:szCs w:val="24"/>
          <w:u w:val="single"/>
        </w:rPr>
        <w:t xml:space="preserve"> </w:t>
      </w:r>
    </w:p>
    <w:p w14:paraId="0BD1E5C7" w14:textId="43FEBFB3" w:rsidR="002A5138" w:rsidRPr="004B45D3" w:rsidRDefault="002A5138" w:rsidP="001D1EBF">
      <w:pPr>
        <w:spacing w:line="480" w:lineRule="auto"/>
        <w:rPr>
          <w:sz w:val="24"/>
          <w:szCs w:val="24"/>
        </w:rPr>
      </w:pPr>
      <w:r w:rsidRPr="004B45D3">
        <w:rPr>
          <w:sz w:val="24"/>
          <w:szCs w:val="24"/>
        </w:rPr>
        <w:t>JJA- @James__Ashton</w:t>
      </w:r>
    </w:p>
    <w:p w14:paraId="493C8E46" w14:textId="718DE5F5" w:rsidR="002A5138" w:rsidRDefault="002A5138" w:rsidP="001D1EBF">
      <w:pPr>
        <w:spacing w:line="480" w:lineRule="auto"/>
        <w:rPr>
          <w:sz w:val="24"/>
          <w:szCs w:val="24"/>
        </w:rPr>
      </w:pPr>
      <w:r w:rsidRPr="004B45D3">
        <w:rPr>
          <w:sz w:val="24"/>
          <w:szCs w:val="24"/>
        </w:rPr>
        <w:t>RMB- @RMBeattie50</w:t>
      </w:r>
    </w:p>
    <w:p w14:paraId="6BBBE369" w14:textId="44125CBC" w:rsidR="00C930DB" w:rsidRDefault="00C930DB" w:rsidP="001D1EBF">
      <w:pPr>
        <w:spacing w:line="480" w:lineRule="auto"/>
        <w:rPr>
          <w:sz w:val="24"/>
          <w:szCs w:val="24"/>
          <w:u w:val="single"/>
        </w:rPr>
      </w:pPr>
      <w:proofErr w:type="spellStart"/>
      <w:r>
        <w:rPr>
          <w:sz w:val="24"/>
          <w:szCs w:val="24"/>
          <w:u w:val="single"/>
        </w:rPr>
        <w:t>O</w:t>
      </w:r>
      <w:r>
        <w:rPr>
          <w:sz w:val="24"/>
          <w:szCs w:val="24"/>
          <w:u w:val="single"/>
        </w:rPr>
        <w:t>rcid</w:t>
      </w:r>
      <w:proofErr w:type="spellEnd"/>
      <w:r>
        <w:rPr>
          <w:sz w:val="24"/>
          <w:szCs w:val="24"/>
          <w:u w:val="single"/>
        </w:rPr>
        <w:t xml:space="preserve"> IDs</w:t>
      </w:r>
    </w:p>
    <w:p w14:paraId="0F7C7FC7" w14:textId="0D7FCF09" w:rsidR="00C930DB" w:rsidRDefault="00C930DB" w:rsidP="001D1EBF">
      <w:pPr>
        <w:spacing w:line="480" w:lineRule="auto"/>
        <w:rPr>
          <w:sz w:val="24"/>
          <w:szCs w:val="24"/>
        </w:rPr>
      </w:pPr>
      <w:r w:rsidRPr="00C930DB">
        <w:rPr>
          <w:sz w:val="24"/>
          <w:szCs w:val="24"/>
        </w:rPr>
        <w:t xml:space="preserve">JJA- </w:t>
      </w:r>
      <w:r w:rsidRPr="00C930DB">
        <w:rPr>
          <w:sz w:val="24"/>
          <w:szCs w:val="24"/>
        </w:rPr>
        <w:t>0000-0003-0348-8198</w:t>
      </w:r>
    </w:p>
    <w:p w14:paraId="3455D7C2" w14:textId="26BF43C4" w:rsidR="00C930DB" w:rsidRDefault="00C930DB" w:rsidP="001D1EBF">
      <w:pPr>
        <w:spacing w:line="480" w:lineRule="auto"/>
        <w:rPr>
          <w:sz w:val="24"/>
          <w:szCs w:val="24"/>
        </w:rPr>
      </w:pPr>
      <w:r>
        <w:rPr>
          <w:sz w:val="24"/>
          <w:szCs w:val="24"/>
        </w:rPr>
        <w:t xml:space="preserve">SE- </w:t>
      </w:r>
      <w:r w:rsidRPr="00C930DB">
        <w:rPr>
          <w:sz w:val="24"/>
          <w:szCs w:val="24"/>
        </w:rPr>
        <w:t>0000-0003-2648-0869</w:t>
      </w:r>
    </w:p>
    <w:p w14:paraId="7B363900" w14:textId="577C3400" w:rsidR="00C930DB" w:rsidRPr="00C930DB" w:rsidRDefault="00C930DB" w:rsidP="001D1EBF">
      <w:pPr>
        <w:spacing w:line="480" w:lineRule="auto"/>
        <w:rPr>
          <w:sz w:val="24"/>
          <w:szCs w:val="24"/>
        </w:rPr>
      </w:pPr>
      <w:r>
        <w:rPr>
          <w:sz w:val="24"/>
          <w:szCs w:val="24"/>
        </w:rPr>
        <w:t xml:space="preserve">RMB- </w:t>
      </w:r>
      <w:r w:rsidRPr="00C930DB">
        <w:rPr>
          <w:sz w:val="24"/>
          <w:szCs w:val="24"/>
        </w:rPr>
        <w:t>0000-0003-4721-0577</w:t>
      </w:r>
    </w:p>
    <w:p w14:paraId="37325C53" w14:textId="77777777" w:rsidR="004B45D3" w:rsidRDefault="004B45D3">
      <w:pPr>
        <w:rPr>
          <w:sz w:val="24"/>
          <w:szCs w:val="24"/>
          <w:u w:val="single"/>
        </w:rPr>
      </w:pPr>
      <w:r>
        <w:rPr>
          <w:sz w:val="24"/>
          <w:szCs w:val="24"/>
          <w:u w:val="single"/>
        </w:rPr>
        <w:br w:type="page"/>
      </w:r>
    </w:p>
    <w:p w14:paraId="1D08A380" w14:textId="4CAA2AA2" w:rsidR="005650BA" w:rsidRPr="004B45D3" w:rsidRDefault="005650BA" w:rsidP="001D1EBF">
      <w:pPr>
        <w:spacing w:line="480" w:lineRule="auto"/>
        <w:rPr>
          <w:sz w:val="24"/>
          <w:szCs w:val="24"/>
          <w:u w:val="single"/>
        </w:rPr>
      </w:pPr>
      <w:r w:rsidRPr="004B45D3">
        <w:rPr>
          <w:sz w:val="24"/>
          <w:szCs w:val="24"/>
          <w:u w:val="single"/>
        </w:rPr>
        <w:lastRenderedPageBreak/>
        <w:t>References</w:t>
      </w:r>
    </w:p>
    <w:p w14:paraId="3918A4B0" w14:textId="30252236" w:rsidR="00405EA6" w:rsidRPr="004B45D3" w:rsidRDefault="005650BA" w:rsidP="00405EA6">
      <w:pPr>
        <w:widowControl w:val="0"/>
        <w:autoSpaceDE w:val="0"/>
        <w:autoSpaceDN w:val="0"/>
        <w:adjustRightInd w:val="0"/>
        <w:spacing w:line="480" w:lineRule="auto"/>
        <w:ind w:left="640" w:hanging="640"/>
        <w:rPr>
          <w:rFonts w:ascii="Calibri" w:hAnsi="Calibri" w:cs="Calibri"/>
          <w:noProof/>
          <w:sz w:val="24"/>
          <w:szCs w:val="24"/>
        </w:rPr>
      </w:pPr>
      <w:r w:rsidRPr="004B45D3">
        <w:rPr>
          <w:sz w:val="24"/>
          <w:szCs w:val="24"/>
          <w:u w:val="single"/>
        </w:rPr>
        <w:fldChar w:fldCharType="begin" w:fldLock="1"/>
      </w:r>
      <w:r w:rsidRPr="004B45D3">
        <w:rPr>
          <w:sz w:val="24"/>
          <w:szCs w:val="24"/>
          <w:u w:val="single"/>
        </w:rPr>
        <w:instrText xml:space="preserve">ADDIN Mendeley Bibliography CSL_BIBLIOGRAPHY </w:instrText>
      </w:r>
      <w:r w:rsidRPr="004B45D3">
        <w:rPr>
          <w:sz w:val="24"/>
          <w:szCs w:val="24"/>
          <w:u w:val="single"/>
        </w:rPr>
        <w:fldChar w:fldCharType="separate"/>
      </w:r>
      <w:r w:rsidR="00405EA6" w:rsidRPr="004B45D3">
        <w:rPr>
          <w:rFonts w:ascii="Calibri" w:hAnsi="Calibri" w:cs="Calibri"/>
          <w:noProof/>
          <w:sz w:val="24"/>
          <w:szCs w:val="24"/>
        </w:rPr>
        <w:t xml:space="preserve">1 </w:t>
      </w:r>
      <w:r w:rsidR="00405EA6" w:rsidRPr="004B45D3">
        <w:rPr>
          <w:rFonts w:ascii="Calibri" w:hAnsi="Calibri" w:cs="Calibri"/>
          <w:noProof/>
          <w:sz w:val="24"/>
          <w:szCs w:val="24"/>
        </w:rPr>
        <w:tab/>
        <w:t xml:space="preserve">Van Rheenen PF, Aloi M, Assa A, </w:t>
      </w:r>
      <w:r w:rsidR="00405EA6" w:rsidRPr="004B45D3">
        <w:rPr>
          <w:rFonts w:ascii="Calibri" w:hAnsi="Calibri" w:cs="Calibri"/>
          <w:i/>
          <w:iCs/>
          <w:noProof/>
          <w:sz w:val="24"/>
          <w:szCs w:val="24"/>
        </w:rPr>
        <w:t>et al.</w:t>
      </w:r>
      <w:r w:rsidR="00405EA6" w:rsidRPr="004B45D3">
        <w:rPr>
          <w:rFonts w:ascii="Calibri" w:hAnsi="Calibri" w:cs="Calibri"/>
          <w:noProof/>
          <w:sz w:val="24"/>
          <w:szCs w:val="24"/>
        </w:rPr>
        <w:t xml:space="preserve"> The Medical Management of Paediatric Crohn’s Disease: an ECCO-ESPGHAN Guideline Update. </w:t>
      </w:r>
      <w:r w:rsidR="00405EA6" w:rsidRPr="004B45D3">
        <w:rPr>
          <w:rFonts w:ascii="Calibri" w:hAnsi="Calibri" w:cs="Calibri"/>
          <w:i/>
          <w:iCs/>
          <w:noProof/>
          <w:sz w:val="24"/>
          <w:szCs w:val="24"/>
        </w:rPr>
        <w:t>J Crohn’s Colitis</w:t>
      </w:r>
      <w:r w:rsidR="00405EA6" w:rsidRPr="004B45D3">
        <w:rPr>
          <w:rFonts w:ascii="Calibri" w:hAnsi="Calibri" w:cs="Calibri"/>
          <w:noProof/>
          <w:sz w:val="24"/>
          <w:szCs w:val="24"/>
        </w:rPr>
        <w:t xml:space="preserve"> 2020;</w:t>
      </w:r>
      <w:r w:rsidR="00405EA6" w:rsidRPr="004B45D3">
        <w:rPr>
          <w:rFonts w:ascii="Calibri" w:hAnsi="Calibri" w:cs="Calibri"/>
          <w:b/>
          <w:bCs/>
          <w:noProof/>
          <w:sz w:val="24"/>
          <w:szCs w:val="24"/>
        </w:rPr>
        <w:t>2020</w:t>
      </w:r>
      <w:r w:rsidR="00405EA6" w:rsidRPr="004B45D3">
        <w:rPr>
          <w:rFonts w:ascii="Calibri" w:hAnsi="Calibri" w:cs="Calibri"/>
          <w:noProof/>
          <w:sz w:val="24"/>
          <w:szCs w:val="24"/>
        </w:rPr>
        <w:t>:1–24. doi:10.1093/ecco-jcc/jjaa161</w:t>
      </w:r>
    </w:p>
    <w:p w14:paraId="0172C0F8" w14:textId="77777777" w:rsidR="00405EA6" w:rsidRPr="004B45D3" w:rsidRDefault="00405EA6" w:rsidP="00405EA6">
      <w:pPr>
        <w:widowControl w:val="0"/>
        <w:autoSpaceDE w:val="0"/>
        <w:autoSpaceDN w:val="0"/>
        <w:adjustRightInd w:val="0"/>
        <w:spacing w:line="480" w:lineRule="auto"/>
        <w:ind w:left="640" w:hanging="640"/>
        <w:rPr>
          <w:rFonts w:ascii="Calibri" w:hAnsi="Calibri" w:cs="Calibri"/>
          <w:noProof/>
          <w:sz w:val="24"/>
          <w:szCs w:val="24"/>
        </w:rPr>
      </w:pPr>
      <w:r w:rsidRPr="004B45D3">
        <w:rPr>
          <w:rFonts w:ascii="Calibri" w:hAnsi="Calibri" w:cs="Calibri"/>
          <w:noProof/>
          <w:sz w:val="24"/>
          <w:szCs w:val="24"/>
        </w:rPr>
        <w:t xml:space="preserve">2 </w:t>
      </w:r>
      <w:r w:rsidRPr="004B45D3">
        <w:rPr>
          <w:rFonts w:ascii="Calibri" w:hAnsi="Calibri" w:cs="Calibri"/>
          <w:noProof/>
          <w:sz w:val="24"/>
          <w:szCs w:val="24"/>
        </w:rPr>
        <w:tab/>
        <w:t xml:space="preserve">Jongsma MME, Aardoom MA, Cozijnsen MA, </w:t>
      </w:r>
      <w:r w:rsidRPr="004B45D3">
        <w:rPr>
          <w:rFonts w:ascii="Calibri" w:hAnsi="Calibri" w:cs="Calibri"/>
          <w:i/>
          <w:iCs/>
          <w:noProof/>
          <w:sz w:val="24"/>
          <w:szCs w:val="24"/>
        </w:rPr>
        <w:t>et al.</w:t>
      </w:r>
      <w:r w:rsidRPr="004B45D3">
        <w:rPr>
          <w:rFonts w:ascii="Calibri" w:hAnsi="Calibri" w:cs="Calibri"/>
          <w:noProof/>
          <w:sz w:val="24"/>
          <w:szCs w:val="24"/>
        </w:rPr>
        <w:t xml:space="preserve"> First-line treatment with infliximab versus conventional treatment in children with newly diagnosed moderate-to-severe Crohn’s disease: An open-label multicentre randomised controlled trial. </w:t>
      </w:r>
      <w:r w:rsidRPr="004B45D3">
        <w:rPr>
          <w:rFonts w:ascii="Calibri" w:hAnsi="Calibri" w:cs="Calibri"/>
          <w:i/>
          <w:iCs/>
          <w:noProof/>
          <w:sz w:val="24"/>
          <w:szCs w:val="24"/>
        </w:rPr>
        <w:t>Gut</w:t>
      </w:r>
      <w:r w:rsidRPr="004B45D3">
        <w:rPr>
          <w:rFonts w:ascii="Calibri" w:hAnsi="Calibri" w:cs="Calibri"/>
          <w:noProof/>
          <w:sz w:val="24"/>
          <w:szCs w:val="24"/>
        </w:rPr>
        <w:t xml:space="preserve"> 2021;</w:t>
      </w:r>
      <w:r w:rsidRPr="004B45D3">
        <w:rPr>
          <w:rFonts w:ascii="Calibri" w:hAnsi="Calibri" w:cs="Calibri"/>
          <w:b/>
          <w:bCs/>
          <w:noProof/>
          <w:sz w:val="24"/>
          <w:szCs w:val="24"/>
        </w:rPr>
        <w:t>0</w:t>
      </w:r>
      <w:r w:rsidRPr="004B45D3">
        <w:rPr>
          <w:rFonts w:ascii="Calibri" w:hAnsi="Calibri" w:cs="Calibri"/>
          <w:noProof/>
          <w:sz w:val="24"/>
          <w:szCs w:val="24"/>
        </w:rPr>
        <w:t>:1–9. doi:10.1136/gutjnl-2020-322339</w:t>
      </w:r>
    </w:p>
    <w:p w14:paraId="2A619315" w14:textId="77777777" w:rsidR="00405EA6" w:rsidRPr="004B45D3" w:rsidRDefault="00405EA6" w:rsidP="00405EA6">
      <w:pPr>
        <w:widowControl w:val="0"/>
        <w:autoSpaceDE w:val="0"/>
        <w:autoSpaceDN w:val="0"/>
        <w:adjustRightInd w:val="0"/>
        <w:spacing w:line="480" w:lineRule="auto"/>
        <w:ind w:left="640" w:hanging="640"/>
        <w:rPr>
          <w:rFonts w:ascii="Calibri" w:hAnsi="Calibri" w:cs="Calibri"/>
          <w:noProof/>
          <w:sz w:val="24"/>
          <w:szCs w:val="24"/>
        </w:rPr>
      </w:pPr>
      <w:r w:rsidRPr="004B45D3">
        <w:rPr>
          <w:rFonts w:ascii="Calibri" w:hAnsi="Calibri" w:cs="Calibri"/>
          <w:noProof/>
          <w:sz w:val="24"/>
          <w:szCs w:val="24"/>
        </w:rPr>
        <w:t xml:space="preserve">3 </w:t>
      </w:r>
      <w:r w:rsidRPr="004B45D3">
        <w:rPr>
          <w:rFonts w:ascii="Calibri" w:hAnsi="Calibri" w:cs="Calibri"/>
          <w:noProof/>
          <w:sz w:val="24"/>
          <w:szCs w:val="24"/>
        </w:rPr>
        <w:tab/>
        <w:t xml:space="preserve">Markowitz J, Grancher K, Kohn N, </w:t>
      </w:r>
      <w:r w:rsidRPr="004B45D3">
        <w:rPr>
          <w:rFonts w:ascii="Calibri" w:hAnsi="Calibri" w:cs="Calibri"/>
          <w:i/>
          <w:iCs/>
          <w:noProof/>
          <w:sz w:val="24"/>
          <w:szCs w:val="24"/>
        </w:rPr>
        <w:t>et al.</w:t>
      </w:r>
      <w:r w:rsidRPr="004B45D3">
        <w:rPr>
          <w:rFonts w:ascii="Calibri" w:hAnsi="Calibri" w:cs="Calibri"/>
          <w:noProof/>
          <w:sz w:val="24"/>
          <w:szCs w:val="24"/>
        </w:rPr>
        <w:t xml:space="preserve"> A multicenter trial of 6-mercaptopurine and prednisone in children with newly diagnosed Crohn’s disease. </w:t>
      </w:r>
      <w:r w:rsidRPr="004B45D3">
        <w:rPr>
          <w:rFonts w:ascii="Calibri" w:hAnsi="Calibri" w:cs="Calibri"/>
          <w:i/>
          <w:iCs/>
          <w:noProof/>
          <w:sz w:val="24"/>
          <w:szCs w:val="24"/>
        </w:rPr>
        <w:t>Gastroenterology</w:t>
      </w:r>
      <w:r w:rsidRPr="004B45D3">
        <w:rPr>
          <w:rFonts w:ascii="Calibri" w:hAnsi="Calibri" w:cs="Calibri"/>
          <w:noProof/>
          <w:sz w:val="24"/>
          <w:szCs w:val="24"/>
        </w:rPr>
        <w:t xml:space="preserve"> 2000;</w:t>
      </w:r>
      <w:r w:rsidRPr="004B45D3">
        <w:rPr>
          <w:rFonts w:ascii="Calibri" w:hAnsi="Calibri" w:cs="Calibri"/>
          <w:b/>
          <w:bCs/>
          <w:noProof/>
          <w:sz w:val="24"/>
          <w:szCs w:val="24"/>
        </w:rPr>
        <w:t>119</w:t>
      </w:r>
      <w:r w:rsidRPr="004B45D3">
        <w:rPr>
          <w:rFonts w:ascii="Calibri" w:hAnsi="Calibri" w:cs="Calibri"/>
          <w:noProof/>
          <w:sz w:val="24"/>
          <w:szCs w:val="24"/>
        </w:rPr>
        <w:t>:895–902. doi:10.1053/gast.2000.18144</w:t>
      </w:r>
    </w:p>
    <w:p w14:paraId="7C544DD0" w14:textId="77777777" w:rsidR="00405EA6" w:rsidRPr="004B45D3" w:rsidRDefault="00405EA6" w:rsidP="00405EA6">
      <w:pPr>
        <w:widowControl w:val="0"/>
        <w:autoSpaceDE w:val="0"/>
        <w:autoSpaceDN w:val="0"/>
        <w:adjustRightInd w:val="0"/>
        <w:spacing w:line="480" w:lineRule="auto"/>
        <w:ind w:left="640" w:hanging="640"/>
        <w:rPr>
          <w:rFonts w:ascii="Calibri" w:hAnsi="Calibri" w:cs="Calibri"/>
          <w:noProof/>
          <w:sz w:val="24"/>
          <w:szCs w:val="24"/>
        </w:rPr>
      </w:pPr>
      <w:r w:rsidRPr="004B45D3">
        <w:rPr>
          <w:rFonts w:ascii="Calibri" w:hAnsi="Calibri" w:cs="Calibri"/>
          <w:noProof/>
          <w:sz w:val="24"/>
          <w:szCs w:val="24"/>
        </w:rPr>
        <w:t xml:space="preserve">4 </w:t>
      </w:r>
      <w:r w:rsidRPr="004B45D3">
        <w:rPr>
          <w:rFonts w:ascii="Calibri" w:hAnsi="Calibri" w:cs="Calibri"/>
          <w:noProof/>
          <w:sz w:val="24"/>
          <w:szCs w:val="24"/>
        </w:rPr>
        <w:tab/>
        <w:t xml:space="preserve">Ashton JJ, Mossotto E, Ennis S, </w:t>
      </w:r>
      <w:r w:rsidRPr="004B45D3">
        <w:rPr>
          <w:rFonts w:ascii="Calibri" w:hAnsi="Calibri" w:cs="Calibri"/>
          <w:i/>
          <w:iCs/>
          <w:noProof/>
          <w:sz w:val="24"/>
          <w:szCs w:val="24"/>
        </w:rPr>
        <w:t>et al.</w:t>
      </w:r>
      <w:r w:rsidRPr="004B45D3">
        <w:rPr>
          <w:rFonts w:ascii="Calibri" w:hAnsi="Calibri" w:cs="Calibri"/>
          <w:noProof/>
          <w:sz w:val="24"/>
          <w:szCs w:val="24"/>
        </w:rPr>
        <w:t xml:space="preserve"> Personalising medicine in inflammatory bowel disease—current and future perspectives. </w:t>
      </w:r>
      <w:r w:rsidRPr="004B45D3">
        <w:rPr>
          <w:rFonts w:ascii="Calibri" w:hAnsi="Calibri" w:cs="Calibri"/>
          <w:i/>
          <w:iCs/>
          <w:noProof/>
          <w:sz w:val="24"/>
          <w:szCs w:val="24"/>
        </w:rPr>
        <w:t>Transl Pediatr</w:t>
      </w:r>
      <w:r w:rsidRPr="004B45D3">
        <w:rPr>
          <w:rFonts w:ascii="Calibri" w:hAnsi="Calibri" w:cs="Calibri"/>
          <w:noProof/>
          <w:sz w:val="24"/>
          <w:szCs w:val="24"/>
        </w:rPr>
        <w:t xml:space="preserve"> 2019;</w:t>
      </w:r>
      <w:r w:rsidRPr="004B45D3">
        <w:rPr>
          <w:rFonts w:ascii="Calibri" w:hAnsi="Calibri" w:cs="Calibri"/>
          <w:b/>
          <w:bCs/>
          <w:noProof/>
          <w:sz w:val="24"/>
          <w:szCs w:val="24"/>
        </w:rPr>
        <w:t>8</w:t>
      </w:r>
      <w:r w:rsidRPr="004B45D3">
        <w:rPr>
          <w:rFonts w:ascii="Calibri" w:hAnsi="Calibri" w:cs="Calibri"/>
          <w:noProof/>
          <w:sz w:val="24"/>
          <w:szCs w:val="24"/>
        </w:rPr>
        <w:t>. doi:10.21037/tp.2018.12.03</w:t>
      </w:r>
    </w:p>
    <w:p w14:paraId="493A3151" w14:textId="77777777" w:rsidR="00405EA6" w:rsidRPr="004B45D3" w:rsidRDefault="00405EA6" w:rsidP="00405EA6">
      <w:pPr>
        <w:widowControl w:val="0"/>
        <w:autoSpaceDE w:val="0"/>
        <w:autoSpaceDN w:val="0"/>
        <w:adjustRightInd w:val="0"/>
        <w:spacing w:line="480" w:lineRule="auto"/>
        <w:ind w:left="640" w:hanging="640"/>
        <w:rPr>
          <w:rFonts w:ascii="Calibri" w:hAnsi="Calibri" w:cs="Calibri"/>
          <w:noProof/>
          <w:sz w:val="24"/>
          <w:szCs w:val="24"/>
        </w:rPr>
      </w:pPr>
      <w:r w:rsidRPr="004B45D3">
        <w:rPr>
          <w:rFonts w:ascii="Calibri" w:hAnsi="Calibri" w:cs="Calibri"/>
          <w:noProof/>
          <w:sz w:val="24"/>
          <w:szCs w:val="24"/>
        </w:rPr>
        <w:t xml:space="preserve">5 </w:t>
      </w:r>
      <w:r w:rsidRPr="004B45D3">
        <w:rPr>
          <w:rFonts w:ascii="Calibri" w:hAnsi="Calibri" w:cs="Calibri"/>
          <w:noProof/>
          <w:sz w:val="24"/>
          <w:szCs w:val="24"/>
        </w:rPr>
        <w:tab/>
        <w:t xml:space="preserve">Kugathasan S, Denson LA, Walters TD, </w:t>
      </w:r>
      <w:r w:rsidRPr="004B45D3">
        <w:rPr>
          <w:rFonts w:ascii="Calibri" w:hAnsi="Calibri" w:cs="Calibri"/>
          <w:i/>
          <w:iCs/>
          <w:noProof/>
          <w:sz w:val="24"/>
          <w:szCs w:val="24"/>
        </w:rPr>
        <w:t>et al.</w:t>
      </w:r>
      <w:r w:rsidRPr="004B45D3">
        <w:rPr>
          <w:rFonts w:ascii="Calibri" w:hAnsi="Calibri" w:cs="Calibri"/>
          <w:noProof/>
          <w:sz w:val="24"/>
          <w:szCs w:val="24"/>
        </w:rPr>
        <w:t xml:space="preserve"> Prediction of complicated disease course for children newly diagnosed with Crohn’s disease: a multicentre inception cohort study. </w:t>
      </w:r>
      <w:r w:rsidRPr="004B45D3">
        <w:rPr>
          <w:rFonts w:ascii="Calibri" w:hAnsi="Calibri" w:cs="Calibri"/>
          <w:i/>
          <w:iCs/>
          <w:noProof/>
          <w:sz w:val="24"/>
          <w:szCs w:val="24"/>
        </w:rPr>
        <w:t>Lancet</w:t>
      </w:r>
      <w:r w:rsidRPr="004B45D3">
        <w:rPr>
          <w:rFonts w:ascii="Calibri" w:hAnsi="Calibri" w:cs="Calibri"/>
          <w:noProof/>
          <w:sz w:val="24"/>
          <w:szCs w:val="24"/>
        </w:rPr>
        <w:t xml:space="preserve"> 2017;</w:t>
      </w:r>
      <w:r w:rsidRPr="004B45D3">
        <w:rPr>
          <w:rFonts w:ascii="Calibri" w:hAnsi="Calibri" w:cs="Calibri"/>
          <w:b/>
          <w:bCs/>
          <w:noProof/>
          <w:sz w:val="24"/>
          <w:szCs w:val="24"/>
        </w:rPr>
        <w:t>389</w:t>
      </w:r>
      <w:r w:rsidRPr="004B45D3">
        <w:rPr>
          <w:rFonts w:ascii="Calibri" w:hAnsi="Calibri" w:cs="Calibri"/>
          <w:noProof/>
          <w:sz w:val="24"/>
          <w:szCs w:val="24"/>
        </w:rPr>
        <w:t>:1710–8. doi:10.1016/S0140-6736(17)30317-3</w:t>
      </w:r>
    </w:p>
    <w:p w14:paraId="5882BF53" w14:textId="77777777" w:rsidR="00405EA6" w:rsidRPr="004B45D3" w:rsidRDefault="00405EA6" w:rsidP="00405EA6">
      <w:pPr>
        <w:widowControl w:val="0"/>
        <w:autoSpaceDE w:val="0"/>
        <w:autoSpaceDN w:val="0"/>
        <w:adjustRightInd w:val="0"/>
        <w:spacing w:line="480" w:lineRule="auto"/>
        <w:ind w:left="640" w:hanging="640"/>
        <w:rPr>
          <w:rFonts w:ascii="Calibri" w:hAnsi="Calibri" w:cs="Calibri"/>
          <w:noProof/>
          <w:sz w:val="24"/>
          <w:szCs w:val="24"/>
        </w:rPr>
      </w:pPr>
      <w:r w:rsidRPr="004B45D3">
        <w:rPr>
          <w:rFonts w:ascii="Calibri" w:hAnsi="Calibri" w:cs="Calibri"/>
          <w:noProof/>
          <w:sz w:val="24"/>
          <w:szCs w:val="24"/>
        </w:rPr>
        <w:t xml:space="preserve">6 </w:t>
      </w:r>
      <w:r w:rsidRPr="004B45D3">
        <w:rPr>
          <w:rFonts w:ascii="Calibri" w:hAnsi="Calibri" w:cs="Calibri"/>
          <w:noProof/>
          <w:sz w:val="24"/>
          <w:szCs w:val="24"/>
        </w:rPr>
        <w:tab/>
        <w:t xml:space="preserve">Biasci D, Lee JC, Noor NM, </w:t>
      </w:r>
      <w:r w:rsidRPr="004B45D3">
        <w:rPr>
          <w:rFonts w:ascii="Calibri" w:hAnsi="Calibri" w:cs="Calibri"/>
          <w:i/>
          <w:iCs/>
          <w:noProof/>
          <w:sz w:val="24"/>
          <w:szCs w:val="24"/>
        </w:rPr>
        <w:t>et al.</w:t>
      </w:r>
      <w:r w:rsidRPr="004B45D3">
        <w:rPr>
          <w:rFonts w:ascii="Calibri" w:hAnsi="Calibri" w:cs="Calibri"/>
          <w:noProof/>
          <w:sz w:val="24"/>
          <w:szCs w:val="24"/>
        </w:rPr>
        <w:t xml:space="preserve"> A blood-based prognostic biomarker in IBD. </w:t>
      </w:r>
      <w:r w:rsidRPr="004B45D3">
        <w:rPr>
          <w:rFonts w:ascii="Calibri" w:hAnsi="Calibri" w:cs="Calibri"/>
          <w:i/>
          <w:iCs/>
          <w:noProof/>
          <w:sz w:val="24"/>
          <w:szCs w:val="24"/>
        </w:rPr>
        <w:t>Gut</w:t>
      </w:r>
      <w:r w:rsidRPr="004B45D3">
        <w:rPr>
          <w:rFonts w:ascii="Calibri" w:hAnsi="Calibri" w:cs="Calibri"/>
          <w:noProof/>
          <w:sz w:val="24"/>
          <w:szCs w:val="24"/>
        </w:rPr>
        <w:t xml:space="preserve"> 2019;</w:t>
      </w:r>
      <w:r w:rsidRPr="004B45D3">
        <w:rPr>
          <w:rFonts w:ascii="Calibri" w:hAnsi="Calibri" w:cs="Calibri"/>
          <w:b/>
          <w:bCs/>
          <w:noProof/>
          <w:sz w:val="24"/>
          <w:szCs w:val="24"/>
        </w:rPr>
        <w:t>68</w:t>
      </w:r>
      <w:r w:rsidRPr="004B45D3">
        <w:rPr>
          <w:rFonts w:ascii="Calibri" w:hAnsi="Calibri" w:cs="Calibri"/>
          <w:noProof/>
          <w:sz w:val="24"/>
          <w:szCs w:val="24"/>
        </w:rPr>
        <w:t>:1386–95. doi:10.1136/gutjnl-2019-318343</w:t>
      </w:r>
    </w:p>
    <w:p w14:paraId="2AF2B742" w14:textId="77777777" w:rsidR="00405EA6" w:rsidRPr="004B45D3" w:rsidRDefault="00405EA6" w:rsidP="00405EA6">
      <w:pPr>
        <w:widowControl w:val="0"/>
        <w:autoSpaceDE w:val="0"/>
        <w:autoSpaceDN w:val="0"/>
        <w:adjustRightInd w:val="0"/>
        <w:spacing w:line="480" w:lineRule="auto"/>
        <w:ind w:left="640" w:hanging="640"/>
        <w:rPr>
          <w:rFonts w:ascii="Calibri" w:hAnsi="Calibri" w:cs="Calibri"/>
          <w:noProof/>
          <w:sz w:val="24"/>
          <w:szCs w:val="24"/>
        </w:rPr>
      </w:pPr>
      <w:r w:rsidRPr="004B45D3">
        <w:rPr>
          <w:rFonts w:ascii="Calibri" w:hAnsi="Calibri" w:cs="Calibri"/>
          <w:noProof/>
          <w:sz w:val="24"/>
          <w:szCs w:val="24"/>
        </w:rPr>
        <w:t xml:space="preserve">7 </w:t>
      </w:r>
      <w:r w:rsidRPr="004B45D3">
        <w:rPr>
          <w:rFonts w:ascii="Calibri" w:hAnsi="Calibri" w:cs="Calibri"/>
          <w:noProof/>
          <w:sz w:val="24"/>
          <w:szCs w:val="24"/>
        </w:rPr>
        <w:tab/>
        <w:t xml:space="preserve">Gasparetto M, Payne F, Nayak K, </w:t>
      </w:r>
      <w:r w:rsidRPr="004B45D3">
        <w:rPr>
          <w:rFonts w:ascii="Calibri" w:hAnsi="Calibri" w:cs="Calibri"/>
          <w:i/>
          <w:iCs/>
          <w:noProof/>
          <w:sz w:val="24"/>
          <w:szCs w:val="24"/>
        </w:rPr>
        <w:t>et al.</w:t>
      </w:r>
      <w:r w:rsidRPr="004B45D3">
        <w:rPr>
          <w:rFonts w:ascii="Calibri" w:hAnsi="Calibri" w:cs="Calibri"/>
          <w:noProof/>
          <w:sz w:val="24"/>
          <w:szCs w:val="24"/>
        </w:rPr>
        <w:t xml:space="preserve"> Transcription and DNA Methylation patterns of blood derived CD8+ T cells are associated with age and Inflammatory Bowel Disease but do not predict prognosis. </w:t>
      </w:r>
      <w:r w:rsidRPr="004B45D3">
        <w:rPr>
          <w:rFonts w:ascii="Calibri" w:hAnsi="Calibri" w:cs="Calibri"/>
          <w:i/>
          <w:iCs/>
          <w:noProof/>
          <w:sz w:val="24"/>
          <w:szCs w:val="24"/>
        </w:rPr>
        <w:t>Gastroenterology</w:t>
      </w:r>
      <w:r w:rsidRPr="004B45D3">
        <w:rPr>
          <w:rFonts w:ascii="Calibri" w:hAnsi="Calibri" w:cs="Calibri"/>
          <w:noProof/>
          <w:sz w:val="24"/>
          <w:szCs w:val="24"/>
        </w:rPr>
        <w:t xml:space="preserve"> 2020;</w:t>
      </w:r>
      <w:r w:rsidRPr="004B45D3">
        <w:rPr>
          <w:rFonts w:ascii="Calibri" w:hAnsi="Calibri" w:cs="Calibri"/>
          <w:b/>
          <w:bCs/>
          <w:noProof/>
          <w:sz w:val="24"/>
          <w:szCs w:val="24"/>
        </w:rPr>
        <w:t>0</w:t>
      </w:r>
      <w:r w:rsidRPr="004B45D3">
        <w:rPr>
          <w:rFonts w:ascii="Calibri" w:hAnsi="Calibri" w:cs="Calibri"/>
          <w:noProof/>
          <w:sz w:val="24"/>
          <w:szCs w:val="24"/>
        </w:rPr>
        <w:t xml:space="preserve">. </w:t>
      </w:r>
      <w:r w:rsidRPr="004B45D3">
        <w:rPr>
          <w:rFonts w:ascii="Calibri" w:hAnsi="Calibri" w:cs="Calibri"/>
          <w:noProof/>
          <w:sz w:val="24"/>
          <w:szCs w:val="24"/>
        </w:rPr>
        <w:lastRenderedPageBreak/>
        <w:t>doi:10.1053/j.gastro.2020.08.017</w:t>
      </w:r>
    </w:p>
    <w:p w14:paraId="3C6D2C3A" w14:textId="77777777" w:rsidR="00405EA6" w:rsidRPr="004B45D3" w:rsidRDefault="00405EA6" w:rsidP="00405EA6">
      <w:pPr>
        <w:widowControl w:val="0"/>
        <w:autoSpaceDE w:val="0"/>
        <w:autoSpaceDN w:val="0"/>
        <w:adjustRightInd w:val="0"/>
        <w:spacing w:line="480" w:lineRule="auto"/>
        <w:ind w:left="640" w:hanging="640"/>
        <w:rPr>
          <w:rFonts w:ascii="Calibri" w:hAnsi="Calibri" w:cs="Calibri"/>
          <w:noProof/>
          <w:sz w:val="24"/>
          <w:szCs w:val="24"/>
        </w:rPr>
      </w:pPr>
      <w:r w:rsidRPr="004B45D3">
        <w:rPr>
          <w:rFonts w:ascii="Calibri" w:hAnsi="Calibri" w:cs="Calibri"/>
          <w:noProof/>
          <w:sz w:val="24"/>
          <w:szCs w:val="24"/>
        </w:rPr>
        <w:t xml:space="preserve">8 </w:t>
      </w:r>
      <w:r w:rsidRPr="004B45D3">
        <w:rPr>
          <w:rFonts w:ascii="Calibri" w:hAnsi="Calibri" w:cs="Calibri"/>
          <w:noProof/>
          <w:sz w:val="24"/>
          <w:szCs w:val="24"/>
        </w:rPr>
        <w:tab/>
        <w:t xml:space="preserve">Ashton JJ, Boukas K, Davies J, </w:t>
      </w:r>
      <w:r w:rsidRPr="004B45D3">
        <w:rPr>
          <w:rFonts w:ascii="Calibri" w:hAnsi="Calibri" w:cs="Calibri"/>
          <w:i/>
          <w:iCs/>
          <w:noProof/>
          <w:sz w:val="24"/>
          <w:szCs w:val="24"/>
        </w:rPr>
        <w:t>et al.</w:t>
      </w:r>
      <w:r w:rsidRPr="004B45D3">
        <w:rPr>
          <w:rFonts w:ascii="Calibri" w:hAnsi="Calibri" w:cs="Calibri"/>
          <w:noProof/>
          <w:sz w:val="24"/>
          <w:szCs w:val="24"/>
        </w:rPr>
        <w:t xml:space="preserve"> Ileal transcriptomic analysis in paediatric Crohn’s disease reveals </w:t>
      </w:r>
      <w:r w:rsidRPr="004B45D3">
        <w:rPr>
          <w:rFonts w:ascii="Calibri" w:hAnsi="Calibri" w:cs="Calibri"/>
          <w:i/>
          <w:iCs/>
          <w:noProof/>
          <w:sz w:val="24"/>
          <w:szCs w:val="24"/>
        </w:rPr>
        <w:t>IL17-</w:t>
      </w:r>
      <w:r w:rsidRPr="004B45D3">
        <w:rPr>
          <w:rFonts w:ascii="Calibri" w:hAnsi="Calibri" w:cs="Calibri"/>
          <w:noProof/>
          <w:sz w:val="24"/>
          <w:szCs w:val="24"/>
        </w:rPr>
        <w:t xml:space="preserve"> and </w:t>
      </w:r>
      <w:r w:rsidRPr="004B45D3">
        <w:rPr>
          <w:rFonts w:ascii="Calibri" w:hAnsi="Calibri" w:cs="Calibri"/>
          <w:i/>
          <w:iCs/>
          <w:noProof/>
          <w:sz w:val="24"/>
          <w:szCs w:val="24"/>
        </w:rPr>
        <w:t>NOD-</w:t>
      </w:r>
      <w:r w:rsidRPr="004B45D3">
        <w:rPr>
          <w:rFonts w:ascii="Calibri" w:hAnsi="Calibri" w:cs="Calibri"/>
          <w:noProof/>
          <w:sz w:val="24"/>
          <w:szCs w:val="24"/>
        </w:rPr>
        <w:t xml:space="preserve"> signalling expression signatures in treatment-naïve patients and identifies epithelial cells driving differentially expressed genes. </w:t>
      </w:r>
      <w:r w:rsidRPr="004B45D3">
        <w:rPr>
          <w:rFonts w:ascii="Calibri" w:hAnsi="Calibri" w:cs="Calibri"/>
          <w:i/>
          <w:iCs/>
          <w:noProof/>
          <w:sz w:val="24"/>
          <w:szCs w:val="24"/>
        </w:rPr>
        <w:t>J Crohn’s Colitis</w:t>
      </w:r>
      <w:r w:rsidRPr="004B45D3">
        <w:rPr>
          <w:rFonts w:ascii="Calibri" w:hAnsi="Calibri" w:cs="Calibri"/>
          <w:noProof/>
          <w:sz w:val="24"/>
          <w:szCs w:val="24"/>
        </w:rPr>
        <w:t xml:space="preserve"> Published Online First: 24 November 2020. doi:10.1093/ecco-jcc/jjaa236</w:t>
      </w:r>
    </w:p>
    <w:p w14:paraId="43469153" w14:textId="77777777" w:rsidR="00405EA6" w:rsidRPr="004B45D3" w:rsidRDefault="00405EA6" w:rsidP="00405EA6">
      <w:pPr>
        <w:widowControl w:val="0"/>
        <w:autoSpaceDE w:val="0"/>
        <w:autoSpaceDN w:val="0"/>
        <w:adjustRightInd w:val="0"/>
        <w:spacing w:line="480" w:lineRule="auto"/>
        <w:ind w:left="640" w:hanging="640"/>
        <w:rPr>
          <w:rFonts w:ascii="Calibri" w:hAnsi="Calibri" w:cs="Calibri"/>
          <w:noProof/>
          <w:sz w:val="24"/>
          <w:szCs w:val="24"/>
        </w:rPr>
      </w:pPr>
      <w:r w:rsidRPr="004B45D3">
        <w:rPr>
          <w:rFonts w:ascii="Calibri" w:hAnsi="Calibri" w:cs="Calibri"/>
          <w:noProof/>
          <w:sz w:val="24"/>
          <w:szCs w:val="24"/>
        </w:rPr>
        <w:t xml:space="preserve">9 </w:t>
      </w:r>
      <w:r w:rsidRPr="004B45D3">
        <w:rPr>
          <w:rFonts w:ascii="Calibri" w:hAnsi="Calibri" w:cs="Calibri"/>
          <w:noProof/>
          <w:sz w:val="24"/>
          <w:szCs w:val="24"/>
        </w:rPr>
        <w:tab/>
        <w:t xml:space="preserve">Hoekman DR, Stibbe JA, Baert FJ, </w:t>
      </w:r>
      <w:r w:rsidRPr="004B45D3">
        <w:rPr>
          <w:rFonts w:ascii="Calibri" w:hAnsi="Calibri" w:cs="Calibri"/>
          <w:i/>
          <w:iCs/>
          <w:noProof/>
          <w:sz w:val="24"/>
          <w:szCs w:val="24"/>
        </w:rPr>
        <w:t>et al.</w:t>
      </w:r>
      <w:r w:rsidRPr="004B45D3">
        <w:rPr>
          <w:rFonts w:ascii="Calibri" w:hAnsi="Calibri" w:cs="Calibri"/>
          <w:noProof/>
          <w:sz w:val="24"/>
          <w:szCs w:val="24"/>
        </w:rPr>
        <w:t xml:space="preserve"> Long-term Outcome of Early Combined Immunosuppression Versus Conventional Management in Newly Diagnosed Crohn’s Disease. </w:t>
      </w:r>
      <w:r w:rsidRPr="004B45D3">
        <w:rPr>
          <w:rFonts w:ascii="Calibri" w:hAnsi="Calibri" w:cs="Calibri"/>
          <w:i/>
          <w:iCs/>
          <w:noProof/>
          <w:sz w:val="24"/>
          <w:szCs w:val="24"/>
        </w:rPr>
        <w:t>J Crohn’s Colitis</w:t>
      </w:r>
      <w:r w:rsidRPr="004B45D3">
        <w:rPr>
          <w:rFonts w:ascii="Calibri" w:hAnsi="Calibri" w:cs="Calibri"/>
          <w:noProof/>
          <w:sz w:val="24"/>
          <w:szCs w:val="24"/>
        </w:rPr>
        <w:t xml:space="preserve"> 2018;</w:t>
      </w:r>
      <w:r w:rsidRPr="004B45D3">
        <w:rPr>
          <w:rFonts w:ascii="Calibri" w:hAnsi="Calibri" w:cs="Calibri"/>
          <w:b/>
          <w:bCs/>
          <w:noProof/>
          <w:sz w:val="24"/>
          <w:szCs w:val="24"/>
        </w:rPr>
        <w:t>12</w:t>
      </w:r>
      <w:r w:rsidRPr="004B45D3">
        <w:rPr>
          <w:rFonts w:ascii="Calibri" w:hAnsi="Calibri" w:cs="Calibri"/>
          <w:noProof/>
          <w:sz w:val="24"/>
          <w:szCs w:val="24"/>
        </w:rPr>
        <w:t>:517–24. doi:10.1093/ecco-jcc/jjy014</w:t>
      </w:r>
    </w:p>
    <w:p w14:paraId="0541F858" w14:textId="77777777" w:rsidR="00405EA6" w:rsidRPr="004B45D3" w:rsidRDefault="00405EA6" w:rsidP="00405EA6">
      <w:pPr>
        <w:widowControl w:val="0"/>
        <w:autoSpaceDE w:val="0"/>
        <w:autoSpaceDN w:val="0"/>
        <w:adjustRightInd w:val="0"/>
        <w:spacing w:line="480" w:lineRule="auto"/>
        <w:ind w:left="640" w:hanging="640"/>
        <w:rPr>
          <w:rFonts w:ascii="Calibri" w:hAnsi="Calibri" w:cs="Calibri"/>
          <w:noProof/>
          <w:sz w:val="24"/>
          <w:szCs w:val="24"/>
        </w:rPr>
      </w:pPr>
      <w:r w:rsidRPr="004B45D3">
        <w:rPr>
          <w:rFonts w:ascii="Calibri" w:hAnsi="Calibri" w:cs="Calibri"/>
          <w:noProof/>
          <w:sz w:val="24"/>
          <w:szCs w:val="24"/>
        </w:rPr>
        <w:t xml:space="preserve">10 </w:t>
      </w:r>
      <w:r w:rsidRPr="004B45D3">
        <w:rPr>
          <w:rFonts w:ascii="Calibri" w:hAnsi="Calibri" w:cs="Calibri"/>
          <w:noProof/>
          <w:sz w:val="24"/>
          <w:szCs w:val="24"/>
        </w:rPr>
        <w:tab/>
        <w:t xml:space="preserve">Rieder F, Latella G, Magro F, </w:t>
      </w:r>
      <w:r w:rsidRPr="004B45D3">
        <w:rPr>
          <w:rFonts w:ascii="Calibri" w:hAnsi="Calibri" w:cs="Calibri"/>
          <w:i/>
          <w:iCs/>
          <w:noProof/>
          <w:sz w:val="24"/>
          <w:szCs w:val="24"/>
        </w:rPr>
        <w:t>et al.</w:t>
      </w:r>
      <w:r w:rsidRPr="004B45D3">
        <w:rPr>
          <w:rFonts w:ascii="Calibri" w:hAnsi="Calibri" w:cs="Calibri"/>
          <w:noProof/>
          <w:sz w:val="24"/>
          <w:szCs w:val="24"/>
        </w:rPr>
        <w:t xml:space="preserve"> European Crohn’s and colitis organisation topical review on prediction, diagnosis and management of fibrostenosing Crohn’s disease. </w:t>
      </w:r>
      <w:r w:rsidRPr="004B45D3">
        <w:rPr>
          <w:rFonts w:ascii="Calibri" w:hAnsi="Calibri" w:cs="Calibri"/>
          <w:i/>
          <w:iCs/>
          <w:noProof/>
          <w:sz w:val="24"/>
          <w:szCs w:val="24"/>
        </w:rPr>
        <w:t>J Crohn’s Colitis</w:t>
      </w:r>
      <w:r w:rsidRPr="004B45D3">
        <w:rPr>
          <w:rFonts w:ascii="Calibri" w:hAnsi="Calibri" w:cs="Calibri"/>
          <w:noProof/>
          <w:sz w:val="24"/>
          <w:szCs w:val="24"/>
        </w:rPr>
        <w:t xml:space="preserve"> 2016;</w:t>
      </w:r>
      <w:r w:rsidRPr="004B45D3">
        <w:rPr>
          <w:rFonts w:ascii="Calibri" w:hAnsi="Calibri" w:cs="Calibri"/>
          <w:b/>
          <w:bCs/>
          <w:noProof/>
          <w:sz w:val="24"/>
          <w:szCs w:val="24"/>
        </w:rPr>
        <w:t>10</w:t>
      </w:r>
      <w:r w:rsidRPr="004B45D3">
        <w:rPr>
          <w:rFonts w:ascii="Calibri" w:hAnsi="Calibri" w:cs="Calibri"/>
          <w:noProof/>
          <w:sz w:val="24"/>
          <w:szCs w:val="24"/>
        </w:rPr>
        <w:t>:873–85. doi:10.1093/ecco-jcc/jjw055</w:t>
      </w:r>
    </w:p>
    <w:p w14:paraId="2FF51558" w14:textId="60D834D7" w:rsidR="00D27483" w:rsidRDefault="005650BA" w:rsidP="001D1EBF">
      <w:pPr>
        <w:spacing w:line="480" w:lineRule="auto"/>
        <w:rPr>
          <w:sz w:val="24"/>
          <w:szCs w:val="24"/>
          <w:u w:val="single"/>
        </w:rPr>
      </w:pPr>
      <w:r w:rsidRPr="004B45D3">
        <w:rPr>
          <w:sz w:val="24"/>
          <w:szCs w:val="24"/>
          <w:u w:val="single"/>
        </w:rPr>
        <w:fldChar w:fldCharType="end"/>
      </w:r>
    </w:p>
    <w:p w14:paraId="23C18278" w14:textId="35E08A37" w:rsidR="00D27483" w:rsidRDefault="004B45D3" w:rsidP="001D1EBF">
      <w:pPr>
        <w:spacing w:line="480" w:lineRule="auto"/>
        <w:rPr>
          <w:sz w:val="24"/>
          <w:szCs w:val="24"/>
          <w:u w:val="single"/>
        </w:rPr>
      </w:pPr>
      <w:r>
        <w:rPr>
          <w:sz w:val="24"/>
          <w:szCs w:val="24"/>
          <w:u w:val="single"/>
        </w:rPr>
        <w:t xml:space="preserve"> </w:t>
      </w:r>
    </w:p>
    <w:p w14:paraId="51B703D1" w14:textId="77777777" w:rsidR="00D27483" w:rsidRPr="004B45D3" w:rsidRDefault="00D27483" w:rsidP="001D1EBF">
      <w:pPr>
        <w:spacing w:line="480" w:lineRule="auto"/>
        <w:rPr>
          <w:sz w:val="24"/>
          <w:szCs w:val="24"/>
          <w:u w:val="single"/>
        </w:rPr>
      </w:pPr>
    </w:p>
    <w:sectPr w:rsidR="00D27483" w:rsidRPr="004B4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27E76"/>
    <w:multiLevelType w:val="multilevel"/>
    <w:tmpl w:val="AB044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3545CA"/>
    <w:multiLevelType w:val="hybridMultilevel"/>
    <w:tmpl w:val="141A8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8B"/>
    <w:rsid w:val="00074CFE"/>
    <w:rsid w:val="00080571"/>
    <w:rsid w:val="0009296C"/>
    <w:rsid w:val="000B08EB"/>
    <w:rsid w:val="000B6E90"/>
    <w:rsid w:val="000D2C1D"/>
    <w:rsid w:val="000D6D17"/>
    <w:rsid w:val="001121BC"/>
    <w:rsid w:val="00122552"/>
    <w:rsid w:val="001D1EBF"/>
    <w:rsid w:val="002537A5"/>
    <w:rsid w:val="002A5138"/>
    <w:rsid w:val="0035163C"/>
    <w:rsid w:val="00405EA6"/>
    <w:rsid w:val="00424AE8"/>
    <w:rsid w:val="004B45D3"/>
    <w:rsid w:val="005650BA"/>
    <w:rsid w:val="005743DE"/>
    <w:rsid w:val="00667568"/>
    <w:rsid w:val="00735F2A"/>
    <w:rsid w:val="0076497B"/>
    <w:rsid w:val="007D7EF3"/>
    <w:rsid w:val="007E0379"/>
    <w:rsid w:val="008030CC"/>
    <w:rsid w:val="00841A89"/>
    <w:rsid w:val="00853F91"/>
    <w:rsid w:val="00880632"/>
    <w:rsid w:val="009155C6"/>
    <w:rsid w:val="00945A1F"/>
    <w:rsid w:val="009740B9"/>
    <w:rsid w:val="00A11C87"/>
    <w:rsid w:val="00A90637"/>
    <w:rsid w:val="00A93C10"/>
    <w:rsid w:val="00AA7D97"/>
    <w:rsid w:val="00AC3467"/>
    <w:rsid w:val="00B81BE6"/>
    <w:rsid w:val="00BC17AD"/>
    <w:rsid w:val="00C76A4E"/>
    <w:rsid w:val="00C930DB"/>
    <w:rsid w:val="00CB747D"/>
    <w:rsid w:val="00D27483"/>
    <w:rsid w:val="00D31382"/>
    <w:rsid w:val="00D63FDA"/>
    <w:rsid w:val="00E04C9B"/>
    <w:rsid w:val="00EC138B"/>
    <w:rsid w:val="00EC13C3"/>
    <w:rsid w:val="00F03D43"/>
    <w:rsid w:val="00F76A47"/>
    <w:rsid w:val="00F91B02"/>
    <w:rsid w:val="00FB3787"/>
    <w:rsid w:val="00FD2AA0"/>
    <w:rsid w:val="00FE1080"/>
    <w:rsid w:val="00FE3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0DAB"/>
  <w15:docId w15:val="{E09D3BFE-A55A-47C7-B7FD-E7BA7A34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F91"/>
    <w:pPr>
      <w:ind w:left="720"/>
      <w:contextualSpacing/>
    </w:pPr>
  </w:style>
  <w:style w:type="character" w:styleId="CommentReference">
    <w:name w:val="annotation reference"/>
    <w:basedOn w:val="DefaultParagraphFont"/>
    <w:uiPriority w:val="99"/>
    <w:semiHidden/>
    <w:unhideWhenUsed/>
    <w:rsid w:val="00F91B02"/>
    <w:rPr>
      <w:sz w:val="16"/>
      <w:szCs w:val="16"/>
    </w:rPr>
  </w:style>
  <w:style w:type="paragraph" w:styleId="CommentText">
    <w:name w:val="annotation text"/>
    <w:basedOn w:val="Normal"/>
    <w:link w:val="CommentTextChar"/>
    <w:uiPriority w:val="99"/>
    <w:semiHidden/>
    <w:unhideWhenUsed/>
    <w:rsid w:val="00F91B02"/>
    <w:pPr>
      <w:spacing w:line="240" w:lineRule="auto"/>
    </w:pPr>
    <w:rPr>
      <w:sz w:val="20"/>
      <w:szCs w:val="20"/>
    </w:rPr>
  </w:style>
  <w:style w:type="character" w:customStyle="1" w:styleId="CommentTextChar">
    <w:name w:val="Comment Text Char"/>
    <w:basedOn w:val="DefaultParagraphFont"/>
    <w:link w:val="CommentText"/>
    <w:uiPriority w:val="99"/>
    <w:semiHidden/>
    <w:rsid w:val="00F91B02"/>
    <w:rPr>
      <w:sz w:val="20"/>
      <w:szCs w:val="20"/>
    </w:rPr>
  </w:style>
  <w:style w:type="paragraph" w:styleId="CommentSubject">
    <w:name w:val="annotation subject"/>
    <w:basedOn w:val="CommentText"/>
    <w:next w:val="CommentText"/>
    <w:link w:val="CommentSubjectChar"/>
    <w:uiPriority w:val="99"/>
    <w:semiHidden/>
    <w:unhideWhenUsed/>
    <w:rsid w:val="00F91B02"/>
    <w:rPr>
      <w:b/>
      <w:bCs/>
    </w:rPr>
  </w:style>
  <w:style w:type="character" w:customStyle="1" w:styleId="CommentSubjectChar">
    <w:name w:val="Comment Subject Char"/>
    <w:basedOn w:val="CommentTextChar"/>
    <w:link w:val="CommentSubject"/>
    <w:uiPriority w:val="99"/>
    <w:semiHidden/>
    <w:rsid w:val="00F91B02"/>
    <w:rPr>
      <w:b/>
      <w:bCs/>
      <w:sz w:val="20"/>
      <w:szCs w:val="20"/>
    </w:rPr>
  </w:style>
  <w:style w:type="paragraph" w:styleId="BalloonText">
    <w:name w:val="Balloon Text"/>
    <w:basedOn w:val="Normal"/>
    <w:link w:val="BalloonTextChar"/>
    <w:uiPriority w:val="99"/>
    <w:semiHidden/>
    <w:unhideWhenUsed/>
    <w:rsid w:val="00764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97B"/>
    <w:rPr>
      <w:rFonts w:ascii="Tahoma" w:hAnsi="Tahoma" w:cs="Tahoma"/>
      <w:sz w:val="16"/>
      <w:szCs w:val="16"/>
    </w:rPr>
  </w:style>
  <w:style w:type="paragraph" w:styleId="Revision">
    <w:name w:val="Revision"/>
    <w:hidden/>
    <w:uiPriority w:val="99"/>
    <w:semiHidden/>
    <w:rsid w:val="004B45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38795">
      <w:bodyDiv w:val="1"/>
      <w:marLeft w:val="0"/>
      <w:marRight w:val="0"/>
      <w:marTop w:val="0"/>
      <w:marBottom w:val="0"/>
      <w:divBdr>
        <w:top w:val="none" w:sz="0" w:space="0" w:color="auto"/>
        <w:left w:val="none" w:sz="0" w:space="0" w:color="auto"/>
        <w:bottom w:val="none" w:sz="0" w:space="0" w:color="auto"/>
        <w:right w:val="none" w:sz="0" w:space="0" w:color="auto"/>
      </w:divBdr>
    </w:div>
    <w:div w:id="938487142">
      <w:bodyDiv w:val="1"/>
      <w:marLeft w:val="0"/>
      <w:marRight w:val="0"/>
      <w:marTop w:val="0"/>
      <w:marBottom w:val="0"/>
      <w:divBdr>
        <w:top w:val="none" w:sz="0" w:space="0" w:color="auto"/>
        <w:left w:val="none" w:sz="0" w:space="0" w:color="auto"/>
        <w:bottom w:val="none" w:sz="0" w:space="0" w:color="auto"/>
        <w:right w:val="none" w:sz="0" w:space="0" w:color="auto"/>
      </w:divBdr>
    </w:div>
    <w:div w:id="1001278080">
      <w:bodyDiv w:val="1"/>
      <w:marLeft w:val="0"/>
      <w:marRight w:val="0"/>
      <w:marTop w:val="0"/>
      <w:marBottom w:val="0"/>
      <w:divBdr>
        <w:top w:val="none" w:sz="0" w:space="0" w:color="auto"/>
        <w:left w:val="none" w:sz="0" w:space="0" w:color="auto"/>
        <w:bottom w:val="none" w:sz="0" w:space="0" w:color="auto"/>
        <w:right w:val="none" w:sz="0" w:space="0" w:color="auto"/>
      </w:divBdr>
    </w:div>
    <w:div w:id="161205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394B5-123F-4102-BFA6-BC597D2D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7975</Words>
  <Characters>45460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53329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Ashton</dc:creator>
  <cp:lastModifiedBy>James Ashton</cp:lastModifiedBy>
  <cp:revision>4</cp:revision>
  <cp:lastPrinted>2021-02-24T09:59:00Z</cp:lastPrinted>
  <dcterms:created xsi:type="dcterms:W3CDTF">2021-02-25T11:36:00Z</dcterms:created>
  <dcterms:modified xsi:type="dcterms:W3CDTF">2021-02-25T11:52:00Z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http://www.zotero.org/styles/bmj</vt:lpwstr>
  </property>
  <property fmtid="{D5CDD505-2E9C-101B-9397-08002B2CF9AE}" pid="5" name="Mendeley Recent Style Name 1_1">
    <vt:lpwstr>BMJ</vt:lpwstr>
  </property>
  <property fmtid="{D5CDD505-2E9C-101B-9397-08002B2CF9AE}" pid="6" name="Mendeley Recent Style Id 2_1">
    <vt:lpwstr>http://www.zotero.org/styles/biomed-central</vt:lpwstr>
  </property>
  <property fmtid="{D5CDD505-2E9C-101B-9397-08002B2CF9AE}" pid="7" name="Mendeley Recent Style Name 2_1">
    <vt:lpwstr>BioMed Central</vt:lpwstr>
  </property>
  <property fmtid="{D5CDD505-2E9C-101B-9397-08002B2CF9AE}" pid="8" name="Mendeley Recent Style Id 3_1">
    <vt:lpwstr>http://www.zotero.org/styles/clinical-nutrition</vt:lpwstr>
  </property>
  <property fmtid="{D5CDD505-2E9C-101B-9397-08002B2CF9AE}" pid="9" name="Mendeley Recent Style Name 3_1">
    <vt:lpwstr>Clinical Nutrition</vt:lpwstr>
  </property>
  <property fmtid="{D5CDD505-2E9C-101B-9397-08002B2CF9AE}" pid="10" name="Mendeley Recent Style Id 4_1">
    <vt:lpwstr>http://www.zotero.org/styles/clinical-and-translational-gastroenterology</vt:lpwstr>
  </property>
  <property fmtid="{D5CDD505-2E9C-101B-9397-08002B2CF9AE}" pid="11" name="Mendeley Recent Style Name 4_1">
    <vt:lpwstr>Clinical and Translational Gastroenterology</vt:lpwstr>
  </property>
  <property fmtid="{D5CDD505-2E9C-101B-9397-08002B2CF9AE}" pid="12" name="Mendeley Recent Style Id 5_1">
    <vt:lpwstr>http://www.zotero.org/styles/expert-review-of-gastroenterology-and-hepatology</vt:lpwstr>
  </property>
  <property fmtid="{D5CDD505-2E9C-101B-9397-08002B2CF9AE}" pid="13" name="Mendeley Recent Style Name 5_1">
    <vt:lpwstr>Expert Review of Gastroenterology &amp; Hepatology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http://www.zotero.org/styles/inflammatory-bowel-diseases</vt:lpwstr>
  </property>
  <property fmtid="{D5CDD505-2E9C-101B-9397-08002B2CF9AE}" pid="17" name="Mendeley Recent Style Name 7_1">
    <vt:lpwstr>Inflammatory Bowel Diseases</vt:lpwstr>
  </property>
  <property fmtid="{D5CDD505-2E9C-101B-9397-08002B2CF9AE}" pid="18" name="Mendeley Recent Style Id 8_1">
    <vt:lpwstr>http://www.zotero.org/styles/journal-of-crohns-and-colitis</vt:lpwstr>
  </property>
  <property fmtid="{D5CDD505-2E9C-101B-9397-08002B2CF9AE}" pid="19" name="Mendeley Recent Style Name 8_1">
    <vt:lpwstr>Journal of Crohn's and Colitis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dbbddcf1-2576-3385-99ee-f75c9988e972</vt:lpwstr>
  </property>
  <property fmtid="{D5CDD505-2E9C-101B-9397-08002B2CF9AE}" pid="24" name="Mendeley Citation Style_1">
    <vt:lpwstr>http://www.zotero.org/styles/bmj</vt:lpwstr>
  </property>
</Properties>
</file>