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C3ED" w14:textId="5589B8C5" w:rsidR="000B6E90" w:rsidRPr="00E83748" w:rsidRDefault="00E83748" w:rsidP="00E83748">
      <w:pPr>
        <w:spacing w:line="480" w:lineRule="auto"/>
        <w:rPr>
          <w:b/>
          <w:bCs/>
          <w:sz w:val="24"/>
          <w:szCs w:val="24"/>
        </w:rPr>
      </w:pPr>
      <w:bookmarkStart w:id="0" w:name="_Hlk52201108"/>
      <w:r w:rsidRPr="00E83748">
        <w:rPr>
          <w:b/>
          <w:bCs/>
          <w:sz w:val="24"/>
          <w:szCs w:val="24"/>
        </w:rPr>
        <w:t xml:space="preserve">Routine </w:t>
      </w:r>
      <w:r w:rsidR="009A5D11">
        <w:rPr>
          <w:b/>
          <w:bCs/>
          <w:sz w:val="24"/>
          <w:szCs w:val="24"/>
        </w:rPr>
        <w:t>abdominal</w:t>
      </w:r>
      <w:r w:rsidRPr="00E83748">
        <w:rPr>
          <w:b/>
          <w:bCs/>
          <w:sz w:val="24"/>
          <w:szCs w:val="24"/>
        </w:rPr>
        <w:t xml:space="preserve"> magnetic resonance imaging can determine psoas muscle </w:t>
      </w:r>
      <w:r w:rsidR="007D69A9">
        <w:rPr>
          <w:b/>
          <w:bCs/>
          <w:sz w:val="24"/>
          <w:szCs w:val="24"/>
        </w:rPr>
        <w:t>area</w:t>
      </w:r>
      <w:r w:rsidRPr="00E83748">
        <w:rPr>
          <w:b/>
          <w:bCs/>
          <w:sz w:val="24"/>
          <w:szCs w:val="24"/>
        </w:rPr>
        <w:t xml:space="preserve"> in paediatric </w:t>
      </w:r>
      <w:r w:rsidR="00035B79">
        <w:rPr>
          <w:b/>
          <w:bCs/>
          <w:sz w:val="24"/>
          <w:szCs w:val="24"/>
        </w:rPr>
        <w:t>Crohn’s disease</w:t>
      </w:r>
      <w:r w:rsidR="00C53D01">
        <w:rPr>
          <w:b/>
          <w:bCs/>
          <w:sz w:val="24"/>
          <w:szCs w:val="24"/>
        </w:rPr>
        <w:t xml:space="preserve"> and correlates with bioelectrical impedance</w:t>
      </w:r>
      <w:r w:rsidR="00C404DF">
        <w:rPr>
          <w:b/>
          <w:bCs/>
          <w:sz w:val="24"/>
          <w:szCs w:val="24"/>
        </w:rPr>
        <w:t xml:space="preserve"> spectroscopy</w:t>
      </w:r>
      <w:r w:rsidR="00C53D01">
        <w:rPr>
          <w:b/>
          <w:bCs/>
          <w:sz w:val="24"/>
          <w:szCs w:val="24"/>
        </w:rPr>
        <w:t xml:space="preserve"> measures of lean mass</w:t>
      </w:r>
    </w:p>
    <w:p w14:paraId="3A2B1637" w14:textId="3582C5AC" w:rsidR="00E83748" w:rsidRDefault="00E83748" w:rsidP="00E83748">
      <w:pPr>
        <w:spacing w:line="480" w:lineRule="auto"/>
        <w:rPr>
          <w:sz w:val="24"/>
          <w:szCs w:val="24"/>
          <w:vertAlign w:val="superscript"/>
        </w:rPr>
      </w:pPr>
      <w:r>
        <w:rPr>
          <w:sz w:val="24"/>
          <w:szCs w:val="24"/>
        </w:rPr>
        <w:t>James J Ashton</w:t>
      </w:r>
      <w:r>
        <w:rPr>
          <w:sz w:val="24"/>
          <w:szCs w:val="24"/>
          <w:vertAlign w:val="superscript"/>
        </w:rPr>
        <w:t>1,2</w:t>
      </w:r>
      <w:r>
        <w:rPr>
          <w:sz w:val="24"/>
          <w:szCs w:val="24"/>
        </w:rPr>
        <w:t>, Dilane Peiris</w:t>
      </w:r>
      <w:r>
        <w:rPr>
          <w:sz w:val="24"/>
          <w:szCs w:val="24"/>
          <w:vertAlign w:val="superscript"/>
        </w:rPr>
        <w:t>3</w:t>
      </w:r>
      <w:r>
        <w:rPr>
          <w:sz w:val="24"/>
          <w:szCs w:val="24"/>
        </w:rPr>
        <w:t xml:space="preserve">, </w:t>
      </w:r>
      <w:r w:rsidR="00FE3777">
        <w:rPr>
          <w:sz w:val="24"/>
          <w:szCs w:val="24"/>
        </w:rPr>
        <w:t>Zachary Green</w:t>
      </w:r>
      <w:r w:rsidR="00FE3777">
        <w:rPr>
          <w:sz w:val="24"/>
          <w:szCs w:val="24"/>
          <w:vertAlign w:val="superscript"/>
        </w:rPr>
        <w:t>1</w:t>
      </w:r>
      <w:r w:rsidR="00FE3777">
        <w:rPr>
          <w:sz w:val="24"/>
          <w:szCs w:val="24"/>
        </w:rPr>
        <w:t xml:space="preserve">, </w:t>
      </w:r>
      <w:r w:rsidR="007C0499">
        <w:rPr>
          <w:sz w:val="24"/>
          <w:szCs w:val="24"/>
        </w:rPr>
        <w:t>Mark J Johnson</w:t>
      </w:r>
      <w:r w:rsidR="007C0499">
        <w:rPr>
          <w:sz w:val="24"/>
          <w:szCs w:val="24"/>
          <w:vertAlign w:val="superscript"/>
        </w:rPr>
        <w:t>4,5</w:t>
      </w:r>
      <w:r w:rsidR="007C0499">
        <w:rPr>
          <w:sz w:val="24"/>
          <w:szCs w:val="24"/>
        </w:rPr>
        <w:t xml:space="preserve">, </w:t>
      </w:r>
      <w:r>
        <w:rPr>
          <w:sz w:val="24"/>
          <w:szCs w:val="24"/>
        </w:rPr>
        <w:t>Luise</w:t>
      </w:r>
      <w:r w:rsidR="007D7BB4">
        <w:rPr>
          <w:sz w:val="24"/>
          <w:szCs w:val="24"/>
        </w:rPr>
        <w:t xml:space="preserve"> V</w:t>
      </w:r>
      <w:r>
        <w:rPr>
          <w:sz w:val="24"/>
          <w:szCs w:val="24"/>
        </w:rPr>
        <w:t xml:space="preserve"> Marino</w:t>
      </w:r>
      <w:r w:rsidR="007C0499">
        <w:rPr>
          <w:sz w:val="24"/>
          <w:szCs w:val="24"/>
          <w:vertAlign w:val="superscript"/>
        </w:rPr>
        <w:t>6</w:t>
      </w:r>
      <w:r>
        <w:rPr>
          <w:sz w:val="24"/>
          <w:szCs w:val="24"/>
        </w:rPr>
        <w:t>, Mark Griffiths</w:t>
      </w:r>
      <w:r>
        <w:rPr>
          <w:sz w:val="24"/>
          <w:szCs w:val="24"/>
          <w:vertAlign w:val="superscript"/>
        </w:rPr>
        <w:t>3</w:t>
      </w:r>
      <w:r>
        <w:rPr>
          <w:sz w:val="24"/>
          <w:szCs w:val="24"/>
        </w:rPr>
        <w:t xml:space="preserve">, </w:t>
      </w:r>
      <w:r w:rsidR="00EB1913">
        <w:rPr>
          <w:sz w:val="24"/>
          <w:szCs w:val="24"/>
        </w:rPr>
        <w:t xml:space="preserve">R </w:t>
      </w:r>
      <w:r>
        <w:rPr>
          <w:sz w:val="24"/>
          <w:szCs w:val="24"/>
        </w:rPr>
        <w:t>Mark Beattie</w:t>
      </w:r>
      <w:r>
        <w:rPr>
          <w:sz w:val="24"/>
          <w:szCs w:val="24"/>
          <w:vertAlign w:val="superscript"/>
        </w:rPr>
        <w:t>1</w:t>
      </w:r>
    </w:p>
    <w:p w14:paraId="220021E3" w14:textId="77777777" w:rsidR="00E83748" w:rsidRDefault="00E83748" w:rsidP="00E83748">
      <w:pPr>
        <w:pStyle w:val="ListParagraph"/>
        <w:numPr>
          <w:ilvl w:val="0"/>
          <w:numId w:val="1"/>
        </w:numPr>
        <w:spacing w:line="480" w:lineRule="auto"/>
        <w:rPr>
          <w:sz w:val="24"/>
          <w:szCs w:val="24"/>
        </w:rPr>
      </w:pPr>
      <w:r>
        <w:rPr>
          <w:sz w:val="24"/>
          <w:szCs w:val="24"/>
        </w:rPr>
        <w:t>Department of Paediatric Gastroenterology, Southampton Children’s Hospital, Southampton, UK</w:t>
      </w:r>
    </w:p>
    <w:p w14:paraId="7A20B623" w14:textId="77777777" w:rsidR="00E83748" w:rsidRDefault="00E83748" w:rsidP="00E83748">
      <w:pPr>
        <w:pStyle w:val="ListParagraph"/>
        <w:numPr>
          <w:ilvl w:val="0"/>
          <w:numId w:val="1"/>
        </w:numPr>
        <w:spacing w:line="480" w:lineRule="auto"/>
        <w:rPr>
          <w:sz w:val="24"/>
          <w:szCs w:val="24"/>
        </w:rPr>
      </w:pPr>
      <w:r>
        <w:rPr>
          <w:sz w:val="24"/>
          <w:szCs w:val="24"/>
        </w:rPr>
        <w:t>Human Genetics and Genomic Medicine, University of Southampton, Southampton, UK</w:t>
      </w:r>
    </w:p>
    <w:p w14:paraId="53F85127" w14:textId="4DFAEBFF" w:rsidR="00E83748" w:rsidRDefault="00E83748" w:rsidP="00E83748">
      <w:pPr>
        <w:pStyle w:val="ListParagraph"/>
        <w:numPr>
          <w:ilvl w:val="0"/>
          <w:numId w:val="1"/>
        </w:numPr>
        <w:spacing w:line="480" w:lineRule="auto"/>
        <w:rPr>
          <w:sz w:val="24"/>
          <w:szCs w:val="24"/>
        </w:rPr>
      </w:pPr>
      <w:r>
        <w:rPr>
          <w:sz w:val="24"/>
          <w:szCs w:val="24"/>
        </w:rPr>
        <w:t xml:space="preserve">Department of Paediatric Radiology, Southampton Children’s Hospital, Southampton, UK </w:t>
      </w:r>
    </w:p>
    <w:p w14:paraId="1F78B274" w14:textId="77777777" w:rsidR="007C0499" w:rsidRPr="007C0499" w:rsidRDefault="007C0499" w:rsidP="007C0499">
      <w:pPr>
        <w:pStyle w:val="ListParagraph"/>
        <w:numPr>
          <w:ilvl w:val="0"/>
          <w:numId w:val="1"/>
        </w:numPr>
        <w:spacing w:line="480" w:lineRule="auto"/>
        <w:rPr>
          <w:sz w:val="24"/>
          <w:szCs w:val="24"/>
        </w:rPr>
      </w:pPr>
      <w:r w:rsidRPr="007C0499">
        <w:rPr>
          <w:sz w:val="24"/>
          <w:szCs w:val="24"/>
        </w:rPr>
        <w:t>Department of Neonatal Medicine, Princess Anne Hospital, University Hospital Southampton NHS Foundation Trust, Southampton, UK</w:t>
      </w:r>
    </w:p>
    <w:p w14:paraId="2E3C7F23" w14:textId="7462CB87" w:rsidR="007C0499" w:rsidRDefault="007C0499" w:rsidP="007C0499">
      <w:pPr>
        <w:pStyle w:val="ListParagraph"/>
        <w:numPr>
          <w:ilvl w:val="0"/>
          <w:numId w:val="1"/>
        </w:numPr>
        <w:spacing w:line="480" w:lineRule="auto"/>
        <w:rPr>
          <w:sz w:val="24"/>
          <w:szCs w:val="24"/>
        </w:rPr>
      </w:pPr>
      <w:r w:rsidRPr="007C0499">
        <w:rPr>
          <w:sz w:val="24"/>
          <w:szCs w:val="24"/>
        </w:rPr>
        <w:t>National Institute for Health Research, Southampton Biomedical Research Centre, University Hospital Southampton NHS Foundation Trust and University of Southampton, Southampton, UK</w:t>
      </w:r>
    </w:p>
    <w:p w14:paraId="784E297E" w14:textId="77777777" w:rsidR="00E83748" w:rsidRPr="00E83748" w:rsidRDefault="00E83748" w:rsidP="00E83748">
      <w:pPr>
        <w:pStyle w:val="ListParagraph"/>
        <w:numPr>
          <w:ilvl w:val="0"/>
          <w:numId w:val="1"/>
        </w:numPr>
        <w:spacing w:line="480" w:lineRule="auto"/>
        <w:rPr>
          <w:sz w:val="24"/>
          <w:szCs w:val="24"/>
        </w:rPr>
      </w:pPr>
      <w:r w:rsidRPr="00E83748">
        <w:rPr>
          <w:sz w:val="24"/>
          <w:szCs w:val="24"/>
        </w:rPr>
        <w:t>Department of Dietetics/SLT, University Hospital Southampton Foundation NHS Trust, Southampton, UK</w:t>
      </w:r>
    </w:p>
    <w:bookmarkEnd w:id="0"/>
    <w:p w14:paraId="699ACF4A" w14:textId="4E86B6A9" w:rsidR="00E83748" w:rsidRDefault="00E83748" w:rsidP="00E83748">
      <w:pPr>
        <w:pStyle w:val="ListParagraph"/>
        <w:spacing w:line="480" w:lineRule="auto"/>
        <w:rPr>
          <w:sz w:val="24"/>
          <w:szCs w:val="24"/>
        </w:rPr>
      </w:pPr>
    </w:p>
    <w:p w14:paraId="211A4F6F" w14:textId="0966073B" w:rsidR="007C0499" w:rsidRDefault="007C0499" w:rsidP="00E83748">
      <w:pPr>
        <w:pStyle w:val="ListParagraph"/>
        <w:spacing w:line="480" w:lineRule="auto"/>
        <w:rPr>
          <w:sz w:val="24"/>
          <w:szCs w:val="24"/>
        </w:rPr>
      </w:pPr>
    </w:p>
    <w:p w14:paraId="2A3014DD" w14:textId="119D1F21" w:rsidR="007C0499" w:rsidRDefault="007C0499" w:rsidP="00E83748">
      <w:pPr>
        <w:pStyle w:val="ListParagraph"/>
        <w:spacing w:line="480" w:lineRule="auto"/>
        <w:rPr>
          <w:sz w:val="24"/>
          <w:szCs w:val="24"/>
        </w:rPr>
      </w:pPr>
    </w:p>
    <w:p w14:paraId="53BFFB58" w14:textId="071A4E51" w:rsidR="007C0499" w:rsidRDefault="007C0499" w:rsidP="00E83748">
      <w:pPr>
        <w:pStyle w:val="ListParagraph"/>
        <w:spacing w:line="480" w:lineRule="auto"/>
        <w:rPr>
          <w:sz w:val="24"/>
          <w:szCs w:val="24"/>
        </w:rPr>
      </w:pPr>
    </w:p>
    <w:p w14:paraId="173B29C2" w14:textId="77777777" w:rsidR="007C0499" w:rsidRDefault="007C0499" w:rsidP="00E83748">
      <w:pPr>
        <w:pStyle w:val="ListParagraph"/>
        <w:spacing w:line="480" w:lineRule="auto"/>
        <w:rPr>
          <w:sz w:val="24"/>
          <w:szCs w:val="24"/>
        </w:rPr>
      </w:pPr>
    </w:p>
    <w:p w14:paraId="4065B7DA" w14:textId="77777777" w:rsidR="007D69A9" w:rsidRPr="00C7430C" w:rsidRDefault="007D69A9" w:rsidP="007D69A9">
      <w:pPr>
        <w:rPr>
          <w:sz w:val="24"/>
          <w:szCs w:val="24"/>
        </w:rPr>
      </w:pPr>
      <w:r w:rsidRPr="00C7430C">
        <w:rPr>
          <w:sz w:val="24"/>
          <w:szCs w:val="24"/>
        </w:rPr>
        <w:lastRenderedPageBreak/>
        <w:t>Correspondence to-</w:t>
      </w:r>
    </w:p>
    <w:p w14:paraId="194AF074" w14:textId="77777777" w:rsidR="007D69A9" w:rsidRPr="00C7430C" w:rsidRDefault="007D69A9" w:rsidP="007D69A9">
      <w:pPr>
        <w:rPr>
          <w:sz w:val="24"/>
          <w:szCs w:val="24"/>
        </w:rPr>
      </w:pPr>
      <w:r w:rsidRPr="00C7430C">
        <w:rPr>
          <w:sz w:val="24"/>
          <w:szCs w:val="24"/>
        </w:rPr>
        <w:t xml:space="preserve">Professor R Mark Beattie </w:t>
      </w:r>
    </w:p>
    <w:p w14:paraId="6AF745D7" w14:textId="77777777" w:rsidR="007D69A9" w:rsidRPr="00C7430C" w:rsidRDefault="007D69A9" w:rsidP="007D69A9">
      <w:pPr>
        <w:rPr>
          <w:sz w:val="24"/>
          <w:szCs w:val="24"/>
        </w:rPr>
      </w:pPr>
      <w:r w:rsidRPr="00C7430C">
        <w:rPr>
          <w:sz w:val="24"/>
          <w:szCs w:val="24"/>
        </w:rPr>
        <w:t xml:space="preserve">Department of Paediatric Gastroenterology, </w:t>
      </w:r>
    </w:p>
    <w:p w14:paraId="2B3F2FAF" w14:textId="77777777" w:rsidR="007D69A9" w:rsidRPr="00C7430C" w:rsidRDefault="007D69A9" w:rsidP="007D69A9">
      <w:pPr>
        <w:rPr>
          <w:sz w:val="24"/>
          <w:szCs w:val="24"/>
        </w:rPr>
      </w:pPr>
      <w:r w:rsidRPr="00C7430C">
        <w:rPr>
          <w:sz w:val="24"/>
          <w:szCs w:val="24"/>
        </w:rPr>
        <w:t xml:space="preserve">Southampton Children’s Hospital, </w:t>
      </w:r>
    </w:p>
    <w:p w14:paraId="321519AD" w14:textId="77777777" w:rsidR="007D69A9" w:rsidRPr="00C7430C" w:rsidRDefault="007D69A9" w:rsidP="007D69A9">
      <w:pPr>
        <w:rPr>
          <w:sz w:val="24"/>
          <w:szCs w:val="24"/>
        </w:rPr>
      </w:pPr>
      <w:r w:rsidRPr="00C7430C">
        <w:rPr>
          <w:sz w:val="24"/>
          <w:szCs w:val="24"/>
        </w:rPr>
        <w:t>University Hospitals Southampton</w:t>
      </w:r>
    </w:p>
    <w:p w14:paraId="6E86D82A" w14:textId="77777777" w:rsidR="007D69A9" w:rsidRPr="00C7430C" w:rsidRDefault="007D69A9" w:rsidP="007D69A9">
      <w:pPr>
        <w:rPr>
          <w:sz w:val="24"/>
          <w:szCs w:val="24"/>
        </w:rPr>
      </w:pPr>
      <w:r w:rsidRPr="00C7430C">
        <w:rPr>
          <w:sz w:val="24"/>
          <w:szCs w:val="24"/>
        </w:rPr>
        <w:t>Tremona Road</w:t>
      </w:r>
    </w:p>
    <w:p w14:paraId="461FA6B0" w14:textId="77777777" w:rsidR="007D69A9" w:rsidRPr="00C7430C" w:rsidRDefault="007D69A9" w:rsidP="007D69A9">
      <w:pPr>
        <w:rPr>
          <w:sz w:val="24"/>
          <w:szCs w:val="24"/>
        </w:rPr>
      </w:pPr>
      <w:r w:rsidRPr="00C7430C">
        <w:rPr>
          <w:sz w:val="24"/>
          <w:szCs w:val="24"/>
        </w:rPr>
        <w:t>Southampton</w:t>
      </w:r>
    </w:p>
    <w:p w14:paraId="474A8946" w14:textId="77777777" w:rsidR="007D69A9" w:rsidRPr="00C7430C" w:rsidRDefault="007D69A9" w:rsidP="007D69A9">
      <w:pPr>
        <w:rPr>
          <w:sz w:val="24"/>
          <w:szCs w:val="24"/>
        </w:rPr>
      </w:pPr>
      <w:r w:rsidRPr="00C7430C">
        <w:rPr>
          <w:sz w:val="24"/>
          <w:szCs w:val="24"/>
        </w:rPr>
        <w:t>SO16 6YD</w:t>
      </w:r>
    </w:p>
    <w:p w14:paraId="11812C62" w14:textId="77777777" w:rsidR="007D69A9" w:rsidRPr="00C7430C" w:rsidRDefault="007D69A9" w:rsidP="007D69A9">
      <w:pPr>
        <w:rPr>
          <w:sz w:val="24"/>
          <w:szCs w:val="24"/>
        </w:rPr>
      </w:pPr>
      <w:r w:rsidRPr="00C7430C">
        <w:rPr>
          <w:sz w:val="24"/>
          <w:szCs w:val="24"/>
        </w:rPr>
        <w:t>UK</w:t>
      </w:r>
    </w:p>
    <w:p w14:paraId="239058EF" w14:textId="77777777" w:rsidR="007D69A9" w:rsidRPr="00C7430C" w:rsidRDefault="00EB5499" w:rsidP="007D69A9">
      <w:pPr>
        <w:rPr>
          <w:sz w:val="24"/>
          <w:szCs w:val="24"/>
        </w:rPr>
      </w:pPr>
      <w:hyperlink r:id="rId6" w:history="1">
        <w:r w:rsidR="007D69A9" w:rsidRPr="00C7430C">
          <w:rPr>
            <w:rStyle w:val="Hyperlink"/>
            <w:sz w:val="24"/>
            <w:szCs w:val="24"/>
          </w:rPr>
          <w:t>Mark.beattie@uhs.nhs.uk</w:t>
        </w:r>
      </w:hyperlink>
      <w:r w:rsidR="007D69A9" w:rsidRPr="00C7430C">
        <w:rPr>
          <w:sz w:val="24"/>
          <w:szCs w:val="24"/>
        </w:rPr>
        <w:t xml:space="preserve">     </w:t>
      </w:r>
    </w:p>
    <w:p w14:paraId="730F4849" w14:textId="53BDB105" w:rsidR="00E83748" w:rsidRDefault="00E83748" w:rsidP="00E83748">
      <w:pPr>
        <w:pStyle w:val="ListParagraph"/>
        <w:spacing w:line="480" w:lineRule="auto"/>
        <w:rPr>
          <w:sz w:val="24"/>
          <w:szCs w:val="24"/>
        </w:rPr>
      </w:pPr>
    </w:p>
    <w:p w14:paraId="2F3CF9D7" w14:textId="51496B98" w:rsidR="007C0499" w:rsidRDefault="007C0499" w:rsidP="00E83748">
      <w:pPr>
        <w:pStyle w:val="ListParagraph"/>
        <w:spacing w:line="480" w:lineRule="auto"/>
        <w:rPr>
          <w:sz w:val="24"/>
          <w:szCs w:val="24"/>
        </w:rPr>
      </w:pPr>
    </w:p>
    <w:p w14:paraId="08B192CB" w14:textId="1F5930CB" w:rsidR="007C0499" w:rsidRDefault="007C0499" w:rsidP="00E83748">
      <w:pPr>
        <w:pStyle w:val="ListParagraph"/>
        <w:spacing w:line="480" w:lineRule="auto"/>
        <w:rPr>
          <w:sz w:val="24"/>
          <w:szCs w:val="24"/>
        </w:rPr>
      </w:pPr>
    </w:p>
    <w:p w14:paraId="3BB19451" w14:textId="2693C696" w:rsidR="007C0499" w:rsidRDefault="007C0499" w:rsidP="00E83748">
      <w:pPr>
        <w:pStyle w:val="ListParagraph"/>
        <w:spacing w:line="480" w:lineRule="auto"/>
        <w:rPr>
          <w:sz w:val="24"/>
          <w:szCs w:val="24"/>
        </w:rPr>
      </w:pPr>
    </w:p>
    <w:p w14:paraId="0E363632" w14:textId="50C9DD80" w:rsidR="007C0499" w:rsidRDefault="007C0499" w:rsidP="00E83748">
      <w:pPr>
        <w:pStyle w:val="ListParagraph"/>
        <w:spacing w:line="480" w:lineRule="auto"/>
        <w:rPr>
          <w:sz w:val="24"/>
          <w:szCs w:val="24"/>
        </w:rPr>
      </w:pPr>
    </w:p>
    <w:p w14:paraId="6B436053" w14:textId="12D32E6A" w:rsidR="007C0499" w:rsidRDefault="007C0499" w:rsidP="00E83748">
      <w:pPr>
        <w:pStyle w:val="ListParagraph"/>
        <w:spacing w:line="480" w:lineRule="auto"/>
        <w:rPr>
          <w:sz w:val="24"/>
          <w:szCs w:val="24"/>
        </w:rPr>
      </w:pPr>
    </w:p>
    <w:p w14:paraId="4AA85F77" w14:textId="38633298" w:rsidR="007C0499" w:rsidRDefault="007C0499" w:rsidP="00E83748">
      <w:pPr>
        <w:pStyle w:val="ListParagraph"/>
        <w:spacing w:line="480" w:lineRule="auto"/>
        <w:rPr>
          <w:sz w:val="24"/>
          <w:szCs w:val="24"/>
        </w:rPr>
      </w:pPr>
    </w:p>
    <w:p w14:paraId="5098CD4E" w14:textId="11090C3F" w:rsidR="007C0499" w:rsidRDefault="007C0499" w:rsidP="00E83748">
      <w:pPr>
        <w:pStyle w:val="ListParagraph"/>
        <w:spacing w:line="480" w:lineRule="auto"/>
        <w:rPr>
          <w:sz w:val="24"/>
          <w:szCs w:val="24"/>
        </w:rPr>
      </w:pPr>
    </w:p>
    <w:p w14:paraId="23277760" w14:textId="3C1B50FA" w:rsidR="007C0499" w:rsidRDefault="007C0499" w:rsidP="00E83748">
      <w:pPr>
        <w:pStyle w:val="ListParagraph"/>
        <w:spacing w:line="480" w:lineRule="auto"/>
        <w:rPr>
          <w:sz w:val="24"/>
          <w:szCs w:val="24"/>
        </w:rPr>
      </w:pPr>
    </w:p>
    <w:p w14:paraId="7EFE5C03" w14:textId="7F1CCD15" w:rsidR="007C0499" w:rsidRDefault="007C0499" w:rsidP="00E83748">
      <w:pPr>
        <w:pStyle w:val="ListParagraph"/>
        <w:spacing w:line="480" w:lineRule="auto"/>
        <w:rPr>
          <w:sz w:val="24"/>
          <w:szCs w:val="24"/>
        </w:rPr>
      </w:pPr>
    </w:p>
    <w:p w14:paraId="0EF49159" w14:textId="5778BA67" w:rsidR="007C0499" w:rsidRDefault="007C0499" w:rsidP="00E83748">
      <w:pPr>
        <w:pStyle w:val="ListParagraph"/>
        <w:spacing w:line="480" w:lineRule="auto"/>
        <w:rPr>
          <w:sz w:val="24"/>
          <w:szCs w:val="24"/>
        </w:rPr>
      </w:pPr>
    </w:p>
    <w:p w14:paraId="4D93EEAA" w14:textId="3F37C327" w:rsidR="007C0499" w:rsidRDefault="007C0499" w:rsidP="00E83748">
      <w:pPr>
        <w:pStyle w:val="ListParagraph"/>
        <w:spacing w:line="480" w:lineRule="auto"/>
        <w:rPr>
          <w:sz w:val="24"/>
          <w:szCs w:val="24"/>
        </w:rPr>
      </w:pPr>
    </w:p>
    <w:p w14:paraId="59468F60" w14:textId="02F73869" w:rsidR="007C0499" w:rsidRDefault="007C0499" w:rsidP="00E83748">
      <w:pPr>
        <w:pStyle w:val="ListParagraph"/>
        <w:spacing w:line="480" w:lineRule="auto"/>
        <w:rPr>
          <w:sz w:val="24"/>
          <w:szCs w:val="24"/>
        </w:rPr>
      </w:pPr>
    </w:p>
    <w:p w14:paraId="613BC226" w14:textId="4C9419E0" w:rsidR="007C0499" w:rsidRDefault="007C0499" w:rsidP="00E83748">
      <w:pPr>
        <w:pStyle w:val="ListParagraph"/>
        <w:spacing w:line="480" w:lineRule="auto"/>
        <w:rPr>
          <w:sz w:val="24"/>
          <w:szCs w:val="24"/>
        </w:rPr>
      </w:pPr>
    </w:p>
    <w:p w14:paraId="68B190B2" w14:textId="77777777" w:rsidR="007C0499" w:rsidRDefault="007C0499" w:rsidP="00E83748">
      <w:pPr>
        <w:pStyle w:val="ListParagraph"/>
        <w:spacing w:line="480" w:lineRule="auto"/>
        <w:rPr>
          <w:sz w:val="24"/>
          <w:szCs w:val="24"/>
        </w:rPr>
      </w:pPr>
    </w:p>
    <w:p w14:paraId="4C35034F" w14:textId="77777777" w:rsidR="00E83748" w:rsidRPr="008D7EED" w:rsidRDefault="00E83748" w:rsidP="008D7EED">
      <w:pPr>
        <w:spacing w:line="480" w:lineRule="auto"/>
        <w:rPr>
          <w:b/>
          <w:bCs/>
          <w:sz w:val="24"/>
          <w:szCs w:val="24"/>
          <w:u w:val="single"/>
        </w:rPr>
      </w:pPr>
      <w:r w:rsidRPr="008D7EED">
        <w:rPr>
          <w:b/>
          <w:bCs/>
          <w:sz w:val="24"/>
          <w:szCs w:val="24"/>
          <w:u w:val="single"/>
        </w:rPr>
        <w:lastRenderedPageBreak/>
        <w:t>Abstract</w:t>
      </w:r>
    </w:p>
    <w:p w14:paraId="28CCC3DE" w14:textId="38BABD48" w:rsidR="008D7EED" w:rsidRPr="007D69A9" w:rsidRDefault="007D69A9" w:rsidP="008D7EED">
      <w:pPr>
        <w:spacing w:line="480" w:lineRule="auto"/>
        <w:rPr>
          <w:sz w:val="24"/>
          <w:szCs w:val="24"/>
        </w:rPr>
      </w:pPr>
      <w:r w:rsidRPr="007D69A9">
        <w:rPr>
          <w:sz w:val="24"/>
          <w:szCs w:val="24"/>
          <w:u w:val="single"/>
        </w:rPr>
        <w:t>Background-</w:t>
      </w:r>
      <w:r>
        <w:rPr>
          <w:sz w:val="24"/>
          <w:szCs w:val="24"/>
        </w:rPr>
        <w:t xml:space="preserve"> Paediatric Crohn’s disease</w:t>
      </w:r>
      <w:r w:rsidR="00FB39FA">
        <w:rPr>
          <w:sz w:val="24"/>
          <w:szCs w:val="24"/>
        </w:rPr>
        <w:t xml:space="preserve"> (CD)</w:t>
      </w:r>
      <w:r>
        <w:rPr>
          <w:sz w:val="24"/>
          <w:szCs w:val="24"/>
        </w:rPr>
        <w:t xml:space="preserve"> has</w:t>
      </w:r>
      <w:r w:rsidR="00FB39FA">
        <w:rPr>
          <w:sz w:val="24"/>
          <w:szCs w:val="24"/>
        </w:rPr>
        <w:t xml:space="preserve"> been associated with undernutrition. Accurate and accessible measures of body composition would provide data to personalise nutritional therapy</w:t>
      </w:r>
      <w:r w:rsidR="00E11B55">
        <w:rPr>
          <w:sz w:val="24"/>
          <w:szCs w:val="24"/>
        </w:rPr>
        <w:t xml:space="preserve">. </w:t>
      </w:r>
      <w:r w:rsidR="00FB39FA">
        <w:rPr>
          <w:sz w:val="24"/>
          <w:szCs w:val="24"/>
        </w:rPr>
        <w:t xml:space="preserve">We assessed feasibility of MRI-derived measures of </w:t>
      </w:r>
      <w:r w:rsidR="001204E2">
        <w:rPr>
          <w:sz w:val="24"/>
          <w:szCs w:val="24"/>
        </w:rPr>
        <w:t xml:space="preserve">psoas cross-sectional area (PCSA) </w:t>
      </w:r>
      <w:r w:rsidR="00FB39FA">
        <w:rPr>
          <w:sz w:val="24"/>
          <w:szCs w:val="24"/>
        </w:rPr>
        <w:t>in paediatric CD</w:t>
      </w:r>
      <w:r w:rsidR="0041374C">
        <w:rPr>
          <w:sz w:val="24"/>
          <w:szCs w:val="24"/>
        </w:rPr>
        <w:t xml:space="preserve"> and correlated with </w:t>
      </w:r>
      <w:r w:rsidR="00CD43A1">
        <w:rPr>
          <w:sz w:val="24"/>
          <w:szCs w:val="24"/>
        </w:rPr>
        <w:t xml:space="preserve">anthropometric and bioelectrical impedance </w:t>
      </w:r>
      <w:r w:rsidR="007D7BB4">
        <w:rPr>
          <w:sz w:val="24"/>
          <w:szCs w:val="24"/>
        </w:rPr>
        <w:t xml:space="preserve">spectroscopy </w:t>
      </w:r>
      <w:r w:rsidR="00CD43A1">
        <w:rPr>
          <w:sz w:val="24"/>
          <w:szCs w:val="24"/>
        </w:rPr>
        <w:t>(BI</w:t>
      </w:r>
      <w:r w:rsidR="007D7BB4">
        <w:rPr>
          <w:sz w:val="24"/>
          <w:szCs w:val="24"/>
        </w:rPr>
        <w:t>S</w:t>
      </w:r>
      <w:r w:rsidR="00CD43A1">
        <w:rPr>
          <w:sz w:val="24"/>
          <w:szCs w:val="24"/>
        </w:rPr>
        <w:t>) measures</w:t>
      </w:r>
      <w:r w:rsidR="00FB39FA">
        <w:rPr>
          <w:sz w:val="24"/>
          <w:szCs w:val="24"/>
        </w:rPr>
        <w:t>.</w:t>
      </w:r>
    </w:p>
    <w:p w14:paraId="69FBA3AA" w14:textId="78259C05" w:rsidR="007D69A9" w:rsidRPr="00FB39FA" w:rsidRDefault="007D69A9" w:rsidP="008D7EED">
      <w:pPr>
        <w:spacing w:line="480" w:lineRule="auto"/>
        <w:rPr>
          <w:sz w:val="24"/>
          <w:szCs w:val="24"/>
        </w:rPr>
      </w:pPr>
      <w:r w:rsidRPr="007D69A9">
        <w:rPr>
          <w:sz w:val="24"/>
          <w:szCs w:val="24"/>
          <w:u w:val="single"/>
        </w:rPr>
        <w:t>Methods-</w:t>
      </w:r>
      <w:r w:rsidR="00FB39FA">
        <w:rPr>
          <w:sz w:val="24"/>
          <w:szCs w:val="24"/>
        </w:rPr>
        <w:t xml:space="preserve"> MRI</w:t>
      </w:r>
      <w:r w:rsidR="00CD43A1">
        <w:rPr>
          <w:sz w:val="24"/>
          <w:szCs w:val="24"/>
        </w:rPr>
        <w:t xml:space="preserve"> small bowel/pelvis</w:t>
      </w:r>
      <w:r w:rsidR="00FB39FA">
        <w:rPr>
          <w:sz w:val="24"/>
          <w:szCs w:val="24"/>
        </w:rPr>
        <w:t xml:space="preserve"> images of patients </w:t>
      </w:r>
      <w:r w:rsidR="00CD43A1">
        <w:rPr>
          <w:sz w:val="24"/>
          <w:szCs w:val="24"/>
        </w:rPr>
        <w:t xml:space="preserve">with CD, aged </w:t>
      </w:r>
      <w:r w:rsidR="001204E2">
        <w:rPr>
          <w:sz w:val="24"/>
          <w:szCs w:val="24"/>
        </w:rPr>
        <w:t>&lt;</w:t>
      </w:r>
      <w:r w:rsidR="00CD43A1">
        <w:rPr>
          <w:sz w:val="24"/>
          <w:szCs w:val="24"/>
        </w:rPr>
        <w:t xml:space="preserve">18 years, were retrieved. Patients with </w:t>
      </w:r>
      <w:r w:rsidR="00FB39FA">
        <w:rPr>
          <w:sz w:val="24"/>
          <w:szCs w:val="24"/>
        </w:rPr>
        <w:t xml:space="preserve">concurrent anthropometric and </w:t>
      </w:r>
      <w:r w:rsidR="007D7BB4">
        <w:rPr>
          <w:sz w:val="24"/>
          <w:szCs w:val="24"/>
        </w:rPr>
        <w:t xml:space="preserve">BIS </w:t>
      </w:r>
      <w:r w:rsidR="00FB39FA">
        <w:rPr>
          <w:sz w:val="24"/>
          <w:szCs w:val="24"/>
        </w:rPr>
        <w:t>measurements</w:t>
      </w:r>
      <w:r w:rsidR="00CD43A1">
        <w:rPr>
          <w:sz w:val="24"/>
          <w:szCs w:val="24"/>
        </w:rPr>
        <w:t xml:space="preserve"> were eligible for inclusion</w:t>
      </w:r>
      <w:r w:rsidR="00FB39FA">
        <w:rPr>
          <w:sz w:val="24"/>
          <w:szCs w:val="24"/>
        </w:rPr>
        <w:t>. The</w:t>
      </w:r>
      <w:r w:rsidR="001204E2">
        <w:rPr>
          <w:sz w:val="24"/>
          <w:szCs w:val="24"/>
        </w:rPr>
        <w:t xml:space="preserve"> PCSA</w:t>
      </w:r>
      <w:r w:rsidR="00FB39FA">
        <w:rPr>
          <w:sz w:val="24"/>
          <w:szCs w:val="24"/>
        </w:rPr>
        <w:t xml:space="preserve"> at L3 was calculated by two assessors </w:t>
      </w:r>
      <w:r w:rsidR="00CD43A1">
        <w:rPr>
          <w:sz w:val="24"/>
          <w:szCs w:val="24"/>
        </w:rPr>
        <w:t>and combined. To assess reproducibility of measures w</w:t>
      </w:r>
      <w:r w:rsidR="0041374C">
        <w:rPr>
          <w:sz w:val="24"/>
          <w:szCs w:val="24"/>
        </w:rPr>
        <w:t xml:space="preserve">e calculated the </w:t>
      </w:r>
      <w:r w:rsidR="0041374C" w:rsidRPr="009060C1">
        <w:rPr>
          <w:sz w:val="24"/>
          <w:szCs w:val="24"/>
        </w:rPr>
        <w:t>coefficient of variation</w:t>
      </w:r>
      <w:r w:rsidR="0041374C">
        <w:rPr>
          <w:sz w:val="24"/>
          <w:szCs w:val="24"/>
        </w:rPr>
        <w:t xml:space="preserve"> (CoV)</w:t>
      </w:r>
      <w:r w:rsidR="00FB39FA">
        <w:rPr>
          <w:sz w:val="24"/>
          <w:szCs w:val="24"/>
        </w:rPr>
        <w:t xml:space="preserve">. </w:t>
      </w:r>
      <w:r w:rsidR="00EB1913">
        <w:rPr>
          <w:sz w:val="24"/>
          <w:szCs w:val="24"/>
        </w:rPr>
        <w:t>A</w:t>
      </w:r>
      <w:r w:rsidR="00FB39FA">
        <w:rPr>
          <w:sz w:val="24"/>
          <w:szCs w:val="24"/>
        </w:rPr>
        <w:t>ge, height-Z-scores</w:t>
      </w:r>
      <w:r w:rsidR="00255ED0">
        <w:rPr>
          <w:sz w:val="24"/>
          <w:szCs w:val="24"/>
        </w:rPr>
        <w:t xml:space="preserve">, </w:t>
      </w:r>
      <w:r w:rsidR="00FB39FA">
        <w:rPr>
          <w:sz w:val="24"/>
          <w:szCs w:val="24"/>
        </w:rPr>
        <w:t xml:space="preserve">weight-Z-scores </w:t>
      </w:r>
      <w:r w:rsidR="00EB1913">
        <w:rPr>
          <w:sz w:val="24"/>
          <w:szCs w:val="24"/>
        </w:rPr>
        <w:t xml:space="preserve">and BIS measures </w:t>
      </w:r>
      <w:r w:rsidR="00FB39FA">
        <w:rPr>
          <w:sz w:val="24"/>
          <w:szCs w:val="24"/>
        </w:rPr>
        <w:t xml:space="preserve">were correlated with </w:t>
      </w:r>
      <w:r w:rsidR="001204E2">
        <w:rPr>
          <w:sz w:val="24"/>
          <w:szCs w:val="24"/>
        </w:rPr>
        <w:t>PCSA</w:t>
      </w:r>
      <w:r w:rsidR="00FB39FA">
        <w:rPr>
          <w:sz w:val="24"/>
          <w:szCs w:val="24"/>
        </w:rPr>
        <w:t xml:space="preserve">. </w:t>
      </w:r>
      <w:r w:rsidR="00E11B55">
        <w:rPr>
          <w:sz w:val="24"/>
          <w:szCs w:val="24"/>
        </w:rPr>
        <w:t xml:space="preserve">Using normal paediatric data from CT-scans we derived psoas area Z-scores </w:t>
      </w:r>
      <w:r w:rsidR="00255ED0">
        <w:rPr>
          <w:sz w:val="24"/>
          <w:szCs w:val="24"/>
        </w:rPr>
        <w:t>for our cohort.</w:t>
      </w:r>
    </w:p>
    <w:p w14:paraId="4D87EEAB" w14:textId="203D61A1" w:rsidR="007D69A9" w:rsidRDefault="007D69A9" w:rsidP="008D7EED">
      <w:pPr>
        <w:spacing w:line="480" w:lineRule="auto"/>
        <w:rPr>
          <w:sz w:val="24"/>
          <w:szCs w:val="24"/>
        </w:rPr>
      </w:pPr>
      <w:r w:rsidRPr="007D69A9">
        <w:rPr>
          <w:sz w:val="24"/>
          <w:szCs w:val="24"/>
          <w:u w:val="single"/>
        </w:rPr>
        <w:t>Results-</w:t>
      </w:r>
      <w:r w:rsidR="0041374C">
        <w:rPr>
          <w:sz w:val="24"/>
          <w:szCs w:val="24"/>
        </w:rPr>
        <w:t xml:space="preserve"> 10 patients were included. </w:t>
      </w:r>
      <w:r w:rsidR="00A66DAB">
        <w:rPr>
          <w:sz w:val="24"/>
          <w:szCs w:val="24"/>
        </w:rPr>
        <w:t xml:space="preserve">Mean age at MRI scan was 14.6 years (11.7 to 16.3). </w:t>
      </w:r>
      <w:r w:rsidR="001204E2">
        <w:rPr>
          <w:sz w:val="24"/>
          <w:szCs w:val="24"/>
        </w:rPr>
        <w:t xml:space="preserve">PCSA </w:t>
      </w:r>
      <w:r w:rsidR="0041374C">
        <w:rPr>
          <w:sz w:val="24"/>
          <w:szCs w:val="24"/>
        </w:rPr>
        <w:t xml:space="preserve">was calculated for all MRI scans. There was high reproducibility between measurers, mean CoV 0.099. There was a significant positive correlation between </w:t>
      </w:r>
      <w:r w:rsidR="001204E2">
        <w:rPr>
          <w:sz w:val="24"/>
          <w:szCs w:val="24"/>
        </w:rPr>
        <w:t xml:space="preserve">PCSA </w:t>
      </w:r>
      <w:r w:rsidR="0041374C">
        <w:rPr>
          <w:sz w:val="24"/>
          <w:szCs w:val="24"/>
        </w:rPr>
        <w:t xml:space="preserve">and BIA-derived </w:t>
      </w:r>
      <w:r w:rsidR="007D7BB4">
        <w:rPr>
          <w:sz w:val="24"/>
          <w:szCs w:val="24"/>
        </w:rPr>
        <w:t>fat free</w:t>
      </w:r>
      <w:r w:rsidR="0041374C">
        <w:rPr>
          <w:sz w:val="24"/>
          <w:szCs w:val="24"/>
        </w:rPr>
        <w:t xml:space="preserve"> mass, </w:t>
      </w:r>
      <w:r w:rsidR="0041374C">
        <w:rPr>
          <w:rFonts w:cstheme="minorHAnsi"/>
          <w:sz w:val="24"/>
          <w:szCs w:val="24"/>
        </w:rPr>
        <w:t>Pearson correlation coefficient (PCC) 0.831, p=0.003.</w:t>
      </w:r>
      <w:r w:rsidR="00F66DC8" w:rsidRPr="00F66DC8">
        <w:rPr>
          <w:sz w:val="24"/>
          <w:szCs w:val="24"/>
        </w:rPr>
        <w:t xml:space="preserve"> </w:t>
      </w:r>
    </w:p>
    <w:p w14:paraId="76B97F64" w14:textId="236B2E32" w:rsidR="00E11B55" w:rsidRPr="0041374C" w:rsidRDefault="00F66DC8" w:rsidP="0041374C">
      <w:pPr>
        <w:spacing w:line="480" w:lineRule="auto"/>
        <w:rPr>
          <w:sz w:val="24"/>
          <w:szCs w:val="24"/>
        </w:rPr>
      </w:pPr>
      <w:r>
        <w:rPr>
          <w:sz w:val="24"/>
          <w:szCs w:val="24"/>
        </w:rPr>
        <w:t xml:space="preserve">Correlation coefficients for PCSA and </w:t>
      </w:r>
      <w:r w:rsidR="0041374C">
        <w:rPr>
          <w:sz w:val="24"/>
          <w:szCs w:val="24"/>
        </w:rPr>
        <w:t>Height-</w:t>
      </w:r>
      <w:r w:rsidR="008248BA">
        <w:rPr>
          <w:sz w:val="24"/>
          <w:szCs w:val="24"/>
        </w:rPr>
        <w:t xml:space="preserve">for-age </w:t>
      </w:r>
      <w:r w:rsidR="0041374C">
        <w:rPr>
          <w:sz w:val="24"/>
          <w:szCs w:val="24"/>
        </w:rPr>
        <w:t>Z-score, weight</w:t>
      </w:r>
      <w:r w:rsidR="008248BA">
        <w:rPr>
          <w:sz w:val="24"/>
          <w:szCs w:val="24"/>
        </w:rPr>
        <w:t xml:space="preserve">-for-age </w:t>
      </w:r>
      <w:r w:rsidR="0041374C">
        <w:rPr>
          <w:sz w:val="24"/>
          <w:szCs w:val="24"/>
        </w:rPr>
        <w:t xml:space="preserve">-Z-score and age </w:t>
      </w:r>
      <w:r>
        <w:rPr>
          <w:sz w:val="24"/>
          <w:szCs w:val="24"/>
        </w:rPr>
        <w:t xml:space="preserve">were </w:t>
      </w:r>
      <w:r w:rsidR="0041374C">
        <w:rPr>
          <w:sz w:val="24"/>
          <w:szCs w:val="24"/>
        </w:rPr>
        <w:t xml:space="preserve">PCC </w:t>
      </w:r>
      <w:r w:rsidR="0041374C" w:rsidRPr="00CE3635">
        <w:rPr>
          <w:sz w:val="24"/>
          <w:szCs w:val="24"/>
        </w:rPr>
        <w:t>0.343 p=0.33</w:t>
      </w:r>
      <w:r w:rsidR="0041374C">
        <w:rPr>
          <w:sz w:val="24"/>
          <w:szCs w:val="24"/>
        </w:rPr>
        <w:t>, PCC</w:t>
      </w:r>
      <w:r w:rsidR="0041374C" w:rsidRPr="00CE3635">
        <w:rPr>
          <w:sz w:val="24"/>
          <w:szCs w:val="24"/>
        </w:rPr>
        <w:t xml:space="preserve">=0.222 p=0.54, </w:t>
      </w:r>
      <w:r w:rsidR="0041374C">
        <w:rPr>
          <w:sz w:val="24"/>
          <w:szCs w:val="24"/>
        </w:rPr>
        <w:t>and PCC</w:t>
      </w:r>
      <w:r w:rsidR="0041374C" w:rsidRPr="00CE3635">
        <w:rPr>
          <w:sz w:val="24"/>
          <w:szCs w:val="24"/>
        </w:rPr>
        <w:t xml:space="preserve"> 0.6034, p=0.065</w:t>
      </w:r>
      <w:r w:rsidR="0041374C">
        <w:rPr>
          <w:sz w:val="24"/>
          <w:szCs w:val="24"/>
        </w:rPr>
        <w:t>, respectively.</w:t>
      </w:r>
      <w:r w:rsidR="001204E2">
        <w:rPr>
          <w:sz w:val="24"/>
          <w:szCs w:val="24"/>
        </w:rPr>
        <w:t xml:space="preserve"> </w:t>
      </w:r>
      <w:r>
        <w:rPr>
          <w:sz w:val="24"/>
          <w:szCs w:val="24"/>
        </w:rPr>
        <w:t>The mean PCSA Z-score was -1.81, with 70% of the patients having a Z-score &lt;-2.0</w:t>
      </w:r>
    </w:p>
    <w:p w14:paraId="7EE74B51" w14:textId="341E88F7" w:rsidR="0041374C" w:rsidRDefault="007D69A9" w:rsidP="0041374C">
      <w:pPr>
        <w:spacing w:line="480" w:lineRule="auto"/>
        <w:rPr>
          <w:sz w:val="24"/>
          <w:szCs w:val="24"/>
        </w:rPr>
      </w:pPr>
      <w:r w:rsidRPr="007D69A9">
        <w:rPr>
          <w:sz w:val="24"/>
          <w:szCs w:val="24"/>
          <w:u w:val="single"/>
        </w:rPr>
        <w:t>Conclusions-</w:t>
      </w:r>
      <w:r w:rsidR="0041374C">
        <w:rPr>
          <w:sz w:val="24"/>
          <w:szCs w:val="24"/>
        </w:rPr>
        <w:t xml:space="preserve"> These </w:t>
      </w:r>
      <w:r w:rsidR="00EB1913">
        <w:rPr>
          <w:sz w:val="24"/>
          <w:szCs w:val="24"/>
        </w:rPr>
        <w:t xml:space="preserve">data </w:t>
      </w:r>
      <w:r w:rsidR="0041374C">
        <w:rPr>
          <w:sz w:val="24"/>
          <w:szCs w:val="24"/>
        </w:rPr>
        <w:t xml:space="preserve">demonstrate the feasibility of deriving measures of body composition from routine MRI imagine. There was significant positive correlation between </w:t>
      </w:r>
      <w:r w:rsidR="00D775CA">
        <w:rPr>
          <w:sz w:val="24"/>
          <w:szCs w:val="24"/>
        </w:rPr>
        <w:lastRenderedPageBreak/>
        <w:t>PCSA</w:t>
      </w:r>
      <w:r w:rsidR="0041374C">
        <w:rPr>
          <w:sz w:val="24"/>
          <w:szCs w:val="24"/>
        </w:rPr>
        <w:t xml:space="preserve"> and </w:t>
      </w:r>
      <w:r w:rsidR="007D7BB4">
        <w:rPr>
          <w:sz w:val="24"/>
          <w:szCs w:val="24"/>
        </w:rPr>
        <w:t>BIS</w:t>
      </w:r>
      <w:r w:rsidR="0041374C">
        <w:rPr>
          <w:sz w:val="24"/>
          <w:szCs w:val="24"/>
        </w:rPr>
        <w:t xml:space="preserve">-derived lean mass. Further studies are required to </w:t>
      </w:r>
      <w:r w:rsidR="001204E2">
        <w:rPr>
          <w:sz w:val="24"/>
          <w:szCs w:val="24"/>
        </w:rPr>
        <w:t>confirm applicability of</w:t>
      </w:r>
      <w:r w:rsidR="0041374C">
        <w:rPr>
          <w:sz w:val="24"/>
          <w:szCs w:val="24"/>
        </w:rPr>
        <w:t xml:space="preserve"> normal </w:t>
      </w:r>
      <w:r w:rsidR="001204E2">
        <w:rPr>
          <w:sz w:val="24"/>
          <w:szCs w:val="24"/>
        </w:rPr>
        <w:t>ranges</w:t>
      </w:r>
      <w:r w:rsidR="0041374C">
        <w:rPr>
          <w:sz w:val="24"/>
          <w:szCs w:val="24"/>
        </w:rPr>
        <w:t xml:space="preserve"> prior to routine clinical implementation</w:t>
      </w:r>
      <w:r w:rsidR="00D775CA">
        <w:rPr>
          <w:sz w:val="24"/>
          <w:szCs w:val="24"/>
        </w:rPr>
        <w:t>.</w:t>
      </w:r>
    </w:p>
    <w:p w14:paraId="1279468C" w14:textId="77777777" w:rsidR="001D6DF6" w:rsidRDefault="001D6DF6" w:rsidP="0041374C">
      <w:pPr>
        <w:spacing w:line="480" w:lineRule="auto"/>
        <w:rPr>
          <w:sz w:val="24"/>
          <w:szCs w:val="24"/>
        </w:rPr>
      </w:pPr>
    </w:p>
    <w:p w14:paraId="249EEDEE" w14:textId="4F380B83" w:rsidR="007D69A9" w:rsidRPr="0041374C" w:rsidRDefault="001D6DF6" w:rsidP="008D7EED">
      <w:pPr>
        <w:spacing w:line="480" w:lineRule="auto"/>
        <w:rPr>
          <w:sz w:val="24"/>
          <w:szCs w:val="24"/>
        </w:rPr>
      </w:pPr>
      <w:r>
        <w:rPr>
          <w:sz w:val="24"/>
          <w:szCs w:val="24"/>
        </w:rPr>
        <w:t>Keywords- MRI; pediatrics; nutritional assessment; body composition; Crohn’s disease; sarcopenia</w:t>
      </w:r>
    </w:p>
    <w:p w14:paraId="5282F124" w14:textId="77777777" w:rsidR="0019138A" w:rsidRDefault="0019138A" w:rsidP="008D7EED">
      <w:pPr>
        <w:spacing w:line="480" w:lineRule="auto"/>
        <w:rPr>
          <w:b/>
          <w:bCs/>
          <w:sz w:val="24"/>
          <w:szCs w:val="24"/>
          <w:u w:val="single"/>
        </w:rPr>
      </w:pPr>
    </w:p>
    <w:p w14:paraId="0469D596" w14:textId="77777777" w:rsidR="0019138A" w:rsidRDefault="0019138A" w:rsidP="008D7EED">
      <w:pPr>
        <w:spacing w:line="480" w:lineRule="auto"/>
        <w:rPr>
          <w:b/>
          <w:bCs/>
          <w:sz w:val="24"/>
          <w:szCs w:val="24"/>
          <w:u w:val="single"/>
        </w:rPr>
      </w:pPr>
    </w:p>
    <w:p w14:paraId="6B33975C" w14:textId="77777777" w:rsidR="0019138A" w:rsidRDefault="0019138A" w:rsidP="008D7EED">
      <w:pPr>
        <w:spacing w:line="480" w:lineRule="auto"/>
        <w:rPr>
          <w:b/>
          <w:bCs/>
          <w:sz w:val="24"/>
          <w:szCs w:val="24"/>
          <w:u w:val="single"/>
        </w:rPr>
      </w:pPr>
    </w:p>
    <w:p w14:paraId="35428348" w14:textId="77777777" w:rsidR="0019138A" w:rsidRDefault="0019138A" w:rsidP="008D7EED">
      <w:pPr>
        <w:spacing w:line="480" w:lineRule="auto"/>
        <w:rPr>
          <w:b/>
          <w:bCs/>
          <w:sz w:val="24"/>
          <w:szCs w:val="24"/>
          <w:u w:val="single"/>
        </w:rPr>
      </w:pPr>
    </w:p>
    <w:p w14:paraId="53B3397F" w14:textId="77777777" w:rsidR="0019138A" w:rsidRDefault="0019138A" w:rsidP="008D7EED">
      <w:pPr>
        <w:spacing w:line="480" w:lineRule="auto"/>
        <w:rPr>
          <w:b/>
          <w:bCs/>
          <w:sz w:val="24"/>
          <w:szCs w:val="24"/>
          <w:u w:val="single"/>
        </w:rPr>
      </w:pPr>
    </w:p>
    <w:p w14:paraId="1DB19CE6" w14:textId="77777777" w:rsidR="0019138A" w:rsidRDefault="0019138A" w:rsidP="008D7EED">
      <w:pPr>
        <w:spacing w:line="480" w:lineRule="auto"/>
        <w:rPr>
          <w:b/>
          <w:bCs/>
          <w:sz w:val="24"/>
          <w:szCs w:val="24"/>
          <w:u w:val="single"/>
        </w:rPr>
      </w:pPr>
    </w:p>
    <w:p w14:paraId="41DCDC47" w14:textId="77777777" w:rsidR="0019138A" w:rsidRDefault="0019138A" w:rsidP="008D7EED">
      <w:pPr>
        <w:spacing w:line="480" w:lineRule="auto"/>
        <w:rPr>
          <w:b/>
          <w:bCs/>
          <w:sz w:val="24"/>
          <w:szCs w:val="24"/>
          <w:u w:val="single"/>
        </w:rPr>
      </w:pPr>
    </w:p>
    <w:p w14:paraId="50FB5686" w14:textId="77777777" w:rsidR="0019138A" w:rsidRDefault="0019138A" w:rsidP="008D7EED">
      <w:pPr>
        <w:spacing w:line="480" w:lineRule="auto"/>
        <w:rPr>
          <w:b/>
          <w:bCs/>
          <w:sz w:val="24"/>
          <w:szCs w:val="24"/>
          <w:u w:val="single"/>
        </w:rPr>
      </w:pPr>
    </w:p>
    <w:p w14:paraId="55333E80" w14:textId="77777777" w:rsidR="0019138A" w:rsidRDefault="0019138A" w:rsidP="008D7EED">
      <w:pPr>
        <w:spacing w:line="480" w:lineRule="auto"/>
        <w:rPr>
          <w:b/>
          <w:bCs/>
          <w:sz w:val="24"/>
          <w:szCs w:val="24"/>
          <w:u w:val="single"/>
        </w:rPr>
      </w:pPr>
    </w:p>
    <w:p w14:paraId="29F19CF4" w14:textId="77777777" w:rsidR="0019138A" w:rsidRDefault="0019138A" w:rsidP="008D7EED">
      <w:pPr>
        <w:spacing w:line="480" w:lineRule="auto"/>
        <w:rPr>
          <w:b/>
          <w:bCs/>
          <w:sz w:val="24"/>
          <w:szCs w:val="24"/>
          <w:u w:val="single"/>
        </w:rPr>
      </w:pPr>
    </w:p>
    <w:p w14:paraId="351EF80F" w14:textId="77777777" w:rsidR="0019138A" w:rsidRDefault="0019138A" w:rsidP="008D7EED">
      <w:pPr>
        <w:spacing w:line="480" w:lineRule="auto"/>
        <w:rPr>
          <w:b/>
          <w:bCs/>
          <w:sz w:val="24"/>
          <w:szCs w:val="24"/>
          <w:u w:val="single"/>
        </w:rPr>
      </w:pPr>
    </w:p>
    <w:p w14:paraId="001F32DE" w14:textId="77777777" w:rsidR="0019138A" w:rsidRDefault="0019138A" w:rsidP="008D7EED">
      <w:pPr>
        <w:spacing w:line="480" w:lineRule="auto"/>
        <w:rPr>
          <w:b/>
          <w:bCs/>
          <w:sz w:val="24"/>
          <w:szCs w:val="24"/>
          <w:u w:val="single"/>
        </w:rPr>
      </w:pPr>
    </w:p>
    <w:p w14:paraId="47EF12D7" w14:textId="77777777" w:rsidR="0019138A" w:rsidRDefault="0019138A" w:rsidP="008D7EED">
      <w:pPr>
        <w:spacing w:line="480" w:lineRule="auto"/>
        <w:rPr>
          <w:b/>
          <w:bCs/>
          <w:sz w:val="24"/>
          <w:szCs w:val="24"/>
          <w:u w:val="single"/>
        </w:rPr>
      </w:pPr>
    </w:p>
    <w:p w14:paraId="39B291AE" w14:textId="77777777" w:rsidR="0019138A" w:rsidRDefault="0019138A" w:rsidP="008D7EED">
      <w:pPr>
        <w:spacing w:line="480" w:lineRule="auto"/>
        <w:rPr>
          <w:b/>
          <w:bCs/>
          <w:sz w:val="24"/>
          <w:szCs w:val="24"/>
          <w:u w:val="single"/>
        </w:rPr>
      </w:pPr>
    </w:p>
    <w:p w14:paraId="2C4CE2A6" w14:textId="77777777" w:rsidR="00E83748" w:rsidRPr="008D7EED" w:rsidRDefault="00E83748" w:rsidP="008D7EED">
      <w:pPr>
        <w:spacing w:line="480" w:lineRule="auto"/>
        <w:rPr>
          <w:b/>
          <w:bCs/>
          <w:sz w:val="24"/>
          <w:szCs w:val="24"/>
          <w:u w:val="single"/>
        </w:rPr>
      </w:pPr>
      <w:r w:rsidRPr="008D7EED">
        <w:rPr>
          <w:b/>
          <w:bCs/>
          <w:sz w:val="24"/>
          <w:szCs w:val="24"/>
          <w:u w:val="single"/>
        </w:rPr>
        <w:lastRenderedPageBreak/>
        <w:t xml:space="preserve">Introduction </w:t>
      </w:r>
    </w:p>
    <w:p w14:paraId="1C9FC4B6" w14:textId="4ECAA15B" w:rsidR="00E83748" w:rsidRDefault="005C3DAB" w:rsidP="008D7EED">
      <w:pPr>
        <w:spacing w:line="480" w:lineRule="auto"/>
        <w:rPr>
          <w:sz w:val="24"/>
          <w:szCs w:val="24"/>
        </w:rPr>
      </w:pPr>
      <w:r w:rsidRPr="008D7EED">
        <w:rPr>
          <w:sz w:val="24"/>
          <w:szCs w:val="24"/>
        </w:rPr>
        <w:t xml:space="preserve">Paediatric inflammatory bowel disease (IBD) is a chronic relapsing and remitting condition with long term nutritional sequalae. </w:t>
      </w:r>
      <w:r w:rsidR="00255ED0">
        <w:rPr>
          <w:sz w:val="24"/>
          <w:szCs w:val="24"/>
        </w:rPr>
        <w:t>P</w:t>
      </w:r>
      <w:r w:rsidR="00897273" w:rsidRPr="008D7EED">
        <w:rPr>
          <w:sz w:val="24"/>
          <w:szCs w:val="24"/>
        </w:rPr>
        <w:t xml:space="preserve">aediatric onset Crohn’s disease </w:t>
      </w:r>
      <w:r w:rsidR="00255ED0">
        <w:rPr>
          <w:sz w:val="24"/>
          <w:szCs w:val="24"/>
        </w:rPr>
        <w:t xml:space="preserve">typically </w:t>
      </w:r>
      <w:r w:rsidR="00897273" w:rsidRPr="008D7EED">
        <w:rPr>
          <w:sz w:val="24"/>
          <w:szCs w:val="24"/>
        </w:rPr>
        <w:t>presented with weight loss, growth delay and malnutrition</w:t>
      </w:r>
      <w:r w:rsidR="00897273" w:rsidRPr="008D7EED">
        <w:rPr>
          <w:sz w:val="24"/>
          <w:szCs w:val="24"/>
        </w:rPr>
        <w:fldChar w:fldCharType="begin" w:fldLock="1"/>
      </w:r>
      <w:r w:rsidR="00364D59" w:rsidRPr="008D7EED">
        <w:rPr>
          <w:sz w:val="24"/>
          <w:szCs w:val="24"/>
        </w:rPr>
        <w:instrText>ADDIN CSL_CITATION {"citationItems":[{"id":"ITEM-1","itemData":{"DOI":"10.5555/URI:PII:001650859390883E","ISSN":"0016-5085","abstract":"&lt;h2&gt;Abstract&lt;/h2&gt;&lt;p&gt;&lt;i&gt;Background:&lt;/i&gt; Growth failure frequently complicates the clinical course of inflammatory bowel disease (IBD) in children. This study was designed to investigate the role of disease activity versus steroid therapy on growth faltering in this disorder. &lt;i&gt;Methods:&lt;/i&gt; We studied growth failure and its relationship to disease activity and steroid therapy in 69 children who have IBD by prospectively monitoring height for a maximum of 3 years. Disease activity and steroid use were recorded at entry into the study. &lt;i&gt;Results:&lt;/i&gt; The prevalence of growth failure was 24%, 23%, and 39% by height velocity, Z score, and height-for-age criteria, respectively; deficits were equally prevalent regardless of the stage of pubertal development. A delay in linear growth persisted throughout puberty and was not reversed after surgery. Patients who had Crohn's disease were twice as likely to have growth abnormalities than patients who had ulcerative colitis. We detected significant negative associations between linear growth and disease activity but not steroid therapy. &lt;i&gt;Conclusions:&lt;/i&gt; In a unique group of children, growth failure is an early, \"prepatterned\" manifestation of IBD. The inflammatory process, rather than steroid use, has a predominant influence on the development of growth faltering.&lt;/p&gt;","author":[{"dropping-particle":"","family":"Motil","given":"Kathleen J.","non-dropping-particle":"","parse-names":false,"suffix":""},{"dropping-particle":"","family":"Grand","given":"Richard J.","non-dropping-particle":"","parse-names":false,"suffix":""},{"dropping-particle":"","family":"Davis-Kraft","given":"Lee","non-dropping-particle":"","parse-names":false,"suffix":""},{"dropping-particle":"","family":"Ferlic","given":"Laura L.","non-dropping-particle":"","parse-names":false,"suffix":""},{"dropping-particle":"","family":"Smith","given":"E.O'Brian","non-dropping-particle":"","parse-names":false,"suffix":""}],"container-title":"Gastroenterology","id":"ITEM-1","issue":"3","issued":{"date-parts":[["1993","9","1"]]},"page":"681-691","publisher":"Elsevier","title":"Growth failure in children with inflammatory bowel disease: A prospective study","type":"article-journal","volume":"105"},"uris":["http://www.mendeley.com/documents/?uuid=84dc9ab5-e5d7-316d-9a5a-db1f31fe8244"]}],"mendeley":{"formattedCitation":"&lt;sup&gt;1&lt;/sup&gt;","plainTextFormattedCitation":"1","previouslyFormattedCitation":"&lt;sup&gt;1&lt;/sup&gt;"},"properties":{"noteIndex":0},"schema":"https://github.com/citation-style-language/schema/raw/master/csl-citation.json"}</w:instrText>
      </w:r>
      <w:r w:rsidR="00897273" w:rsidRPr="008D7EED">
        <w:rPr>
          <w:sz w:val="24"/>
          <w:szCs w:val="24"/>
        </w:rPr>
        <w:fldChar w:fldCharType="separate"/>
      </w:r>
      <w:r w:rsidR="00897273" w:rsidRPr="008D7EED">
        <w:rPr>
          <w:noProof/>
          <w:sz w:val="24"/>
          <w:szCs w:val="24"/>
          <w:vertAlign w:val="superscript"/>
        </w:rPr>
        <w:t>1</w:t>
      </w:r>
      <w:r w:rsidR="00897273" w:rsidRPr="008D7EED">
        <w:rPr>
          <w:sz w:val="24"/>
          <w:szCs w:val="24"/>
        </w:rPr>
        <w:fldChar w:fldCharType="end"/>
      </w:r>
      <w:r w:rsidR="00255ED0">
        <w:rPr>
          <w:sz w:val="24"/>
          <w:szCs w:val="24"/>
        </w:rPr>
        <w:t xml:space="preserve">, however </w:t>
      </w:r>
      <w:r w:rsidR="00897273" w:rsidRPr="008D7EED">
        <w:rPr>
          <w:sz w:val="24"/>
          <w:szCs w:val="24"/>
        </w:rPr>
        <w:t xml:space="preserve">recent data </w:t>
      </w:r>
      <w:r w:rsidR="009A4BA6">
        <w:rPr>
          <w:sz w:val="24"/>
          <w:szCs w:val="24"/>
        </w:rPr>
        <w:t>suggests</w:t>
      </w:r>
      <w:r w:rsidR="00897273" w:rsidRPr="008D7EED">
        <w:rPr>
          <w:sz w:val="24"/>
          <w:szCs w:val="24"/>
        </w:rPr>
        <w:t xml:space="preserve"> t</w:t>
      </w:r>
      <w:r w:rsidR="009A4BA6">
        <w:rPr>
          <w:sz w:val="24"/>
          <w:szCs w:val="24"/>
        </w:rPr>
        <w:t xml:space="preserve">hat </w:t>
      </w:r>
      <w:r w:rsidR="00897273" w:rsidRPr="008D7EED">
        <w:rPr>
          <w:sz w:val="24"/>
          <w:szCs w:val="24"/>
        </w:rPr>
        <w:t>linear growth</w:t>
      </w:r>
      <w:r w:rsidR="009A4BA6">
        <w:rPr>
          <w:sz w:val="24"/>
          <w:szCs w:val="24"/>
        </w:rPr>
        <w:t xml:space="preserve"> has improved</w:t>
      </w:r>
      <w:r w:rsidR="00255ED0">
        <w:rPr>
          <w:sz w:val="24"/>
          <w:szCs w:val="24"/>
        </w:rPr>
        <w:t xml:space="preserve"> although </w:t>
      </w:r>
      <w:r w:rsidR="00364D59" w:rsidRPr="008D7EED">
        <w:rPr>
          <w:sz w:val="24"/>
          <w:szCs w:val="24"/>
        </w:rPr>
        <w:t xml:space="preserve">patients </w:t>
      </w:r>
      <w:r w:rsidR="00FE3777" w:rsidRPr="008D7EED">
        <w:rPr>
          <w:sz w:val="24"/>
          <w:szCs w:val="24"/>
        </w:rPr>
        <w:t>continue to</w:t>
      </w:r>
      <w:r w:rsidR="00364D59" w:rsidRPr="008D7EED">
        <w:rPr>
          <w:sz w:val="24"/>
          <w:szCs w:val="24"/>
        </w:rPr>
        <w:t xml:space="preserve"> present underweight and continue to have nutritional compromise</w:t>
      </w:r>
      <w:r w:rsidR="00364D59" w:rsidRPr="008D7EED">
        <w:rPr>
          <w:sz w:val="24"/>
          <w:szCs w:val="24"/>
        </w:rPr>
        <w:fldChar w:fldCharType="begin" w:fldLock="1"/>
      </w:r>
      <w:r w:rsidR="00BA535B" w:rsidRPr="008D7EED">
        <w:rPr>
          <w:sz w:val="24"/>
          <w:szCs w:val="24"/>
        </w:rPr>
        <w:instrText>ADDIN CSL_CITATION {"citationItems":[{"id":"ITEM-1","itemData":{"DOI":"10.1111/apa.15383","ISSN":"0803-5253","abstract":"AIM: We assessed growth in a paediatric inflammatory bowel disease (PIBD) cohort.  METHODS: PIBD patients were eligible if they were diagnosed at Southampton Children's Hospital from 2011-2018. Weight and height standard-deviation-scores (SDS) were retrieved. Mean SDS-values, SDS-change and anti-TNF status were analysed at diagnosis and during follow-up. RESULTS: 490 patients were included, 313 with Crohn's disease (CD). CD patients presented with mean height-SDS -0.13, -0.1 at 1-year, -0.11 at 2-years and -0.03 at 5-years, reflecting preserved linear growth. There was no significant height-SDS change from diagnosis to 5-year follow-up, +0.12, 95%-CI 0.48 to -0.24. Mean weight-SDS at diagnosis was -0.39, driven by CD patients (-0.65). Mean weight-SDS approached 0 after 1-year and remained at the 50(th) -centile throughout follow-up. Growth in ulcerative colitis was maintained. In multivariable regression males had worse height growth from diagnosis to transition (p=0.036). Anti-TNF treatment (p=0.013) and surgical resection (p=0.005) were also associated with poorer linear growth. Patients treated with anti-TNF therapy had lower height-SDS compared to those never treated with anti-TNF at 1-year (-0.2 vs -0.01, p=0.22), 2-years (-0.27 vs -0.01, p=0.07) and 5-years (-0.21 vs 0.25, p=0.051). CONCLUSION: Height was generally maintained in Crohn's disease and impaired linear growth was rare in this cohort.","author":[{"dropping-particle":"","family":"Ashton","given":"James J","non-dropping-particle":"","parse-names":false,"suffix":""},{"dropping-particle":"","family":"Green","given":"Zachary","non-dropping-particle":"","parse-names":false,"suffix":""},{"dropping-particle":"","family":"Young","given":"Aneurin","non-dropping-particle":"","parse-names":false,"suffix":""},{"dropping-particle":"","family":"Borca","given":"Florina","non-dropping-particle":"","parse-names":false,"suffix":""},{"dropping-particle":"","family":"Coelho","given":"Tracy","non-dropping-particle":"","parse-names":false,"suffix":""},{"dropping-particle":"","family":"Batra","given":"Akshay","non-dropping-particle":"","parse-names":false,"suffix":""},{"dropping-particle":"","family":"Afzal","given":"Nadeem A.","non-dropping-particle":"","parse-names":false,"suffix":""},{"dropping-particle":"","family":"Ennis","given":"Sarah","non-dropping-particle":"","parse-names":false,"suffix":""},{"dropping-particle":"","family":"Johnson","given":"Mark J","non-dropping-particle":"","parse-names":false,"suffix":""},{"dropping-particle":"","family":"Beattie","given":"R Mark","non-dropping-particle":"","parse-names":false,"suffix":""}],"container-title":"Acta Paediatrica","id":"ITEM-1","issued":{"date-parts":[["2020","6","2"]]},"page":"apa.15383","publisher":"Wiley","title":"Growth failure is rare in a contemporary cohort of paediatric inflammatory bowel disease patients","type":"article-journal"},"uris":["http://www.mendeley.com/documents/?uuid=d6ab0886-3f3f-3fda-9319-f2a35761d7c7"]}],"mendeley":{"formattedCitation":"&lt;sup&gt;2&lt;/sup&gt;","plainTextFormattedCitation":"2","previouslyFormattedCitation":"&lt;sup&gt;2&lt;/sup&gt;"},"properties":{"noteIndex":0},"schema":"https://github.com/citation-style-language/schema/raw/master/csl-citation.json"}</w:instrText>
      </w:r>
      <w:r w:rsidR="00364D59" w:rsidRPr="008D7EED">
        <w:rPr>
          <w:sz w:val="24"/>
          <w:szCs w:val="24"/>
        </w:rPr>
        <w:fldChar w:fldCharType="separate"/>
      </w:r>
      <w:r w:rsidR="00364D59" w:rsidRPr="008D7EED">
        <w:rPr>
          <w:noProof/>
          <w:sz w:val="24"/>
          <w:szCs w:val="24"/>
          <w:vertAlign w:val="superscript"/>
        </w:rPr>
        <w:t>2</w:t>
      </w:r>
      <w:r w:rsidR="00364D59" w:rsidRPr="008D7EED">
        <w:rPr>
          <w:sz w:val="24"/>
          <w:szCs w:val="24"/>
        </w:rPr>
        <w:fldChar w:fldCharType="end"/>
      </w:r>
      <w:r w:rsidR="00364D59" w:rsidRPr="008D7EED">
        <w:rPr>
          <w:sz w:val="24"/>
          <w:szCs w:val="24"/>
        </w:rPr>
        <w:t>.</w:t>
      </w:r>
      <w:r w:rsidR="003F6BE9">
        <w:rPr>
          <w:sz w:val="24"/>
          <w:szCs w:val="24"/>
        </w:rPr>
        <w:t xml:space="preserve"> </w:t>
      </w:r>
      <w:bookmarkStart w:id="1" w:name="_Hlk61948391"/>
      <w:r w:rsidR="00627AB5">
        <w:rPr>
          <w:sz w:val="24"/>
          <w:szCs w:val="24"/>
        </w:rPr>
        <w:t xml:space="preserve">Sarcopenia is a reduction </w:t>
      </w:r>
      <w:r w:rsidR="00627AB5" w:rsidRPr="00627AB5">
        <w:rPr>
          <w:sz w:val="24"/>
          <w:szCs w:val="24"/>
        </w:rPr>
        <w:t>of skeletal muscle mass</w:t>
      </w:r>
      <w:r w:rsidR="00627AB5">
        <w:rPr>
          <w:sz w:val="24"/>
          <w:szCs w:val="24"/>
        </w:rPr>
        <w:t xml:space="preserve"> with accompanying loss of </w:t>
      </w:r>
      <w:r w:rsidR="00627AB5" w:rsidRPr="00627AB5">
        <w:rPr>
          <w:sz w:val="24"/>
          <w:szCs w:val="24"/>
        </w:rPr>
        <w:t>strength</w:t>
      </w:r>
      <w:r w:rsidR="00627AB5">
        <w:rPr>
          <w:sz w:val="24"/>
          <w:szCs w:val="24"/>
        </w:rPr>
        <w:t xml:space="preserve"> and</w:t>
      </w:r>
      <w:r w:rsidR="00627AB5" w:rsidRPr="00627AB5">
        <w:rPr>
          <w:sz w:val="24"/>
          <w:szCs w:val="24"/>
        </w:rPr>
        <w:t xml:space="preserve"> function</w:t>
      </w:r>
      <w:r w:rsidR="00FC66CD">
        <w:rPr>
          <w:sz w:val="24"/>
          <w:szCs w:val="24"/>
        </w:rPr>
        <w:t xml:space="preserve">, </w:t>
      </w:r>
      <w:r w:rsidR="00AC749E" w:rsidRPr="00AC749E">
        <w:rPr>
          <w:sz w:val="24"/>
          <w:szCs w:val="24"/>
        </w:rPr>
        <w:t xml:space="preserve">irrespective of body mass index </w:t>
      </w:r>
      <w:r w:rsidR="00AC749E">
        <w:rPr>
          <w:sz w:val="24"/>
          <w:szCs w:val="24"/>
        </w:rPr>
        <w:t xml:space="preserve"> and</w:t>
      </w:r>
      <w:r w:rsidR="00FC66CD">
        <w:rPr>
          <w:sz w:val="24"/>
          <w:szCs w:val="24"/>
        </w:rPr>
        <w:t xml:space="preserve"> can be seen in the context of obesity</w:t>
      </w:r>
      <w:r w:rsidR="00627AB5">
        <w:rPr>
          <w:sz w:val="24"/>
          <w:szCs w:val="24"/>
        </w:rPr>
        <w:fldChar w:fldCharType="begin" w:fldLock="1"/>
      </w:r>
      <w:r w:rsidR="00386751">
        <w:rPr>
          <w:sz w:val="24"/>
          <w:szCs w:val="24"/>
        </w:rPr>
        <w:instrText>ADDIN CSL_CITATION {"citationItems":[{"id":"ITEM-1","itemData":{"DOI":"10.1136/flgastro-2019-101348","ISSN":"20414145","abstract":"Sarcopenia is a progressive and generalised disorder of skeletal muscle strength, function and mass, that is most commonly associated with the normal ageing process. It is increasingly recognised that sarcopenia can also develop as a consequence of malabsorptive and inflammatory conditions, such as those seen by gastroenterologists and hepatologists. It affects 1%-30% of the general population, but is seen in approximately 40% of patients with gastrointestinal conditions including inflammatory bowel disease and cirrhosis. Within this group of patients, it is associated with increased complications and mortality. The pathogenesis of sarcopenia is multifactorial with several risk factors implicated in its development including undernutrition, physical inactivity and coexistent multimorbidity. The SARC-F questionnaire has been developed to screen for patients at risk of sarcopenia, however, this focuses on the functional consequences and will therefore not identify those patients who are early in the progression of sarcopenia. There are several different non-invasive techniques available to assess muscle quantity and quality including; grip strength, dual energy X-ray absorptiometry, CT which can be used together to diagnose sarcopenia. Assessment and correction of malnutrition, particularly protein intake, in those at risk of sarcopenia is important in preventing the development and progression of sarcopenia. There are no specific drugs that are available for the treatment of sarcopenia, however, resistance exercise programmes combined with nutritional interventions show promise. It is important that this common condition is screened for and recognised, with any contributing factors addressed to reduce the risk of its progression.","author":[{"dropping-particle":"","family":"Hollingworth","given":"Thomas William","non-dropping-particle":"","parse-names":false,"suffix":""},{"dropping-particle":"","family":"Oke","given":"Siddhartha M.","non-dropping-particle":"","parse-names":false,"suffix":""},{"dropping-particle":"","family":"Patel","given":"Harnish","non-dropping-particle":"","parse-names":false,"suffix":""},{"dropping-particle":"","family":"Smith","given":"Trevor R.","non-dropping-particle":"","parse-names":false,"suffix":""}],"container-title":"Frontline Gastroenterology","id":"ITEM-1","issue":"1","issued":{"date-parts":[["2020","1","1"]]},"page":"53-61","publisher":"BMJ Publishing Group","title":"Getting to grips with sarcopenia: Recent advances and practical management for the gastroenterologist","type":"article","volume":"12"},"uris":["http://www.mendeley.com/documents/?uuid=61adb8e6-659c-33e8-a1ce-5da5bd37f627"]}],"mendeley":{"formattedCitation":"&lt;sup&gt;3&lt;/sup&gt;","plainTextFormattedCitation":"3","previouslyFormattedCitation":"&lt;sup&gt;3&lt;/sup&gt;"},"properties":{"noteIndex":0},"schema":"https://github.com/citation-style-language/schema/raw/master/csl-citation.json"}</w:instrText>
      </w:r>
      <w:r w:rsidR="00627AB5">
        <w:rPr>
          <w:sz w:val="24"/>
          <w:szCs w:val="24"/>
        </w:rPr>
        <w:fldChar w:fldCharType="separate"/>
      </w:r>
      <w:r w:rsidR="00627AB5" w:rsidRPr="00627AB5">
        <w:rPr>
          <w:noProof/>
          <w:sz w:val="24"/>
          <w:szCs w:val="24"/>
          <w:vertAlign w:val="superscript"/>
        </w:rPr>
        <w:t>3</w:t>
      </w:r>
      <w:r w:rsidR="00627AB5">
        <w:rPr>
          <w:sz w:val="24"/>
          <w:szCs w:val="24"/>
        </w:rPr>
        <w:fldChar w:fldCharType="end"/>
      </w:r>
      <w:r w:rsidR="00627AB5">
        <w:rPr>
          <w:sz w:val="24"/>
          <w:szCs w:val="24"/>
        </w:rPr>
        <w:t xml:space="preserve">. </w:t>
      </w:r>
      <w:bookmarkEnd w:id="1"/>
      <w:r w:rsidR="00177867">
        <w:rPr>
          <w:sz w:val="24"/>
          <w:szCs w:val="24"/>
        </w:rPr>
        <w:t xml:space="preserve">There is emerging adult data indicating </w:t>
      </w:r>
      <w:r w:rsidR="009A4BA6">
        <w:rPr>
          <w:sz w:val="24"/>
          <w:szCs w:val="24"/>
        </w:rPr>
        <w:t xml:space="preserve">that </w:t>
      </w:r>
      <w:r w:rsidR="00177867">
        <w:rPr>
          <w:sz w:val="24"/>
          <w:szCs w:val="24"/>
        </w:rPr>
        <w:t>many patients with Crohn’s disease have persistent body composition abnormalities, with sarcopenia associated with poor disease outcomes</w:t>
      </w:r>
      <w:r w:rsidR="00627AB5">
        <w:rPr>
          <w:sz w:val="24"/>
          <w:szCs w:val="24"/>
        </w:rPr>
        <w:t>, including need for surgery and higher rates of complication after surgery</w:t>
      </w:r>
      <w:r w:rsidR="0071600E">
        <w:rPr>
          <w:sz w:val="24"/>
          <w:szCs w:val="24"/>
        </w:rPr>
        <w:fldChar w:fldCharType="begin" w:fldLock="1"/>
      </w:r>
      <w:r w:rsidR="00386751">
        <w:rPr>
          <w:sz w:val="24"/>
          <w:szCs w:val="24"/>
        </w:rPr>
        <w:instrText>ADDIN CSL_CITATION {"citationItems":[{"id":"ITEM-1","itemData":{"DOI":"10.1093/ibd/izy212","ISSN":"15364844","abstract":"Background Sarcopenia is associated with increased morbidity and mortality in oncologic and transplant surgery. It has a high incidence in chronic inflammatory states including inflammatory bowel disease (IBD). The validity of existing data in IBD and of sarcopenia's correlation with surgical outcomes is limited. Methods We performed a systematic review to assess the correlation of sarcopenia with the requirement for surgery and surgical outcomes in patients with IBD. Observational studies of patients with IBD in whom an assessment of sarcopenic status/skeletal muscle index was undertaken, a proportion of whom proceeded to surgical management, were selected. Results A total of 5 studies with a combined 658 IBD patients met the inclusion criteria. The majority (70%) had a diagnosis of Crohn's disease. Median (range) body mass index and skeletal muscle index were reported in 4 studies and were 16.58 (13.66-22.50) kg/m 2 and 44.52 (42.90-50.64) cm 2/m 2, respectively. Forty-two percent of IBD patients had sarcopenia. Notably, none of the studies assessed both the anatomical and functional component required for a correct assessment of sarcopenia. Three studies noted that sarcopenic IBD patients had a higher probability of requiring surgery. The rate of major complications (Clavien-Dindo grade ≥IIIa) was significantly higher in patients with sarcopenia. Improved perioperative nutrition management may mitigate the risk of complications. Conclusion Many IBD patients are young, may be malnourished, and commonly require emergent surgery. There is considerable heterogeneity in the assessment of sarcopenia. Sarcopenia is common in the IBD population and can predict the need for surgical intervention. Sarcopenia correlates with an increased rate of major postoperative complications. Improved perioperative intervention may diminish this risk. A formal assessment, screening by a dedicated IBD dietician, and preoperative physical therapy may facilitate early intervention.","author":[{"dropping-particle":"","family":"Ryan","given":"Eanna","non-dropping-particle":"","parse-names":false,"suffix":""},{"dropping-particle":"","family":"McNicholas","given":"Daniel","non-dropping-particle":"","parse-names":false,"suffix":""},{"dropping-particle":"","family":"Creavin","given":"Ben","non-dropping-particle":"","parse-names":false,"suffix":""},{"dropping-particle":"","family":"Kelly","given":"Michael Eamon","non-dropping-particle":"","parse-names":false,"suffix":""},{"dropping-particle":"","family":"Walsh","given":"Tom","non-dropping-particle":"","parse-names":false,"suffix":""},{"dropping-particle":"","family":"Beddy","given":"David","non-dropping-particle":"","parse-names":false,"suffix":""}],"container-title":"Inflammatory Bowel Diseases","id":"ITEM-1","issue":"1","issued":{"date-parts":[["2019","1","1"]]},"page":"67-73","publisher":"Oxford University Press","title":"Sarcopenia and inflammatory bowel disease: A systematic review","type":"article","volume":"25"},"uris":["http://www.mendeley.com/documents/?uuid=eb78f9c3-7ba2-3134-b465-13d53a4bf6da"]}],"mendeley":{"formattedCitation":"&lt;sup&gt;4&lt;/sup&gt;","plainTextFormattedCitation":"4","previouslyFormattedCitation":"&lt;sup&gt;4&lt;/sup&gt;"},"properties":{"noteIndex":0},"schema":"https://github.com/citation-style-language/schema/raw/master/csl-citation.json"}</w:instrText>
      </w:r>
      <w:r w:rsidR="0071600E">
        <w:rPr>
          <w:sz w:val="24"/>
          <w:szCs w:val="24"/>
        </w:rPr>
        <w:fldChar w:fldCharType="separate"/>
      </w:r>
      <w:r w:rsidR="00627AB5" w:rsidRPr="00627AB5">
        <w:rPr>
          <w:noProof/>
          <w:sz w:val="24"/>
          <w:szCs w:val="24"/>
          <w:vertAlign w:val="superscript"/>
        </w:rPr>
        <w:t>4</w:t>
      </w:r>
      <w:r w:rsidR="0071600E">
        <w:rPr>
          <w:sz w:val="24"/>
          <w:szCs w:val="24"/>
        </w:rPr>
        <w:fldChar w:fldCharType="end"/>
      </w:r>
      <w:r w:rsidR="00177867">
        <w:rPr>
          <w:sz w:val="24"/>
          <w:szCs w:val="24"/>
        </w:rPr>
        <w:t xml:space="preserve">. </w:t>
      </w:r>
      <w:r w:rsidR="0071600E">
        <w:rPr>
          <w:sz w:val="24"/>
          <w:szCs w:val="24"/>
        </w:rPr>
        <w:t xml:space="preserve">Whilst there </w:t>
      </w:r>
      <w:r w:rsidR="00AC749E">
        <w:rPr>
          <w:sz w:val="24"/>
          <w:szCs w:val="24"/>
        </w:rPr>
        <w:t xml:space="preserve">are </w:t>
      </w:r>
      <w:r w:rsidR="0071600E">
        <w:rPr>
          <w:sz w:val="24"/>
          <w:szCs w:val="24"/>
        </w:rPr>
        <w:t>less data in paediatric Crohn’s disease there are reports of lower muscle mass when compared to the general population</w:t>
      </w:r>
      <w:r w:rsidR="0071600E">
        <w:rPr>
          <w:sz w:val="24"/>
          <w:szCs w:val="24"/>
        </w:rPr>
        <w:fldChar w:fldCharType="begin" w:fldLock="1"/>
      </w:r>
      <w:r w:rsidR="00386751">
        <w:rPr>
          <w:sz w:val="24"/>
          <w:szCs w:val="24"/>
        </w:rPr>
        <w:instrText>ADDIN CSL_CITATION {"citationItems":[{"id":"ITEM-1","itemData":{"DOI":"10.1016/j.clnu.2019.05.017","abstract":"s u m m a r y Background &amp; aims: An inability to respond to nutrition could be implicated in low muscle mass in Crohn's disease. We aim to determine skeletal muscle metabolic response to feeding in Crohn's disease and healthy volunteers. Methods: Twenty asymptomatic Crohn's disease participants (15.6 ± 0.5 yrs; BMI 20.6 ± 0.9 kg/m 2); 9 with active disease (faecal calprotectin, 808 ± 225 ug/g and C-reactive protein, 2.2 ± 1.2 mg/dl), 11 in deep remission (faecal calprotectin, 61 ± 12 ug/g and C-reactive protein, 0.3 ± 0.2 mg/dl) and 9 matched healthy volunteers (16.0 ± 0.6 yrs; BMI 20.7 ± 0.6 kg/m 2) were recruited. Participants had a dual energy X-ray absorptiometry scan, handgrip dynamometer test, wore a pedometer and completed a food diary. Arterialised hand and venous forearm blood samples were collected concurrently and brachial artery blood flow measured at baseline and every 20 min for 2 hrs after the ingestion of a standardised liquid meal. Net balance of branched chain amino acids (BCAA) and glucose were derived. Results: Controls had a positive mean BCAA balance. CD participants had an initial anabolic response to the meal, with increasing BCAA balance between t ¼ 0 &amp; t ¼ 20, but returned to negative by t ¼ 60. This was associated with reduced FFM z-scores in CD but not with insulin resistance or disease activity. Exploratory analyses suggest that negative postprandial BCAA response seen in CD is predominant in males (p ¼ 0.049), with associated lower appendicular muscle mass (p ¼ 0.034), higher muscle fatigue (p ¼ 0.014) and reduced protein intake (p ¼ 0.026). Conclusions: The inability to sustain a positive protein balance postprandially could provide an explanation for the reduced muscle mass seen in CD. Further mechanistic studies will be needed to confirm these findings.","author":[{"dropping-particle":"","family":"Davies","given":"Amanda","non-dropping-particle":"","parse-names":false,"suffix":""},{"dropping-particle":"","family":"Nixon","given":"Aline","non-dropping-particle":"","parse-names":false,"suffix":""},{"dropping-particle":"","family":"Muhammed","given":"Rafeeq","non-dropping-particle":"","parse-names":false,"suffix":""},{"dropping-particle":"","family":"Tsintzas","given":"Kostas","non-dropping-particle":"","parse-names":false,"suffix":""},{"dropping-particle":"","family":"Kirkham","given":"Sian","non-dropping-particle":"","parse-names":false,"suffix":""},{"dropping-particle":"","family":"Stephens","given":"Francis B","non-dropping-particle":"","parse-names":false,"suffix":""},{"dropping-particle":"","family":"Moran","given":"Gordon W","non-dropping-particle":"","parse-names":false,"suffix":""}],"container-title":"Clinical Nutrition","id":"ITEM-1","issued":{"date-parts":[["2019"]]},"title":"Reduced skeletal muscle protein balance in paediatric Crohn's disease","type":"article-journal"},"uris":["http://www.mendeley.com/documents/?uuid=6154ed4f-039c-31f7-b799-b6f4f197cac6"]},{"id":"ITEM-2","itemData":{"DOI":"10.1016/j.clnu.2020.03.034","ISSN":"15321983","PMID":"32331855","author":[{"dropping-particle":"","family":"Ashton","given":"James J.","non-dropping-particle":"","parse-names":false,"suffix":""},{"dropping-particle":"","family":"Green","given":"Zachary","non-dropping-particle":"","parse-names":false,"suffix":""},{"dropping-particle":"","family":"Beattie","given":"R. Mark","non-dropping-particle":"","parse-names":false,"suffix":""}],"container-title":"Clinical Nutrition","id":"ITEM-2","issue":"6","issued":{"date-parts":[["2020"]]},"publisher":"Churchill Livingstone","title":"Beyond bedside measures of malnutrition in paediatric Crohn's disease – Should we be thinking of sarcopenia","type":"article","volume":"39"},"uris":["http://www.mendeley.com/documents/?uuid=963140c6-3781-38d6-b6d5-dde06d183455"]}],"mendeley":{"formattedCitation":"&lt;sup&gt;5,6&lt;/sup&gt;","plainTextFormattedCitation":"5,6","previouslyFormattedCitation":"&lt;sup&gt;5,6&lt;/sup&gt;"},"properties":{"noteIndex":0},"schema":"https://github.com/citation-style-language/schema/raw/master/csl-citation.json"}</w:instrText>
      </w:r>
      <w:r w:rsidR="0071600E">
        <w:rPr>
          <w:sz w:val="24"/>
          <w:szCs w:val="24"/>
        </w:rPr>
        <w:fldChar w:fldCharType="separate"/>
      </w:r>
      <w:r w:rsidR="00627AB5" w:rsidRPr="00627AB5">
        <w:rPr>
          <w:noProof/>
          <w:sz w:val="24"/>
          <w:szCs w:val="24"/>
          <w:vertAlign w:val="superscript"/>
        </w:rPr>
        <w:t>5,6</w:t>
      </w:r>
      <w:r w:rsidR="0071600E">
        <w:rPr>
          <w:sz w:val="24"/>
          <w:szCs w:val="24"/>
        </w:rPr>
        <w:fldChar w:fldCharType="end"/>
      </w:r>
      <w:r w:rsidR="0071600E">
        <w:rPr>
          <w:sz w:val="24"/>
          <w:szCs w:val="24"/>
        </w:rPr>
        <w:t xml:space="preserve">. </w:t>
      </w:r>
    </w:p>
    <w:p w14:paraId="384A3BC1" w14:textId="1DEC6B2E" w:rsidR="009134B8" w:rsidRPr="009134B8" w:rsidRDefault="00382245" w:rsidP="009134B8">
      <w:pPr>
        <w:spacing w:line="480" w:lineRule="auto"/>
        <w:rPr>
          <w:sz w:val="24"/>
          <w:szCs w:val="24"/>
        </w:rPr>
      </w:pPr>
      <w:r>
        <w:rPr>
          <w:sz w:val="24"/>
          <w:szCs w:val="24"/>
        </w:rPr>
        <w:t>B</w:t>
      </w:r>
      <w:r w:rsidR="004B7376">
        <w:rPr>
          <w:sz w:val="24"/>
          <w:szCs w:val="24"/>
        </w:rPr>
        <w:t xml:space="preserve">ody composition </w:t>
      </w:r>
      <w:r>
        <w:rPr>
          <w:sz w:val="24"/>
          <w:szCs w:val="24"/>
        </w:rPr>
        <w:t xml:space="preserve">assessment </w:t>
      </w:r>
      <w:r w:rsidR="00EB1913">
        <w:rPr>
          <w:sz w:val="24"/>
          <w:szCs w:val="24"/>
        </w:rPr>
        <w:t xml:space="preserve">in children is </w:t>
      </w:r>
      <w:r>
        <w:rPr>
          <w:sz w:val="24"/>
          <w:szCs w:val="24"/>
        </w:rPr>
        <w:t>challenging</w:t>
      </w:r>
      <w:r w:rsidR="00255ED0">
        <w:rPr>
          <w:sz w:val="24"/>
          <w:szCs w:val="24"/>
        </w:rPr>
        <w:t>,</w:t>
      </w:r>
      <w:r>
        <w:rPr>
          <w:sz w:val="24"/>
          <w:szCs w:val="24"/>
        </w:rPr>
        <w:t xml:space="preserve"> </w:t>
      </w:r>
      <w:r w:rsidR="00255ED0">
        <w:rPr>
          <w:sz w:val="24"/>
          <w:szCs w:val="24"/>
        </w:rPr>
        <w:t>requiring</w:t>
      </w:r>
      <w:r>
        <w:rPr>
          <w:sz w:val="24"/>
          <w:szCs w:val="24"/>
        </w:rPr>
        <w:t xml:space="preserve"> technology</w:t>
      </w:r>
      <w:r w:rsidR="00627AB5">
        <w:rPr>
          <w:sz w:val="24"/>
          <w:szCs w:val="24"/>
        </w:rPr>
        <w:t xml:space="preserve"> that is difficult to implement into routine clinical practice</w:t>
      </w:r>
      <w:r w:rsidR="00255ED0">
        <w:rPr>
          <w:sz w:val="24"/>
          <w:szCs w:val="24"/>
        </w:rPr>
        <w:t>. T</w:t>
      </w:r>
      <w:r w:rsidR="00EB1913">
        <w:rPr>
          <w:sz w:val="24"/>
          <w:szCs w:val="24"/>
        </w:rPr>
        <w:t xml:space="preserve">here </w:t>
      </w:r>
      <w:r w:rsidR="00255ED0">
        <w:rPr>
          <w:sz w:val="24"/>
          <w:szCs w:val="24"/>
        </w:rPr>
        <w:t>are</w:t>
      </w:r>
      <w:r w:rsidR="00EB1913">
        <w:rPr>
          <w:sz w:val="24"/>
          <w:szCs w:val="24"/>
        </w:rPr>
        <w:t xml:space="preserve"> </w:t>
      </w:r>
      <w:r>
        <w:rPr>
          <w:sz w:val="24"/>
          <w:szCs w:val="24"/>
        </w:rPr>
        <w:t>difficult</w:t>
      </w:r>
      <w:r w:rsidR="00255ED0">
        <w:rPr>
          <w:sz w:val="24"/>
          <w:szCs w:val="24"/>
        </w:rPr>
        <w:t>ies</w:t>
      </w:r>
      <w:r>
        <w:rPr>
          <w:sz w:val="24"/>
          <w:szCs w:val="24"/>
        </w:rPr>
        <w:t xml:space="preserve"> </w:t>
      </w:r>
      <w:r w:rsidR="00EB1913">
        <w:rPr>
          <w:sz w:val="24"/>
          <w:szCs w:val="24"/>
        </w:rPr>
        <w:t>interpreting</w:t>
      </w:r>
      <w:r w:rsidR="009134B8">
        <w:rPr>
          <w:sz w:val="24"/>
          <w:szCs w:val="24"/>
        </w:rPr>
        <w:t xml:space="preserve"> values in the context </w:t>
      </w:r>
      <w:r>
        <w:rPr>
          <w:sz w:val="24"/>
          <w:szCs w:val="24"/>
        </w:rPr>
        <w:t>of</w:t>
      </w:r>
      <w:r w:rsidR="009134B8">
        <w:rPr>
          <w:sz w:val="24"/>
          <w:szCs w:val="24"/>
        </w:rPr>
        <w:t xml:space="preserve"> different ages</w:t>
      </w:r>
      <w:r w:rsidR="00EB1913">
        <w:rPr>
          <w:sz w:val="24"/>
          <w:szCs w:val="24"/>
        </w:rPr>
        <w:t xml:space="preserve"> and the normal childhood growth trajectory</w:t>
      </w:r>
      <w:r w:rsidR="009134B8">
        <w:rPr>
          <w:sz w:val="24"/>
          <w:szCs w:val="24"/>
        </w:rPr>
        <w:t>. A wide range of methods have been used to estimate</w:t>
      </w:r>
      <w:r w:rsidR="00EB1913">
        <w:rPr>
          <w:sz w:val="24"/>
          <w:szCs w:val="24"/>
        </w:rPr>
        <w:t xml:space="preserve"> </w:t>
      </w:r>
      <w:r w:rsidR="009134B8">
        <w:rPr>
          <w:sz w:val="24"/>
          <w:szCs w:val="24"/>
        </w:rPr>
        <w:t xml:space="preserve">muscle mass in paediatric IBD, although these generally employ additional measurements of children performed through </w:t>
      </w:r>
      <w:r w:rsidR="009134B8" w:rsidRPr="009134B8">
        <w:rPr>
          <w:sz w:val="24"/>
          <w:szCs w:val="24"/>
        </w:rPr>
        <w:t xml:space="preserve">dual energy X-ray absorptiometry </w:t>
      </w:r>
      <w:r w:rsidR="009134B8">
        <w:rPr>
          <w:sz w:val="24"/>
          <w:szCs w:val="24"/>
        </w:rPr>
        <w:t>(DEXA)</w:t>
      </w:r>
      <w:r w:rsidR="009134B8" w:rsidRPr="009134B8">
        <w:rPr>
          <w:sz w:val="24"/>
          <w:szCs w:val="24"/>
        </w:rPr>
        <w:t xml:space="preserve"> </w:t>
      </w:r>
      <w:r w:rsidR="009134B8">
        <w:rPr>
          <w:sz w:val="24"/>
          <w:szCs w:val="24"/>
        </w:rPr>
        <w:t>or computerised tomography (CT) scans</w:t>
      </w:r>
      <w:r w:rsidR="009134B8">
        <w:rPr>
          <w:sz w:val="24"/>
          <w:szCs w:val="24"/>
        </w:rPr>
        <w:fldChar w:fldCharType="begin" w:fldLock="1"/>
      </w:r>
      <w:r w:rsidR="00386751">
        <w:rPr>
          <w:sz w:val="24"/>
          <w:szCs w:val="24"/>
        </w:rPr>
        <w:instrText>ADDIN CSL_CITATION {"citationItems":[{"id":"ITEM-1","itemData":{"DOI":"10.1093/AJCN","author":[{"dropping-particle":"","family":"Burnham","given":"Jon M","non-dropping-particle":"","parse-names":false,"suffix":""},{"dropping-particle":"","family":"Shults","given":"Justine","non-dropping-particle":"","parse-names":false,"suffix":""},{"dropping-particle":"","family":"Semeao","given":"Edisio","non-dropping-particle":"","parse-names":false,"suffix":""},{"dropping-particle":"","family":"Foster","given":"Bethany J","non-dropping-particle":"","parse-names":false,"suffix":""},{"dropping-particle":"","family":"Zemel","given":"Babette S","non-dropping-particle":"","parse-names":false,"suffix":""},{"dropping-particle":"","family":"Stallings","given":"Virginia A","non-dropping-particle":"","parse-names":false,"suffix":""},{"dropping-particle":"","family":"Leonard","given":"Mary B","non-dropping-particle":"","parse-names":false,"suffix":""}],"container-title":"The American Journal of Clinical Nutrition","id":"ITEM-1","issue":"2","issued":{"date-parts":[["2005","8","1"]]},"page":"413-420","publisher":"Oxford Academic","title":"Body-composition alterations consistent with cachexia in children and young adults with Crohn disease","type":"article-journal","volume":"82"},"uris":["http://www.mendeley.com/documents/?uuid=c36b3589-a121-3928-8c7a-1140c06b5bbc"]},{"id":"ITEM-2","itemData":{"DOI":"10.1002/ibd.20149","ISSN":"10780998","abstract":"Background: Childhood Crohn's disease (CD) is associated with poor growth and decreased body mass index (BMI); however, lean mass (LM) and fat mass (FM) deficits prior to therapy have not been characterized. Objectives: To quantify LM and FM in incident pediatric CD subjects and controls, and to identify determinants of LM and FM deficits. Methods: Whole body LM and FM were assessed using DXA in 78 CD subjects and 669 healthy controls, ages 5-21 yr. Gender specific z-scores for LM (LM-Ht) and FM (FM-Ht) relative to height were derived using log linear regression models in the controls. Multivariate linear regression models adjusted for potential confounders. Results: CD was associated with significantly lower height and BMI for age. Within CD subjects, FM-Ht and LM-Ht were significantly lower in females compared with males (FM-Ht z: -0.66 ± 0.83 vs. -0.08 ± 0.95, p&lt; 0.01; LM-Ht z: -1.12 ± 1.12 vs. -0.57 ± 0.99, p &lt; 0.05). In females, CD was associated with significantly lower LM-Ht (p &lt; 0.001) and FM-Ht (p = 0.001), adjusted for age, race and Tanner stage, compared with controls. LM and FM deficits were significantly greater in older females with CD; 47% of adolescent females had LM-Ht ≤ 5th percentile. In non-black males, CD was also associated with lower LM-Ht (p &lt; 0.02); FM-Ht deficits were not significant. Conclusions: Incident CD was associated with significant LM deficits in males and females, and FM deficits in females. Future studies are needed to identify etiologies for the age and gender differences and to evaluate therapies for these deficits. Copyright © 2007 Crohn's &amp; Colitis Foundation of America, Inc.","author":[{"dropping-particle":"","family":"Thayu","given":"Meena","non-dropping-particle":"","parse-names":false,"suffix":""},{"dropping-particle":"","family":"Shults","given":"Justine","non-dropping-particle":"","parse-names":false,"suffix":""},{"dropping-particle":"","family":"Burnham","given":"Jon M.","non-dropping-particle":"","parse-names":false,"suffix":""},{"dropping-particle":"","family":"Zemel","given":"Babette S.","non-dropping-particle":"","parse-names":false,"suffix":""},{"dropping-particle":"","family":"Baldassano","given":"Robert N.","non-dropping-particle":"","parse-names":false,"suffix":""},{"dropping-particle":"","family":"Leonard","given":"Mary B.","non-dropping-particle":"","parse-names":false,"suffix":""}],"container-title":"Inflammatory Bowel Diseases","id":"ITEM-2","issue":"9","issued":{"date-parts":[["2007","9"]]},"page":"1121-1128","publisher":"NIH Public Access","title":"Gender differences in body composition deficits at diagnosis in children and adolescents with Crohn's disease","type":"article-journal","volume":"13"},"uris":["http://www.mendeley.com/documents/?uuid=83e33181-6cef-31a2-ba58-03aa835e3abb"]},{"id":"ITEM-3","itemData":{"DOI":"10.1002/ibd.20504","ISSN":"1078-0998","abstract":"Background: Patients with Crohn's disease (CD) are prone to osteoporosis. A loss of muscle mass, called sarcopenia, is responsible for an increased risk of disability. Many factors associated with osteopenia also decrease muscle mass. The aim of the present study was to measure the prevalence of sarcopenia in CD patients in remission and uncover its relationship with osteopenia. Methods: In all, 82 CD patients (43 female/39 male; 36 ± 14 years; body mass index [BMI] 21.1 ± 3.4) and 50 healthy volunteers (30F/20M; 39 ± 13 years; BMI 22.2 ± 2.5) were studied. Body composition was assessed using dual-energy x-ray absorptiometry. Sarcopenia was defined as an appendicular skeletal muscle index (ASMI) below 5.45 kg/m2 for women and 7.26 for men. Osteopenia was defined as a T-score for bone mineral density (BMD) (g/cm2) below -1.0. Results: In all, 60% of CD patients were found to be sarcopenic and 30% osteopenic, compared to 16% and 4% of controls, respectively (P &lt; 0.01). ASMI was significantly lower in patients than in controls (6.0 ±1.1 versus 6.5±1.2; P±0.05). Sarcopenic patients had significantly (P&lt;0.01) lower BMI (20.0±3.5 versus 22.7±2.8 kg/m2), lean mass (41.5 ± 9.1 versus 48.1 ± 9.1 kg), and BMD (1.09 ± 0.12 versus 1.15 ± 0.08 g/cm2) than nonsarcopenic patients; 91% of sarcopenic patients were also osteopenic. ASMI correlated with BMD (r=0.46; P&lt;0.01) and BMI (r = 0.38; P &lt; 0.01). Conclusions: The prevalence of sarcopenia is high in young CD patients and strongly related to osteopenia. These 2 phenomena may share similar mechanisms. Simultaneous screening for sarcopenia and osteopenia may be useful in CD patients. Copyright © 2008 Crohn's &amp; Colitis Foundation of America, Inc.","author":[{"dropping-particle":"","family":"Schneider","given":"Stéphane M.","non-dropping-particle":"","parse-names":false,"suffix":""},{"dropping-particle":"","family":"Al-Jaouni","given":"Rima","non-dropping-particle":"","parse-names":false,"suffix":""},{"dropping-particle":"","family":"Filippi","given":"Jerôme","non-dropping-particle":"","parse-names":false,"suffix":""},{"dropping-particle":"","family":"Wiroth","given":"Jean-Baptiste","non-dropping-particle":"","parse-names":false,"suffix":""},{"dropping-particle":"","family":"Zeanandin","given":"Gilbert","non-dropping-particle":"","parse-names":false,"suffix":""},{"dropping-particle":"","family":"Arab","given":"Kamel","non-dropping-particle":"","parse-names":false,"suffix":""},{"dropping-particle":"","family":"Hébuterne","given":"Xavier","non-dropping-particle":"","parse-names":false,"suffix":""}],"container-title":"Inflammatory Bowel Diseases","id":"ITEM-3","issue":"11","issued":{"date-parts":[["2008","11","1"]]},"page":"1562-1568","publisher":"Oxford Academic","title":"Sarcopenia is prevalent in patients with Crohnʼs disease in clinical remission","type":"article-journal","volume":"14"},"uris":["http://www.mendeley.com/documents/?uuid=c1eac595-4c84-3b09-83a4-ee97039d6b8a"]}],"mendeley":{"formattedCitation":"&lt;sup&gt;7–9&lt;/sup&gt;","plainTextFormattedCitation":"7–9","previouslyFormattedCitation":"&lt;sup&gt;7–9&lt;/sup&gt;"},"properties":{"noteIndex":0},"schema":"https://github.com/citation-style-language/schema/raw/master/csl-citation.json"}</w:instrText>
      </w:r>
      <w:r w:rsidR="009134B8">
        <w:rPr>
          <w:sz w:val="24"/>
          <w:szCs w:val="24"/>
        </w:rPr>
        <w:fldChar w:fldCharType="separate"/>
      </w:r>
      <w:r w:rsidR="00627AB5" w:rsidRPr="00627AB5">
        <w:rPr>
          <w:noProof/>
          <w:sz w:val="24"/>
          <w:szCs w:val="24"/>
          <w:vertAlign w:val="superscript"/>
        </w:rPr>
        <w:t>7–9</w:t>
      </w:r>
      <w:r w:rsidR="009134B8">
        <w:rPr>
          <w:sz w:val="24"/>
          <w:szCs w:val="24"/>
        </w:rPr>
        <w:fldChar w:fldCharType="end"/>
      </w:r>
      <w:r w:rsidR="009134B8">
        <w:rPr>
          <w:sz w:val="24"/>
          <w:szCs w:val="24"/>
        </w:rPr>
        <w:t>. Whilst these data produce meaningful results, the additional radiation exposure makes justification of routine measurements in children difficult. Contemporary data from Israel</w:t>
      </w:r>
      <w:r w:rsidR="00581782">
        <w:rPr>
          <w:sz w:val="24"/>
          <w:szCs w:val="24"/>
        </w:rPr>
        <w:t xml:space="preserve"> utilised </w:t>
      </w:r>
      <w:r w:rsidR="0019138A">
        <w:rPr>
          <w:sz w:val="24"/>
          <w:szCs w:val="24"/>
        </w:rPr>
        <w:t xml:space="preserve">small bowel </w:t>
      </w:r>
      <w:r w:rsidR="00581782">
        <w:rPr>
          <w:sz w:val="24"/>
          <w:szCs w:val="24"/>
        </w:rPr>
        <w:t xml:space="preserve">magnetic resonance imaging </w:t>
      </w:r>
      <w:r w:rsidR="002610D9">
        <w:rPr>
          <w:sz w:val="24"/>
          <w:szCs w:val="24"/>
        </w:rPr>
        <w:t xml:space="preserve">(MRI) </w:t>
      </w:r>
      <w:r w:rsidR="00581782">
        <w:rPr>
          <w:sz w:val="24"/>
          <w:szCs w:val="24"/>
        </w:rPr>
        <w:t>in paediatric IBD patients</w:t>
      </w:r>
      <w:r w:rsidR="009134B8" w:rsidRPr="009134B8">
        <w:rPr>
          <w:sz w:val="24"/>
          <w:szCs w:val="24"/>
        </w:rPr>
        <w:fldChar w:fldCharType="begin" w:fldLock="1"/>
      </w:r>
      <w:r w:rsidR="00386751">
        <w:rPr>
          <w:sz w:val="24"/>
          <w:szCs w:val="24"/>
        </w:rPr>
        <w:instrText>ADDIN CSL_CITATION {"citationItems":[{"id":"ITEM-1","itemData":{"DOI":"10.1093/ECCO-JCC","author":[{"dropping-particle":"","family":"Atlan","given":"L","non-dropping-particle":"","parse-names":false,"suffix":""},{"dropping-particle":"","family":"Pratt","given":"L T","non-dropping-particle":"","parse-names":false,"suffix":""},{"dropping-particle":"","family":"Cohen","given":"S","non-dropping-particle":"","parse-names":false,"suffix":""},{"dropping-particle":"","family":"Shiran","given":"S","non-dropping-particle":"","parse-names":false,"suffix":""},{"dropping-particle":"","family":"Yerushalmy-feler","given":"A","non-dropping-particle":"","parse-names":false,"suffix":""}],"container-title":"Journal of Crohn's and Colitis","id":"ITEM-1","issue":"Supplement_1","issued":{"date-parts":[["2020","1","15"]]},"page":"S197-S198","publisher":"Oxford Academic","title":"Sarcopenia is a predictor for severe disease course in paediatric inflammatory bowel disease","type":"article-journal","volume":"14"},"uris":["http://www.mendeley.com/documents/?uuid=2e241ab1-80c3-3af0-85a5-f5cc60dfec60"]}],"mendeley":{"formattedCitation":"&lt;sup&gt;10&lt;/sup&gt;","plainTextFormattedCitation":"10","previouslyFormattedCitation":"&lt;sup&gt;10&lt;/sup&gt;"},"properties":{"noteIndex":0},"schema":"https://github.com/citation-style-language/schema/raw/master/csl-citation.json"}</w:instrText>
      </w:r>
      <w:r w:rsidR="009134B8" w:rsidRPr="009134B8">
        <w:rPr>
          <w:sz w:val="24"/>
          <w:szCs w:val="24"/>
        </w:rPr>
        <w:fldChar w:fldCharType="separate"/>
      </w:r>
      <w:r w:rsidR="00627AB5" w:rsidRPr="00627AB5">
        <w:rPr>
          <w:noProof/>
          <w:sz w:val="24"/>
          <w:szCs w:val="24"/>
          <w:vertAlign w:val="superscript"/>
        </w:rPr>
        <w:t>10</w:t>
      </w:r>
      <w:r w:rsidR="009134B8" w:rsidRPr="009134B8">
        <w:rPr>
          <w:sz w:val="24"/>
          <w:szCs w:val="24"/>
        </w:rPr>
        <w:fldChar w:fldCharType="end"/>
      </w:r>
      <w:r w:rsidR="009134B8">
        <w:rPr>
          <w:sz w:val="24"/>
          <w:szCs w:val="24"/>
        </w:rPr>
        <w:t>.</w:t>
      </w:r>
      <w:r w:rsidR="00581782">
        <w:rPr>
          <w:sz w:val="24"/>
          <w:szCs w:val="24"/>
        </w:rPr>
        <w:t xml:space="preserve"> The authors found significant correlation</w:t>
      </w:r>
      <w:r w:rsidR="00581782" w:rsidRPr="00581782">
        <w:rPr>
          <w:sz w:val="24"/>
          <w:szCs w:val="24"/>
        </w:rPr>
        <w:t xml:space="preserve"> with </w:t>
      </w:r>
      <w:r w:rsidR="00581782">
        <w:rPr>
          <w:sz w:val="24"/>
          <w:szCs w:val="24"/>
        </w:rPr>
        <w:t>disease</w:t>
      </w:r>
      <w:r w:rsidR="00581782" w:rsidRPr="00581782">
        <w:rPr>
          <w:sz w:val="24"/>
          <w:szCs w:val="24"/>
        </w:rPr>
        <w:t xml:space="preserve"> </w:t>
      </w:r>
      <w:r w:rsidR="00581782">
        <w:rPr>
          <w:sz w:val="24"/>
          <w:szCs w:val="24"/>
        </w:rPr>
        <w:t>severity</w:t>
      </w:r>
      <w:r w:rsidR="0019138A">
        <w:rPr>
          <w:sz w:val="24"/>
          <w:szCs w:val="24"/>
        </w:rPr>
        <w:t>,</w:t>
      </w:r>
      <w:r w:rsidR="00581782">
        <w:rPr>
          <w:sz w:val="24"/>
          <w:szCs w:val="24"/>
        </w:rPr>
        <w:t xml:space="preserve"> </w:t>
      </w:r>
      <w:r w:rsidR="00581782" w:rsidRPr="00581782">
        <w:rPr>
          <w:sz w:val="24"/>
          <w:szCs w:val="24"/>
        </w:rPr>
        <w:t xml:space="preserve">and </w:t>
      </w:r>
      <w:r w:rsidR="00EB1913">
        <w:rPr>
          <w:sz w:val="24"/>
          <w:szCs w:val="24"/>
        </w:rPr>
        <w:t xml:space="preserve">that </w:t>
      </w:r>
      <w:r w:rsidR="00581782">
        <w:rPr>
          <w:sz w:val="24"/>
          <w:szCs w:val="24"/>
        </w:rPr>
        <w:t>sarcopenia was a predictor of</w:t>
      </w:r>
      <w:r w:rsidR="00581782" w:rsidRPr="00581782">
        <w:rPr>
          <w:sz w:val="24"/>
          <w:szCs w:val="24"/>
        </w:rPr>
        <w:t xml:space="preserve"> severe clinical disease course</w:t>
      </w:r>
      <w:r w:rsidR="00581782">
        <w:rPr>
          <w:sz w:val="24"/>
          <w:szCs w:val="24"/>
        </w:rPr>
        <w:t xml:space="preserve"> and need for escalation to biologic therapy. </w:t>
      </w:r>
      <w:r w:rsidR="00386751">
        <w:rPr>
          <w:sz w:val="24"/>
          <w:szCs w:val="24"/>
        </w:rPr>
        <w:t xml:space="preserve">MRI scans are routinely used in </w:t>
      </w:r>
      <w:r w:rsidR="00386751">
        <w:rPr>
          <w:sz w:val="24"/>
          <w:szCs w:val="24"/>
        </w:rPr>
        <w:lastRenderedPageBreak/>
        <w:t>paediatric IBD to assess small bowel inflammation, alongside assessment of stricturing and fistulating disease</w:t>
      </w:r>
      <w:r w:rsidR="00386751">
        <w:rPr>
          <w:sz w:val="24"/>
          <w:szCs w:val="24"/>
        </w:rPr>
        <w:fldChar w:fldCharType="begin" w:fldLock="1"/>
      </w:r>
      <w:r w:rsidR="009B2D52">
        <w:rPr>
          <w:sz w:val="24"/>
          <w:szCs w:val="24"/>
        </w:rPr>
        <w:instrText>ADDIN CSL_CITATION {"citationItems":[{"id":"ITEM-1","itemData":{"DOI":"10.1093/ecco-jcc/jjaa161","ISSN":"1873-9946","abstract":"Objective: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CD.","author":[{"dropping-particle":"","family":"Rheenen","given":"Patrick F","non-dropping-particle":"Van","parse-names":false,"suffix":""},{"dropping-particle":"","family":"Aloi","given":"Marina","non-dropping-particle":"","parse-names":false,"suffix":""},{"dropping-particle":"","family":"Assa","given":"Amit","non-dropping-particle":"","parse-names":false,"suffix":""},{"dropping-particle":"","family":"Bronsky","given":"Jiri","non-dropping-particle":"","parse-names":false,"suffix":""},{"dropping-particle":"","family":"Escher","given":"Johanna C","non-dropping-particle":"","parse-names":false,"suffix":""},{"dropping-particle":"","family":"Fagerberg","given":"Ulrika L","non-dropping-particle":"","parse-names":false,"suffix":""},{"dropping-particle":"","family":"Gasparetto","given":"Marco","non-dropping-particle":"","parse-names":false,"suffix":""},{"dropping-particle":"","family":"Gerasimidis","given":"Konstantinos","non-dropping-particle":"","parse-names":false,"suffix":""},{"dropping-particle":"","family":"Griffiths","given":"Anne","non-dropping-particle":"","parse-names":false,"suffix":""},{"dropping-particle":"","family":"Henderson","given":"Paul","non-dropping-particle":"","parse-names":false,"suffix":""},{"dropping-particle":"","family":"Koletzko","given":"Sibylle","non-dropping-particle":"","parse-names":false,"suffix":""},{"dropping-particle":"","family":"Kolho","given":"Kaija-Leena","non-dropping-particle":"","parse-names":false,"suffix":""},{"dropping-particle":"","family":"Levine","given":"Arie","non-dropping-particle":"","parse-names":false,"suffix":""},{"dropping-particle":"","family":"Limbergen","given":"Johan","non-dropping-particle":"Van","parse-names":false,"suffix":""},{"dropping-particle":"","family":"Martin De Carpi","given":"Francisco Javier","non-dropping-particle":"","parse-names":false,"suffix":""},{"dropping-particle":"","family":"Navas-López","given":"Víctor Manuel","non-dropping-particle":"","parse-names":false,"suffix":""},{"dropping-particle":"","family":"Oliva","given":"Salvatore","non-dropping-particle":"","parse-names":false,"suffix":""},{"dropping-particle":"","family":"Ridder","given":"Lissy","non-dropping-particle":"De","parse-names":false,"suffix":""},{"dropping-particle":"","family":"Russell","given":"Richard K","non-dropping-particle":"","parse-names":false,"suffix":""},{"dropping-particle":"","family":"Shouval","given":"Dror","non-dropping-particle":"","parse-names":false,"suffix":""},{"dropping-particle":"","family":"Spinelli","given":"Antonino","non-dropping-particle":"","parse-names":false,"suffix":""},{"dropping-particle":"","family":"Turner","given":"Dan","non-dropping-particle":"","parse-names":false,"suffix":""},{"dropping-particle":"","family":"Wilson","given":"David","non-dropping-particle":"","parse-names":false,"suffix":""},{"dropping-particle":"","family":"Wine","given":"Eytan","non-dropping-particle":"","parse-names":false,"suffix":""},{"dropping-particle":"","family":"Ruemmele","given":"Frank M","non-dropping-particle":"","parse-names":false,"suffix":""}],"container-title":"Journal of Crohn’s and Colitis","id":"ITEM-1","issued":{"date-parts":[["2020"]]},"page":"1-24","publisher":"Oxford University Press (OUP)","title":"The Medical Management of Paediatric Crohn’s Disease: an ECCO-ESPGHAN Guideline Update","type":"article-journal","volume":"2020"},"uris":["http://www.mendeley.com/documents/?uuid=1fd3b212-b3b4-334c-b05c-12b2ae410ea7"]}],"mendeley":{"formattedCitation":"&lt;sup&gt;11&lt;/sup&gt;","plainTextFormattedCitation":"11","previouslyFormattedCitation":"&lt;sup&gt;11&lt;/sup&gt;"},"properties":{"noteIndex":0},"schema":"https://github.com/citation-style-language/schema/raw/master/csl-citation.json"}</w:instrText>
      </w:r>
      <w:r w:rsidR="00386751">
        <w:rPr>
          <w:sz w:val="24"/>
          <w:szCs w:val="24"/>
        </w:rPr>
        <w:fldChar w:fldCharType="separate"/>
      </w:r>
      <w:r w:rsidR="00386751" w:rsidRPr="00386751">
        <w:rPr>
          <w:noProof/>
          <w:sz w:val="24"/>
          <w:szCs w:val="24"/>
          <w:vertAlign w:val="superscript"/>
        </w:rPr>
        <w:t>11</w:t>
      </w:r>
      <w:r w:rsidR="00386751">
        <w:rPr>
          <w:sz w:val="24"/>
          <w:szCs w:val="24"/>
        </w:rPr>
        <w:fldChar w:fldCharType="end"/>
      </w:r>
      <w:r w:rsidR="00386751">
        <w:rPr>
          <w:sz w:val="24"/>
          <w:szCs w:val="24"/>
        </w:rPr>
        <w:t xml:space="preserve">. Utilising these scans for assessment of body composition would be highly desirable. </w:t>
      </w:r>
    </w:p>
    <w:p w14:paraId="12E33973" w14:textId="6D0AEE51" w:rsidR="009134B8" w:rsidRPr="009134B8" w:rsidRDefault="00627AB5" w:rsidP="009134B8">
      <w:pPr>
        <w:spacing w:line="480" w:lineRule="auto"/>
        <w:rPr>
          <w:sz w:val="24"/>
          <w:szCs w:val="24"/>
        </w:rPr>
      </w:pPr>
      <w:r>
        <w:rPr>
          <w:sz w:val="24"/>
          <w:szCs w:val="24"/>
        </w:rPr>
        <w:t>In the context of Crohn’s disease, n</w:t>
      </w:r>
      <w:r w:rsidR="0019138A">
        <w:rPr>
          <w:sz w:val="24"/>
          <w:szCs w:val="24"/>
        </w:rPr>
        <w:t xml:space="preserve">utritional therapy is established as </w:t>
      </w:r>
      <w:r w:rsidR="00B12F58">
        <w:rPr>
          <w:sz w:val="24"/>
          <w:szCs w:val="24"/>
        </w:rPr>
        <w:t xml:space="preserve">a </w:t>
      </w:r>
      <w:r w:rsidR="0019138A">
        <w:rPr>
          <w:sz w:val="24"/>
          <w:szCs w:val="24"/>
        </w:rPr>
        <w:t>key element of treatment, including exclusive enteral nutrition and newer exclusion diets</w:t>
      </w:r>
      <w:r w:rsidR="0019138A">
        <w:rPr>
          <w:sz w:val="24"/>
          <w:szCs w:val="24"/>
        </w:rPr>
        <w:fldChar w:fldCharType="begin" w:fldLock="1"/>
      </w:r>
      <w:r w:rsidR="009B2D52">
        <w:rPr>
          <w:sz w:val="24"/>
          <w:szCs w:val="24"/>
        </w:rPr>
        <w:instrText>ADDIN CSL_CITATION {"citationItems":[{"id":"ITEM-1","itemData":{"DOI":"10.1016/j.clnu.2018.01.020","ISBN":"02615614","ISSN":"15321983","PMID":"29398336","abstract":"© 2018 Elsevier Ltd and European Society for Clinical Nutrition and Metabolism. Exclusive enteral nutrition (EEN) is the first line therapy for paediatric Crohn's disease, providing a complete nutritional feed whilst simultaneously inducing remission in up to 80% of cases. The effect of EEN on systemic/local intestinal immune function and subsequent inflammation (including barrier permeability, direct anti-inflammatory effects and cytokine signalling pathways), alongside changes in the microbiome (specific species and broad taxonomic shifts, functional changes) are becoming clearer, however the exact mechanism for induction of remission in Crohn's disease remains uncertain. The evidence of efficacy in paediatric Crohn's disease is strong, with selected adult populations also benefiting from EEN. However despite recommendations from all major societies (ECCO, ESPGHAN, NASPGHAN and ESPEN) first-line use of EEN is varied and Europe/Australasia/Canada show significantly more routine use than other parts of North America. Growth and nutritional status are significantly improved with EEN compared to corticosteroids but long-term outcomes are sparse. This review discusses the evidence underlying the use of EEN, highlighting the mechanisms thought to underlie how EEN induces remission in Crohn's disease, when and how to use EEN, including practical issues in both paediatric and adult practice (formulation, compliance, volumes and administration), and summarises the ongoing research priorities.","author":[{"dropping-particle":"","family":"Ashton","given":"J.J.","non-dropping-particle":"","parse-names":false,"suffix":""},{"dropping-particle":"","family":"Gavin","given":"J.","non-dropping-particle":"","parse-names":false,"suffix":""},{"dropping-particle":"","family":"Beattie","given":"R.M.","non-dropping-particle":"","parse-names":false,"suffix":""}],"container-title":"Clinical Nutrition","id":"ITEM-1","issue":"1","issued":{"date-parts":[["2018"]]},"page":"80-89","title":"Exclusive enteral nutrition in Crohn's disease: Evidence and practicalities","type":"article-journal","volume":"38"},"uris":["http://www.mendeley.com/documents/?uuid=242cb036-b3aa-3c2a-adbd-0bbd30424a08"]},{"id":"ITEM-2","itemData":{"DOI":"10.1053/j.gastro.2019.04.021","ISSN":"15280012","PMID":"31170412","abstract":"Background &amp; Aims: Exclusive enteral nutrition (EEN) is recommended for children with mild to moderate Crohn's disease (CD), but implementation is challenging. We compared EEN with the CD exclusion diet (CDED), a whole-food diet coupled with partial enteral nutrition (PEN), designed to reduce exposure to dietary components that have adverse effects on the microbiome and intestinal barrier. Methods: We performed a 12-week prospective trial of children with mild to moderate CD. The children were randomly assigned to a group that received CDED plus 50% of calories from formula (Modulen, Nestlé) for 6 weeks (stage 1) followed by CDED with 25% PEN from weeks 7 to 12 (stage 2) (n = 40, group 1) or a group that received EEN for 6 weeks followed by a free diet with 25% PEN from weeks 7 to 12 (n = 38, group 2). Patients were evaluated at baseline and weeks 3, 6, and 12 and laboratory tests were performed; 16S ribosomal RNA gene (V4V5) sequencing was performed on stool samples. The primary endpoint was dietary tolerance. Secondary endpoints were intention to treat (ITT) remission at week 6 (pediatric CD activity index score below 10) and corticosteroid-free ITT sustained remission at week 12. Results: Four patients withdrew from the study because of intolerance by 48 hours, 74 patients (mean age 14.2 ± 2.7 years) were included for remission analysis. The combination of CDED and PEN was tolerated in 39 children (97.5%), whereas EEN was tolerated by 28 children (73.6%) (P = .002; odds ratio for tolerance of CDED and PEN, 13.92; 95% confidence interval [CI] 1.68–115.14). At week 6, 30 (75%) of 40 children given CDED plus PEN were in corticosteroid-free remission vs 20 (59%) of 34 children given EEN (P = .38). At week 12, 28 (75.6%) of 37 children given CDED plus PEN were in corticosteroid-free remission compared with 14 (45.1%) of 31 children given EEN and then PEN (P = .01; odds ratio for remission in children given CDED and PEN, 3.77; CI 1.34–10.59). In children given CDED plus PEN, corticosteroid-free remission was associated with sustained reductions in inflammation (based on serum level of C-reactive protein and fecal level of calprotectin) and fecal Proteobacteria. Conclusion: CDED plus PEN was better tolerated than EEN in children with mild to moderate CD. Both diets were effective in inducing remission by week 6. The combination CDED plus PEN induced sustained remission in a significantly higher proportion of patients than EEN, and produced changes in the fe…","author":[{"dropping-particle":"","family":"Levine","given":"Arie","non-dropping-particle":"","parse-names":false,"suffix":""},{"dropping-particle":"","family":"Wine","given":"E.","non-dropping-particle":"","parse-names":false,"suffix":""},{"dropping-particle":"","family":"Assa","given":"Amit","non-dropping-particle":"","parse-names":false,"suffix":""},{"dropping-particle":"","family":"Sigall Boneh","given":"R.","non-dropping-particle":"","parse-names":false,"suffix":""},{"dropping-particle":"","family":"Shaoul","given":"Ron","non-dropping-particle":"","parse-names":false,"suffix":""},{"dropping-particle":"","family":"Kori","given":"Michal","non-dropping-particle":"","parse-names":false,"suffix":""},{"dropping-particle":"","family":"Cohen","given":"Shlomi","non-dropping-particle":"","parse-names":false,"suffix":""},{"dropping-particle":"","family":"Peleg","given":"S.","non-dropping-particle":"","parse-names":false,"suffix":""},{"dropping-particle":"","family":"Shamaly","given":"Hussein","non-dropping-particle":"","parse-names":false,"suffix":""},{"dropping-particle":"","family":"On","given":"Avi","non-dropping-particle":"","parse-names":false,"suffix":""},{"dropping-particle":"","family":"Millman","given":"Peri","non-dropping-particle":"","parse-names":false,"suffix":""},{"dropping-particle":"","family":"Abramas","given":"Lee","non-dropping-particle":"","parse-names":false,"suffix":""},{"dropping-particle":"","family":"Ziv-Baran","given":"T.","non-dropping-particle":"","parse-names":false,"suffix":""},{"dropping-particle":"","family":"Grant","given":"Shannan","non-dropping-particle":"","parse-names":false,"suffix":""},{"dropping-particle":"","family":"Abitbol","given":"G.","non-dropping-particle":"","parse-names":false,"suffix":""},{"dropping-particle":"","family":"Dunn","given":"Katherine A.","non-dropping-particle":"","parse-names":false,"suffix":""},{"dropping-particle":"","family":"Bielawski","given":"Joseph P.","non-dropping-particle":"","parse-names":false,"suffix":""},{"dropping-particle":"","family":"Limbergen","given":"J.","non-dropping-particle":"Van","parse-names":false,"suffix":""}],"container-title":"Gastroenterology","id":"ITEM-2","issue":"2","issued":{"date-parts":[["2019","8","1"]]},"page":"440-450.e8","publisher":"W.B. Saunders","title":"Crohn's Disease Exclusion Diet Plus Partial Enteral Nutrition Induces Sustained Remission in a Randomized Controlled Trial","type":"article-journal","volume":"157"},"uris":["http://www.mendeley.com/documents/?uuid=035e04ca-4add-3f58-8ffa-f1a631ccb31e"]},{"id":"ITEM-3","itemData":{"DOI":"10.1053/j.gastro.2018.12.002","ISSN":"1528-0012","PMID":"30550821","abstract":"BACKGROUND &amp; AIMS Exclusive enteral nutrition (EEN) is the only established dietary treatment for Crohn's disease (CD), but its acceptability is limited. There is a need for novel dietary treatments for CD. METHODS We evaluated the effects of an individualized, food-based diet (CD-TREAT), with similar composition to EEN, on the gut microbiome, inflammation and clinical response in a rat model, healthy adults, and children with relapsing CD. Twenty-five healthy adults randomly received EEN or CD-TREAT for 7 days, followed by a 14-day washout period, followed by the alternate diet. Fecal microbiome and metabolome were assessed before and after each diet. HLA-B7 and HLA-B27 transgenic rats with gut inflammation received EEN, CD-TREAT, or standard chow for 4 weeks. Fecal, luminal and tissue microbiome, fecal metabolites and gut inflammation were assessed. Five children received CD-TREAT with clinical activity and fecal calprotectin evaluated after 8-week treatment. RESULTS Among healthy adults, CD-TREAT was easier to comply with and more acceptable than EEN. CD-TREAT induced similar effects to EEN (EEN vs CD-TREAT) on fecal microbiome composition, metabolome, mean total sulfide (increase 133.0±80.5 vs 54.3±47.0 nmol/g), pH (increase 1.3±0.5 vs 0.9±0.6), the short-chain fatty acids (μmol/g) acetate (decrease 27.4±22.6 vs 21.6±20.4), propionate (decrease 5.7±7.8 vs 5.2±7.9), and butyrate (decrease 7.0±7.4 vs 10.2±8.5). In the rat model, CD-TREAT and EEN produced similar changes in bacterial load (decrease 0.3±0.3 log10 16S rRNA gene copies/g), short-chain fatty acids, microbiome, and ileitis severity (mean histopathology score reductions 1.25 for EEN (P=.015) and 1.0 for CD-TREAT (P=.044) vs chow). Among the children receiving CD-TREAT, 4 (80%) had a clinical response and 3 (60%) entered remission, with significant concurrent reductions in fecal calprotectin (mean decrease 918±555 mg/kg, (P=.002)). CONCLUSION CD-TREAT replicates EEN changes in the microbiome, reduces gut inflammation, is well-tolerated and is potentially effective in patients with active CD.","author":[{"dropping-particle":"","family":"Svolos","given":"V","non-dropping-particle":"","parse-names":false,"suffix":""},{"dropping-particle":"","family":"Hansen","given":"R","non-dropping-particle":"","parse-names":false,"suffix":""},{"dropping-particle":"","family":"Nichols","given":"B","non-dropping-particle":"","parse-names":false,"suffix":""},{"dropping-particle":"","family":"Quince","given":"C","non-dropping-particle":"","parse-names":false,"suffix":""},{"dropping-particle":"","family":"Ijaz","given":"U Z","non-dropping-particle":"","parse-names":false,"suffix":""},{"dropping-particle":"","family":"Papadopoulou","given":"R T","non-dropping-particle":"","parse-names":false,"suffix":""},{"dropping-particle":"","family":"Edwards","given":"C A","non-dropping-particle":"","parse-names":false,"suffix":""},{"dropping-particle":"","family":"Watson","given":"D","non-dropping-particle":"","parse-names":false,"suffix":""},{"dropping-particle":"","family":"Alghamdi","given":"A","non-dropping-particle":"","parse-names":false,"suffix":""},{"dropping-particle":"","family":"Brejnrod","given":"A","non-dropping-particle":"","parse-names":false,"suffix":""},{"dropping-particle":"","family":"Ansalone","given":"C","non-dropping-particle":"","parse-names":false,"suffix":""},{"dropping-particle":"","family":"Duncan","given":"H","non-dropping-particle":"","parse-names":false,"suffix":""},{"dropping-particle":"","family":"Gervais","given":"L","non-dropping-particle":"","parse-names":false,"suffix":""},{"dropping-particle":"","family":"Tayler","given":"R","non-dropping-particle":"","parse-names":false,"suffix":""},{"dropping-particle":"","family":"Salmond","given":"J","non-dropping-particle":"","parse-names":false,"suffix":""},{"dropping-particle":"","family":"Bolognini","given":"D","non-dropping-particle":"","parse-names":false,"suffix":""},{"dropping-particle":"","family":"Klopfleisch","given":"R","non-dropping-particle":"","parse-names":false,"suffix":""},{"dropping-particle":"","family":"Gaya","given":"D R","non-dropping-particle":"","parse-names":false,"suffix":""},{"dropping-particle":"","family":"Milling","given":"S","non-dropping-particle":"","parse-names":false,"suffix":""},{"dropping-particle":"","family":"Russell","given":"R K","non-dropping-particle":"","parse-names":false,"suffix":""},{"dropping-particle":"","family":"Gerasimidis","given":"K","non-dropping-particle":"","parse-names":false,"suffix":""}],"container-title":"Gastroenterology","id":"ITEM-3","issue":"5","issued":{"date-parts":[["2019","12","11"]]},"page":"1354-1367","publisher":"Elsevier","title":"Treatment of Active Crohn's Disease With an Ordinary Food-based Diet That Replicates Exclusive Enteral Nutrition.","type":"article-journal","volume":"156"},"uris":["http://www.mendeley.com/documents/?uuid=54ff5f05-0826-3e9c-9a72-be60a5ca3f7a"]}],"mendeley":{"formattedCitation":"&lt;sup&gt;12–14&lt;/sup&gt;","plainTextFormattedCitation":"12–14","previouslyFormattedCitation":"&lt;sup&gt;12–14&lt;/sup&gt;"},"properties":{"noteIndex":0},"schema":"https://github.com/citation-style-language/schema/raw/master/csl-citation.json"}</w:instrText>
      </w:r>
      <w:r w:rsidR="0019138A">
        <w:rPr>
          <w:sz w:val="24"/>
          <w:szCs w:val="24"/>
        </w:rPr>
        <w:fldChar w:fldCharType="separate"/>
      </w:r>
      <w:r w:rsidR="00386751" w:rsidRPr="00386751">
        <w:rPr>
          <w:noProof/>
          <w:sz w:val="24"/>
          <w:szCs w:val="24"/>
          <w:vertAlign w:val="superscript"/>
        </w:rPr>
        <w:t>12–14</w:t>
      </w:r>
      <w:r w:rsidR="0019138A">
        <w:rPr>
          <w:sz w:val="24"/>
          <w:szCs w:val="24"/>
        </w:rPr>
        <w:fldChar w:fldCharType="end"/>
      </w:r>
      <w:r w:rsidR="0019138A">
        <w:rPr>
          <w:sz w:val="24"/>
          <w:szCs w:val="24"/>
        </w:rPr>
        <w:t>.</w:t>
      </w:r>
      <w:r>
        <w:rPr>
          <w:sz w:val="24"/>
          <w:szCs w:val="24"/>
        </w:rPr>
        <w:t xml:space="preserve"> </w:t>
      </w:r>
      <w:r w:rsidR="00382245">
        <w:rPr>
          <w:sz w:val="24"/>
          <w:szCs w:val="24"/>
        </w:rPr>
        <w:t>I</w:t>
      </w:r>
      <w:r w:rsidR="002610D9">
        <w:rPr>
          <w:sz w:val="24"/>
          <w:szCs w:val="24"/>
        </w:rPr>
        <w:t>t is increasingly evident that obesity is a problem in IBD patients, resulting in poorer outcomes and increased incidence of additional non-communicable disease</w:t>
      </w:r>
      <w:r w:rsidR="002610D9">
        <w:rPr>
          <w:sz w:val="24"/>
          <w:szCs w:val="24"/>
        </w:rPr>
        <w:fldChar w:fldCharType="begin" w:fldLock="1"/>
      </w:r>
      <w:r w:rsidR="009B2D52">
        <w:rPr>
          <w:sz w:val="24"/>
          <w:szCs w:val="24"/>
        </w:rPr>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mendeley":{"formattedCitation":"&lt;sup&gt;15&lt;/sup&gt;","plainTextFormattedCitation":"15","previouslyFormattedCitation":"&lt;sup&gt;15&lt;/sup&gt;"},"properties":{"noteIndex":0},"schema":"https://github.com/citation-style-language/schema/raw/master/csl-citation.json"}</w:instrText>
      </w:r>
      <w:r w:rsidR="002610D9">
        <w:rPr>
          <w:sz w:val="24"/>
          <w:szCs w:val="24"/>
        </w:rPr>
        <w:fldChar w:fldCharType="separate"/>
      </w:r>
      <w:r w:rsidR="00386751" w:rsidRPr="00386751">
        <w:rPr>
          <w:noProof/>
          <w:sz w:val="24"/>
          <w:szCs w:val="24"/>
          <w:vertAlign w:val="superscript"/>
        </w:rPr>
        <w:t>15</w:t>
      </w:r>
      <w:r w:rsidR="002610D9">
        <w:rPr>
          <w:sz w:val="24"/>
          <w:szCs w:val="24"/>
        </w:rPr>
        <w:fldChar w:fldCharType="end"/>
      </w:r>
      <w:r w:rsidR="002610D9">
        <w:rPr>
          <w:sz w:val="24"/>
          <w:szCs w:val="24"/>
        </w:rPr>
        <w:t xml:space="preserve">. Whilst simple anthropometry remains a key tool in nutritional assessment we </w:t>
      </w:r>
      <w:r w:rsidR="00144F10">
        <w:rPr>
          <w:sz w:val="24"/>
          <w:szCs w:val="24"/>
        </w:rPr>
        <w:t>need to b</w:t>
      </w:r>
      <w:r w:rsidR="002610D9">
        <w:rPr>
          <w:sz w:val="24"/>
          <w:szCs w:val="24"/>
        </w:rPr>
        <w:t>e looking towards routine measures of body composition</w:t>
      </w:r>
      <w:r w:rsidR="007C0499">
        <w:rPr>
          <w:sz w:val="24"/>
          <w:szCs w:val="24"/>
        </w:rPr>
        <w:t xml:space="preserve"> </w:t>
      </w:r>
      <w:r w:rsidR="002610D9">
        <w:rPr>
          <w:sz w:val="24"/>
          <w:szCs w:val="24"/>
        </w:rPr>
        <w:t>to better characterise patients, identify sarcopenia</w:t>
      </w:r>
      <w:r w:rsidR="0073315E">
        <w:rPr>
          <w:sz w:val="24"/>
          <w:szCs w:val="24"/>
        </w:rPr>
        <w:t>, in thin and overweight children,</w:t>
      </w:r>
      <w:r w:rsidR="002610D9">
        <w:rPr>
          <w:sz w:val="24"/>
          <w:szCs w:val="24"/>
        </w:rPr>
        <w:t xml:space="preserve"> </w:t>
      </w:r>
      <w:r w:rsidR="0073315E">
        <w:rPr>
          <w:sz w:val="24"/>
          <w:szCs w:val="24"/>
        </w:rPr>
        <w:t xml:space="preserve">providing individualised </w:t>
      </w:r>
      <w:r w:rsidR="002610D9">
        <w:rPr>
          <w:sz w:val="24"/>
          <w:szCs w:val="24"/>
        </w:rPr>
        <w:t>nutritional interventions</w:t>
      </w:r>
      <w:r>
        <w:rPr>
          <w:sz w:val="24"/>
          <w:szCs w:val="24"/>
        </w:rPr>
        <w:t xml:space="preserve"> to those with body composition abnormalities</w:t>
      </w:r>
      <w:r w:rsidR="002610D9">
        <w:rPr>
          <w:sz w:val="24"/>
          <w:szCs w:val="24"/>
        </w:rPr>
        <w:fldChar w:fldCharType="begin" w:fldLock="1"/>
      </w:r>
      <w:r w:rsidR="00386751">
        <w:rPr>
          <w:sz w:val="24"/>
          <w:szCs w:val="24"/>
        </w:rPr>
        <w:instrText>ADDIN CSL_CITATION {"citationItems":[{"id":"ITEM-1","itemData":{"DOI":"10.1016/j.clnu.2020.03.034","ISSN":"15321983","PMID":"32331855","author":[{"dropping-particle":"","family":"Ashton","given":"James J.","non-dropping-particle":"","parse-names":false,"suffix":""},{"dropping-particle":"","family":"Green","given":"Zachary","non-dropping-particle":"","parse-names":false,"suffix":""},{"dropping-particle":"","family":"Beattie","given":"R. Mark","non-dropping-particle":"","parse-names":false,"suffix":""}],"container-title":"Clinical Nutrition","id":"ITEM-1","issue":"6","issued":{"date-parts":[["2020"]]},"publisher":"Churchill Livingstone","title":"Beyond bedside measures of malnutrition in paediatric Crohn's disease – Should we be thinking of sarcopenia","type":"article","volume":"39"},"uris":["http://www.mendeley.com/documents/?uuid=963140c6-3781-38d6-b6d5-dde06d183455"]}],"mendeley":{"formattedCitation":"&lt;sup&gt;6&lt;/sup&gt;","plainTextFormattedCitation":"6","previouslyFormattedCitation":"&lt;sup&gt;6&lt;/sup&gt;"},"properties":{"noteIndex":0},"schema":"https://github.com/citation-style-language/schema/raw/master/csl-citation.json"}</w:instrText>
      </w:r>
      <w:r w:rsidR="002610D9">
        <w:rPr>
          <w:sz w:val="24"/>
          <w:szCs w:val="24"/>
        </w:rPr>
        <w:fldChar w:fldCharType="separate"/>
      </w:r>
      <w:r w:rsidRPr="00627AB5">
        <w:rPr>
          <w:noProof/>
          <w:sz w:val="24"/>
          <w:szCs w:val="24"/>
          <w:vertAlign w:val="superscript"/>
        </w:rPr>
        <w:t>6</w:t>
      </w:r>
      <w:r w:rsidR="002610D9">
        <w:rPr>
          <w:sz w:val="24"/>
          <w:szCs w:val="24"/>
        </w:rPr>
        <w:fldChar w:fldCharType="end"/>
      </w:r>
      <w:r w:rsidR="002610D9">
        <w:rPr>
          <w:sz w:val="24"/>
          <w:szCs w:val="24"/>
        </w:rPr>
        <w:t xml:space="preserve">. </w:t>
      </w:r>
    </w:p>
    <w:p w14:paraId="321FBE8E" w14:textId="4F30C3C0" w:rsidR="009134B8" w:rsidRDefault="002610D9" w:rsidP="009134B8">
      <w:pPr>
        <w:spacing w:line="480" w:lineRule="auto"/>
        <w:rPr>
          <w:sz w:val="24"/>
          <w:szCs w:val="24"/>
        </w:rPr>
      </w:pPr>
      <w:r>
        <w:rPr>
          <w:sz w:val="24"/>
          <w:szCs w:val="24"/>
        </w:rPr>
        <w:t xml:space="preserve">Within this study we aimed to use MRI scans routinely performed on paediatric patients with </w:t>
      </w:r>
      <w:r w:rsidR="00035B79">
        <w:rPr>
          <w:sz w:val="24"/>
          <w:szCs w:val="24"/>
        </w:rPr>
        <w:t>Crohn’s disease</w:t>
      </w:r>
      <w:r>
        <w:rPr>
          <w:sz w:val="24"/>
          <w:szCs w:val="24"/>
        </w:rPr>
        <w:t xml:space="preserve"> to establish </w:t>
      </w:r>
      <w:r w:rsidR="00382245">
        <w:rPr>
          <w:sz w:val="24"/>
          <w:szCs w:val="24"/>
        </w:rPr>
        <w:t xml:space="preserve">feasibility </w:t>
      </w:r>
      <w:r>
        <w:rPr>
          <w:sz w:val="24"/>
          <w:szCs w:val="24"/>
        </w:rPr>
        <w:t xml:space="preserve">of psoas muscle </w:t>
      </w:r>
      <w:r w:rsidR="00382245">
        <w:rPr>
          <w:sz w:val="24"/>
          <w:szCs w:val="24"/>
        </w:rPr>
        <w:t>cross-sectional area</w:t>
      </w:r>
      <w:r>
        <w:rPr>
          <w:sz w:val="24"/>
          <w:szCs w:val="24"/>
        </w:rPr>
        <w:t xml:space="preserve"> calculation</w:t>
      </w:r>
      <w:r w:rsidR="00255ED0">
        <w:rPr>
          <w:sz w:val="24"/>
          <w:szCs w:val="24"/>
        </w:rPr>
        <w:t>. We aimed</w:t>
      </w:r>
      <w:r w:rsidR="00553576">
        <w:rPr>
          <w:sz w:val="24"/>
          <w:szCs w:val="24"/>
        </w:rPr>
        <w:t xml:space="preserve"> </w:t>
      </w:r>
      <w:r w:rsidR="00386751" w:rsidRPr="00386751">
        <w:rPr>
          <w:sz w:val="24"/>
          <w:szCs w:val="24"/>
        </w:rPr>
        <w:t xml:space="preserve">to establish a </w:t>
      </w:r>
      <w:r w:rsidR="00386751">
        <w:rPr>
          <w:sz w:val="24"/>
          <w:szCs w:val="24"/>
        </w:rPr>
        <w:t>methodology for assessment of</w:t>
      </w:r>
      <w:r w:rsidR="00386751" w:rsidRPr="00386751">
        <w:rPr>
          <w:sz w:val="24"/>
          <w:szCs w:val="24"/>
        </w:rPr>
        <w:t xml:space="preserve"> body composition as part of routine follow</w:t>
      </w:r>
      <w:r w:rsidR="00386751">
        <w:rPr>
          <w:sz w:val="24"/>
          <w:szCs w:val="24"/>
        </w:rPr>
        <w:t>-up</w:t>
      </w:r>
      <w:r w:rsidR="00AC749E">
        <w:rPr>
          <w:sz w:val="24"/>
          <w:szCs w:val="24"/>
        </w:rPr>
        <w:t>. Additionally,</w:t>
      </w:r>
      <w:r w:rsidR="00386751">
        <w:rPr>
          <w:sz w:val="24"/>
          <w:szCs w:val="24"/>
        </w:rPr>
        <w:t xml:space="preserve"> we</w:t>
      </w:r>
      <w:r>
        <w:rPr>
          <w:sz w:val="24"/>
          <w:szCs w:val="24"/>
        </w:rPr>
        <w:t xml:space="preserve"> </w:t>
      </w:r>
      <w:r w:rsidR="00D56394">
        <w:rPr>
          <w:sz w:val="24"/>
          <w:szCs w:val="24"/>
        </w:rPr>
        <w:t xml:space="preserve">aimed to relate </w:t>
      </w:r>
      <w:r w:rsidR="00382245">
        <w:rPr>
          <w:sz w:val="24"/>
          <w:szCs w:val="24"/>
        </w:rPr>
        <w:t>psoas cross-sectional area</w:t>
      </w:r>
      <w:r w:rsidR="00D56394">
        <w:rPr>
          <w:sz w:val="24"/>
          <w:szCs w:val="24"/>
        </w:rPr>
        <w:t xml:space="preserve"> to </w:t>
      </w:r>
      <w:r w:rsidR="00382245">
        <w:rPr>
          <w:sz w:val="24"/>
          <w:szCs w:val="24"/>
        </w:rPr>
        <w:t xml:space="preserve">anthropometric and bioelectrical impedance </w:t>
      </w:r>
      <w:r w:rsidR="0073315E">
        <w:rPr>
          <w:sz w:val="24"/>
          <w:szCs w:val="24"/>
        </w:rPr>
        <w:t xml:space="preserve">spectroscopy </w:t>
      </w:r>
      <w:r w:rsidR="00382245">
        <w:rPr>
          <w:sz w:val="24"/>
          <w:szCs w:val="24"/>
        </w:rPr>
        <w:t>(BI</w:t>
      </w:r>
      <w:r w:rsidR="0073315E">
        <w:rPr>
          <w:sz w:val="24"/>
          <w:szCs w:val="24"/>
        </w:rPr>
        <w:t>S</w:t>
      </w:r>
      <w:r w:rsidR="00382245">
        <w:rPr>
          <w:sz w:val="24"/>
          <w:szCs w:val="24"/>
        </w:rPr>
        <w:t>) measures</w:t>
      </w:r>
      <w:r w:rsidR="00386751">
        <w:rPr>
          <w:sz w:val="24"/>
          <w:szCs w:val="24"/>
        </w:rPr>
        <w:t xml:space="preserve"> in children with Crohn’s disease</w:t>
      </w:r>
      <w:r w:rsidR="00382245">
        <w:rPr>
          <w:sz w:val="24"/>
          <w:szCs w:val="24"/>
        </w:rPr>
        <w:t>.</w:t>
      </w:r>
    </w:p>
    <w:p w14:paraId="06DE15E5" w14:textId="77777777" w:rsidR="00E802B9" w:rsidRDefault="00E802B9" w:rsidP="009134B8">
      <w:pPr>
        <w:spacing w:line="480" w:lineRule="auto"/>
        <w:rPr>
          <w:sz w:val="24"/>
          <w:szCs w:val="24"/>
        </w:rPr>
      </w:pPr>
    </w:p>
    <w:p w14:paraId="10FAB089" w14:textId="77777777" w:rsidR="00E802B9" w:rsidRDefault="00E802B9" w:rsidP="009134B8">
      <w:pPr>
        <w:spacing w:line="480" w:lineRule="auto"/>
        <w:rPr>
          <w:sz w:val="24"/>
          <w:szCs w:val="24"/>
        </w:rPr>
      </w:pPr>
    </w:p>
    <w:p w14:paraId="7C53300A" w14:textId="77777777" w:rsidR="00E802B9" w:rsidRDefault="00E802B9" w:rsidP="009134B8">
      <w:pPr>
        <w:spacing w:line="480" w:lineRule="auto"/>
        <w:rPr>
          <w:sz w:val="24"/>
          <w:szCs w:val="24"/>
        </w:rPr>
      </w:pPr>
    </w:p>
    <w:p w14:paraId="1E66D949" w14:textId="77777777" w:rsidR="00E802B9" w:rsidRDefault="00E802B9" w:rsidP="009134B8">
      <w:pPr>
        <w:spacing w:line="480" w:lineRule="auto"/>
        <w:rPr>
          <w:sz w:val="24"/>
          <w:szCs w:val="24"/>
        </w:rPr>
      </w:pPr>
    </w:p>
    <w:p w14:paraId="6AAA7D7D" w14:textId="77777777" w:rsidR="00E802B9" w:rsidRDefault="00E802B9" w:rsidP="009134B8">
      <w:pPr>
        <w:spacing w:line="480" w:lineRule="auto"/>
        <w:rPr>
          <w:sz w:val="24"/>
          <w:szCs w:val="24"/>
        </w:rPr>
      </w:pPr>
    </w:p>
    <w:p w14:paraId="299D188D" w14:textId="77777777" w:rsidR="00E802B9" w:rsidRDefault="00E802B9" w:rsidP="009134B8">
      <w:pPr>
        <w:spacing w:line="480" w:lineRule="auto"/>
        <w:rPr>
          <w:sz w:val="24"/>
          <w:szCs w:val="24"/>
        </w:rPr>
      </w:pPr>
    </w:p>
    <w:p w14:paraId="4252EB77" w14:textId="77777777" w:rsidR="00E83748" w:rsidRPr="008D7EED" w:rsidRDefault="00E83748" w:rsidP="008D7EED">
      <w:pPr>
        <w:spacing w:line="480" w:lineRule="auto"/>
        <w:rPr>
          <w:b/>
          <w:bCs/>
          <w:sz w:val="24"/>
          <w:szCs w:val="24"/>
          <w:u w:val="single"/>
        </w:rPr>
      </w:pPr>
      <w:r w:rsidRPr="008D7EED">
        <w:rPr>
          <w:b/>
          <w:bCs/>
          <w:sz w:val="24"/>
          <w:szCs w:val="24"/>
          <w:u w:val="single"/>
        </w:rPr>
        <w:lastRenderedPageBreak/>
        <w:t>Methods</w:t>
      </w:r>
    </w:p>
    <w:p w14:paraId="0220126B" w14:textId="368FB455" w:rsidR="00E83748" w:rsidRPr="008D7EED" w:rsidRDefault="00FE3777" w:rsidP="008D7EED">
      <w:pPr>
        <w:spacing w:line="480" w:lineRule="auto"/>
        <w:rPr>
          <w:sz w:val="24"/>
          <w:szCs w:val="24"/>
        </w:rPr>
      </w:pPr>
      <w:bookmarkStart w:id="2" w:name="_Hlk52202389"/>
      <w:r w:rsidRPr="008D7EED">
        <w:rPr>
          <w:sz w:val="24"/>
          <w:szCs w:val="24"/>
        </w:rPr>
        <w:t>Patients were recruited</w:t>
      </w:r>
      <w:r w:rsidR="009060C1">
        <w:rPr>
          <w:sz w:val="24"/>
          <w:szCs w:val="24"/>
        </w:rPr>
        <w:t xml:space="preserve"> </w:t>
      </w:r>
      <w:r w:rsidRPr="008D7EED">
        <w:rPr>
          <w:sz w:val="24"/>
          <w:szCs w:val="24"/>
        </w:rPr>
        <w:t xml:space="preserve">from </w:t>
      </w:r>
      <w:r w:rsidR="00BA535B" w:rsidRPr="008D7EED">
        <w:rPr>
          <w:sz w:val="24"/>
          <w:szCs w:val="24"/>
        </w:rPr>
        <w:t xml:space="preserve">the paediatric gastroenterology service at </w:t>
      </w:r>
      <w:r w:rsidRPr="008D7EED">
        <w:rPr>
          <w:sz w:val="24"/>
          <w:szCs w:val="24"/>
        </w:rPr>
        <w:t>Southampton Children’s Hospital</w:t>
      </w:r>
      <w:r w:rsidR="00BA535B" w:rsidRPr="008D7EED">
        <w:rPr>
          <w:sz w:val="24"/>
          <w:szCs w:val="24"/>
        </w:rPr>
        <w:t xml:space="preserve">. To be included patients had to have a diagnosis of </w:t>
      </w:r>
      <w:r w:rsidR="00035B79">
        <w:rPr>
          <w:sz w:val="24"/>
          <w:szCs w:val="24"/>
        </w:rPr>
        <w:t>Crohn’s disease</w:t>
      </w:r>
      <w:r w:rsidR="00BA535B" w:rsidRPr="008D7EED">
        <w:rPr>
          <w:sz w:val="24"/>
          <w:szCs w:val="24"/>
        </w:rPr>
        <w:t xml:space="preserve"> in line with the modified Porto criteria</w:t>
      </w:r>
      <w:r w:rsidR="00BA535B" w:rsidRPr="008D7EED">
        <w:rPr>
          <w:sz w:val="24"/>
          <w:szCs w:val="24"/>
        </w:rPr>
        <w:fldChar w:fldCharType="begin" w:fldLock="1"/>
      </w:r>
      <w:r w:rsidR="009B2D52">
        <w:rPr>
          <w:sz w:val="24"/>
          <w:szCs w:val="24"/>
        </w:rPr>
        <w:instrText>ADDIN CSL_CITATION {"citationItems":[{"id":"ITEM-1","itemData":{"DOI":"10.1097/MPG.0000000000000239","ISBN":"0000000000000","ISSN":"1536-4801","PMID":"24231644","abstract":"BACKGROUND: The diagnosis of pediatric-onset inflammatory bowel disease (PIBD) can be challenging in choosing the most informative diagnostic tests and correctly classifying PIBD into its different subtypes. Recent advances in our understanding of the natural history and phenotype of PIBD, increasing availability of serological and fecal biomarkers, and the emergence of novel endoscopic and imaging technologies taken together have made the previous Porto criteria for the diagnosis of PIBD obsolete.\\n\\nMETHODS: We aimed to revise the original Porto criteria using an evidence-based approach and consensus process to yield specific practice recommendations for the diagnosis of PIBD. These revised criteria are based on the Paris classification of PIBD and the original Porto criteria while incorporating novel data, such as for serum and fecal biomarkers. A consensus of at least 80% of participants was achieved for all recommendations and the summary algorithm.\\n\\nRESULTS: The revised criteria depart from existing criteria by defining 2 categories of ulcerative colitis (UC, typical and atypical); atypical phenotypes of UC should be treated as UC. A novel approach based on multiple criteria for diagnosing IBD-unclassified (IBD-U) is proposed. Specifically, these revised criteria recommend upper gastrointestinal endoscopy and ileocolonscopy for all suspected patients with PIBD, with small bowel imaging (unless typical UC after endoscopy and histology) by magnetic resonance enterography or wireless capsule endoscopy.\\n\\nCONCLUSIONS: These revised Porto criteria for the diagnosis of PIBD have been developed to meet present challenges and developments in PIBD and provide up-to-date guidelines for the definition and diagnosis of the IBD spectrum.","author":[{"dropping-particle":"","family":"Levine","given":"Arie","non-dropping-particle":"","parse-names":false,"suffix":""},{"dropping-particle":"","family":"Koletzko","given":"Sibylle","non-dropping-particle":"","parse-names":false,"suffix":""},{"dropping-particle":"","family":"Turner","given":"Dan","non-dropping-particle":"","parse-names":false,"suffix":""},{"dropping-particle":"","family":"Escher","given":"Johanna C","non-dropping-particle":"","parse-names":false,"suffix":""},{"dropping-particle":"","family":"Cucchiara","given":"Salvatore","non-dropping-particle":"","parse-names":false,"suffix":""},{"dropping-particle":"","family":"Ridder","given":"Lissy","non-dropping-particle":"de","parse-names":false,"suffix":""},{"dropping-particle":"","family":"Kolho","given":"Kaija-Leena","non-dropping-particle":"","parse-names":false,"suffix":""},{"dropping-particle":"","family":"Veres","given":"Gabor","non-dropping-particle":"","parse-names":false,"suffix":""},{"dropping-particle":"","family":"Russell","given":"Richard K","non-dropping-particle":"","parse-names":false,"suffix":""},{"dropping-particle":"","family":"Paerregaard","given":"Anders","non-dropping-particle":"","parse-names":false,"suffix":""},{"dropping-particle":"","family":"Buderus","given":"Stephan","non-dropping-particle":"","parse-names":false,"suffix":""},{"dropping-particle":"","family":"Greer","given":"Mary-Louise C","non-dropping-particle":"","parse-names":false,"suffix":""},{"dropping-particle":"","family":"Dias","given":"Jorge a","non-dropping-particle":"","parse-names":false,"suffix":""},{"dropping-particle":"","family":"Veereman-Wauters","given":"Gigi","non-dropping-particle":"","parse-names":false,"suffix":""},{"dropping-particle":"","family":"Lionetti","given":"Paolo","non-dropping-particle":"","parse-names":false,"suffix":""},{"dropping-particle":"","family":"Sladek","given":"Malgorzata","non-dropping-particle":"","parse-names":false,"suffix":""},{"dropping-particle":"","family":"Martin de Carpi","given":"Javier","non-dropping-particle":"","parse-names":false,"suffix":""},{"dropping-particle":"","family":"Staiano","given":"Annamaria","non-dropping-particle":"","parse-names":false,"suffix":""},{"dropping-particle":"","family":"Ruemmele","given":"Frank M","non-dropping-particle":"","parse-names":false,"suffix":""},{"dropping-particle":"","family":"Wilson","given":"David C","non-dropping-particle":"","parse-names":false,"suffix":""}],"container-title":"Journal of pediatric gastroenterology and nutrition","id":"ITEM-1","issue":"6","issued":{"date-parts":[["2014"]]},"page":"795-806","title":"ESPGHAN revised porto criteria for the diagnosis of inflammatory bowel disease in children and adolescents.","type":"article-journal","volume":"58"},"uris":["http://www.mendeley.com/documents/?uuid=0dbf1d52-7d9a-3316-8b45-b430dd316e12"]}],"mendeley":{"formattedCitation":"&lt;sup&gt;16&lt;/sup&gt;","plainTextFormattedCitation":"16","previouslyFormattedCitation":"&lt;sup&gt;16&lt;/sup&gt;"},"properties":{"noteIndex":0},"schema":"https://github.com/citation-style-language/schema/raw/master/csl-citation.json"}</w:instrText>
      </w:r>
      <w:r w:rsidR="00BA535B" w:rsidRPr="008D7EED">
        <w:rPr>
          <w:sz w:val="24"/>
          <w:szCs w:val="24"/>
        </w:rPr>
        <w:fldChar w:fldCharType="separate"/>
      </w:r>
      <w:r w:rsidR="00386751" w:rsidRPr="00386751">
        <w:rPr>
          <w:noProof/>
          <w:sz w:val="24"/>
          <w:szCs w:val="24"/>
          <w:vertAlign w:val="superscript"/>
        </w:rPr>
        <w:t>16</w:t>
      </w:r>
      <w:r w:rsidR="00BA535B" w:rsidRPr="008D7EED">
        <w:rPr>
          <w:sz w:val="24"/>
          <w:szCs w:val="24"/>
        </w:rPr>
        <w:fldChar w:fldCharType="end"/>
      </w:r>
      <w:r w:rsidR="00BA535B" w:rsidRPr="008D7EED">
        <w:rPr>
          <w:sz w:val="24"/>
          <w:szCs w:val="24"/>
        </w:rPr>
        <w:t xml:space="preserve">, be aged under 18 years of age and be attending routine appointments at Southampton Children’s Hospital. All patients, or parents, gave informed consent. </w:t>
      </w:r>
    </w:p>
    <w:p w14:paraId="236F52B6" w14:textId="057CE710" w:rsidR="00BA535B" w:rsidRPr="008D7EED" w:rsidRDefault="000179CD" w:rsidP="008D7EED">
      <w:pPr>
        <w:spacing w:line="480" w:lineRule="auto"/>
        <w:rPr>
          <w:sz w:val="24"/>
          <w:szCs w:val="24"/>
          <w:u w:val="single"/>
        </w:rPr>
      </w:pPr>
      <w:r w:rsidRPr="008D7EED">
        <w:rPr>
          <w:sz w:val="24"/>
          <w:szCs w:val="24"/>
          <w:u w:val="single"/>
        </w:rPr>
        <w:t xml:space="preserve">MRI scans </w:t>
      </w:r>
    </w:p>
    <w:p w14:paraId="00C4E0AC" w14:textId="131677AC" w:rsidR="000179CD" w:rsidRPr="008D7EED" w:rsidRDefault="00CD48D5" w:rsidP="008D7EED">
      <w:pPr>
        <w:spacing w:line="480" w:lineRule="auto"/>
        <w:rPr>
          <w:sz w:val="24"/>
          <w:szCs w:val="24"/>
        </w:rPr>
      </w:pPr>
      <w:r w:rsidRPr="008D7EED">
        <w:rPr>
          <w:sz w:val="24"/>
          <w:szCs w:val="24"/>
        </w:rPr>
        <w:t xml:space="preserve">Patients who had undergone a routine MRI scan within 4 months of </w:t>
      </w:r>
      <w:r w:rsidR="007C0499">
        <w:rPr>
          <w:sz w:val="24"/>
          <w:szCs w:val="24"/>
        </w:rPr>
        <w:t xml:space="preserve">measurement of bioelectrical </w:t>
      </w:r>
      <w:r w:rsidR="00E91623">
        <w:rPr>
          <w:sz w:val="24"/>
          <w:szCs w:val="24"/>
        </w:rPr>
        <w:t>impedance</w:t>
      </w:r>
      <w:r w:rsidRPr="008D7EED">
        <w:rPr>
          <w:sz w:val="24"/>
          <w:szCs w:val="24"/>
        </w:rPr>
        <w:t xml:space="preserve"> were </w:t>
      </w:r>
      <w:r w:rsidR="007C0499">
        <w:rPr>
          <w:sz w:val="24"/>
          <w:szCs w:val="24"/>
        </w:rPr>
        <w:t>included</w:t>
      </w:r>
      <w:r w:rsidRPr="008D7EED">
        <w:rPr>
          <w:sz w:val="24"/>
          <w:szCs w:val="24"/>
        </w:rPr>
        <w:t xml:space="preserve"> in the analysis. </w:t>
      </w:r>
      <w:bookmarkStart w:id="3" w:name="_Hlk61948756"/>
      <w:r w:rsidR="00C653B9">
        <w:rPr>
          <w:sz w:val="24"/>
          <w:szCs w:val="24"/>
        </w:rPr>
        <w:t xml:space="preserve">Four months was used as a pragmatic time interval that would not reflect significant changes in muscle mass in clinically stable patients. </w:t>
      </w:r>
      <w:bookmarkEnd w:id="3"/>
      <w:r w:rsidRPr="008D7EED">
        <w:rPr>
          <w:sz w:val="24"/>
          <w:szCs w:val="24"/>
        </w:rPr>
        <w:t xml:space="preserve">The MRI must have included the L3 segment of the psoas muscle and therefore was restricted to small bowel and pelvic MRIs. </w:t>
      </w:r>
    </w:p>
    <w:p w14:paraId="238F0F89" w14:textId="4AF8B0C3" w:rsidR="007B07EB" w:rsidRDefault="007B07EB" w:rsidP="008D7EED">
      <w:pPr>
        <w:spacing w:line="480" w:lineRule="auto"/>
        <w:rPr>
          <w:sz w:val="24"/>
          <w:szCs w:val="24"/>
          <w:u w:val="single"/>
        </w:rPr>
      </w:pPr>
      <w:r>
        <w:rPr>
          <w:sz w:val="24"/>
          <w:szCs w:val="24"/>
          <w:u w:val="single"/>
        </w:rPr>
        <w:t>Bioelectrical impedance</w:t>
      </w:r>
      <w:r w:rsidR="0073315E">
        <w:rPr>
          <w:sz w:val="24"/>
          <w:szCs w:val="24"/>
          <w:u w:val="single"/>
        </w:rPr>
        <w:t xml:space="preserve"> spectroscopy</w:t>
      </w:r>
      <w:r>
        <w:rPr>
          <w:sz w:val="24"/>
          <w:szCs w:val="24"/>
          <w:u w:val="single"/>
        </w:rPr>
        <w:t xml:space="preserve"> measurement</w:t>
      </w:r>
      <w:r w:rsidR="009E55EC">
        <w:rPr>
          <w:sz w:val="24"/>
          <w:szCs w:val="24"/>
          <w:u w:val="single"/>
        </w:rPr>
        <w:t>s</w:t>
      </w:r>
    </w:p>
    <w:p w14:paraId="21D45B97" w14:textId="682DBC79" w:rsidR="007B07EB" w:rsidRPr="007C0499" w:rsidRDefault="007B07EB" w:rsidP="008D7EED">
      <w:pPr>
        <w:spacing w:line="480" w:lineRule="auto"/>
        <w:rPr>
          <w:sz w:val="24"/>
          <w:szCs w:val="24"/>
        </w:rPr>
      </w:pPr>
      <w:r>
        <w:rPr>
          <w:sz w:val="24"/>
          <w:szCs w:val="24"/>
        </w:rPr>
        <w:t>At the time of recruitment all patients had bioelectrical impedance</w:t>
      </w:r>
      <w:r w:rsidR="0073315E">
        <w:rPr>
          <w:sz w:val="24"/>
          <w:szCs w:val="24"/>
        </w:rPr>
        <w:t xml:space="preserve"> spectroscopy</w:t>
      </w:r>
      <w:r>
        <w:rPr>
          <w:sz w:val="24"/>
          <w:szCs w:val="24"/>
        </w:rPr>
        <w:t xml:space="preserve"> </w:t>
      </w:r>
      <w:r w:rsidR="009E55EC">
        <w:rPr>
          <w:sz w:val="24"/>
          <w:szCs w:val="24"/>
        </w:rPr>
        <w:t>(</w:t>
      </w:r>
      <w:r w:rsidR="0073315E">
        <w:rPr>
          <w:sz w:val="24"/>
          <w:szCs w:val="24"/>
        </w:rPr>
        <w:t>BIS</w:t>
      </w:r>
      <w:r w:rsidR="009E55EC">
        <w:rPr>
          <w:sz w:val="24"/>
          <w:szCs w:val="24"/>
        </w:rPr>
        <w:t xml:space="preserve">) </w:t>
      </w:r>
      <w:r w:rsidRPr="007C0499">
        <w:rPr>
          <w:sz w:val="24"/>
          <w:szCs w:val="24"/>
        </w:rPr>
        <w:t>measurements performed</w:t>
      </w:r>
      <w:r w:rsidR="00CA4679">
        <w:rPr>
          <w:sz w:val="24"/>
          <w:szCs w:val="24"/>
        </w:rPr>
        <w:t>. BIS is methodology for measuring</w:t>
      </w:r>
      <w:r w:rsidR="00CA4679" w:rsidRPr="00CA4679">
        <w:rPr>
          <w:sz w:val="24"/>
          <w:szCs w:val="24"/>
        </w:rPr>
        <w:t xml:space="preserve"> body composition based on electrical </w:t>
      </w:r>
      <w:r w:rsidR="00CA4679">
        <w:rPr>
          <w:sz w:val="24"/>
          <w:szCs w:val="24"/>
        </w:rPr>
        <w:t>resistance as a current</w:t>
      </w:r>
      <w:r w:rsidR="00CA4679" w:rsidRPr="00CA4679">
        <w:rPr>
          <w:sz w:val="24"/>
          <w:szCs w:val="24"/>
        </w:rPr>
        <w:t xml:space="preserve"> travels through the body</w:t>
      </w:r>
      <w:r w:rsidRPr="007C0499">
        <w:rPr>
          <w:sz w:val="24"/>
          <w:szCs w:val="24"/>
        </w:rPr>
        <w:t>.</w:t>
      </w:r>
      <w:r w:rsidR="00981A08" w:rsidRPr="007C0499">
        <w:rPr>
          <w:sz w:val="24"/>
          <w:szCs w:val="24"/>
        </w:rPr>
        <w:t xml:space="preserve"> We utilised the derived estimate of</w:t>
      </w:r>
      <w:r w:rsidR="00A64BAC" w:rsidRPr="007C0499">
        <w:rPr>
          <w:sz w:val="24"/>
          <w:szCs w:val="24"/>
        </w:rPr>
        <w:t xml:space="preserve"> total lean mass (in kg)</w:t>
      </w:r>
      <w:r w:rsidR="00C53D01" w:rsidRPr="007C0499">
        <w:rPr>
          <w:sz w:val="24"/>
          <w:szCs w:val="24"/>
        </w:rPr>
        <w:t>,</w:t>
      </w:r>
      <w:r w:rsidR="00A64BAC" w:rsidRPr="007C0499">
        <w:rPr>
          <w:sz w:val="24"/>
          <w:szCs w:val="24"/>
        </w:rPr>
        <w:t xml:space="preserve"> </w:t>
      </w:r>
      <w:r w:rsidR="00CA4679">
        <w:rPr>
          <w:sz w:val="24"/>
          <w:szCs w:val="24"/>
        </w:rPr>
        <w:t xml:space="preserve">alongside the </w:t>
      </w:r>
      <w:r w:rsidR="00981A08" w:rsidRPr="007C0499">
        <w:rPr>
          <w:sz w:val="24"/>
          <w:szCs w:val="24"/>
        </w:rPr>
        <w:t>lean mass</w:t>
      </w:r>
      <w:r w:rsidR="00CA4679">
        <w:rPr>
          <w:sz w:val="24"/>
          <w:szCs w:val="24"/>
        </w:rPr>
        <w:t xml:space="preserve"> index (lean mass</w:t>
      </w:r>
      <w:r w:rsidR="00A66DAB">
        <w:rPr>
          <w:sz w:val="24"/>
          <w:szCs w:val="24"/>
        </w:rPr>
        <w:t xml:space="preserve"> (kg)</w:t>
      </w:r>
      <w:r w:rsidR="00CA4679">
        <w:rPr>
          <w:sz w:val="24"/>
          <w:szCs w:val="24"/>
        </w:rPr>
        <w:t>/height</w:t>
      </w:r>
      <w:r w:rsidR="00A66DAB">
        <w:rPr>
          <w:sz w:val="24"/>
          <w:szCs w:val="24"/>
        </w:rPr>
        <w:t xml:space="preserve"> in metres squared</w:t>
      </w:r>
      <w:r w:rsidR="00CA4679">
        <w:rPr>
          <w:sz w:val="24"/>
          <w:szCs w:val="24"/>
        </w:rPr>
        <w:t>)</w:t>
      </w:r>
      <w:r w:rsidR="00A64BAC" w:rsidRPr="007C0499">
        <w:rPr>
          <w:sz w:val="24"/>
          <w:szCs w:val="24"/>
        </w:rPr>
        <w:t xml:space="preserve">, </w:t>
      </w:r>
      <w:r w:rsidR="00F4161F" w:rsidRPr="007C0499">
        <w:rPr>
          <w:sz w:val="24"/>
          <w:szCs w:val="24"/>
        </w:rPr>
        <w:t>as a proxy for sarcopenia</w:t>
      </w:r>
      <w:r w:rsidR="00CA4679">
        <w:rPr>
          <w:sz w:val="24"/>
          <w:szCs w:val="24"/>
        </w:rPr>
        <w:fldChar w:fldCharType="begin" w:fldLock="1"/>
      </w:r>
      <w:r w:rsidR="009B2D52">
        <w:rPr>
          <w:sz w:val="24"/>
          <w:szCs w:val="24"/>
        </w:rPr>
        <w:instrText>ADDIN CSL_CITATION {"citationItems":[{"id":"ITEM-1","itemData":{"DOI":"10.1136/adc.85.1.67","ISSN":"14682044","PMID":"11420208","abstract":"There is increasing interest in body composition in paediatric research, as distinct from growth and nutritional status, as almost all diseases have adverse effects on either fatness or the fat-free mass. However, the approaches used to assess growth and nutritional status are not appropriate for separate evaluations of body fatness and lean mass. Traditional measurements such as body mass index and skinfold thickness do not measure fat in accurate quantitative terms. Various techniques have been used in recent years which divide body weight into fat mass and fat-free mass; however, the data tend not to be appropriately expressed. Body fatness is generally expressed as a percentage of weight, while fat-free mass typically remains unadjusted for size. A more appropriate approach is to normalise both body fatness and fat-free mass for height. This recommendation is relevant both to studies comparing patients with controls and to the expression of new reference data on body composition which are needed to allow informative comparisons. The same approach is appropriate for the classification of childhood obesity.","author":[{"dropping-particle":"","family":"Wells","given":"J. C.","non-dropping-particle":"","parse-names":false,"suffix":""}],"container-title":"Archives of disease in childhood","id":"ITEM-1","issue":"1","issued":{"date-parts":[["2001"]]},"page":"67-72","publisher":"Arch Dis Child","title":"A critique of the expression of paediatric body composition data.","type":"article-journal","volume":"85"},"uris":["http://www.mendeley.com/documents/?uuid=f9ca597e-c608-3741-92d5-607233749d31"]}],"mendeley":{"formattedCitation":"&lt;sup&gt;17&lt;/sup&gt;","plainTextFormattedCitation":"17","previouslyFormattedCitation":"&lt;sup&gt;17&lt;/sup&gt;"},"properties":{"noteIndex":0},"schema":"https://github.com/citation-style-language/schema/raw/master/csl-citation.json"}</w:instrText>
      </w:r>
      <w:r w:rsidR="00CA4679">
        <w:rPr>
          <w:sz w:val="24"/>
          <w:szCs w:val="24"/>
        </w:rPr>
        <w:fldChar w:fldCharType="separate"/>
      </w:r>
      <w:r w:rsidR="00386751" w:rsidRPr="00386751">
        <w:rPr>
          <w:noProof/>
          <w:sz w:val="24"/>
          <w:szCs w:val="24"/>
          <w:vertAlign w:val="superscript"/>
        </w:rPr>
        <w:t>17</w:t>
      </w:r>
      <w:r w:rsidR="00CA4679">
        <w:rPr>
          <w:sz w:val="24"/>
          <w:szCs w:val="24"/>
        </w:rPr>
        <w:fldChar w:fldCharType="end"/>
      </w:r>
      <w:r w:rsidR="00F4161F" w:rsidRPr="007C0499">
        <w:rPr>
          <w:sz w:val="24"/>
          <w:szCs w:val="24"/>
        </w:rPr>
        <w:t xml:space="preserve">. </w:t>
      </w:r>
      <w:r w:rsidR="007D69A9" w:rsidRPr="007C0499">
        <w:rPr>
          <w:sz w:val="24"/>
          <w:szCs w:val="24"/>
        </w:rPr>
        <w:t>These measures have previously been utilised in paediatric IBD to determine body composition</w:t>
      </w:r>
      <w:r w:rsidR="007D69A9" w:rsidRPr="007C0499">
        <w:rPr>
          <w:sz w:val="24"/>
          <w:szCs w:val="24"/>
        </w:rPr>
        <w:fldChar w:fldCharType="begin" w:fldLock="1"/>
      </w:r>
      <w:r w:rsidR="009B2D52">
        <w:rPr>
          <w:sz w:val="24"/>
          <w:szCs w:val="24"/>
        </w:rPr>
        <w:instrText>ADDIN CSL_CITATION {"citationItems":[{"id":"ITEM-1","itemData":{"DOI":"10.1002/ibd.21916","ISSN":"1536-4844","author":[{"dropping-particle":"","family":"Gerasimidis","given":"K","non-dropping-particle":"","parse-names":false,"suffix":""},{"dropping-particle":"","family":"Talwar","given":"D","non-dropping-particle":"","parse-names":false,"suffix":""},{"dropping-particle":"","family":"Duncan","given":"A","non-dropping-particle":"","parse-names":false,"suffix":""},{"dropping-particle":"","family":"Moyes","given":"P","non-dropping-particle":"","parse-names":false,"suffix":""},{"dropping-particle":"","family":"Buchanan","given":"E","non-dropping-particle":"","parse-names":false,"suffix":""},{"dropping-particle":"","family":"Hassan","given":"K","non-dropping-particle":"","parse-names":false,"suffix":""},{"dropping-particle":"","family":"O'Reilly","given":"D","non-dropping-particle":"","parse-names":false,"suffix":""},{"dropping-particle":"","family":"McGrogan","given":"P","non-dropping-particle":"","parse-names":false,"suffix":""},{"dropping-particle":"","family":"Edwards","given":"C A","non-dropping-particle":"","parse-names":false,"suffix":""}],"container-title":"Inflamm Bowel Dis","id":"ITEM-1","issue":"9","issued":{"date-parts":[["2012"]]},"page":"1672-1681","title":"Impact of exclusive enteral nutrition on body composition and circulating micronutrients in plasma and erythrocytes of children with active Crohn's disease","type":"article-journal","volume":"18"},"uris":["http://www.mendeley.com/documents/?uuid=49a9a61e-1992-4a4d-8721-3fab944e9a2f"]}],"mendeley":{"formattedCitation":"&lt;sup&gt;18&lt;/sup&gt;","plainTextFormattedCitation":"18","previouslyFormattedCitation":"&lt;sup&gt;18&lt;/sup&gt;"},"properties":{"noteIndex":0},"schema":"https://github.com/citation-style-language/schema/raw/master/csl-citation.json"}</w:instrText>
      </w:r>
      <w:r w:rsidR="007D69A9" w:rsidRPr="007C0499">
        <w:rPr>
          <w:sz w:val="24"/>
          <w:szCs w:val="24"/>
        </w:rPr>
        <w:fldChar w:fldCharType="separate"/>
      </w:r>
      <w:r w:rsidR="00386751" w:rsidRPr="00386751">
        <w:rPr>
          <w:noProof/>
          <w:sz w:val="24"/>
          <w:szCs w:val="24"/>
          <w:vertAlign w:val="superscript"/>
        </w:rPr>
        <w:t>18</w:t>
      </w:r>
      <w:r w:rsidR="007D69A9" w:rsidRPr="007C0499">
        <w:rPr>
          <w:sz w:val="24"/>
          <w:szCs w:val="24"/>
        </w:rPr>
        <w:fldChar w:fldCharType="end"/>
      </w:r>
      <w:r w:rsidR="00A66DAB">
        <w:rPr>
          <w:sz w:val="24"/>
          <w:szCs w:val="24"/>
        </w:rPr>
        <w:t>.</w:t>
      </w:r>
    </w:p>
    <w:p w14:paraId="7B2FB474" w14:textId="4205EECE" w:rsidR="00EE163B" w:rsidRDefault="00EE163B" w:rsidP="00EE163B">
      <w:pPr>
        <w:autoSpaceDE w:val="0"/>
        <w:autoSpaceDN w:val="0"/>
        <w:adjustRightInd w:val="0"/>
        <w:spacing w:after="0" w:line="480" w:lineRule="auto"/>
        <w:rPr>
          <w:sz w:val="24"/>
          <w:szCs w:val="24"/>
        </w:rPr>
      </w:pPr>
      <w:r w:rsidRPr="007C0499">
        <w:rPr>
          <w:sz w:val="24"/>
          <w:szCs w:val="24"/>
        </w:rPr>
        <w:t>BIS measurements were made using ImpediMedSFB7 (</w:t>
      </w:r>
      <w:r w:rsidRPr="007C0499">
        <w:rPr>
          <w:rFonts w:cs="Arial"/>
          <w:sz w:val="24"/>
          <w:szCs w:val="24"/>
          <w:shd w:val="clear" w:color="auto" w:fill="FFFFFF"/>
        </w:rPr>
        <w:t>Pinkenba, QLD 4008 Australia)</w:t>
      </w:r>
      <w:r w:rsidRPr="007C0499">
        <w:rPr>
          <w:sz w:val="24"/>
          <w:szCs w:val="24"/>
        </w:rPr>
        <w:t xml:space="preserve">, a single-channel tetra-polar device able to measure resistance and reactance across 256 frequencies. Calibration occurred before each use with a known circuit of impedance </w:t>
      </w:r>
      <w:r w:rsidRPr="007C0499">
        <w:rPr>
          <w:sz w:val="24"/>
          <w:szCs w:val="24"/>
        </w:rPr>
        <w:lastRenderedPageBreak/>
        <w:t xml:space="preserve">provided by the </w:t>
      </w:r>
      <w:r w:rsidRPr="007C0499">
        <w:rPr>
          <w:rFonts w:cs="AdvOT863180fb"/>
          <w:sz w:val="24"/>
          <w:szCs w:val="24"/>
          <w:lang w:eastAsia="en-GB"/>
        </w:rPr>
        <w:t xml:space="preserve">manufacturer. </w:t>
      </w:r>
      <w:r w:rsidRPr="007C0499">
        <w:rPr>
          <w:sz w:val="24"/>
          <w:szCs w:val="24"/>
        </w:rPr>
        <w:t xml:space="preserve"> All measures were done in triplicate, with the mean included in the final analysis. </w:t>
      </w:r>
      <w:r w:rsidRPr="007C0499">
        <w:rPr>
          <w:rFonts w:cs="AdvOT863180fb"/>
          <w:color w:val="000000"/>
          <w:sz w:val="24"/>
          <w:szCs w:val="24"/>
          <w:lang w:eastAsia="en-GB"/>
        </w:rPr>
        <w:t xml:space="preserve">Measurements were conducted using a standard tetrapolar electrodes distribution (on the hands and feed). Measurements of BIS were completed in unfasted subjects. All </w:t>
      </w:r>
      <w:r w:rsidRPr="007C0499">
        <w:rPr>
          <w:rFonts w:eastAsia="Times New Roman" w:cs="Calibri"/>
          <w:sz w:val="24"/>
          <w:szCs w:val="24"/>
          <w:lang w:eastAsia="en-GB"/>
        </w:rPr>
        <w:t xml:space="preserve">BIS data files were processed using specialist software (Bioimp, ImpediMed), with data points rejected </w:t>
      </w:r>
      <w:r w:rsidRPr="007C0499">
        <w:rPr>
          <w:sz w:val="24"/>
          <w:szCs w:val="24"/>
        </w:rPr>
        <w:t>if they met any of the following criteria; i) positive X centre (Xc) values, ii) negative resistance values.</w:t>
      </w:r>
    </w:p>
    <w:p w14:paraId="78A72B13" w14:textId="402C7ABA" w:rsidR="00C653B9" w:rsidRPr="007C0499" w:rsidRDefault="00C653B9" w:rsidP="00EE163B">
      <w:pPr>
        <w:autoSpaceDE w:val="0"/>
        <w:autoSpaceDN w:val="0"/>
        <w:adjustRightInd w:val="0"/>
        <w:spacing w:after="0" w:line="480" w:lineRule="auto"/>
        <w:rPr>
          <w:sz w:val="24"/>
          <w:szCs w:val="24"/>
        </w:rPr>
      </w:pPr>
      <w:r>
        <w:rPr>
          <w:sz w:val="24"/>
          <w:szCs w:val="24"/>
        </w:rPr>
        <w:t>Patients were clinically stable over the duration of the study with no changes in medication between MRI and BIS measures.</w:t>
      </w:r>
    </w:p>
    <w:p w14:paraId="1BEBD4B8" w14:textId="31101259" w:rsidR="00BA535B" w:rsidRPr="007C0499" w:rsidRDefault="00553576" w:rsidP="008D7EED">
      <w:pPr>
        <w:spacing w:line="480" w:lineRule="auto"/>
        <w:rPr>
          <w:sz w:val="24"/>
          <w:szCs w:val="24"/>
          <w:u w:val="single"/>
        </w:rPr>
      </w:pPr>
      <w:r>
        <w:rPr>
          <w:sz w:val="24"/>
          <w:szCs w:val="24"/>
          <w:u w:val="single"/>
        </w:rPr>
        <w:t xml:space="preserve">MRI </w:t>
      </w:r>
      <w:r w:rsidR="000179CD" w:rsidRPr="007C0499">
        <w:rPr>
          <w:sz w:val="24"/>
          <w:szCs w:val="24"/>
          <w:u w:val="single"/>
        </w:rPr>
        <w:t>Psoas muscle mass calculation</w:t>
      </w:r>
    </w:p>
    <w:p w14:paraId="414C4D18" w14:textId="4EF122BB" w:rsidR="00E802B9" w:rsidRPr="007C0499" w:rsidRDefault="00F523FE" w:rsidP="008D7EED">
      <w:pPr>
        <w:spacing w:line="480" w:lineRule="auto"/>
        <w:rPr>
          <w:sz w:val="24"/>
          <w:szCs w:val="24"/>
        </w:rPr>
      </w:pPr>
      <w:r w:rsidRPr="007C0499">
        <w:rPr>
          <w:sz w:val="24"/>
          <w:szCs w:val="24"/>
        </w:rPr>
        <w:t xml:space="preserve">Muscle </w:t>
      </w:r>
      <w:r w:rsidR="005A3531">
        <w:rPr>
          <w:sz w:val="24"/>
          <w:szCs w:val="24"/>
        </w:rPr>
        <w:t>area</w:t>
      </w:r>
      <w:r w:rsidRPr="007C0499">
        <w:rPr>
          <w:sz w:val="24"/>
          <w:szCs w:val="24"/>
        </w:rPr>
        <w:t xml:space="preserve"> was measured</w:t>
      </w:r>
      <w:r w:rsidR="009060C1" w:rsidRPr="007C0499">
        <w:rPr>
          <w:sz w:val="24"/>
          <w:szCs w:val="24"/>
        </w:rPr>
        <w:t xml:space="preserve"> independently</w:t>
      </w:r>
      <w:r w:rsidRPr="007C0499">
        <w:rPr>
          <w:sz w:val="24"/>
          <w:szCs w:val="24"/>
        </w:rPr>
        <w:t xml:space="preserve"> by two radiologists (DP and MG). The cross-sectional area of the left and right psoas muscle</w:t>
      </w:r>
      <w:r w:rsidR="009060C1" w:rsidRPr="007C0499">
        <w:rPr>
          <w:sz w:val="24"/>
          <w:szCs w:val="24"/>
        </w:rPr>
        <w:t>s</w:t>
      </w:r>
      <w:r w:rsidRPr="007C0499">
        <w:rPr>
          <w:sz w:val="24"/>
          <w:szCs w:val="24"/>
        </w:rPr>
        <w:t xml:space="preserve"> was calculated using </w:t>
      </w:r>
      <w:r w:rsidR="00A741F5" w:rsidRPr="007C0499">
        <w:rPr>
          <w:sz w:val="24"/>
          <w:szCs w:val="24"/>
        </w:rPr>
        <w:t>SyngoVia software</w:t>
      </w:r>
      <w:r w:rsidR="007D69A9" w:rsidRPr="007C0499">
        <w:rPr>
          <w:sz w:val="24"/>
          <w:szCs w:val="24"/>
        </w:rPr>
        <w:fldChar w:fldCharType="begin" w:fldLock="1"/>
      </w:r>
      <w:r w:rsidR="009B2D52">
        <w:rPr>
          <w:sz w:val="24"/>
          <w:szCs w:val="24"/>
        </w:rPr>
        <w:instrText>ADDIN CSL_CITATION {"citationItems":[{"id":"ITEM-1","itemData":{"URL":"https://www.siemens-healthineers.com/en-uk/medical-imaging-it/advanced-visualization-solutions/syngovia","accessed":{"date-parts":[["2020","11","17"]]},"id":"ITEM-1","issued":{"date-parts":[["0"]]},"title":"syngo.via - Siemens Healthineers United Kingdom","type":"webpage"},"uris":["http://www.mendeley.com/documents/?uuid=adf7d498-2e66-3cc7-b9db-2d9f72b95828"]}],"mendeley":{"formattedCitation":"&lt;sup&gt;19&lt;/sup&gt;","plainTextFormattedCitation":"19","previouslyFormattedCitation":"&lt;sup&gt;19&lt;/sup&gt;"},"properties":{"noteIndex":0},"schema":"https://github.com/citation-style-language/schema/raw/master/csl-citation.json"}</w:instrText>
      </w:r>
      <w:r w:rsidR="007D69A9" w:rsidRPr="007C0499">
        <w:rPr>
          <w:sz w:val="24"/>
          <w:szCs w:val="24"/>
        </w:rPr>
        <w:fldChar w:fldCharType="separate"/>
      </w:r>
      <w:r w:rsidR="00386751" w:rsidRPr="00386751">
        <w:rPr>
          <w:noProof/>
          <w:sz w:val="24"/>
          <w:szCs w:val="24"/>
          <w:vertAlign w:val="superscript"/>
        </w:rPr>
        <w:t>19</w:t>
      </w:r>
      <w:r w:rsidR="007D69A9" w:rsidRPr="007C0499">
        <w:rPr>
          <w:sz w:val="24"/>
          <w:szCs w:val="24"/>
        </w:rPr>
        <w:fldChar w:fldCharType="end"/>
      </w:r>
      <w:r w:rsidR="00A741F5" w:rsidRPr="007C0499">
        <w:rPr>
          <w:sz w:val="24"/>
          <w:szCs w:val="24"/>
        </w:rPr>
        <w:t>, with the measurement taken outlining the psoas muscle using the freehand ROI tool and nudge tool for adjustment of the margin at the level of the mid L3 vertebral body.</w:t>
      </w:r>
      <w:r w:rsidR="000B1D00">
        <w:rPr>
          <w:sz w:val="24"/>
          <w:szCs w:val="24"/>
        </w:rPr>
        <w:t xml:space="preserve"> </w:t>
      </w:r>
      <w:bookmarkStart w:id="4" w:name="_Hlk61960178"/>
      <w:r w:rsidR="000B1D00">
        <w:rPr>
          <w:sz w:val="24"/>
          <w:szCs w:val="24"/>
        </w:rPr>
        <w:t>SyngoVia has been previously validated to measure psoas muscle area</w:t>
      </w:r>
      <w:r w:rsidR="000B1D00">
        <w:rPr>
          <w:sz w:val="24"/>
          <w:szCs w:val="24"/>
        </w:rPr>
        <w:fldChar w:fldCharType="begin" w:fldLock="1"/>
      </w:r>
      <w:r w:rsidR="000B1D00">
        <w:rPr>
          <w:sz w:val="24"/>
          <w:szCs w:val="24"/>
        </w:rPr>
        <w:instrText>ADDIN CSL_CITATION {"citationItems":[{"id":"ITEM-1","itemData":{"DOI":"10.1111/liv.14217","ISSN":"14783231","PMID":"31421002","abstract":"Background &amp; Aims: Low muscle mass impacts on morbidity and mortality in cirrhosis. The skeletal-muscle index (SMI) is a well-validated tool to diagnose muscle wasting, but requires specialized radiologic software and expertise. Thus, we compared different Computed tomography (CT)-based evaluation methods for muscle wasting and their prognostic value in cirrhosis. Methods: Consecutive cirrhotic patients included in a prospective registry undergoing abdominal CT scans were analysed. SMI, transversal psoas muscle thickness (TPMT), total psoas volume (TPV) and paraspinal muscle index (PSMI) were measured. Sarcopenia was defined using SMI as a reference method by applying sex-specific cut-offs (males: &lt;52.4 cm2/m2; females: &lt;38.5 cm2/m2). Results: One hundred and nine patients (71.6% male) of age 57 ± 11 years, MELD 16 (8-26) and alcoholic liver disease (63.3%) as the main aetiology were included. According to established SMI cut-offs, low muscle mass was present in 69 patients (63.3%) who also presented with higher MELD (17 vs 14 points; P =.025). The following optimal sex-specific cut-offs (men/women) for diagnosing low muscle mass were determined: TPMT: &lt;10.7/ &lt;7.8 mm/m, TPV: &lt;194.9/ &lt;99.2 cm3 and PSMI &lt;26.3/ &lt;20.8 cm2/m2. Thirty (27.5%) patients died during a follow-up of 15 (0.3-45.7) months. Univariate competing risks analyses showed a significant risk for mortality according to SMI (aSHR:2.52, 95% CI: 1.03-6.21, P =.043), TPMT (aSHR: 3.87, 95% CI: 1.4-8.09, P =.007) and PSMI (aSHR: 2.7, 95% CI: 1.17-6.23, P =.02), but not TPV (P =.18) derived low muscle mass cut-offs. In multivariate analysis only TPMT (aSHR: 2.82, 95% CI: 1.20-6.67, P =.018) was associated with mortality, SMI (aSHR: 1.93, 95% CI: 0.72-5.16, P =.19) and PSMI (aSHR: 1.93, 95% CI: 0.79-4.75, P =.15) were not. Conclusion: Low muscle mass was highly prevalent in our cohort of patients with cirrhosis. Gender-specific TPMT, SMI and PSMI cut-offs for low muscle mass can help identify patients with an increased risk for mortality. Importantly, only TPMT emerged as an independent risk factor for mortality in patients with cirrhosis.","author":[{"dropping-particle":"","family":"Paternostro","given":"Rafael","non-dropping-particle":"","parse-names":false,"suffix":""},{"dropping-particle":"","family":"Lampichler","given":"Katharina","non-dropping-particle":"","parse-names":false,"suffix":""},{"dropping-particle":"","family":"Bardach","given":"Constanze","non-dropping-particle":"","parse-names":false,"suffix":""},{"dropping-particle":"","family":"Asenbaum","given":"Ulrika","non-dropping-particle":"","parse-names":false,"suffix":""},{"dropping-particle":"","family":"Landler","given":"Clara","non-dropping-particle":"","parse-names":false,"suffix":""},{"dropping-particle":"","family":"Bauer","given":"David","non-dropping-particle":"","parse-names":false,"suffix":""},{"dropping-particle":"","family":"Mandorfer","given":"Mattias","non-dropping-particle":"","parse-names":false,"suffix":""},{"dropping-particle":"","family":"Schwarzer","given":"Remy","non-dropping-particle":"","parse-names":false,"suffix":""},{"dropping-particle":"","family":"Trauner","given":"Michael","non-dropping-particle":"","parse-names":false,"suffix":""},{"dropping-particle":"","family":"Reiberger","given":"Thomas","non-dropping-particle":"","parse-names":false,"suffix":""},{"dropping-particle":"","family":"Ferlitsch","given":"Arnulf","non-dropping-particle":"","parse-names":false,"suffix":""}],"container-title":"Liver International","id":"ITEM-1","issue":"12","issued":{"date-parts":[["2019","12","1"]]},"page":"2374-2385","publisher":"Blackwell Publishing Ltd","title":"The value of different CT-based methods for diagnosing low muscle mass and predicting mortality in patients with cirrhosis","type":"article-journal","volume":"39"},"uris":["http://www.mendeley.com/documents/?uuid=0edeb54b-5f05-3017-a906-ba4d6ee0a339"]}],"mendeley":{"formattedCitation":"&lt;sup&gt;20&lt;/sup&gt;","plainTextFormattedCitation":"20"},"properties":{"noteIndex":0},"schema":"https://github.com/citation-style-language/schema/raw/master/csl-citation.json"}</w:instrText>
      </w:r>
      <w:r w:rsidR="000B1D00">
        <w:rPr>
          <w:sz w:val="24"/>
          <w:szCs w:val="24"/>
        </w:rPr>
        <w:fldChar w:fldCharType="separate"/>
      </w:r>
      <w:r w:rsidR="000B1D00" w:rsidRPr="000B1D00">
        <w:rPr>
          <w:noProof/>
          <w:sz w:val="24"/>
          <w:szCs w:val="24"/>
          <w:vertAlign w:val="superscript"/>
        </w:rPr>
        <w:t>20</w:t>
      </w:r>
      <w:r w:rsidR="000B1D00">
        <w:rPr>
          <w:sz w:val="24"/>
          <w:szCs w:val="24"/>
        </w:rPr>
        <w:fldChar w:fldCharType="end"/>
      </w:r>
      <w:r w:rsidR="000B1D00">
        <w:rPr>
          <w:sz w:val="24"/>
          <w:szCs w:val="24"/>
        </w:rPr>
        <w:t xml:space="preserve">. </w:t>
      </w:r>
      <w:r w:rsidR="00A741F5" w:rsidRPr="007C0499">
        <w:rPr>
          <w:sz w:val="24"/>
          <w:szCs w:val="24"/>
        </w:rPr>
        <w:t xml:space="preserve"> </w:t>
      </w:r>
      <w:bookmarkEnd w:id="4"/>
      <w:r w:rsidR="009060C1" w:rsidRPr="007C0499">
        <w:rPr>
          <w:sz w:val="24"/>
          <w:szCs w:val="24"/>
        </w:rPr>
        <w:t xml:space="preserve">These measures were then combined to give an overall ‘combined’ psoas </w:t>
      </w:r>
      <w:r w:rsidR="005A3531">
        <w:rPr>
          <w:sz w:val="24"/>
          <w:szCs w:val="24"/>
        </w:rPr>
        <w:t xml:space="preserve">cross-sectional </w:t>
      </w:r>
      <w:r w:rsidR="009060C1" w:rsidRPr="007C0499">
        <w:rPr>
          <w:sz w:val="24"/>
          <w:szCs w:val="24"/>
        </w:rPr>
        <w:t>area</w:t>
      </w:r>
      <w:r w:rsidR="005A3531">
        <w:rPr>
          <w:sz w:val="24"/>
          <w:szCs w:val="24"/>
        </w:rPr>
        <w:t xml:space="preserve"> (PCSA)</w:t>
      </w:r>
      <w:r w:rsidR="009060C1" w:rsidRPr="007C0499">
        <w:rPr>
          <w:sz w:val="24"/>
          <w:szCs w:val="24"/>
        </w:rPr>
        <w:t xml:space="preserve">. </w:t>
      </w:r>
      <w:r w:rsidR="006D078A" w:rsidRPr="007C0499">
        <w:rPr>
          <w:sz w:val="24"/>
          <w:szCs w:val="24"/>
        </w:rPr>
        <w:t xml:space="preserve">These data are reported </w:t>
      </w:r>
      <w:r w:rsidR="00A741F5" w:rsidRPr="007C0499">
        <w:rPr>
          <w:sz w:val="24"/>
          <w:szCs w:val="24"/>
        </w:rPr>
        <w:t xml:space="preserve">as </w:t>
      </w:r>
      <w:r w:rsidR="005A3531">
        <w:rPr>
          <w:sz w:val="24"/>
          <w:szCs w:val="24"/>
        </w:rPr>
        <w:t>PCSA</w:t>
      </w:r>
      <w:r w:rsidR="00A741F5" w:rsidRPr="007C0499">
        <w:rPr>
          <w:sz w:val="24"/>
          <w:szCs w:val="24"/>
        </w:rPr>
        <w:t xml:space="preserve"> in cm</w:t>
      </w:r>
      <w:r w:rsidR="00A741F5" w:rsidRPr="007C0499">
        <w:rPr>
          <w:sz w:val="24"/>
          <w:szCs w:val="24"/>
          <w:vertAlign w:val="superscript"/>
        </w:rPr>
        <w:t>2</w:t>
      </w:r>
      <w:r w:rsidR="00A741F5" w:rsidRPr="007C0499">
        <w:rPr>
          <w:sz w:val="24"/>
          <w:szCs w:val="24"/>
        </w:rPr>
        <w:t>.</w:t>
      </w:r>
    </w:p>
    <w:p w14:paraId="2736642E" w14:textId="16AED4FB" w:rsidR="00BA535B" w:rsidRPr="007C0499" w:rsidRDefault="009E55EC" w:rsidP="008D7EED">
      <w:pPr>
        <w:spacing w:line="480" w:lineRule="auto"/>
        <w:rPr>
          <w:sz w:val="24"/>
          <w:szCs w:val="24"/>
          <w:u w:val="single"/>
        </w:rPr>
      </w:pPr>
      <w:r w:rsidRPr="007C0499">
        <w:rPr>
          <w:sz w:val="24"/>
          <w:szCs w:val="24"/>
          <w:u w:val="single"/>
        </w:rPr>
        <w:t>Anthropometric measurements</w:t>
      </w:r>
    </w:p>
    <w:p w14:paraId="272E25DB" w14:textId="36A03320" w:rsidR="00EE163B" w:rsidRPr="007C0499" w:rsidRDefault="00EE163B" w:rsidP="008D7EED">
      <w:pPr>
        <w:spacing w:line="480" w:lineRule="auto"/>
        <w:rPr>
          <w:rFonts w:ascii="Calibri" w:hAnsi="Calibri"/>
          <w:sz w:val="24"/>
          <w:szCs w:val="24"/>
        </w:rPr>
      </w:pPr>
      <w:r w:rsidRPr="007C0499">
        <w:rPr>
          <w:rFonts w:ascii="Calibri" w:hAnsi="Calibri"/>
          <w:sz w:val="24"/>
          <w:szCs w:val="24"/>
        </w:rPr>
        <w:t>Anthropological measurements of height and weight were performed and recorded in accordance with local Standardised Operating Procedures and World Health Organisation (WHO) guidelines</w:t>
      </w:r>
      <w:r w:rsidR="009169E5" w:rsidRPr="007C0499">
        <w:rPr>
          <w:rFonts w:ascii="Calibri" w:hAnsi="Calibri"/>
          <w:sz w:val="24"/>
          <w:szCs w:val="24"/>
        </w:rPr>
        <w:t xml:space="preserve">. </w:t>
      </w:r>
      <w:r w:rsidR="009E55EC" w:rsidRPr="007C0499">
        <w:rPr>
          <w:sz w:val="24"/>
          <w:szCs w:val="24"/>
        </w:rPr>
        <w:t xml:space="preserve">These were converted into </w:t>
      </w:r>
      <w:r w:rsidR="006F668B" w:rsidRPr="007C0499">
        <w:rPr>
          <w:sz w:val="24"/>
          <w:szCs w:val="24"/>
        </w:rPr>
        <w:t>height Z-score, weight Z-score</w:t>
      </w:r>
      <w:r w:rsidR="009E55EC" w:rsidRPr="007C0499">
        <w:rPr>
          <w:sz w:val="24"/>
          <w:szCs w:val="24"/>
        </w:rPr>
        <w:t xml:space="preserve"> and BMI Z-scores</w:t>
      </w:r>
      <w:r w:rsidR="00EE25BD" w:rsidRPr="007C0499">
        <w:rPr>
          <w:sz w:val="24"/>
          <w:szCs w:val="24"/>
        </w:rPr>
        <w:t xml:space="preserve"> </w:t>
      </w:r>
      <w:r w:rsidR="009E55EC" w:rsidRPr="007C0499">
        <w:rPr>
          <w:sz w:val="24"/>
          <w:szCs w:val="24"/>
        </w:rPr>
        <w:t>using the WHO reference data</w:t>
      </w:r>
      <w:r w:rsidR="007C0499">
        <w:rPr>
          <w:sz w:val="24"/>
          <w:szCs w:val="24"/>
        </w:rPr>
        <w:fldChar w:fldCharType="begin" w:fldLock="1"/>
      </w:r>
      <w:r w:rsidR="000B1D00">
        <w:rPr>
          <w:sz w:val="24"/>
          <w:szCs w:val="24"/>
        </w:rPr>
        <w:instrText>ADDIN CSL_CITATION {"citationItems":[{"id":"ITEM-1","itemData":{"DOI":"10.1136/bmjopen-2013-003735","abstract":"Objective: The World Health Organization (WHO) has established a set of growth curves for use as international standards in children up to age 5. The WHO's position is that all economically advantaged children who were breastfed as infants grow similarly. As a result, a single set of growth charts can be used to judge growth in any child, regardless of race or ethnicity. The goal of this study was to compare mean heights, weights and head circumferences from a variety of studies with the WHO's data. Design: We compared data from the WHO's Multicentre Growth Reference Study (MGRS) with data from studies performed in 55 countries or ethnic groups. Eligibility criteria: Large recent studies (1988-2013) of economically advantaged groups, including comparisons with cohorts of breastfed children wherever possible. Results: Height varied somewhat among different national and ethnic groups. Means were generally within 0.5 of an SD of the MGRS means. Weight varied more than height, but the low MGRS means were seen as endorsing slenderness in the midst of an obesity epidemic. The mean head circumference varied widely. In many groups, means were consistently 0.5-1 SD above the MGRS mean. Head size in breastfed children at any age examined was far closer to local norms than to the MGRS means. Conclusions: Height and weight curves may not be optimal fits in all cases. The differences between national or ethnic group head circumference means were large enough that using the WHO charts would put many children at risk for misdiagnosis of macrocephaly or microcephaly. Our findings indicate that the use of a single international standard for head circumference is not justified.","author":[{"dropping-particle":"","family":"Natale","given":"Valerie","non-dropping-particle":"","parse-names":false,"suffix":""},{"dropping-particle":"","family":"Rajagopalan","given":"Anuradha","non-dropping-particle":"","parse-names":false,"suffix":""}],"id":"ITEM-1","issued":{"date-parts":[["0"]]},"title":"Worldwide variation in human growth and the World Health Organization growth standards: a systematic review","type":"article-journal"},"uris":["http://www.mendeley.com/documents/?uuid=fa03b234-8652-377d-8a84-6f3d2f5679ab"]}],"mendeley":{"formattedCitation":"&lt;sup&gt;21&lt;/sup&gt;","plainTextFormattedCitation":"21","previouslyFormattedCitation":"&lt;sup&gt;20&lt;/sup&gt;"},"properties":{"noteIndex":0},"schema":"https://github.com/citation-style-language/schema/raw/master/csl-citation.json"}</w:instrText>
      </w:r>
      <w:r w:rsidR="007C0499">
        <w:rPr>
          <w:sz w:val="24"/>
          <w:szCs w:val="24"/>
        </w:rPr>
        <w:fldChar w:fldCharType="separate"/>
      </w:r>
      <w:r w:rsidR="000B1D00" w:rsidRPr="000B1D00">
        <w:rPr>
          <w:noProof/>
          <w:sz w:val="24"/>
          <w:szCs w:val="24"/>
          <w:vertAlign w:val="superscript"/>
        </w:rPr>
        <w:t>21</w:t>
      </w:r>
      <w:r w:rsidR="007C0499">
        <w:rPr>
          <w:sz w:val="24"/>
          <w:szCs w:val="24"/>
        </w:rPr>
        <w:fldChar w:fldCharType="end"/>
      </w:r>
      <w:r w:rsidR="009E55EC" w:rsidRPr="007C0499">
        <w:rPr>
          <w:sz w:val="24"/>
          <w:szCs w:val="24"/>
        </w:rPr>
        <w:t>.</w:t>
      </w:r>
    </w:p>
    <w:p w14:paraId="60EFA192" w14:textId="77777777" w:rsidR="00EB5499" w:rsidRDefault="00EB5499" w:rsidP="008D7EED">
      <w:pPr>
        <w:spacing w:line="480" w:lineRule="auto"/>
        <w:rPr>
          <w:sz w:val="24"/>
          <w:szCs w:val="24"/>
          <w:u w:val="single"/>
        </w:rPr>
      </w:pPr>
    </w:p>
    <w:p w14:paraId="699244DB" w14:textId="7EC183F1" w:rsidR="00BA535B" w:rsidRPr="007C0499" w:rsidRDefault="00BA535B" w:rsidP="008D7EED">
      <w:pPr>
        <w:spacing w:line="480" w:lineRule="auto"/>
        <w:rPr>
          <w:sz w:val="24"/>
          <w:szCs w:val="24"/>
          <w:u w:val="single"/>
        </w:rPr>
      </w:pPr>
      <w:r w:rsidRPr="007C0499">
        <w:rPr>
          <w:sz w:val="24"/>
          <w:szCs w:val="24"/>
          <w:u w:val="single"/>
        </w:rPr>
        <w:lastRenderedPageBreak/>
        <w:t>Data and statistical analysis</w:t>
      </w:r>
    </w:p>
    <w:p w14:paraId="09A2963D" w14:textId="033EE4E3" w:rsidR="0042623F" w:rsidRPr="00E232B8" w:rsidRDefault="009060C1" w:rsidP="0042623F">
      <w:pPr>
        <w:spacing w:line="480" w:lineRule="auto"/>
        <w:rPr>
          <w:sz w:val="24"/>
          <w:szCs w:val="24"/>
        </w:rPr>
      </w:pPr>
      <w:r w:rsidRPr="007C0499">
        <w:rPr>
          <w:sz w:val="24"/>
          <w:szCs w:val="24"/>
        </w:rPr>
        <w:t xml:space="preserve">For each left psoas </w:t>
      </w:r>
      <w:r w:rsidR="006F668B" w:rsidRPr="007C0499">
        <w:rPr>
          <w:sz w:val="24"/>
          <w:szCs w:val="24"/>
        </w:rPr>
        <w:t xml:space="preserve">measurement </w:t>
      </w:r>
      <w:r w:rsidRPr="007C0499">
        <w:rPr>
          <w:sz w:val="24"/>
          <w:szCs w:val="24"/>
        </w:rPr>
        <w:t xml:space="preserve">and </w:t>
      </w:r>
      <w:r w:rsidR="006F668B" w:rsidRPr="007C0499">
        <w:rPr>
          <w:sz w:val="24"/>
          <w:szCs w:val="24"/>
        </w:rPr>
        <w:t xml:space="preserve">each </w:t>
      </w:r>
      <w:r w:rsidRPr="007C0499">
        <w:rPr>
          <w:sz w:val="24"/>
          <w:szCs w:val="24"/>
        </w:rPr>
        <w:t xml:space="preserve">right psoas </w:t>
      </w:r>
      <w:r w:rsidR="006F668B" w:rsidRPr="007C0499">
        <w:rPr>
          <w:sz w:val="24"/>
          <w:szCs w:val="24"/>
        </w:rPr>
        <w:t xml:space="preserve">measurement </w:t>
      </w:r>
      <w:r w:rsidRPr="007C0499">
        <w:rPr>
          <w:sz w:val="24"/>
          <w:szCs w:val="24"/>
        </w:rPr>
        <w:t xml:space="preserve">we calculated the coefficient of variation </w:t>
      </w:r>
      <w:r w:rsidR="006F668B" w:rsidRPr="007C0499">
        <w:rPr>
          <w:sz w:val="24"/>
          <w:szCs w:val="24"/>
        </w:rPr>
        <w:t>from the two radiological</w:t>
      </w:r>
      <w:r w:rsidR="006F668B">
        <w:rPr>
          <w:sz w:val="24"/>
          <w:szCs w:val="24"/>
        </w:rPr>
        <w:t xml:space="preserve"> measurements </w:t>
      </w:r>
      <w:r>
        <w:rPr>
          <w:sz w:val="24"/>
          <w:szCs w:val="24"/>
        </w:rPr>
        <w:t>to determine the reproducibility</w:t>
      </w:r>
      <w:r w:rsidR="006F668B">
        <w:rPr>
          <w:sz w:val="24"/>
          <w:szCs w:val="24"/>
        </w:rPr>
        <w:t xml:space="preserve">. We used Pearson correlation to determine the relationship between individual </w:t>
      </w:r>
      <w:r w:rsidR="009E55EC">
        <w:rPr>
          <w:sz w:val="24"/>
          <w:szCs w:val="24"/>
        </w:rPr>
        <w:t xml:space="preserve">anthropometric and </w:t>
      </w:r>
      <w:r w:rsidR="0073315E">
        <w:rPr>
          <w:sz w:val="24"/>
          <w:szCs w:val="24"/>
        </w:rPr>
        <w:t xml:space="preserve">BIS </w:t>
      </w:r>
      <w:r w:rsidR="009E55EC">
        <w:rPr>
          <w:sz w:val="24"/>
          <w:szCs w:val="24"/>
        </w:rPr>
        <w:t xml:space="preserve">derived </w:t>
      </w:r>
      <w:r w:rsidR="006F668B">
        <w:rPr>
          <w:sz w:val="24"/>
          <w:szCs w:val="24"/>
        </w:rPr>
        <w:t>variables and the psoas muscle cross section</w:t>
      </w:r>
      <w:r w:rsidR="009E55EC">
        <w:rPr>
          <w:sz w:val="24"/>
          <w:szCs w:val="24"/>
        </w:rPr>
        <w:t>al area</w:t>
      </w:r>
      <w:r w:rsidR="006F668B">
        <w:rPr>
          <w:sz w:val="24"/>
          <w:szCs w:val="24"/>
        </w:rPr>
        <w:t>.</w:t>
      </w:r>
      <w:r w:rsidR="00B653F4">
        <w:rPr>
          <w:sz w:val="24"/>
          <w:szCs w:val="24"/>
        </w:rPr>
        <w:t xml:space="preserve"> </w:t>
      </w:r>
      <w:r w:rsidR="00AE5229">
        <w:rPr>
          <w:sz w:val="24"/>
          <w:szCs w:val="24"/>
        </w:rPr>
        <w:t>In order to assess if our patients had lower lean muscle mass compared to ‘normal’ children we utilised</w:t>
      </w:r>
      <w:r w:rsidR="0042623F">
        <w:rPr>
          <w:sz w:val="24"/>
          <w:szCs w:val="24"/>
        </w:rPr>
        <w:t xml:space="preserve"> </w:t>
      </w:r>
      <w:r w:rsidR="0028660F">
        <w:rPr>
          <w:sz w:val="24"/>
          <w:szCs w:val="24"/>
        </w:rPr>
        <w:t xml:space="preserve">reference values of </w:t>
      </w:r>
      <w:r w:rsidR="0042623F">
        <w:rPr>
          <w:sz w:val="24"/>
          <w:szCs w:val="24"/>
        </w:rPr>
        <w:t xml:space="preserve">combined psoas area measures </w:t>
      </w:r>
      <w:r w:rsidR="0028660F">
        <w:rPr>
          <w:sz w:val="24"/>
          <w:szCs w:val="24"/>
        </w:rPr>
        <w:t>derived from computerised tomography (CT) of well children</w:t>
      </w:r>
      <w:r w:rsidR="00AE5229">
        <w:rPr>
          <w:sz w:val="24"/>
          <w:szCs w:val="24"/>
        </w:rPr>
        <w:t xml:space="preserve"> undergoing trauma scans</w:t>
      </w:r>
      <w:r w:rsidR="0028660F">
        <w:rPr>
          <w:sz w:val="24"/>
          <w:szCs w:val="24"/>
        </w:rPr>
        <w:t xml:space="preserve"> </w:t>
      </w:r>
      <w:r w:rsidR="00AE5229">
        <w:rPr>
          <w:sz w:val="24"/>
          <w:szCs w:val="24"/>
        </w:rPr>
        <w:t xml:space="preserve">through an </w:t>
      </w:r>
      <w:r w:rsidR="0042623F">
        <w:rPr>
          <w:sz w:val="24"/>
          <w:szCs w:val="24"/>
        </w:rPr>
        <w:t>online tool (</w:t>
      </w:r>
      <w:hyperlink r:id="rId7" w:history="1">
        <w:r w:rsidR="0042623F" w:rsidRPr="0087262D">
          <w:rPr>
            <w:rStyle w:val="Hyperlink"/>
            <w:sz w:val="24"/>
            <w:szCs w:val="24"/>
          </w:rPr>
          <w:t>https://ahrc-apps.shinyapps.io/sarcopenia/</w:t>
        </w:r>
      </w:hyperlink>
      <w:r w:rsidR="0042623F">
        <w:rPr>
          <w:sz w:val="24"/>
          <w:szCs w:val="24"/>
        </w:rPr>
        <w:t>)</w:t>
      </w:r>
      <w:r w:rsidR="0028660F">
        <w:rPr>
          <w:sz w:val="24"/>
          <w:szCs w:val="24"/>
        </w:rPr>
        <w:fldChar w:fldCharType="begin" w:fldLock="1"/>
      </w:r>
      <w:r w:rsidR="000B1D00">
        <w:rPr>
          <w:sz w:val="24"/>
          <w:szCs w:val="24"/>
        </w:rPr>
        <w:instrText>ADDIN CSL_CITATION {"citationItems":[{"id":"ITEM-1","itemData":{"DOI":"10.1002/jcsm.12514","ISSN":"2190-5991","abstract":"Background: Sarcopenia, the unintentional loss of skeletal muscle mass, is associated with poor outcomes in adult patient populations. In adults, sarcopenia is often ascertained by cross-sectional imaging of the psoas muscle area (PMA). Although children with chronic medical illnesses may be at increased risk for muscle loss because of nutritional deficiencies, physical deconditioning, endocrine anomalies, and systemic inflammation, consistent quantitative definitions for sarcopenia in children are lacking. We aimed to generate paediatric reference values for PMA at two intervertebral lumbar levels, L3–4 and L4–5. Methods: In this cross-sectional study, we analysed abdominal computed tomography scans of consecutive children presenting to the emergency department. Participants were children 1–16 years who required abdominal cross-sectional imaging after paediatric trauma between January 1, 2005 and December 31, 2015 in a large Canadian quaternary care centre. Children with a documented chronic medical illness or an acute spinal trauma at presentation were excluded. Total PMA (tPMA) at levels L3–4 and L4–5 were measured in square millimetres (mm2) as the sum of left and right PMA. Age-specific and sex-specific tPMA percentile curves were modelled using quantile regression. Results: Computed tomography images from 779 children were included. Values of tPMA at L4–5 were significantly larger than at L3–4 at all ages, but their correlation was high for both girls (r = 0.95) and boys (r = 0.98). Amongst girls, tPMA 50th percentile values ranged from 365 to 2336 mm2 at L3–4 and from 447 to 2704 mm2 for L4–5. Amongst boys, 50th percentile values for tPMA ranged between 394 and 3050 mm2 at L3–4 and from 498 to 3513 mm2 at L4–5. Intraclass correlation coefficients were excellent at L3–4 (0.97, 95% CI 0.94 to 0.981) and L4–5 (0.99, 95% CI 0.986 to 0.995). Weight and tPMA were correlated, stratified by sex for boys (L3–4 r = 0.90; L4–5 r = 0.90) and for girls (L3–4 r = 0.87; L4–5 r = 0.87). An online application was subsequently developed to easily calculate age-specific and sex-specific z-scores and percentiles. Conclusions: We provide novel paediatric age-specific and sex-specific growth curves for tPMA at intervertebral L3–4 and L4–5 levels for children between the ages of 1-16 years. Together with an online tool (https://ahrc-apps.shinyapps.io/sarcopenia/), these tPMA curves should serve as a reference enabling earlier identification and targeted intervention of…","author":[{"dropping-particle":"","family":"Lurz","given":"Eberhard","non-dropping-particle":"","parse-names":false,"suffix":""},{"dropping-particle":"","family":"Patel","given":"Hiten","non-dropping-particle":"","parse-names":false,"suffix":""},{"dropping-particle":"","family":"Lebovic","given":"Gerald","non-dropping-particle":"","parse-names":false,"suffix":""},{"dropping-particle":"","family":"Quammie","given":"Claudia","non-dropping-particle":"","parse-names":false,"suffix":""},{"dropping-particle":"","family":"Woolfson","given":"Jessica P.","non-dropping-particle":"","parse-names":false,"suffix":""},{"dropping-particle":"","family":"Perez","given":"Manuela","non-dropping-particle":"","parse-names":false,"suffix":""},{"dropping-particle":"","family":"Ricciuto","given":"Amanda","non-dropping-particle":"","parse-names":false,"suffix":""},{"dropping-particle":"","family":"Wales","given":"Paul W.","non-dropping-particle":"","parse-names":false,"suffix":""},{"dropping-particle":"","family":"Kamath","given":"Binita M.","non-dropping-particle":"","parse-names":false,"suffix":""},{"dropping-particle":"","family":"Chavhan","given":"Govind B.","non-dropping-particle":"","parse-names":false,"suffix":""},{"dropping-particle":"","family":"Jüni","given":"Peter","non-dropping-particle":"","parse-names":false,"suffix":""},{"dropping-particle":"","family":"Ng","given":"Vicky L.","non-dropping-particle":"","parse-names":false,"suffix":""}],"container-title":"Journal of Cachexia, Sarcopenia and Muscle","id":"ITEM-1","issue":"2","issued":{"date-parts":[["2020","4","1"]]},"page":"405-414","publisher":"Wiley Blackwell","title":"Paediatric reference values for total psoas muscle area","type":"article-journal","volume":"11"},"uris":["http://www.mendeley.com/documents/?uuid=868f01ad-35d0-3ba6-bcfb-fd9e53c6d90f"]}],"mendeley":{"formattedCitation":"&lt;sup&gt;22&lt;/sup&gt;","plainTextFormattedCitation":"22","previouslyFormattedCitation":"&lt;sup&gt;21&lt;/sup&gt;"},"properties":{"noteIndex":0},"schema":"https://github.com/citation-style-language/schema/raw/master/csl-citation.json"}</w:instrText>
      </w:r>
      <w:r w:rsidR="0028660F">
        <w:rPr>
          <w:sz w:val="24"/>
          <w:szCs w:val="24"/>
        </w:rPr>
        <w:fldChar w:fldCharType="separate"/>
      </w:r>
      <w:r w:rsidR="000B1D00" w:rsidRPr="000B1D00">
        <w:rPr>
          <w:noProof/>
          <w:sz w:val="24"/>
          <w:szCs w:val="24"/>
          <w:vertAlign w:val="superscript"/>
        </w:rPr>
        <w:t>22</w:t>
      </w:r>
      <w:r w:rsidR="0028660F">
        <w:rPr>
          <w:sz w:val="24"/>
          <w:szCs w:val="24"/>
        </w:rPr>
        <w:fldChar w:fldCharType="end"/>
      </w:r>
      <w:r w:rsidR="0042623F">
        <w:rPr>
          <w:sz w:val="24"/>
          <w:szCs w:val="24"/>
        </w:rPr>
        <w:t xml:space="preserve">. This provided psoas area Z-scores based on a patient sex, age and </w:t>
      </w:r>
      <w:r w:rsidR="00AE5229">
        <w:rPr>
          <w:sz w:val="24"/>
          <w:szCs w:val="24"/>
        </w:rPr>
        <w:t xml:space="preserve">PCSA. </w:t>
      </w:r>
      <w:r w:rsidR="0028660F">
        <w:rPr>
          <w:sz w:val="24"/>
          <w:szCs w:val="24"/>
        </w:rPr>
        <w:t>We utilised these data to determine the feasibility of interpretation of MRI derived psoas cross sectional area to determine sarcopenia in our IBD population.</w:t>
      </w:r>
    </w:p>
    <w:p w14:paraId="5F2ED191" w14:textId="77777777" w:rsidR="00BA535B" w:rsidRPr="008D7EED" w:rsidRDefault="00BA535B" w:rsidP="008D7EED">
      <w:pPr>
        <w:spacing w:line="480" w:lineRule="auto"/>
        <w:rPr>
          <w:sz w:val="24"/>
          <w:szCs w:val="24"/>
          <w:u w:val="single"/>
        </w:rPr>
      </w:pPr>
      <w:r w:rsidRPr="008D7EED">
        <w:rPr>
          <w:sz w:val="24"/>
          <w:szCs w:val="24"/>
          <w:u w:val="single"/>
        </w:rPr>
        <w:t>Ethical approval</w:t>
      </w:r>
    </w:p>
    <w:p w14:paraId="222AA3AF" w14:textId="3E7120B5" w:rsidR="00BA535B" w:rsidRDefault="00BA535B" w:rsidP="008D7EED">
      <w:pPr>
        <w:spacing w:line="480" w:lineRule="auto"/>
        <w:rPr>
          <w:sz w:val="24"/>
          <w:szCs w:val="24"/>
        </w:rPr>
      </w:pPr>
      <w:r w:rsidRPr="008D7EED">
        <w:rPr>
          <w:sz w:val="24"/>
          <w:szCs w:val="24"/>
        </w:rPr>
        <w:t>Ethical approval was granted by the London (Westminster) research ethics committee (18/LO/1457).</w:t>
      </w:r>
    </w:p>
    <w:p w14:paraId="1500A07D" w14:textId="6030FEF7" w:rsidR="00470AE6" w:rsidRDefault="00470AE6" w:rsidP="008D7EED">
      <w:pPr>
        <w:spacing w:line="480" w:lineRule="auto"/>
        <w:rPr>
          <w:sz w:val="24"/>
          <w:szCs w:val="24"/>
        </w:rPr>
      </w:pPr>
    </w:p>
    <w:p w14:paraId="52B2346D" w14:textId="2EDA7B13" w:rsidR="007C0499" w:rsidRDefault="007C0499" w:rsidP="008D7EED">
      <w:pPr>
        <w:spacing w:line="480" w:lineRule="auto"/>
        <w:rPr>
          <w:sz w:val="24"/>
          <w:szCs w:val="24"/>
        </w:rPr>
      </w:pPr>
    </w:p>
    <w:p w14:paraId="0EB060EC" w14:textId="3F4E2215" w:rsidR="007C0499" w:rsidRDefault="007C0499" w:rsidP="008D7EED">
      <w:pPr>
        <w:spacing w:line="480" w:lineRule="auto"/>
        <w:rPr>
          <w:sz w:val="24"/>
          <w:szCs w:val="24"/>
        </w:rPr>
      </w:pPr>
    </w:p>
    <w:p w14:paraId="337E4BD5" w14:textId="1331B60B" w:rsidR="007C0499" w:rsidRDefault="007C0499" w:rsidP="008D7EED">
      <w:pPr>
        <w:spacing w:line="480" w:lineRule="auto"/>
        <w:rPr>
          <w:sz w:val="24"/>
          <w:szCs w:val="24"/>
        </w:rPr>
      </w:pPr>
    </w:p>
    <w:p w14:paraId="75218482" w14:textId="27C49C3F" w:rsidR="007C0499" w:rsidRDefault="007C0499" w:rsidP="008D7EED">
      <w:pPr>
        <w:spacing w:line="480" w:lineRule="auto"/>
        <w:rPr>
          <w:sz w:val="24"/>
          <w:szCs w:val="24"/>
        </w:rPr>
      </w:pPr>
    </w:p>
    <w:p w14:paraId="3CAAE9D7" w14:textId="724D7A5B" w:rsidR="007C0499" w:rsidRDefault="007C0499" w:rsidP="008D7EED">
      <w:pPr>
        <w:spacing w:line="480" w:lineRule="auto"/>
        <w:rPr>
          <w:sz w:val="24"/>
          <w:szCs w:val="24"/>
        </w:rPr>
      </w:pPr>
    </w:p>
    <w:bookmarkEnd w:id="2"/>
    <w:p w14:paraId="2DBB4FA9" w14:textId="23D31210" w:rsidR="00E83748" w:rsidRPr="008D7EED" w:rsidRDefault="00E83748" w:rsidP="00EE163B">
      <w:pPr>
        <w:rPr>
          <w:b/>
          <w:bCs/>
          <w:sz w:val="24"/>
          <w:szCs w:val="24"/>
          <w:u w:val="single"/>
        </w:rPr>
      </w:pPr>
      <w:r w:rsidRPr="008D7EED">
        <w:rPr>
          <w:b/>
          <w:bCs/>
          <w:sz w:val="24"/>
          <w:szCs w:val="24"/>
          <w:u w:val="single"/>
        </w:rPr>
        <w:lastRenderedPageBreak/>
        <w:t xml:space="preserve">Results </w:t>
      </w:r>
    </w:p>
    <w:p w14:paraId="05EBBFA5" w14:textId="57658A0B" w:rsidR="00E83748" w:rsidRDefault="007C0499" w:rsidP="008D7EED">
      <w:pPr>
        <w:spacing w:line="480" w:lineRule="auto"/>
        <w:rPr>
          <w:sz w:val="24"/>
          <w:szCs w:val="24"/>
        </w:rPr>
      </w:pPr>
      <w:r>
        <w:rPr>
          <w:sz w:val="24"/>
          <w:szCs w:val="24"/>
        </w:rPr>
        <w:t>Ten</w:t>
      </w:r>
      <w:r w:rsidR="00131646">
        <w:rPr>
          <w:sz w:val="24"/>
          <w:szCs w:val="24"/>
        </w:rPr>
        <w:t xml:space="preserve"> </w:t>
      </w:r>
      <w:r w:rsidR="009060C1">
        <w:rPr>
          <w:sz w:val="24"/>
          <w:szCs w:val="24"/>
        </w:rPr>
        <w:t xml:space="preserve">patients </w:t>
      </w:r>
      <w:r w:rsidR="00C03BF1">
        <w:rPr>
          <w:sz w:val="24"/>
          <w:szCs w:val="24"/>
        </w:rPr>
        <w:t>were eligible for inclusion. All had a diagnosis of Crohn’s disease. Mean age at MRI scan was 14.6 years (range 11.7 to 16.3 years)</w:t>
      </w:r>
      <w:r w:rsidR="00B653F4">
        <w:rPr>
          <w:sz w:val="24"/>
          <w:szCs w:val="24"/>
        </w:rPr>
        <w:t xml:space="preserve"> and 9/10 patients were male</w:t>
      </w:r>
      <w:r w:rsidR="00E91C8F">
        <w:rPr>
          <w:sz w:val="24"/>
          <w:szCs w:val="24"/>
        </w:rPr>
        <w:t>.</w:t>
      </w:r>
    </w:p>
    <w:p w14:paraId="02486961" w14:textId="27052F84" w:rsidR="00EC1097" w:rsidRDefault="00EC1097" w:rsidP="008D7EED">
      <w:pPr>
        <w:spacing w:line="480" w:lineRule="auto"/>
        <w:rPr>
          <w:sz w:val="24"/>
          <w:szCs w:val="24"/>
          <w:u w:val="single"/>
        </w:rPr>
      </w:pPr>
      <w:r>
        <w:rPr>
          <w:sz w:val="24"/>
          <w:szCs w:val="24"/>
          <w:u w:val="single"/>
        </w:rPr>
        <w:t>Feasibility of measures</w:t>
      </w:r>
    </w:p>
    <w:p w14:paraId="286AF294" w14:textId="43A85DB5" w:rsidR="00E91C8F" w:rsidRDefault="00382245" w:rsidP="007D69A9">
      <w:pPr>
        <w:spacing w:line="480" w:lineRule="auto"/>
        <w:rPr>
          <w:sz w:val="24"/>
          <w:szCs w:val="24"/>
        </w:rPr>
      </w:pPr>
      <w:r>
        <w:rPr>
          <w:sz w:val="24"/>
          <w:szCs w:val="24"/>
        </w:rPr>
        <w:t>F</w:t>
      </w:r>
      <w:r w:rsidR="00A741F5">
        <w:rPr>
          <w:sz w:val="24"/>
          <w:szCs w:val="24"/>
        </w:rPr>
        <w:t xml:space="preserve">ree-hand annotation at the level of mid L3 vertebral body </w:t>
      </w:r>
      <w:r w:rsidR="00C53D01">
        <w:rPr>
          <w:sz w:val="24"/>
          <w:szCs w:val="24"/>
        </w:rPr>
        <w:t>was performed as an a</w:t>
      </w:r>
      <w:r w:rsidR="00A741F5">
        <w:rPr>
          <w:sz w:val="24"/>
          <w:szCs w:val="24"/>
        </w:rPr>
        <w:t>ddition to routine reporting of MRI scans</w:t>
      </w:r>
      <w:r w:rsidR="00C53D01">
        <w:rPr>
          <w:sz w:val="24"/>
          <w:szCs w:val="24"/>
        </w:rPr>
        <w:t>.</w:t>
      </w:r>
      <w:r w:rsidR="007D69A9">
        <w:rPr>
          <w:sz w:val="24"/>
          <w:szCs w:val="24"/>
        </w:rPr>
        <w:t xml:space="preserve"> All scans retrieved for analysis were annotated. </w:t>
      </w:r>
      <w:r w:rsidR="00C03BF1">
        <w:rPr>
          <w:sz w:val="24"/>
          <w:szCs w:val="24"/>
        </w:rPr>
        <w:t xml:space="preserve">It was possible to calculate </w:t>
      </w:r>
      <w:r w:rsidR="005A3531">
        <w:rPr>
          <w:sz w:val="24"/>
          <w:szCs w:val="24"/>
        </w:rPr>
        <w:t>PCSA</w:t>
      </w:r>
      <w:r w:rsidR="007D69A9">
        <w:rPr>
          <w:sz w:val="24"/>
          <w:szCs w:val="24"/>
        </w:rPr>
        <w:t xml:space="preserve"> in 100% of scans</w:t>
      </w:r>
      <w:r w:rsidR="00E91C8F">
        <w:rPr>
          <w:sz w:val="24"/>
          <w:szCs w:val="24"/>
        </w:rPr>
        <w:t>, table 1.</w:t>
      </w:r>
    </w:p>
    <w:p w14:paraId="3555003E" w14:textId="721EF35C" w:rsidR="007D69A9" w:rsidRPr="00E91C8F" w:rsidRDefault="007D69A9" w:rsidP="007D69A9">
      <w:pPr>
        <w:spacing w:line="480" w:lineRule="auto"/>
        <w:rPr>
          <w:sz w:val="24"/>
          <w:szCs w:val="24"/>
        </w:rPr>
      </w:pPr>
      <w:r w:rsidRPr="00DF4882">
        <w:rPr>
          <w:sz w:val="24"/>
          <w:szCs w:val="24"/>
          <w:u w:val="single"/>
        </w:rPr>
        <w:t>Coefficient of variation</w:t>
      </w:r>
    </w:p>
    <w:p w14:paraId="18F72CAF" w14:textId="04F4440E" w:rsidR="007D69A9" w:rsidRPr="001B6F3C" w:rsidRDefault="007D69A9" w:rsidP="007D69A9">
      <w:pPr>
        <w:spacing w:line="480" w:lineRule="auto"/>
        <w:rPr>
          <w:sz w:val="24"/>
          <w:szCs w:val="24"/>
        </w:rPr>
      </w:pPr>
      <w:r>
        <w:rPr>
          <w:sz w:val="24"/>
          <w:szCs w:val="24"/>
        </w:rPr>
        <w:t xml:space="preserve">We assessed the reproducibility of measurements between measurers using the </w:t>
      </w:r>
      <w:r w:rsidRPr="001B6F3C">
        <w:rPr>
          <w:sz w:val="24"/>
          <w:szCs w:val="24"/>
        </w:rPr>
        <w:t>coefficient of variation</w:t>
      </w:r>
      <w:r>
        <w:rPr>
          <w:sz w:val="24"/>
          <w:szCs w:val="24"/>
        </w:rPr>
        <w:t xml:space="preserve">. Multiple measures were available for 8 patients, table </w:t>
      </w:r>
      <w:r w:rsidR="00E91C8F">
        <w:rPr>
          <w:sz w:val="24"/>
          <w:szCs w:val="24"/>
        </w:rPr>
        <w:t>2</w:t>
      </w:r>
      <w:r>
        <w:rPr>
          <w:sz w:val="24"/>
          <w:szCs w:val="24"/>
        </w:rPr>
        <w:t xml:space="preserve">. The mean </w:t>
      </w:r>
      <w:r w:rsidRPr="001B6F3C">
        <w:rPr>
          <w:sz w:val="24"/>
          <w:szCs w:val="24"/>
        </w:rPr>
        <w:t>coefficient of variation</w:t>
      </w:r>
      <w:r>
        <w:rPr>
          <w:sz w:val="24"/>
          <w:szCs w:val="24"/>
        </w:rPr>
        <w:t xml:space="preserve"> was equivalent to 9.9% (range 1.4-29.4%). </w:t>
      </w:r>
      <w:r w:rsidR="000B1D00">
        <w:rPr>
          <w:sz w:val="24"/>
          <w:szCs w:val="24"/>
        </w:rPr>
        <w:t>T</w:t>
      </w:r>
      <w:r>
        <w:rPr>
          <w:sz w:val="24"/>
          <w:szCs w:val="24"/>
        </w:rPr>
        <w:t xml:space="preserve">he mean individual </w:t>
      </w:r>
      <w:r w:rsidR="005A3531">
        <w:rPr>
          <w:sz w:val="24"/>
          <w:szCs w:val="24"/>
        </w:rPr>
        <w:t>PCSA</w:t>
      </w:r>
      <w:r>
        <w:rPr>
          <w:sz w:val="24"/>
          <w:szCs w:val="24"/>
        </w:rPr>
        <w:t xml:space="preserve"> for all ages, was 7.83cm</w:t>
      </w:r>
      <w:r w:rsidRPr="00CE3635">
        <w:rPr>
          <w:sz w:val="24"/>
          <w:szCs w:val="24"/>
          <w:vertAlign w:val="superscript"/>
        </w:rPr>
        <w:t>2</w:t>
      </w:r>
      <w:r>
        <w:rPr>
          <w:sz w:val="24"/>
          <w:szCs w:val="24"/>
          <w:vertAlign w:val="superscript"/>
        </w:rPr>
        <w:t xml:space="preserve"> </w:t>
      </w:r>
      <w:r w:rsidRPr="00D81EA2">
        <w:rPr>
          <w:sz w:val="24"/>
          <w:szCs w:val="24"/>
        </w:rPr>
        <w:t>(range</w:t>
      </w:r>
      <w:r>
        <w:rPr>
          <w:sz w:val="24"/>
          <w:szCs w:val="24"/>
        </w:rPr>
        <w:t xml:space="preserve"> 4.98-13.9cm</w:t>
      </w:r>
      <w:r w:rsidRPr="00CE3635">
        <w:rPr>
          <w:sz w:val="24"/>
          <w:szCs w:val="24"/>
          <w:vertAlign w:val="superscript"/>
        </w:rPr>
        <w:t>2</w:t>
      </w:r>
      <w:r>
        <w:rPr>
          <w:sz w:val="24"/>
          <w:szCs w:val="24"/>
        </w:rPr>
        <w:t xml:space="preserve">). </w:t>
      </w:r>
    </w:p>
    <w:p w14:paraId="4F6EE9E8" w14:textId="6E4E10A8" w:rsidR="00C53D01" w:rsidRPr="00035B79" w:rsidRDefault="00C53D01" w:rsidP="00C53D01">
      <w:pPr>
        <w:spacing w:line="480" w:lineRule="auto"/>
        <w:rPr>
          <w:sz w:val="24"/>
          <w:szCs w:val="24"/>
          <w:u w:val="single"/>
        </w:rPr>
      </w:pPr>
      <w:r>
        <w:rPr>
          <w:sz w:val="24"/>
          <w:szCs w:val="24"/>
          <w:u w:val="single"/>
        </w:rPr>
        <w:t xml:space="preserve">Psoas cross sectional area correlates with </w:t>
      </w:r>
      <w:r w:rsidR="00EE163B">
        <w:rPr>
          <w:sz w:val="24"/>
          <w:szCs w:val="24"/>
          <w:u w:val="single"/>
        </w:rPr>
        <w:t>BIS</w:t>
      </w:r>
      <w:r>
        <w:rPr>
          <w:sz w:val="24"/>
          <w:szCs w:val="24"/>
          <w:u w:val="single"/>
        </w:rPr>
        <w:t>-derived lean mass</w:t>
      </w:r>
    </w:p>
    <w:p w14:paraId="6D10546D" w14:textId="1EE59E9F" w:rsidR="00C53D01" w:rsidRDefault="00C53D01" w:rsidP="00C53D01">
      <w:pPr>
        <w:spacing w:line="480" w:lineRule="auto"/>
        <w:rPr>
          <w:rFonts w:cstheme="minorHAnsi"/>
          <w:sz w:val="24"/>
          <w:szCs w:val="24"/>
        </w:rPr>
      </w:pPr>
      <w:r>
        <w:rPr>
          <w:rFonts w:cstheme="minorHAnsi"/>
          <w:sz w:val="24"/>
          <w:szCs w:val="24"/>
        </w:rPr>
        <w:t xml:space="preserve">Pearson correlation identified a significant positive correlation between combined </w:t>
      </w:r>
      <w:r w:rsidR="005A3531">
        <w:rPr>
          <w:rFonts w:cstheme="minorHAnsi"/>
          <w:sz w:val="24"/>
          <w:szCs w:val="24"/>
        </w:rPr>
        <w:t>PCSA</w:t>
      </w:r>
      <w:r>
        <w:rPr>
          <w:rFonts w:cstheme="minorHAnsi"/>
          <w:sz w:val="24"/>
          <w:szCs w:val="24"/>
        </w:rPr>
        <w:t xml:space="preserve"> and </w:t>
      </w:r>
      <w:r w:rsidR="00EE163B">
        <w:rPr>
          <w:rFonts w:cstheme="minorHAnsi"/>
          <w:sz w:val="24"/>
          <w:szCs w:val="24"/>
        </w:rPr>
        <w:t>BIS</w:t>
      </w:r>
      <w:r>
        <w:rPr>
          <w:rFonts w:cstheme="minorHAnsi"/>
          <w:sz w:val="24"/>
          <w:szCs w:val="24"/>
        </w:rPr>
        <w:t xml:space="preserve">-derived lean mass, </w:t>
      </w:r>
      <w:r w:rsidR="006F69E3">
        <w:rPr>
          <w:rFonts w:cstheme="minorHAnsi"/>
          <w:sz w:val="24"/>
          <w:szCs w:val="24"/>
        </w:rPr>
        <w:t>Pearson correlation coefficient (PCC)</w:t>
      </w:r>
      <w:r>
        <w:rPr>
          <w:rFonts w:cstheme="minorHAnsi"/>
          <w:sz w:val="24"/>
          <w:szCs w:val="24"/>
        </w:rPr>
        <w:t xml:space="preserve"> 0.831, p=0.003</w:t>
      </w:r>
      <w:r w:rsidR="0059326A">
        <w:rPr>
          <w:rFonts w:cstheme="minorHAnsi"/>
          <w:sz w:val="24"/>
          <w:szCs w:val="24"/>
        </w:rPr>
        <w:t>, figure 1A</w:t>
      </w:r>
      <w:r>
        <w:rPr>
          <w:rFonts w:cstheme="minorHAnsi"/>
          <w:sz w:val="24"/>
          <w:szCs w:val="24"/>
        </w:rPr>
        <w:t>. There was also a positive correlation between age and BIA-derived lean mass, PCC 0.759, p=0.011</w:t>
      </w:r>
      <w:r w:rsidR="0059326A">
        <w:rPr>
          <w:rFonts w:cstheme="minorHAnsi"/>
          <w:sz w:val="24"/>
          <w:szCs w:val="24"/>
        </w:rPr>
        <w:t>, figure 1B</w:t>
      </w:r>
      <w:r>
        <w:rPr>
          <w:rFonts w:cstheme="minorHAnsi"/>
          <w:sz w:val="24"/>
          <w:szCs w:val="24"/>
        </w:rPr>
        <w:t>.</w:t>
      </w:r>
    </w:p>
    <w:p w14:paraId="5E7D8566" w14:textId="28B0A269" w:rsidR="006B3A2B" w:rsidRDefault="006B3A2B" w:rsidP="00CE3635">
      <w:pPr>
        <w:spacing w:line="480" w:lineRule="auto"/>
        <w:rPr>
          <w:sz w:val="24"/>
          <w:szCs w:val="24"/>
          <w:u w:val="single"/>
        </w:rPr>
      </w:pPr>
      <w:r>
        <w:rPr>
          <w:sz w:val="24"/>
          <w:szCs w:val="24"/>
          <w:u w:val="single"/>
        </w:rPr>
        <w:t xml:space="preserve">Lean mass index calculation </w:t>
      </w:r>
    </w:p>
    <w:p w14:paraId="1B535CE2" w14:textId="54FDF5EA" w:rsidR="006B3A2B" w:rsidRPr="006B3A2B" w:rsidRDefault="006B3A2B" w:rsidP="00CE3635">
      <w:pPr>
        <w:spacing w:line="480" w:lineRule="auto"/>
        <w:rPr>
          <w:sz w:val="24"/>
          <w:szCs w:val="24"/>
        </w:rPr>
      </w:pPr>
      <w:r>
        <w:rPr>
          <w:sz w:val="24"/>
          <w:szCs w:val="24"/>
        </w:rPr>
        <w:t xml:space="preserve">The mean lean mass index </w:t>
      </w:r>
      <w:r w:rsidR="00386751">
        <w:rPr>
          <w:sz w:val="24"/>
          <w:szCs w:val="24"/>
        </w:rPr>
        <w:t xml:space="preserve">in this patient group was </w:t>
      </w:r>
      <w:r>
        <w:rPr>
          <w:sz w:val="24"/>
          <w:szCs w:val="24"/>
        </w:rPr>
        <w:t>15.55</w:t>
      </w:r>
      <w:r w:rsidR="00D2724C">
        <w:rPr>
          <w:sz w:val="24"/>
          <w:szCs w:val="24"/>
        </w:rPr>
        <w:t>kg/m</w:t>
      </w:r>
      <w:r w:rsidR="00D2724C">
        <w:rPr>
          <w:sz w:val="24"/>
          <w:szCs w:val="24"/>
          <w:vertAlign w:val="superscript"/>
        </w:rPr>
        <w:t>2</w:t>
      </w:r>
      <w:r>
        <w:rPr>
          <w:sz w:val="24"/>
          <w:szCs w:val="24"/>
        </w:rPr>
        <w:t xml:space="preserve"> (range 8.53</w:t>
      </w:r>
      <w:r w:rsidR="005A3531">
        <w:rPr>
          <w:sz w:val="24"/>
          <w:szCs w:val="24"/>
        </w:rPr>
        <w:t>-19.01</w:t>
      </w:r>
      <w:r w:rsidR="00897D96">
        <w:rPr>
          <w:sz w:val="24"/>
          <w:szCs w:val="24"/>
        </w:rPr>
        <w:t>kg/m</w:t>
      </w:r>
      <w:r w:rsidR="00897D96">
        <w:rPr>
          <w:sz w:val="24"/>
          <w:szCs w:val="24"/>
          <w:vertAlign w:val="superscript"/>
        </w:rPr>
        <w:t>2</w:t>
      </w:r>
      <w:r w:rsidR="005A3531">
        <w:rPr>
          <w:sz w:val="24"/>
          <w:szCs w:val="24"/>
        </w:rPr>
        <w:t xml:space="preserve">). There was a positive correlation between combined L3 PCSA, PCC 0.682, p=0.03. </w:t>
      </w:r>
    </w:p>
    <w:p w14:paraId="4D1BBA42" w14:textId="679872EB" w:rsidR="00CE3635" w:rsidRPr="00CE3635" w:rsidRDefault="00CE3635" w:rsidP="00CE3635">
      <w:pPr>
        <w:spacing w:line="480" w:lineRule="auto"/>
        <w:rPr>
          <w:sz w:val="24"/>
          <w:szCs w:val="24"/>
          <w:u w:val="single"/>
        </w:rPr>
      </w:pPr>
      <w:r w:rsidRPr="00CE3635">
        <w:rPr>
          <w:sz w:val="24"/>
          <w:szCs w:val="24"/>
          <w:u w:val="single"/>
        </w:rPr>
        <w:t xml:space="preserve">Relationship </w:t>
      </w:r>
      <w:r w:rsidR="008E0581">
        <w:rPr>
          <w:sz w:val="24"/>
          <w:szCs w:val="24"/>
          <w:u w:val="single"/>
        </w:rPr>
        <w:t xml:space="preserve">of psoas area </w:t>
      </w:r>
      <w:r w:rsidRPr="00CE3635">
        <w:rPr>
          <w:sz w:val="24"/>
          <w:szCs w:val="24"/>
          <w:u w:val="single"/>
        </w:rPr>
        <w:t>with age, height and weight</w:t>
      </w:r>
    </w:p>
    <w:p w14:paraId="3BC55BA8" w14:textId="5E34D1F6" w:rsidR="00CE3635" w:rsidRPr="00CE3635" w:rsidRDefault="00E91623" w:rsidP="00CE3635">
      <w:pPr>
        <w:spacing w:line="480" w:lineRule="auto"/>
        <w:rPr>
          <w:sz w:val="24"/>
          <w:szCs w:val="24"/>
        </w:rPr>
      </w:pPr>
      <w:r>
        <w:rPr>
          <w:sz w:val="24"/>
          <w:szCs w:val="24"/>
        </w:rPr>
        <w:lastRenderedPageBreak/>
        <w:t xml:space="preserve">We assessed the relationship between </w:t>
      </w:r>
      <w:r w:rsidR="00CE3635" w:rsidRPr="00CE3635">
        <w:rPr>
          <w:sz w:val="24"/>
          <w:szCs w:val="24"/>
        </w:rPr>
        <w:t>height</w:t>
      </w:r>
      <w:r w:rsidR="00EE163B">
        <w:rPr>
          <w:sz w:val="24"/>
          <w:szCs w:val="24"/>
        </w:rPr>
        <w:t>-for-age</w:t>
      </w:r>
      <w:r>
        <w:rPr>
          <w:sz w:val="24"/>
          <w:szCs w:val="24"/>
        </w:rPr>
        <w:t xml:space="preserve"> Z-score</w:t>
      </w:r>
      <w:r w:rsidR="00CE3635" w:rsidRPr="00CE3635">
        <w:rPr>
          <w:sz w:val="24"/>
          <w:szCs w:val="24"/>
        </w:rPr>
        <w:t xml:space="preserve"> and weight Z-score with the mean combined L3 </w:t>
      </w:r>
      <w:r>
        <w:rPr>
          <w:sz w:val="24"/>
          <w:szCs w:val="24"/>
        </w:rPr>
        <w:t>PCSA</w:t>
      </w:r>
      <w:r w:rsidR="00CE3635" w:rsidRPr="00CE3635">
        <w:rPr>
          <w:sz w:val="24"/>
          <w:szCs w:val="24"/>
        </w:rPr>
        <w:t>. Height</w:t>
      </w:r>
      <w:r w:rsidR="00EE163B">
        <w:rPr>
          <w:sz w:val="24"/>
          <w:szCs w:val="24"/>
        </w:rPr>
        <w:t>-for-age</w:t>
      </w:r>
      <w:r w:rsidR="00CE3635" w:rsidRPr="00CE3635">
        <w:rPr>
          <w:sz w:val="24"/>
          <w:szCs w:val="24"/>
        </w:rPr>
        <w:t xml:space="preserve"> Z-</w:t>
      </w:r>
      <w:r>
        <w:rPr>
          <w:sz w:val="24"/>
          <w:szCs w:val="24"/>
        </w:rPr>
        <w:t>score and PCSA,</w:t>
      </w:r>
      <w:r w:rsidR="00CE3635" w:rsidRPr="00CE3635">
        <w:rPr>
          <w:sz w:val="24"/>
          <w:szCs w:val="24"/>
        </w:rPr>
        <w:t xml:space="preserve"> </w:t>
      </w:r>
      <w:r w:rsidR="006818DD">
        <w:rPr>
          <w:sz w:val="24"/>
          <w:szCs w:val="24"/>
        </w:rPr>
        <w:t>PCC</w:t>
      </w:r>
      <w:r w:rsidR="00CE3635" w:rsidRPr="00CE3635">
        <w:rPr>
          <w:sz w:val="24"/>
          <w:szCs w:val="24"/>
        </w:rPr>
        <w:t>=0.343</w:t>
      </w:r>
      <w:r w:rsidR="00A66DAB">
        <w:rPr>
          <w:sz w:val="24"/>
          <w:szCs w:val="24"/>
        </w:rPr>
        <w:t xml:space="preserve">, </w:t>
      </w:r>
      <w:r w:rsidR="00CE3635" w:rsidRPr="00CE3635">
        <w:rPr>
          <w:sz w:val="24"/>
          <w:szCs w:val="24"/>
        </w:rPr>
        <w:t xml:space="preserve">p=0.33, figure </w:t>
      </w:r>
      <w:r w:rsidR="0059326A">
        <w:rPr>
          <w:sz w:val="24"/>
          <w:szCs w:val="24"/>
        </w:rPr>
        <w:t>2</w:t>
      </w:r>
      <w:r w:rsidR="00CE3635" w:rsidRPr="00CE3635">
        <w:rPr>
          <w:sz w:val="24"/>
          <w:szCs w:val="24"/>
        </w:rPr>
        <w:t>A. Similarly, weight Z-</w:t>
      </w:r>
      <w:r>
        <w:rPr>
          <w:sz w:val="24"/>
          <w:szCs w:val="24"/>
        </w:rPr>
        <w:t>score and PCSA</w:t>
      </w:r>
      <w:r w:rsidR="00CE3635" w:rsidRPr="00CE3635">
        <w:rPr>
          <w:sz w:val="24"/>
          <w:szCs w:val="24"/>
        </w:rPr>
        <w:t xml:space="preserve">, </w:t>
      </w:r>
      <w:r w:rsidR="006818DD">
        <w:rPr>
          <w:sz w:val="24"/>
          <w:szCs w:val="24"/>
        </w:rPr>
        <w:t>PCC</w:t>
      </w:r>
      <w:r w:rsidR="00CE3635" w:rsidRPr="00CE3635">
        <w:rPr>
          <w:sz w:val="24"/>
          <w:szCs w:val="24"/>
        </w:rPr>
        <w:t>=0.222</w:t>
      </w:r>
      <w:r w:rsidR="00A66DAB">
        <w:rPr>
          <w:sz w:val="24"/>
          <w:szCs w:val="24"/>
        </w:rPr>
        <w:t xml:space="preserve">, </w:t>
      </w:r>
      <w:r w:rsidR="00CE3635" w:rsidRPr="00CE3635">
        <w:rPr>
          <w:sz w:val="24"/>
          <w:szCs w:val="24"/>
        </w:rPr>
        <w:t xml:space="preserve">p=0.54, figure </w:t>
      </w:r>
      <w:r w:rsidR="0059326A">
        <w:rPr>
          <w:sz w:val="24"/>
          <w:szCs w:val="24"/>
        </w:rPr>
        <w:t>2</w:t>
      </w:r>
      <w:r w:rsidR="00CE3635" w:rsidRPr="00CE3635">
        <w:rPr>
          <w:sz w:val="24"/>
          <w:szCs w:val="24"/>
        </w:rPr>
        <w:t xml:space="preserve">B. </w:t>
      </w:r>
    </w:p>
    <w:p w14:paraId="567A855F" w14:textId="157336D0" w:rsidR="00CE3635" w:rsidRDefault="00382245" w:rsidP="00CE3635">
      <w:pPr>
        <w:spacing w:line="480" w:lineRule="auto"/>
        <w:rPr>
          <w:sz w:val="24"/>
          <w:szCs w:val="24"/>
        </w:rPr>
      </w:pPr>
      <w:r>
        <w:rPr>
          <w:sz w:val="24"/>
          <w:szCs w:val="24"/>
        </w:rPr>
        <w:t>A</w:t>
      </w:r>
      <w:r w:rsidR="00CE3635" w:rsidRPr="00CE3635">
        <w:rPr>
          <w:sz w:val="24"/>
          <w:szCs w:val="24"/>
        </w:rPr>
        <w:t xml:space="preserve">ge at the time of </w:t>
      </w:r>
      <w:r>
        <w:rPr>
          <w:sz w:val="24"/>
          <w:szCs w:val="24"/>
        </w:rPr>
        <w:t xml:space="preserve">MRI </w:t>
      </w:r>
      <w:r w:rsidR="00CE3635" w:rsidRPr="00CE3635">
        <w:rPr>
          <w:sz w:val="24"/>
          <w:szCs w:val="24"/>
        </w:rPr>
        <w:t xml:space="preserve">scan </w:t>
      </w:r>
      <w:r>
        <w:rPr>
          <w:sz w:val="24"/>
          <w:szCs w:val="24"/>
        </w:rPr>
        <w:t>was correlated with</w:t>
      </w:r>
      <w:r w:rsidR="00CE3635" w:rsidRPr="00CE3635">
        <w:rPr>
          <w:sz w:val="24"/>
          <w:szCs w:val="24"/>
        </w:rPr>
        <w:t xml:space="preserve"> mean combined L3 </w:t>
      </w:r>
      <w:r w:rsidR="00A66DAB">
        <w:rPr>
          <w:sz w:val="24"/>
          <w:szCs w:val="24"/>
        </w:rPr>
        <w:t xml:space="preserve">PCSA, </w:t>
      </w:r>
      <w:r w:rsidR="006818DD">
        <w:rPr>
          <w:sz w:val="24"/>
          <w:szCs w:val="24"/>
        </w:rPr>
        <w:t>PCC</w:t>
      </w:r>
      <w:r w:rsidR="00CE3635" w:rsidRPr="00CE3635">
        <w:rPr>
          <w:sz w:val="24"/>
          <w:szCs w:val="24"/>
        </w:rPr>
        <w:t xml:space="preserve"> 0.6034, p=0.065</w:t>
      </w:r>
      <w:r w:rsidR="00A66DAB">
        <w:rPr>
          <w:sz w:val="24"/>
          <w:szCs w:val="24"/>
        </w:rPr>
        <w:t>,</w:t>
      </w:r>
      <w:r w:rsidR="00CE3635" w:rsidRPr="00CE3635">
        <w:rPr>
          <w:sz w:val="24"/>
          <w:szCs w:val="24"/>
        </w:rPr>
        <w:t xml:space="preserve"> figure </w:t>
      </w:r>
      <w:r w:rsidR="0059326A">
        <w:rPr>
          <w:sz w:val="24"/>
          <w:szCs w:val="24"/>
        </w:rPr>
        <w:t>2</w:t>
      </w:r>
      <w:r w:rsidR="00CE3635" w:rsidRPr="00CE3635">
        <w:rPr>
          <w:sz w:val="24"/>
          <w:szCs w:val="24"/>
        </w:rPr>
        <w:t xml:space="preserve">C. </w:t>
      </w:r>
    </w:p>
    <w:p w14:paraId="6F1BFE74" w14:textId="723D57E7" w:rsidR="00B653F4" w:rsidRPr="00CE3635" w:rsidRDefault="00B653F4" w:rsidP="00B653F4">
      <w:pPr>
        <w:spacing w:line="480" w:lineRule="auto"/>
        <w:rPr>
          <w:sz w:val="24"/>
          <w:szCs w:val="24"/>
          <w:u w:val="single"/>
        </w:rPr>
      </w:pPr>
      <w:r>
        <w:rPr>
          <w:sz w:val="24"/>
          <w:szCs w:val="24"/>
          <w:u w:val="single"/>
        </w:rPr>
        <w:t>Application of CT-derived normal psoas area to MRI data</w:t>
      </w:r>
    </w:p>
    <w:p w14:paraId="645259F2" w14:textId="3736CA5B" w:rsidR="008E0581" w:rsidRPr="00E232B8" w:rsidRDefault="0042623F" w:rsidP="00A64BAC">
      <w:pPr>
        <w:spacing w:line="480" w:lineRule="auto"/>
        <w:rPr>
          <w:sz w:val="24"/>
          <w:szCs w:val="24"/>
        </w:rPr>
      </w:pPr>
      <w:r>
        <w:rPr>
          <w:sz w:val="24"/>
          <w:szCs w:val="24"/>
        </w:rPr>
        <w:t>Psoas area Z-scores for our 10 patients were calculated based on CT-derived normal data. The mean Psoas area Z-score was -1.81, with 70% of the patients having a Z-score &lt;-2.0</w:t>
      </w:r>
      <w:r w:rsidR="00DF63B3">
        <w:rPr>
          <w:sz w:val="24"/>
          <w:szCs w:val="24"/>
        </w:rPr>
        <w:t xml:space="preserve">, table </w:t>
      </w:r>
      <w:r w:rsidR="00E91C8F">
        <w:rPr>
          <w:sz w:val="24"/>
          <w:szCs w:val="24"/>
        </w:rPr>
        <w:t>1</w:t>
      </w:r>
      <w:r w:rsidR="00DF63B3">
        <w:rPr>
          <w:sz w:val="24"/>
          <w:szCs w:val="24"/>
        </w:rPr>
        <w:t>.</w:t>
      </w:r>
    </w:p>
    <w:p w14:paraId="1C31A609" w14:textId="7356E130" w:rsidR="00DF4882" w:rsidRDefault="00DF4882" w:rsidP="008D7EED">
      <w:pPr>
        <w:spacing w:line="480" w:lineRule="auto"/>
        <w:rPr>
          <w:sz w:val="24"/>
          <w:szCs w:val="24"/>
          <w:u w:val="single"/>
        </w:rPr>
      </w:pPr>
    </w:p>
    <w:p w14:paraId="6709D6A9" w14:textId="7F7D04B5" w:rsidR="00630FBA" w:rsidRDefault="00630FBA" w:rsidP="008D7EED">
      <w:pPr>
        <w:spacing w:line="480" w:lineRule="auto"/>
        <w:rPr>
          <w:sz w:val="24"/>
          <w:szCs w:val="24"/>
          <w:u w:val="single"/>
        </w:rPr>
      </w:pPr>
    </w:p>
    <w:p w14:paraId="7A2A827F" w14:textId="2FD40C5E" w:rsidR="00630FBA" w:rsidRDefault="00630FBA" w:rsidP="008D7EED">
      <w:pPr>
        <w:spacing w:line="480" w:lineRule="auto"/>
        <w:rPr>
          <w:sz w:val="24"/>
          <w:szCs w:val="24"/>
          <w:u w:val="single"/>
        </w:rPr>
      </w:pPr>
    </w:p>
    <w:p w14:paraId="74EB42EB" w14:textId="00732A3C" w:rsidR="00D775CA" w:rsidRDefault="00D775CA" w:rsidP="008D7EED">
      <w:pPr>
        <w:spacing w:line="480" w:lineRule="auto"/>
        <w:rPr>
          <w:sz w:val="24"/>
          <w:szCs w:val="24"/>
          <w:u w:val="single"/>
        </w:rPr>
      </w:pPr>
    </w:p>
    <w:p w14:paraId="5D27F2D2" w14:textId="2DCFFD3B" w:rsidR="00D775CA" w:rsidRDefault="00D775CA" w:rsidP="008D7EED">
      <w:pPr>
        <w:spacing w:line="480" w:lineRule="auto"/>
        <w:rPr>
          <w:sz w:val="24"/>
          <w:szCs w:val="24"/>
          <w:u w:val="single"/>
        </w:rPr>
      </w:pPr>
    </w:p>
    <w:p w14:paraId="1F329781" w14:textId="641642F7" w:rsidR="00144F10" w:rsidRDefault="00144F10" w:rsidP="008D7EED">
      <w:pPr>
        <w:spacing w:line="480" w:lineRule="auto"/>
        <w:rPr>
          <w:sz w:val="24"/>
          <w:szCs w:val="24"/>
          <w:u w:val="single"/>
        </w:rPr>
      </w:pPr>
    </w:p>
    <w:p w14:paraId="4513F145" w14:textId="77777777" w:rsidR="00EB5499" w:rsidRDefault="00EB5499" w:rsidP="008D7EED">
      <w:pPr>
        <w:spacing w:line="480" w:lineRule="auto"/>
        <w:rPr>
          <w:sz w:val="24"/>
          <w:szCs w:val="24"/>
          <w:u w:val="single"/>
        </w:rPr>
      </w:pPr>
    </w:p>
    <w:p w14:paraId="38820DE2" w14:textId="705B5776" w:rsidR="00144F10" w:rsidRDefault="00144F10" w:rsidP="008D7EED">
      <w:pPr>
        <w:spacing w:line="480" w:lineRule="auto"/>
        <w:rPr>
          <w:sz w:val="24"/>
          <w:szCs w:val="24"/>
          <w:u w:val="single"/>
        </w:rPr>
      </w:pPr>
    </w:p>
    <w:p w14:paraId="7B374B31" w14:textId="77777777" w:rsidR="00144F10" w:rsidRDefault="00144F10" w:rsidP="008D7EED">
      <w:pPr>
        <w:spacing w:line="480" w:lineRule="auto"/>
        <w:rPr>
          <w:sz w:val="24"/>
          <w:szCs w:val="24"/>
          <w:u w:val="single"/>
        </w:rPr>
      </w:pPr>
    </w:p>
    <w:p w14:paraId="4260CCF4" w14:textId="16A396F7" w:rsidR="00D775CA" w:rsidRDefault="00D775CA" w:rsidP="008D7EED">
      <w:pPr>
        <w:spacing w:line="480" w:lineRule="auto"/>
        <w:rPr>
          <w:sz w:val="24"/>
          <w:szCs w:val="24"/>
          <w:u w:val="single"/>
        </w:rPr>
      </w:pPr>
    </w:p>
    <w:p w14:paraId="1CE351E8" w14:textId="77777777" w:rsidR="00D775CA" w:rsidRDefault="00D775CA" w:rsidP="008D7EED">
      <w:pPr>
        <w:spacing w:line="480" w:lineRule="auto"/>
        <w:rPr>
          <w:sz w:val="24"/>
          <w:szCs w:val="24"/>
          <w:u w:val="single"/>
        </w:rPr>
      </w:pPr>
    </w:p>
    <w:p w14:paraId="4023C7BA" w14:textId="77777777" w:rsidR="00E83748" w:rsidRPr="008D7EED" w:rsidRDefault="00E83748" w:rsidP="008D7EED">
      <w:pPr>
        <w:spacing w:line="480" w:lineRule="auto"/>
        <w:rPr>
          <w:b/>
          <w:bCs/>
          <w:sz w:val="24"/>
          <w:szCs w:val="24"/>
          <w:u w:val="single"/>
        </w:rPr>
      </w:pPr>
      <w:r w:rsidRPr="008D7EED">
        <w:rPr>
          <w:b/>
          <w:bCs/>
          <w:sz w:val="24"/>
          <w:szCs w:val="24"/>
          <w:u w:val="single"/>
        </w:rPr>
        <w:lastRenderedPageBreak/>
        <w:t xml:space="preserve">Discussion </w:t>
      </w:r>
    </w:p>
    <w:p w14:paraId="395E50DB" w14:textId="29E38EA6" w:rsidR="00C53D01" w:rsidRDefault="00112D9B" w:rsidP="008D7EED">
      <w:pPr>
        <w:spacing w:line="480" w:lineRule="auto"/>
        <w:rPr>
          <w:sz w:val="24"/>
          <w:szCs w:val="24"/>
        </w:rPr>
      </w:pPr>
      <w:r>
        <w:rPr>
          <w:sz w:val="24"/>
          <w:szCs w:val="24"/>
        </w:rPr>
        <w:t xml:space="preserve">These data </w:t>
      </w:r>
      <w:r w:rsidR="00116145">
        <w:rPr>
          <w:sz w:val="24"/>
          <w:szCs w:val="24"/>
        </w:rPr>
        <w:t>demonstrate</w:t>
      </w:r>
      <w:r>
        <w:rPr>
          <w:sz w:val="24"/>
          <w:szCs w:val="24"/>
        </w:rPr>
        <w:t xml:space="preserve"> that routine MRI scans</w:t>
      </w:r>
      <w:r w:rsidR="00116145">
        <w:rPr>
          <w:sz w:val="24"/>
          <w:szCs w:val="24"/>
        </w:rPr>
        <w:t>,</w:t>
      </w:r>
      <w:r>
        <w:rPr>
          <w:sz w:val="24"/>
          <w:szCs w:val="24"/>
        </w:rPr>
        <w:t xml:space="preserve"> performed on patients with Crohn’s disease</w:t>
      </w:r>
      <w:r w:rsidR="00116145">
        <w:rPr>
          <w:sz w:val="24"/>
          <w:szCs w:val="24"/>
        </w:rPr>
        <w:t>,</w:t>
      </w:r>
      <w:r>
        <w:rPr>
          <w:sz w:val="24"/>
          <w:szCs w:val="24"/>
        </w:rPr>
        <w:t xml:space="preserve"> can be used to derive measures of psoas cross-sectional area. These measures significantly correlate with </w:t>
      </w:r>
      <w:r w:rsidR="00C404DF">
        <w:rPr>
          <w:sz w:val="24"/>
          <w:szCs w:val="24"/>
        </w:rPr>
        <w:t>BIS</w:t>
      </w:r>
      <w:r>
        <w:rPr>
          <w:sz w:val="24"/>
          <w:szCs w:val="24"/>
        </w:rPr>
        <w:t>-derived estimates of lean mass.</w:t>
      </w:r>
      <w:r w:rsidR="00144F10">
        <w:rPr>
          <w:sz w:val="24"/>
          <w:szCs w:val="24"/>
        </w:rPr>
        <w:t xml:space="preserve"> This indicates that PCSA reflects derived lean mass when normalised for a patient’s height.</w:t>
      </w:r>
      <w:r>
        <w:rPr>
          <w:sz w:val="24"/>
          <w:szCs w:val="24"/>
        </w:rPr>
        <w:t xml:space="preserve"> </w:t>
      </w:r>
      <w:r w:rsidR="003A34AE">
        <w:rPr>
          <w:sz w:val="24"/>
          <w:szCs w:val="24"/>
        </w:rPr>
        <w:t xml:space="preserve">Reproducibility of psoas area measures was relatively high with around 10% variability in measures across all patients. </w:t>
      </w:r>
      <w:r>
        <w:rPr>
          <w:sz w:val="24"/>
          <w:szCs w:val="24"/>
        </w:rPr>
        <w:t>Overall, these measures are highly feasible as part of routine MRI reporting</w:t>
      </w:r>
      <w:r w:rsidR="00AE5229" w:rsidRPr="00AE5229">
        <w:rPr>
          <w:sz w:val="24"/>
          <w:szCs w:val="24"/>
        </w:rPr>
        <w:t xml:space="preserve"> </w:t>
      </w:r>
      <w:r w:rsidR="00AE5229">
        <w:rPr>
          <w:sz w:val="24"/>
          <w:szCs w:val="24"/>
        </w:rPr>
        <w:t>and would enable assessment of body composition during these routine scans</w:t>
      </w:r>
      <w:r>
        <w:rPr>
          <w:sz w:val="24"/>
          <w:szCs w:val="24"/>
        </w:rPr>
        <w:t>.</w:t>
      </w:r>
      <w:r w:rsidR="0042623F">
        <w:rPr>
          <w:sz w:val="24"/>
          <w:szCs w:val="24"/>
        </w:rPr>
        <w:t xml:space="preserve"> Assuming comparable measures are derived from CT and MRI images, application of normal </w:t>
      </w:r>
      <w:r w:rsidR="00FC66CD">
        <w:rPr>
          <w:sz w:val="24"/>
          <w:szCs w:val="24"/>
        </w:rPr>
        <w:t xml:space="preserve">paediatric </w:t>
      </w:r>
      <w:r w:rsidR="0042623F">
        <w:rPr>
          <w:sz w:val="24"/>
          <w:szCs w:val="24"/>
        </w:rPr>
        <w:t xml:space="preserve">data would indicate that </w:t>
      </w:r>
      <w:r w:rsidR="00FC66CD">
        <w:rPr>
          <w:sz w:val="24"/>
          <w:szCs w:val="24"/>
        </w:rPr>
        <w:t>70% of our</w:t>
      </w:r>
      <w:r w:rsidR="0042623F">
        <w:rPr>
          <w:sz w:val="24"/>
          <w:szCs w:val="24"/>
        </w:rPr>
        <w:t xml:space="preserve"> Crohn’s disease patients had a </w:t>
      </w:r>
      <w:r w:rsidR="000B1D00">
        <w:rPr>
          <w:sz w:val="24"/>
          <w:szCs w:val="24"/>
        </w:rPr>
        <w:t>PCSA</w:t>
      </w:r>
      <w:r w:rsidR="0042623F">
        <w:rPr>
          <w:sz w:val="24"/>
          <w:szCs w:val="24"/>
        </w:rPr>
        <w:t xml:space="preserve"> &gt;2 standard deviations below average. </w:t>
      </w:r>
      <w:r>
        <w:rPr>
          <w:sz w:val="24"/>
          <w:szCs w:val="24"/>
        </w:rPr>
        <w:t>These data enable assessment of</w:t>
      </w:r>
      <w:r w:rsidR="00897D96">
        <w:rPr>
          <w:sz w:val="24"/>
          <w:szCs w:val="24"/>
        </w:rPr>
        <w:t xml:space="preserve"> body composition i</w:t>
      </w:r>
      <w:r>
        <w:rPr>
          <w:sz w:val="24"/>
          <w:szCs w:val="24"/>
        </w:rPr>
        <w:t>n children with IBD to be performed as part of routine scanning</w:t>
      </w:r>
      <w:r w:rsidR="00897D96">
        <w:rPr>
          <w:sz w:val="24"/>
          <w:szCs w:val="24"/>
        </w:rPr>
        <w:t xml:space="preserve"> and may enable identification of children with sarcopenia through integration of normal reference ranges</w:t>
      </w:r>
      <w:r>
        <w:rPr>
          <w:sz w:val="24"/>
          <w:szCs w:val="24"/>
        </w:rPr>
        <w:t xml:space="preserve">. </w:t>
      </w:r>
    </w:p>
    <w:p w14:paraId="1E7AC626" w14:textId="66849161" w:rsidR="003A34AE" w:rsidRDefault="003A34AE" w:rsidP="008D7EED">
      <w:pPr>
        <w:spacing w:line="480" w:lineRule="auto"/>
        <w:rPr>
          <w:sz w:val="24"/>
          <w:szCs w:val="24"/>
        </w:rPr>
      </w:pPr>
      <w:r>
        <w:rPr>
          <w:sz w:val="24"/>
          <w:szCs w:val="24"/>
        </w:rPr>
        <w:t>There is increasing interest in personalised nutritional therapy for Crohn’s disease</w:t>
      </w:r>
      <w:r w:rsidR="00116145">
        <w:rPr>
          <w:sz w:val="24"/>
          <w:szCs w:val="24"/>
        </w:rPr>
        <w:fldChar w:fldCharType="begin" w:fldLock="1"/>
      </w:r>
      <w:r w:rsidR="00386751">
        <w:rPr>
          <w:sz w:val="24"/>
          <w:szCs w:val="24"/>
        </w:rPr>
        <w:instrText>ADDIN CSL_CITATION {"citationItems":[{"id":"ITEM-1","itemData":{"DOI":"10.1016/j.clnu.2020.03.034","ISSN":"15321983","PMID":"32331855","author":[{"dropping-particle":"","family":"Ashton","given":"James J.","non-dropping-particle":"","parse-names":false,"suffix":""},{"dropping-particle":"","family":"Green","given":"Zachary","non-dropping-particle":"","parse-names":false,"suffix":""},{"dropping-particle":"","family":"Beattie","given":"R. Mark","non-dropping-particle":"","parse-names":false,"suffix":""}],"container-title":"Clinical Nutrition","id":"ITEM-1","issue":"6","issued":{"date-parts":[["2020"]]},"publisher":"Churchill Livingstone","title":"Beyond bedside measures of malnutrition in paediatric Crohn's disease – Should we be thinking of sarcopenia","type":"article","volume":"39"},"uris":["http://www.mendeley.com/documents/?uuid=963140c6-3781-38d6-b6d5-dde06d183455"]}],"mendeley":{"formattedCitation":"&lt;sup&gt;6&lt;/sup&gt;","plainTextFormattedCitation":"6","previouslyFormattedCitation":"&lt;sup&gt;6&lt;/sup&gt;"},"properties":{"noteIndex":0},"schema":"https://github.com/citation-style-language/schema/raw/master/csl-citation.json"}</w:instrText>
      </w:r>
      <w:r w:rsidR="00116145">
        <w:rPr>
          <w:sz w:val="24"/>
          <w:szCs w:val="24"/>
        </w:rPr>
        <w:fldChar w:fldCharType="separate"/>
      </w:r>
      <w:r w:rsidR="00627AB5" w:rsidRPr="00627AB5">
        <w:rPr>
          <w:noProof/>
          <w:sz w:val="24"/>
          <w:szCs w:val="24"/>
          <w:vertAlign w:val="superscript"/>
        </w:rPr>
        <w:t>6</w:t>
      </w:r>
      <w:r w:rsidR="00116145">
        <w:rPr>
          <w:sz w:val="24"/>
          <w:szCs w:val="24"/>
        </w:rPr>
        <w:fldChar w:fldCharType="end"/>
      </w:r>
      <w:r>
        <w:rPr>
          <w:sz w:val="24"/>
          <w:szCs w:val="24"/>
        </w:rPr>
        <w:t xml:space="preserve">. </w:t>
      </w:r>
      <w:r w:rsidR="00144F10">
        <w:rPr>
          <w:sz w:val="24"/>
          <w:szCs w:val="24"/>
        </w:rPr>
        <w:t xml:space="preserve">In addition, obesity </w:t>
      </w:r>
      <w:r>
        <w:rPr>
          <w:sz w:val="24"/>
          <w:szCs w:val="24"/>
        </w:rPr>
        <w:t>has presented novel challenges in a disease previously typified by undernutrition</w:t>
      </w:r>
      <w:r>
        <w:rPr>
          <w:sz w:val="24"/>
          <w:szCs w:val="24"/>
        </w:rPr>
        <w:fldChar w:fldCharType="begin" w:fldLock="1"/>
      </w:r>
      <w:r w:rsidR="009B2D52">
        <w:rPr>
          <w:sz w:val="24"/>
          <w:szCs w:val="24"/>
        </w:rPr>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mendeley":{"formattedCitation":"&lt;sup&gt;15&lt;/sup&gt;","plainTextFormattedCitation":"15","previouslyFormattedCitation":"&lt;sup&gt;15&lt;/sup&gt;"},"properties":{"noteIndex":0},"schema":"https://github.com/citation-style-language/schema/raw/master/csl-citation.json"}</w:instrText>
      </w:r>
      <w:r>
        <w:rPr>
          <w:sz w:val="24"/>
          <w:szCs w:val="24"/>
        </w:rPr>
        <w:fldChar w:fldCharType="separate"/>
      </w:r>
      <w:r w:rsidR="00386751" w:rsidRPr="00386751">
        <w:rPr>
          <w:noProof/>
          <w:sz w:val="24"/>
          <w:szCs w:val="24"/>
          <w:vertAlign w:val="superscript"/>
        </w:rPr>
        <w:t>15</w:t>
      </w:r>
      <w:r>
        <w:rPr>
          <w:sz w:val="24"/>
          <w:szCs w:val="24"/>
        </w:rPr>
        <w:fldChar w:fldCharType="end"/>
      </w:r>
      <w:r>
        <w:rPr>
          <w:sz w:val="24"/>
          <w:szCs w:val="24"/>
        </w:rPr>
        <w:t>. The role of dietary management for induction of remission in paediatric Crohn’s disease is well established, however the place of routine supplemental nutrition is less certain</w:t>
      </w:r>
      <w:r w:rsidR="00C404DF">
        <w:rPr>
          <w:sz w:val="24"/>
          <w:szCs w:val="24"/>
        </w:rPr>
        <w:t>, particularly with increasing numbers of children with IBD being overweight</w:t>
      </w:r>
      <w:r w:rsidR="00887338">
        <w:rPr>
          <w:sz w:val="24"/>
          <w:szCs w:val="24"/>
        </w:rPr>
        <w:t xml:space="preserve"> or</w:t>
      </w:r>
      <w:r w:rsidR="00C404DF">
        <w:rPr>
          <w:sz w:val="24"/>
          <w:szCs w:val="24"/>
        </w:rPr>
        <w:t xml:space="preserve"> obese</w:t>
      </w:r>
      <w:r>
        <w:rPr>
          <w:sz w:val="24"/>
          <w:szCs w:val="24"/>
        </w:rPr>
        <w:fldChar w:fldCharType="begin" w:fldLock="1"/>
      </w:r>
      <w:r w:rsidR="000B1D00">
        <w:rPr>
          <w:sz w:val="24"/>
          <w:szCs w:val="24"/>
        </w:rPr>
        <w:instrText>ADDIN CSL_CITATION {"citationItems":[{"id":"ITEM-1","itemData":{"DOI":"10.1016/j.clnu.2018.01.020","ISBN":"02615614","ISSN":"15321983","PMID":"29398336","abstract":"© 2018 Elsevier Ltd and European Society for Clinical Nutrition and Metabolism. Exclusive enteral nutrition (EEN) is the first line therapy for paediatric Crohn's disease, providing a complete nutritional feed whilst simultaneously inducing remission in up to 80% of cases. The effect of EEN on systemic/local intestinal immune function and subsequent inflammation (including barrier permeability, direct anti-inflammatory effects and cytokine signalling pathways), alongside changes in the microbiome (specific species and broad taxonomic shifts, functional changes) are becoming clearer, however the exact mechanism for induction of remission in Crohn's disease remains uncertain. The evidence of efficacy in paediatric Crohn's disease is strong, with selected adult populations also benefiting from EEN. However despite recommendations from all major societies (ECCO, ESPGHAN, NASPGHAN and ESPEN) first-line use of EEN is varied and Europe/Australasia/Canada show significantly more routine use than other parts of North America. Growth and nutritional status are significantly improved with EEN compared to corticosteroids but long-term outcomes are sparse. This review discusses the evidence underlying the use of EEN, highlighting the mechanisms thought to underlie how EEN induces remission in Crohn's disease, when and how to use EEN, including practical issues in both paediatric and adult practice (formulation, compliance, volumes and administration), and summarises the ongoing research priorities.","author":[{"dropping-particle":"","family":"Ashton","given":"J.J.","non-dropping-particle":"","parse-names":false,"suffix":""},{"dropping-particle":"","family":"Gavin","given":"J.","non-dropping-particle":"","parse-names":false,"suffix":""},{"dropping-particle":"","family":"Beattie","given":"R.M.","non-dropping-particle":"","parse-names":false,"suffix":""}],"container-title":"Clinical Nutrition","id":"ITEM-1","issue":"1","issued":{"date-parts":[["2018"]]},"page":"80-89","title":"Exclusive enteral nutrition in Crohn's disease: Evidence and practicalities","type":"article-journal","volume":"38"},"uris":["http://www.mendeley.com/documents/?uuid=242cb036-b3aa-3c2a-adbd-0bbd30424a08"]},{"id":"ITEM-2","itemData":{"DOI":"10.1111/apa.14075","ISSN":"1651-2227","author":[{"dropping-particle":"","family":"Gavin","given":"J","non-dropping-particle":"","parse-names":false,"suffix":""},{"dropping-particle":"","family":"Ashton","given":"J J","non-dropping-particle":"","parse-names":false,"suffix":""},{"dropping-particle":"","family":"Heather","given":"N","non-dropping-particle":"","parse-names":false,"suffix":""},{"dropping-particle":"V","family":"Marino","given":"L","non-dropping-particle":"","parse-names":false,"suffix":""},{"dropping-particle":"","family":"Beattie","given":"R M","non-dropping-particle":"","parse-names":false,"suffix":""}],"container-title":"Acta Paediatr","id":"ITEM-2","issued":{"date-parts":[["2017"]]},"title":"Nutritional support in paediatric Crohn's disease; Outcome at 12 months","type":"article-journal"},"uris":["http://www.mendeley.com/documents/?uuid=d6ac91f9-79cc-424b-938f-8fd70eed3793"]},{"id":"ITEM-3","itemData":{"DOI":"10.1097/MIB.0000000000000110","ISBN":"0000000000000","ISSN":"1078-0998","PMID":"24983973","abstract":"BACKGROUND:: Exclusive enteral nutrition is effective for inducing remission in active pediatric Crohn's disease. Partial enteral nutrition (PEN) with free diet is ineffective for inducing remission, suggesting that the mechanism depends on exclusion of free diet. We developed an alternative diet based on PEN with exclusion of dietary components hypothesized to affect the microbiome or intestinal permeability.\\n\\nMETHODS:: Children and young adults with active disease defined as a pediatric Crohn's disease activity index &gt;7.5 or Harvey-Bradshaw index ≥4 received a 6-week structured Crohn's disease exclusion diet that allowed access to specific foods and restricted exposure to all other foods, and up to 50% of dietary calories from a polymeric formula. Remission, C-reactive protien, and erythrocyte sedimentation rate were reevaluated at 6 weeks. The primary endpoint was remission at 6 weeks defined as Harvey-Bradshaw index ≤3 for all patients and pediatric Crohn's disease activity index &lt;7.5 in children.\\n\\nRESULTS:: We treated 47 patients (mean age, 16.1 ± 5.6 yr; 34 children). Response and remission were obtained in 37 (78.7%) and 33 (70.2%) patients, respectively. Mean pediatric Crohn's disease activity index decreased from 27.7 ± 9.4 to 5.4 ± 8 (P &lt; 0.001), Harvey-Bradshaw index from 6.4 ± 2.7 to 1.8 ± 2.9 (P &lt; 0.001). Remission was obtained in 70% of children and 69% of adults. Normalization of previously elevated CRP occurred in 21 of 30 (70%) patients in remission. Seven patients used the diet without PEN; 6 of 7 obtained remission.\\n\\nCONCLUSIONS:: Dietary therapy involving PEN with an exclusion diet seems to lead to high remission rates in early mild-to-moderate luminal Crohn's disease in children and young adults.","author":[{"dropping-particle":"","family":"Sigall-Boneh","given":"Rotem","non-dropping-particle":"","parse-names":false,"suffix":""},{"dropping-particle":"","family":"Pfeffer-Gik","given":"Tamar","non-dropping-particle":"","parse-names":false,"suffix":""},{"dropping-particle":"","family":"Segal","given":"Idit","non-dropping-particle":"","parse-names":false,"suffix":""},{"dropping-particle":"","family":"Zangen","given":"Tsili","non-dropping-particle":"","parse-names":false,"suffix":""},{"dropping-particle":"","family":"Boaz","given":"Mona","non-dropping-particle":"","parse-names":false,"suffix":""},{"dropping-particle":"","family":"Levine","given":"Arie","non-dropping-particle":"","parse-names":false,"suffix":""}],"container-title":"Inflammatory Bowel Diseases","id":"ITEM-3","issue":"8","issued":{"date-parts":[["2014"]]},"page":"1353-60","title":"Partial Enteral Nutrition with a Crohnʼs Disease Exclusion Diet Is Effective for Induction of Remission in Children and Young Adults with Crohnʼs Disease","type":"article-journal","volume":"20"},"uris":["http://www.mendeley.com/documents/?uuid=7ba47eb9-a11a-31d6-a4c6-78b0ec898ab2"]}],"mendeley":{"formattedCitation":"&lt;sup&gt;12,23,24&lt;/sup&gt;","plainTextFormattedCitation":"12,23,24","previouslyFormattedCitation":"&lt;sup&gt;12,22,23&lt;/sup&gt;"},"properties":{"noteIndex":0},"schema":"https://github.com/citation-style-language/schema/raw/master/csl-citation.json"}</w:instrText>
      </w:r>
      <w:r>
        <w:rPr>
          <w:sz w:val="24"/>
          <w:szCs w:val="24"/>
        </w:rPr>
        <w:fldChar w:fldCharType="separate"/>
      </w:r>
      <w:r w:rsidR="000B1D00" w:rsidRPr="000B1D00">
        <w:rPr>
          <w:noProof/>
          <w:sz w:val="24"/>
          <w:szCs w:val="24"/>
          <w:vertAlign w:val="superscript"/>
        </w:rPr>
        <w:t>12,23,24</w:t>
      </w:r>
      <w:r>
        <w:rPr>
          <w:sz w:val="24"/>
          <w:szCs w:val="24"/>
        </w:rPr>
        <w:fldChar w:fldCharType="end"/>
      </w:r>
      <w:r>
        <w:rPr>
          <w:sz w:val="24"/>
          <w:szCs w:val="24"/>
        </w:rPr>
        <w:t>. In adult IBD, sarcopenia is associated with increased morbidity and mortality, and worse outcomes including the need for surgery</w:t>
      </w:r>
      <w:r>
        <w:rPr>
          <w:sz w:val="24"/>
          <w:szCs w:val="24"/>
        </w:rPr>
        <w:fldChar w:fldCharType="begin" w:fldLock="1"/>
      </w:r>
      <w:r w:rsidR="000B1D00">
        <w:rPr>
          <w:sz w:val="24"/>
          <w:szCs w:val="24"/>
        </w:rPr>
        <w:instrText>ADDIN CSL_CITATION {"citationItems":[{"id":"ITEM-1","itemData":{"DOI":"10.1093/ibd/izy212","ISSN":"15364844","abstract":"Background Sarcopenia is associated with increased morbidity and mortality in oncologic and transplant surgery. It has a high incidence in chronic inflammatory states including inflammatory bowel disease (IBD). The validity of existing data in IBD and of sarcopenia's correlation with surgical outcomes is limited. Methods We performed a systematic review to assess the correlation of sarcopenia with the requirement for surgery and surgical outcomes in patients with IBD. Observational studies of patients with IBD in whom an assessment of sarcopenic status/skeletal muscle index was undertaken, a proportion of whom proceeded to surgical management, were selected. Results A total of 5 studies with a combined 658 IBD patients met the inclusion criteria. The majority (70%) had a diagnosis of Crohn's disease. Median (range) body mass index and skeletal muscle index were reported in 4 studies and were 16.58 (13.66-22.50) kg/m 2 and 44.52 (42.90-50.64) cm 2/m 2, respectively. Forty-two percent of IBD patients had sarcopenia. Notably, none of the studies assessed both the anatomical and functional component required for a correct assessment of sarcopenia. Three studies noted that sarcopenic IBD patients had a higher probability of requiring surgery. The rate of major complications (Clavien-Dindo grade ≥IIIa) was significantly higher in patients with sarcopenia. Improved perioperative nutrition management may mitigate the risk of complications. Conclusion Many IBD patients are young, may be malnourished, and commonly require emergent surgery. There is considerable heterogeneity in the assessment of sarcopenia. Sarcopenia is common in the IBD population and can predict the need for surgical intervention. Sarcopenia correlates with an increased rate of major postoperative complications. Improved perioperative intervention may diminish this risk. A formal assessment, screening by a dedicated IBD dietician, and preoperative physical therapy may facilitate early intervention.","author":[{"dropping-particle":"","family":"Ryan","given":"Eanna","non-dropping-particle":"","parse-names":false,"suffix":""},{"dropping-particle":"","family":"McNicholas","given":"Daniel","non-dropping-particle":"","parse-names":false,"suffix":""},{"dropping-particle":"","family":"Creavin","given":"Ben","non-dropping-particle":"","parse-names":false,"suffix":""},{"dropping-particle":"","family":"Kelly","given":"Michael Eamon","non-dropping-particle":"","parse-names":false,"suffix":""},{"dropping-particle":"","family":"Walsh","given":"Tom","non-dropping-particle":"","parse-names":false,"suffix":""},{"dropping-particle":"","family":"Beddy","given":"David","non-dropping-particle":"","parse-names":false,"suffix":""}],"container-title":"Inflammatory Bowel Diseases","id":"ITEM-1","issue":"1","issued":{"date-parts":[["2019","1","1"]]},"page":"67-73","publisher":"Oxford University Press","title":"Sarcopenia and inflammatory bowel disease: A systematic review","type":"article","volume":"25"},"uris":["http://www.mendeley.com/documents/?uuid=eb78f9c3-7ba2-3134-b465-13d53a4bf6da"]},{"id":"ITEM-2","itemData":{"DOI":"10.1371/journal.pone.0180036","ISSN":"1932-6203","author":[{"dropping-particle":"","family":"Bamba","given":"Shigeki","non-dropping-particle":"","parse-names":false,"suffix":""},{"dropping-particle":"","family":"Sasaki","given":"Masaya","non-dropping-particle":"","parse-names":false,"suffix":""},{"dropping-particle":"","family":"Takaoka","given":"Azusa","non-dropping-particle":"","parse-names":false,"suffix":""},{"dropping-particle":"","family":"Takahashi","given":"Kenichiro","non-dropping-particle":"","parse-names":false,"suffix":""},{"dropping-particle":"","family":"Imaeda","given":"Hirotsugu","non-dropping-particle":"","parse-names":false,"suffix":""},{"dropping-particle":"","family":"Nishida","given":"Atsushi","non-dropping-particle":"","parse-names":false,"suffix":""},{"dropping-particle":"","family":"Inatomi","given":"Osamu","non-dropping-particle":"","parse-names":false,"suffix":""},{"dropping-particle":"","family":"Sugimoto","given":"Mitsushige","non-dropping-particle":"","parse-names":false,"suffix":""},{"dropping-particle":"","family":"Andoh","given":"Akira","non-dropping-particle":"","parse-names":false,"suffix":""}],"container-title":"PLOS ONE","editor":[{"dropping-particle":"","family":"Mizoguchi","given":"Emiko","non-dropping-particle":"","parse-names":false,"suffix":""}],"id":"ITEM-2","issue":"6","issued":{"date-parts":[["2017","6","23"]]},"page":"e0180036","title":"Sarcopenia is a predictive factor for intestinal resection in admitted patients with Crohn’s disease","type":"article-journal","volume":"12"},"uris":["http://www.mendeley.com/documents/?uuid=59d180fe-cdbb-38a4-9eb4-52fdc1c1011d"]}],"mendeley":{"formattedCitation":"&lt;sup&gt;4,25&lt;/sup&gt;","plainTextFormattedCitation":"4,25","previouslyFormattedCitation":"&lt;sup&gt;4,24&lt;/sup&gt;"},"properties":{"noteIndex":0},"schema":"https://github.com/citation-style-language/schema/raw/master/csl-citation.json"}</w:instrText>
      </w:r>
      <w:r>
        <w:rPr>
          <w:sz w:val="24"/>
          <w:szCs w:val="24"/>
        </w:rPr>
        <w:fldChar w:fldCharType="separate"/>
      </w:r>
      <w:r w:rsidR="000B1D00" w:rsidRPr="000B1D00">
        <w:rPr>
          <w:noProof/>
          <w:sz w:val="24"/>
          <w:szCs w:val="24"/>
          <w:vertAlign w:val="superscript"/>
        </w:rPr>
        <w:t>4,25</w:t>
      </w:r>
      <w:r>
        <w:rPr>
          <w:sz w:val="24"/>
          <w:szCs w:val="24"/>
        </w:rPr>
        <w:fldChar w:fldCharType="end"/>
      </w:r>
      <w:r>
        <w:rPr>
          <w:sz w:val="24"/>
          <w:szCs w:val="24"/>
        </w:rPr>
        <w:t>.</w:t>
      </w:r>
      <w:r w:rsidR="0073056C">
        <w:rPr>
          <w:sz w:val="24"/>
          <w:szCs w:val="24"/>
        </w:rPr>
        <w:t xml:space="preserve"> </w:t>
      </w:r>
      <w:r>
        <w:rPr>
          <w:sz w:val="24"/>
          <w:szCs w:val="24"/>
        </w:rPr>
        <w:t xml:space="preserve">However, obesity is also associated with worse </w:t>
      </w:r>
      <w:r w:rsidR="00116145">
        <w:rPr>
          <w:sz w:val="24"/>
          <w:szCs w:val="24"/>
        </w:rPr>
        <w:t xml:space="preserve">long-term </w:t>
      </w:r>
      <w:r>
        <w:rPr>
          <w:sz w:val="24"/>
          <w:szCs w:val="24"/>
        </w:rPr>
        <w:t>outcomes in IBD</w:t>
      </w:r>
      <w:r w:rsidR="00116145">
        <w:rPr>
          <w:sz w:val="24"/>
          <w:szCs w:val="24"/>
        </w:rPr>
        <w:t xml:space="preserve"> and increased risk of additional non-communicable disease</w:t>
      </w:r>
      <w:r w:rsidR="00116145">
        <w:rPr>
          <w:sz w:val="24"/>
          <w:szCs w:val="24"/>
        </w:rPr>
        <w:fldChar w:fldCharType="begin" w:fldLock="1"/>
      </w:r>
      <w:r w:rsidR="009B2D52">
        <w:rPr>
          <w:sz w:val="24"/>
          <w:szCs w:val="24"/>
        </w:rPr>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mendeley":{"formattedCitation":"&lt;sup&gt;15&lt;/sup&gt;","plainTextFormattedCitation":"15","previouslyFormattedCitation":"&lt;sup&gt;15&lt;/sup&gt;"},"properties":{"noteIndex":0},"schema":"https://github.com/citation-style-language/schema/raw/master/csl-citation.json"}</w:instrText>
      </w:r>
      <w:r w:rsidR="00116145">
        <w:rPr>
          <w:sz w:val="24"/>
          <w:szCs w:val="24"/>
        </w:rPr>
        <w:fldChar w:fldCharType="separate"/>
      </w:r>
      <w:r w:rsidR="00386751" w:rsidRPr="00386751">
        <w:rPr>
          <w:noProof/>
          <w:sz w:val="24"/>
          <w:szCs w:val="24"/>
          <w:vertAlign w:val="superscript"/>
        </w:rPr>
        <w:t>15</w:t>
      </w:r>
      <w:r w:rsidR="00116145">
        <w:rPr>
          <w:sz w:val="24"/>
          <w:szCs w:val="24"/>
        </w:rPr>
        <w:fldChar w:fldCharType="end"/>
      </w:r>
      <w:r>
        <w:rPr>
          <w:sz w:val="24"/>
          <w:szCs w:val="24"/>
        </w:rPr>
        <w:t>.</w:t>
      </w:r>
      <w:r w:rsidR="00116145">
        <w:rPr>
          <w:sz w:val="24"/>
          <w:szCs w:val="24"/>
        </w:rPr>
        <w:t xml:space="preserve"> The balance of ensuring patients are nutritionally</w:t>
      </w:r>
      <w:r w:rsidR="00C404DF">
        <w:rPr>
          <w:sz w:val="24"/>
          <w:szCs w:val="24"/>
        </w:rPr>
        <w:t xml:space="preserve"> </w:t>
      </w:r>
      <w:r w:rsidR="00116145">
        <w:rPr>
          <w:sz w:val="24"/>
          <w:szCs w:val="24"/>
        </w:rPr>
        <w:t>replete</w:t>
      </w:r>
      <w:r w:rsidR="00C404DF">
        <w:rPr>
          <w:sz w:val="24"/>
          <w:szCs w:val="24"/>
        </w:rPr>
        <w:t xml:space="preserve"> including micronutrient status</w:t>
      </w:r>
      <w:r w:rsidR="00116145">
        <w:rPr>
          <w:sz w:val="24"/>
          <w:szCs w:val="24"/>
        </w:rPr>
        <w:t xml:space="preserve">, without promoting adiposity, requires a personalised approach to nutrition. More </w:t>
      </w:r>
      <w:r w:rsidR="00116145">
        <w:rPr>
          <w:sz w:val="24"/>
          <w:szCs w:val="24"/>
        </w:rPr>
        <w:lastRenderedPageBreak/>
        <w:t xml:space="preserve">recent body composition data </w:t>
      </w:r>
      <w:r w:rsidR="00AC749E">
        <w:rPr>
          <w:sz w:val="24"/>
          <w:szCs w:val="24"/>
        </w:rPr>
        <w:t>indicates</w:t>
      </w:r>
      <w:r w:rsidR="00116145">
        <w:rPr>
          <w:sz w:val="24"/>
          <w:szCs w:val="24"/>
        </w:rPr>
        <w:t xml:space="preserve"> that up to 25% of children with IBD have excess adiposity, which may be missed by routine anthropometric screening</w:t>
      </w:r>
      <w:r w:rsidR="00C404DF">
        <w:rPr>
          <w:sz w:val="24"/>
          <w:szCs w:val="24"/>
        </w:rPr>
        <w:t xml:space="preserve"> using height-for-age and BMI alone </w:t>
      </w:r>
      <w:r w:rsidR="00116145">
        <w:rPr>
          <w:sz w:val="24"/>
          <w:szCs w:val="24"/>
        </w:rPr>
        <w:fldChar w:fldCharType="begin" w:fldLock="1"/>
      </w:r>
      <w:r w:rsidR="000B1D00">
        <w:rPr>
          <w:sz w:val="24"/>
          <w:szCs w:val="24"/>
        </w:rPr>
        <w:instrText>ADDIN CSL_CITATION {"citationItems":[{"id":"ITEM-1","itemData":{"DOI":"10.1097/MPG.0000000000002683","ISSN":"15364801","PMID":"32141991","abstract":"OBJECTIVE: The aim of the study was to assess the body composition of children with inflammatory bowel disease (IBD) and to study the accuracy of clinically available tools in predicting excess body fatness. We aimed at also exploring the influence of adiposity on pharmacokinetics during early Infliximab exposure. METHODS: Prospective cohort study in 5- to 17-year-old children with IBD initiating Infliximab therapy. Patient demographic, phenotypic, and laboratory data at the time of Infliximab initiation were recorded. Body composition was assessed using air displacement plethysmography (ADP). fat mass index (FMI = fat mass [kg]/(height [m])) was calculated to determine excess adiposity (defined as FMI ≥75th centile). Anthropometrics (weight, height, mid upper arm circumference [MUAC] and triceps skin fold thickness [TSF]) were obtained and MUAC and TSF measurements were used to calculate arm fat area (AFA) and arm muscle area z-scores. Statistical analysis was applied as appropriate. RESULTS: Fifty-three (68% male; 55% Crohn disease [CD], 45% ulcerative colitis [UC], median [IQR] age 15 [13-16] years) children with IBD were included. Twenty-four percentage of children with IBD (21% CD, 29% UC) had excess adiposity. Four children (31%) with FMI ≥75th centile were not identified by body mass index (BMI) alone (kappa of 0.60), and 2 children (15%) were not identified by AFA z-score alone. The intra- and interobserver reliability of MUAC and TSFT measurements was excellent. There was no difference in Infliximab trough levels at the end of induction between those with FMI less than or ≥75th centile. CONCLUSIONS: Excess adiposity affects approximately 1 in 4 young patients with IBD and can be missed by routine obesity screening. Our exploratory study did not raise concerns of underexposure to infliximab in those children with excess adiposity during early drug exposure.","author":[{"dropping-particle":"","family":"Dhaliwal","given":"Jasbir","non-dropping-particle":"","parse-names":false,"suffix":""},{"dropping-particle":"","family":"Martincevic","given":"Inez","non-dropping-particle":"","parse-names":false,"suffix":""},{"dropping-particle":"","family":"Williams","given":"Brock","non-dropping-particle":"","parse-names":false,"suffix":""},{"dropping-particle":"","family":"Frost","given":"Karen","non-dropping-particle":"","parse-names":false,"suffix":""},{"dropping-particle":"","family":"Uusoue","given":"Krista","non-dropping-particle":"","parse-names":false,"suffix":""},{"dropping-particle":"","family":"Arpino","given":"Valerie","non-dropping-particle":"","parse-names":false,"suffix":""},{"dropping-particle":"","family":"Church","given":"Peter","non-dropping-particle":"","parse-names":false,"suffix":""},{"dropping-particle":"","family":"Walters","given":"Thomas D.","non-dropping-particle":"","parse-names":false,"suffix":""},{"dropping-particle":"","family":"Griffiths","given":"Anne M.","non-dropping-particle":"","parse-names":false,"suffix":""},{"dropping-particle":"","family":"Mouzaki","given":"Marialena","non-dropping-particle":"","parse-names":false,"suffix":""}],"container-title":"Journal of pediatric gastroenterology and nutrition","id":"ITEM-1","issue":"1","issued":{"date-parts":[["2020","7","1"]]},"page":"52-58","publisher":"NLM (Medline)","title":"Body Composition Using Air Displacement Plethysmography in Children With Inflammatory Bowel Disease","type":"article-journal","volume":"71"},"uris":["http://www.mendeley.com/documents/?uuid=8cd3351e-8c2b-34b9-b598-233b7547a8e0"]}],"mendeley":{"formattedCitation":"&lt;sup&gt;26&lt;/sup&gt;","plainTextFormattedCitation":"26","previouslyFormattedCitation":"&lt;sup&gt;25&lt;/sup&gt;"},"properties":{"noteIndex":0},"schema":"https://github.com/citation-style-language/schema/raw/master/csl-citation.json"}</w:instrText>
      </w:r>
      <w:r w:rsidR="00116145">
        <w:rPr>
          <w:sz w:val="24"/>
          <w:szCs w:val="24"/>
        </w:rPr>
        <w:fldChar w:fldCharType="separate"/>
      </w:r>
      <w:r w:rsidR="000B1D00" w:rsidRPr="000B1D00">
        <w:rPr>
          <w:noProof/>
          <w:sz w:val="24"/>
          <w:szCs w:val="24"/>
          <w:vertAlign w:val="superscript"/>
        </w:rPr>
        <w:t>26</w:t>
      </w:r>
      <w:r w:rsidR="00116145">
        <w:rPr>
          <w:sz w:val="24"/>
          <w:szCs w:val="24"/>
        </w:rPr>
        <w:fldChar w:fldCharType="end"/>
      </w:r>
      <w:r w:rsidR="00116145">
        <w:rPr>
          <w:sz w:val="24"/>
          <w:szCs w:val="24"/>
        </w:rPr>
        <w:t>. Beyond this, exclusive enteral nutrition has been shown to increase lean mass, but not fat mass, at induction in newly diagnosed Crohn’s disease patients</w:t>
      </w:r>
      <w:r w:rsidR="00116145">
        <w:rPr>
          <w:sz w:val="24"/>
          <w:szCs w:val="24"/>
        </w:rPr>
        <w:fldChar w:fldCharType="begin" w:fldLock="1"/>
      </w:r>
      <w:r w:rsidR="009B2D52">
        <w:rPr>
          <w:sz w:val="24"/>
          <w:szCs w:val="24"/>
        </w:rPr>
        <w:instrText>ADDIN CSL_CITATION {"citationItems":[{"id":"ITEM-1","itemData":{"DOI":"10.1002/ibd.21916","ISSN":"1536-4844","author":[{"dropping-particle":"","family":"Gerasimidis","given":"K","non-dropping-particle":"","parse-names":false,"suffix":""},{"dropping-particle":"","family":"Talwar","given":"D","non-dropping-particle":"","parse-names":false,"suffix":""},{"dropping-particle":"","family":"Duncan","given":"A","non-dropping-particle":"","parse-names":false,"suffix":""},{"dropping-particle":"","family":"Moyes","given":"P","non-dropping-particle":"","parse-names":false,"suffix":""},{"dropping-particle":"","family":"Buchanan","given":"E","non-dropping-particle":"","parse-names":false,"suffix":""},{"dropping-particle":"","family":"Hassan","given":"K","non-dropping-particle":"","parse-names":false,"suffix":""},{"dropping-particle":"","family":"O'Reilly","given":"D","non-dropping-particle":"","parse-names":false,"suffix":""},{"dropping-particle":"","family":"McGrogan","given":"P","non-dropping-particle":"","parse-names":false,"suffix":""},{"dropping-particle":"","family":"Edwards","given":"C A","non-dropping-particle":"","parse-names":false,"suffix":""}],"container-title":"Inflamm Bowel Dis","id":"ITEM-1","issue":"9","issued":{"date-parts":[["2012"]]},"page":"1672-1681","title":"Impact of exclusive enteral nutrition on body composition and circulating micronutrients in plasma and erythrocytes of children with active Crohn's disease","type":"article-journal","volume":"18"},"uris":["http://www.mendeley.com/documents/?uuid=49a9a61e-1992-4a4d-8721-3fab944e9a2f"]}],"mendeley":{"formattedCitation":"&lt;sup&gt;18&lt;/sup&gt;","plainTextFormattedCitation":"18","previouslyFormattedCitation":"&lt;sup&gt;18&lt;/sup&gt;"},"properties":{"noteIndex":0},"schema":"https://github.com/citation-style-language/schema/raw/master/csl-citation.json"}</w:instrText>
      </w:r>
      <w:r w:rsidR="00116145">
        <w:rPr>
          <w:sz w:val="24"/>
          <w:szCs w:val="24"/>
        </w:rPr>
        <w:fldChar w:fldCharType="separate"/>
      </w:r>
      <w:r w:rsidR="00386751" w:rsidRPr="00386751">
        <w:rPr>
          <w:noProof/>
          <w:sz w:val="24"/>
          <w:szCs w:val="24"/>
          <w:vertAlign w:val="superscript"/>
        </w:rPr>
        <w:t>18</w:t>
      </w:r>
      <w:r w:rsidR="00116145">
        <w:rPr>
          <w:sz w:val="24"/>
          <w:szCs w:val="24"/>
        </w:rPr>
        <w:fldChar w:fldCharType="end"/>
      </w:r>
      <w:r w:rsidR="00116145">
        <w:rPr>
          <w:sz w:val="24"/>
          <w:szCs w:val="24"/>
        </w:rPr>
        <w:t xml:space="preserve">. Clearly, a practical and easy measure of body composition is required to tailor nutritional therapy to patients. </w:t>
      </w:r>
      <w:r w:rsidR="00454B21">
        <w:rPr>
          <w:sz w:val="24"/>
          <w:szCs w:val="24"/>
        </w:rPr>
        <w:t xml:space="preserve">The ability to utilise normal data, derived from CT scans, demonstrated a psoas muscle deficit in 70% of our patients. Whilst these results should be interpreted with some caution, they do hint at a significant level of sarcopenia in patients with Crohn’s disease. </w:t>
      </w:r>
      <w:r w:rsidR="0073056C">
        <w:rPr>
          <w:sz w:val="24"/>
          <w:szCs w:val="24"/>
        </w:rPr>
        <w:t>We have detailed studies of PCSA and abdominal skeletal muscle area in the context of IBD, table 3.</w:t>
      </w:r>
    </w:p>
    <w:p w14:paraId="6B88A2BD" w14:textId="1473C449" w:rsidR="00FC66CD" w:rsidRDefault="00116145" w:rsidP="008D7EED">
      <w:pPr>
        <w:spacing w:line="480" w:lineRule="auto"/>
        <w:rPr>
          <w:sz w:val="24"/>
          <w:szCs w:val="24"/>
        </w:rPr>
      </w:pPr>
      <w:r>
        <w:rPr>
          <w:sz w:val="24"/>
          <w:szCs w:val="24"/>
        </w:rPr>
        <w:t>MRI scans for small bowel assessment should be routinely performed at diagnosis in all children with Crohn’s disease</w:t>
      </w:r>
      <w:r w:rsidR="00FC66CD">
        <w:rPr>
          <w:sz w:val="24"/>
          <w:szCs w:val="24"/>
        </w:rPr>
        <w:t xml:space="preserve"> and </w:t>
      </w:r>
      <w:r w:rsidR="00FC66CD" w:rsidRPr="00FC66CD">
        <w:rPr>
          <w:sz w:val="24"/>
          <w:szCs w:val="24"/>
        </w:rPr>
        <w:t>are routinely used to monitor disease and as part of the work of for surgery, particularly for structuring disease</w:t>
      </w:r>
      <w:r>
        <w:rPr>
          <w:sz w:val="24"/>
          <w:szCs w:val="24"/>
        </w:rPr>
        <w:fldChar w:fldCharType="begin" w:fldLock="1"/>
      </w:r>
      <w:r w:rsidR="009B2D52">
        <w:rPr>
          <w:sz w:val="24"/>
          <w:szCs w:val="24"/>
        </w:rPr>
        <w:instrText>ADDIN CSL_CITATION {"citationItems":[{"id":"ITEM-1","itemData":{"DOI":"10.1093/ecco-jcc/jjaa161","ISSN":"1873-9946","abstract":"Objective: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CD.","author":[{"dropping-particle":"","family":"Rheenen","given":"Patrick F","non-dropping-particle":"Van","parse-names":false,"suffix":""},{"dropping-particle":"","family":"Aloi","given":"Marina","non-dropping-particle":"","parse-names":false,"suffix":""},{"dropping-particle":"","family":"Assa","given":"Amit","non-dropping-particle":"","parse-names":false,"suffix":""},{"dropping-particle":"","family":"Bronsky","given":"Jiri","non-dropping-particle":"","parse-names":false,"suffix":""},{"dropping-particle":"","family":"Escher","given":"Johanna C","non-dropping-particle":"","parse-names":false,"suffix":""},{"dropping-particle":"","family":"Fagerberg","given":"Ulrika L","non-dropping-particle":"","parse-names":false,"suffix":""},{"dropping-particle":"","family":"Gasparetto","given":"Marco","non-dropping-particle":"","parse-names":false,"suffix":""},{"dropping-particle":"","family":"Gerasimidis","given":"Konstantinos","non-dropping-particle":"","parse-names":false,"suffix":""},{"dropping-particle":"","family":"Griffiths","given":"Anne","non-dropping-particle":"","parse-names":false,"suffix":""},{"dropping-particle":"","family":"Henderson","given":"Paul","non-dropping-particle":"","parse-names":false,"suffix":""},{"dropping-particle":"","family":"Koletzko","given":"Sibylle","non-dropping-particle":"","parse-names":false,"suffix":""},{"dropping-particle":"","family":"Kolho","given":"Kaija-Leena","non-dropping-particle":"","parse-names":false,"suffix":""},{"dropping-particle":"","family":"Levine","given":"Arie","non-dropping-particle":"","parse-names":false,"suffix":""},{"dropping-particle":"","family":"Limbergen","given":"Johan","non-dropping-particle":"Van","parse-names":false,"suffix":""},{"dropping-particle":"","family":"Martin De Carpi","given":"Francisco Javier","non-dropping-particle":"","parse-names":false,"suffix":""},{"dropping-particle":"","family":"Navas-López","given":"Víctor Manuel","non-dropping-particle":"","parse-names":false,"suffix":""},{"dropping-particle":"","family":"Oliva","given":"Salvatore","non-dropping-particle":"","parse-names":false,"suffix":""},{"dropping-particle":"","family":"Ridder","given":"Lissy","non-dropping-particle":"De","parse-names":false,"suffix":""},{"dropping-particle":"","family":"Russell","given":"Richard K","non-dropping-particle":"","parse-names":false,"suffix":""},{"dropping-particle":"","family":"Shouval","given":"Dror","non-dropping-particle":"","parse-names":false,"suffix":""},{"dropping-particle":"","family":"Spinelli","given":"Antonino","non-dropping-particle":"","parse-names":false,"suffix":""},{"dropping-particle":"","family":"Turner","given":"Dan","non-dropping-particle":"","parse-names":false,"suffix":""},{"dropping-particle":"","family":"Wilson","given":"David","non-dropping-particle":"","parse-names":false,"suffix":""},{"dropping-particle":"","family":"Wine","given":"Eytan","non-dropping-particle":"","parse-names":false,"suffix":""},{"dropping-particle":"","family":"Ruemmele","given":"Frank M","non-dropping-particle":"","parse-names":false,"suffix":""}],"container-title":"Journal of Crohn’s and Colitis","id":"ITEM-1","issued":{"date-parts":[["2020"]]},"page":"1-24","publisher":"Oxford University Press (OUP)","title":"The Medical Management of Paediatric Crohn’s Disease: an ECCO-ESPGHAN Guideline Update","type":"article-journal","volume":"2020"},"uris":["http://www.mendeley.com/documents/?uuid=1fd3b212-b3b4-334c-b05c-12b2ae410ea7"]}],"mendeley":{"formattedCitation":"&lt;sup&gt;11&lt;/sup&gt;","plainTextFormattedCitation":"11","previouslyFormattedCitation":"&lt;sup&gt;11&lt;/sup&gt;"},"properties":{"noteIndex":0},"schema":"https://github.com/citation-style-language/schema/raw/master/csl-citation.json"}</w:instrText>
      </w:r>
      <w:r>
        <w:rPr>
          <w:sz w:val="24"/>
          <w:szCs w:val="24"/>
        </w:rPr>
        <w:fldChar w:fldCharType="separate"/>
      </w:r>
      <w:r w:rsidR="00386751" w:rsidRPr="00386751">
        <w:rPr>
          <w:noProof/>
          <w:sz w:val="24"/>
          <w:szCs w:val="24"/>
          <w:vertAlign w:val="superscript"/>
        </w:rPr>
        <w:t>11</w:t>
      </w:r>
      <w:r>
        <w:rPr>
          <w:sz w:val="24"/>
          <w:szCs w:val="24"/>
        </w:rPr>
        <w:fldChar w:fldCharType="end"/>
      </w:r>
      <w:r>
        <w:rPr>
          <w:sz w:val="24"/>
          <w:szCs w:val="24"/>
        </w:rPr>
        <w:t xml:space="preserve">. </w:t>
      </w:r>
      <w:r w:rsidR="005F69E4">
        <w:rPr>
          <w:sz w:val="24"/>
          <w:szCs w:val="24"/>
        </w:rPr>
        <w:t xml:space="preserve">This provides an opportunity to utilise measures of body composition derived from these data to personalise ongoing nutritional intervention. </w:t>
      </w:r>
      <w:bookmarkStart w:id="5" w:name="_Hlk61947307"/>
      <w:r w:rsidR="00923B26">
        <w:rPr>
          <w:sz w:val="24"/>
          <w:szCs w:val="24"/>
        </w:rPr>
        <w:t>The originality of these data centres on the use of routine MRI scans in paediatric patients. There is an opportunity to intervene during pubertal growth in these patients, with long-term health impacts if patients have ongoing lean muscle deficits.</w:t>
      </w:r>
      <w:bookmarkEnd w:id="5"/>
    </w:p>
    <w:p w14:paraId="56184CFB" w14:textId="7CB18AE7" w:rsidR="00116145" w:rsidRDefault="005F69E4" w:rsidP="008D7EED">
      <w:pPr>
        <w:spacing w:line="480" w:lineRule="auto"/>
        <w:rPr>
          <w:sz w:val="24"/>
          <w:szCs w:val="24"/>
        </w:rPr>
      </w:pPr>
      <w:bookmarkStart w:id="6" w:name="_Hlk61948298"/>
      <w:r>
        <w:rPr>
          <w:sz w:val="24"/>
          <w:szCs w:val="24"/>
        </w:rPr>
        <w:t>In this study we demonstrate the feasibility of gathering MRI derived psoas cross-sectional area, alongside the strong correlation with age and BIA-estimated lean mass. Whilst this is currently a manual process a</w:t>
      </w:r>
      <w:r w:rsidRPr="00A741F5">
        <w:rPr>
          <w:sz w:val="24"/>
          <w:szCs w:val="24"/>
        </w:rPr>
        <w:t xml:space="preserve"> neural network has been trained on CT to identify the L3 level and calculate psoas volumes and this would be </w:t>
      </w:r>
      <w:r>
        <w:rPr>
          <w:sz w:val="24"/>
          <w:szCs w:val="24"/>
        </w:rPr>
        <w:t>a</w:t>
      </w:r>
      <w:r w:rsidRPr="00A741F5">
        <w:rPr>
          <w:sz w:val="24"/>
          <w:szCs w:val="24"/>
        </w:rPr>
        <w:t xml:space="preserve"> technique to automate the calculation on MRI imaging</w:t>
      </w:r>
      <w:r>
        <w:rPr>
          <w:sz w:val="24"/>
          <w:szCs w:val="24"/>
        </w:rPr>
        <w:fldChar w:fldCharType="begin" w:fldLock="1"/>
      </w:r>
      <w:r w:rsidR="000B1D00">
        <w:rPr>
          <w:sz w:val="24"/>
          <w:szCs w:val="24"/>
        </w:rPr>
        <w:instrText>ADDIN CSL_CITATION {"citationItems":[{"id":"ITEM-1","itemData":{"DOI":"10.1007/s12194-019-00512-y","ISSN":"18650341","PMID":"30937726","abstract":"The psoas-major muscle has been reported as a predictive factor of sarcopenia. The cross-sectional area (CSA) of the psoas-major muscle in axial images has been indicated to correlate well with the whole-body skeletal muscle mass. In this study, we evaluated the segmentation accuracy of low-dose X-ray computed tomography (CT) images of the psoas-major muscle using the U-Net convolutional neural network, which is a deep-learning technique. Deep learning has been recently known to outperform conventional image-segmentation techniques. We used fivefold cross validation to validate the segmentation performance (n = 100) of the psoas-major muscle. For the intersection over union and CSA ratio, segmentation accuracies of 86.0 and 103.1%, respectively, were achieved. These results suggest that the U-Net network is competitive compared with the previous methods. Therefore, the proposed technique is useful for segmenting the psoas-major muscle even in low-dose CT images.","author":[{"dropping-particle":"","family":"Hashimoto","given":"Fumio","non-dropping-particle":"","parse-names":false,"suffix":""},{"dropping-particle":"","family":"Kakimoto","given":"Akihiro","non-dropping-particle":"","parse-names":false,"suffix":""},{"dropping-particle":"","family":"Ota","given":"Nozomi","non-dropping-particle":"","parse-names":false,"suffix":""},{"dropping-particle":"","family":"Ito","given":"Shigeru","non-dropping-particle":"","parse-names":false,"suffix":""},{"dropping-particle":"","family":"Nishizawa","given":"Sadahiko","non-dropping-particle":"","parse-names":false,"suffix":""}],"container-title":"Radiological Physics and Technology","id":"ITEM-1","issue":"2","issued":{"date-parts":[["2019"]]},"publisher":"Springer Tokyo","title":"Automated segmentation of 2D low-dose CT images of the psoas-major muscle using deep convolutional neural networks","type":"article-journal","volume":"12"},"uris":["http://www.mendeley.com/documents/?uuid=e6f73e17-5a63-3668-9aa0-a6436ad70fe6"]}],"mendeley":{"formattedCitation":"&lt;sup&gt;27&lt;/sup&gt;","plainTextFormattedCitation":"27","previouslyFormattedCitation":"&lt;sup&gt;26&lt;/sup&gt;"},"properties":{"noteIndex":0},"schema":"https://github.com/citation-style-language/schema/raw/master/csl-citation.json"}</w:instrText>
      </w:r>
      <w:r>
        <w:rPr>
          <w:sz w:val="24"/>
          <w:szCs w:val="24"/>
        </w:rPr>
        <w:fldChar w:fldCharType="separate"/>
      </w:r>
      <w:r w:rsidR="000B1D00" w:rsidRPr="000B1D00">
        <w:rPr>
          <w:noProof/>
          <w:sz w:val="24"/>
          <w:szCs w:val="24"/>
          <w:vertAlign w:val="superscript"/>
        </w:rPr>
        <w:t>27</w:t>
      </w:r>
      <w:r>
        <w:rPr>
          <w:sz w:val="24"/>
          <w:szCs w:val="24"/>
        </w:rPr>
        <w:fldChar w:fldCharType="end"/>
      </w:r>
      <w:r w:rsidRPr="00A741F5">
        <w:rPr>
          <w:sz w:val="24"/>
          <w:szCs w:val="24"/>
        </w:rPr>
        <w:t>.</w:t>
      </w:r>
      <w:r w:rsidR="00AC749E">
        <w:rPr>
          <w:sz w:val="24"/>
          <w:szCs w:val="24"/>
        </w:rPr>
        <w:t xml:space="preserve"> Future studies compared manual to automated psoas muscle area are important and should be performed in paediatric age groups. </w:t>
      </w:r>
    </w:p>
    <w:bookmarkEnd w:id="6"/>
    <w:p w14:paraId="21B9285C" w14:textId="7E332982" w:rsidR="00A741F5" w:rsidRDefault="005F69E4" w:rsidP="008D7EED">
      <w:pPr>
        <w:spacing w:line="480" w:lineRule="auto"/>
        <w:rPr>
          <w:sz w:val="24"/>
          <w:szCs w:val="24"/>
        </w:rPr>
      </w:pPr>
      <w:r>
        <w:rPr>
          <w:sz w:val="24"/>
          <w:szCs w:val="24"/>
        </w:rPr>
        <w:lastRenderedPageBreak/>
        <w:t xml:space="preserve">An additional </w:t>
      </w:r>
      <w:r w:rsidR="00F8566F">
        <w:rPr>
          <w:sz w:val="24"/>
          <w:szCs w:val="24"/>
        </w:rPr>
        <w:t xml:space="preserve">measurement from routine clinical </w:t>
      </w:r>
      <w:r>
        <w:rPr>
          <w:sz w:val="24"/>
          <w:szCs w:val="24"/>
        </w:rPr>
        <w:t xml:space="preserve">MRI scans would be </w:t>
      </w:r>
      <w:r w:rsidR="00F8566F">
        <w:rPr>
          <w:sz w:val="24"/>
          <w:szCs w:val="24"/>
        </w:rPr>
        <w:t xml:space="preserve">a measurement of </w:t>
      </w:r>
      <w:r w:rsidR="00144F10">
        <w:rPr>
          <w:sz w:val="24"/>
          <w:szCs w:val="24"/>
        </w:rPr>
        <w:t xml:space="preserve">intra-muscular </w:t>
      </w:r>
      <w:r w:rsidR="00F8566F">
        <w:rPr>
          <w:sz w:val="24"/>
          <w:szCs w:val="24"/>
        </w:rPr>
        <w:t>adiposity</w:t>
      </w:r>
      <w:r>
        <w:rPr>
          <w:sz w:val="24"/>
          <w:szCs w:val="24"/>
        </w:rPr>
        <w:t xml:space="preserve">. </w:t>
      </w:r>
      <w:r w:rsidR="00144F10">
        <w:rPr>
          <w:sz w:val="24"/>
          <w:szCs w:val="24"/>
        </w:rPr>
        <w:t xml:space="preserve">This </w:t>
      </w:r>
      <w:r w:rsidR="00A741F5" w:rsidRPr="00A741F5">
        <w:rPr>
          <w:sz w:val="24"/>
          <w:szCs w:val="24"/>
        </w:rPr>
        <w:t xml:space="preserve">could be calculated within the area of the psoas </w:t>
      </w:r>
      <w:r>
        <w:rPr>
          <w:sz w:val="24"/>
          <w:szCs w:val="24"/>
        </w:rPr>
        <w:t>muscle</w:t>
      </w:r>
      <w:r w:rsidR="00F8566F">
        <w:rPr>
          <w:sz w:val="24"/>
          <w:szCs w:val="24"/>
        </w:rPr>
        <w:t xml:space="preserve"> using a </w:t>
      </w:r>
      <w:r w:rsidR="00A741F5" w:rsidRPr="00A741F5">
        <w:rPr>
          <w:sz w:val="24"/>
          <w:szCs w:val="24"/>
        </w:rPr>
        <w:t xml:space="preserve">Dixon sequence </w:t>
      </w:r>
      <w:r w:rsidR="00F8566F">
        <w:rPr>
          <w:sz w:val="24"/>
          <w:szCs w:val="24"/>
        </w:rPr>
        <w:t xml:space="preserve">which </w:t>
      </w:r>
      <w:r w:rsidR="00A741F5" w:rsidRPr="00A741F5">
        <w:rPr>
          <w:sz w:val="24"/>
          <w:szCs w:val="24"/>
        </w:rPr>
        <w:t>provides measurement to visualise water content and fat content separately</w:t>
      </w:r>
      <w:r>
        <w:rPr>
          <w:sz w:val="24"/>
          <w:szCs w:val="24"/>
        </w:rPr>
        <w:fldChar w:fldCharType="begin" w:fldLock="1"/>
      </w:r>
      <w:r w:rsidR="000B1D00">
        <w:rPr>
          <w:sz w:val="24"/>
          <w:szCs w:val="24"/>
        </w:rPr>
        <w:instrText>ADDIN CSL_CITATION {"citationItems":[{"id":"ITEM-1","itemData":{"DOI":"10.1002/jmri.21492","ISSN":"10531807","abstract":"In 1984, Dixon published a first paper on a simple spectroscopic imaging technique for water and fat separation. The technique acquires two separate images with a modified spin echo pulse sequence. One is a conventional spin echo image with water and fat signals in-phase and the other is acquired with the readout gradient slightly shifted so that the water and fat signals are 180° out-of-phase. Dixon showed that from these two images, a water-only image and a fat-only image can be generated. The water-only image by the Dixon's technique can serve the purpose of fat suppression, an important and widely used imaging option for clinical MRI. Additionally, the availability of both the water-only and fat-only images allows direct image-based water and fat quantitation. These applications, as well as the potential that the technique can be made highly insensitive to magnetic field inhomogeneity, have generated substantial research interests and efforts from many investigators. As a result, significant improvement to the original technique has been made in the last 2 decades. The following article reviews the underlying physical principles and describes some major technical aspects in the development of these Dixon techniques. © 2008 Wiley-Liss, Inc.","author":[{"dropping-particle":"","family":"Ma","given":"Jingfei","non-dropping-particle":"","parse-names":false,"suffix":""}],"container-title":"Journal of Magnetic Resonance Imaging","id":"ITEM-1","issue":"3","issued":{"date-parts":[["2008","9","1"]]},"page":"543-558","publisher":"John Wiley &amp; Sons, Ltd","title":"Dixon techniques for water and fat imaging","type":"article-journal","volume":"28"},"uris":["http://www.mendeley.com/documents/?uuid=25b1023c-6189-334a-8802-294e4ab7f873"]}],"mendeley":{"formattedCitation":"&lt;sup&gt;28&lt;/sup&gt;","plainTextFormattedCitation":"28","previouslyFormattedCitation":"&lt;sup&gt;27&lt;/sup&gt;"},"properties":{"noteIndex":0},"schema":"https://github.com/citation-style-language/schema/raw/master/csl-citation.json"}</w:instrText>
      </w:r>
      <w:r>
        <w:rPr>
          <w:sz w:val="24"/>
          <w:szCs w:val="24"/>
        </w:rPr>
        <w:fldChar w:fldCharType="separate"/>
      </w:r>
      <w:r w:rsidR="000B1D00" w:rsidRPr="000B1D00">
        <w:rPr>
          <w:noProof/>
          <w:sz w:val="24"/>
          <w:szCs w:val="24"/>
          <w:vertAlign w:val="superscript"/>
        </w:rPr>
        <w:t>28</w:t>
      </w:r>
      <w:r>
        <w:rPr>
          <w:sz w:val="24"/>
          <w:szCs w:val="24"/>
        </w:rPr>
        <w:fldChar w:fldCharType="end"/>
      </w:r>
      <w:r w:rsidR="00A741F5" w:rsidRPr="00A741F5">
        <w:rPr>
          <w:sz w:val="24"/>
          <w:szCs w:val="24"/>
        </w:rPr>
        <w:t>. This can be utilised to calculate the fat fraction within the muscle, a calculation performed following segmentation within SyngioVia software tools. The addition</w:t>
      </w:r>
      <w:r w:rsidR="0069077E">
        <w:rPr>
          <w:sz w:val="24"/>
          <w:szCs w:val="24"/>
        </w:rPr>
        <w:t>al</w:t>
      </w:r>
      <w:r w:rsidR="00A741F5" w:rsidRPr="00A741F5">
        <w:rPr>
          <w:sz w:val="24"/>
          <w:szCs w:val="24"/>
        </w:rPr>
        <w:t xml:space="preserve"> Dixon sequence requires no contrast administration and takes less than a minute to acquire in the scanner.</w:t>
      </w:r>
      <w:r>
        <w:rPr>
          <w:sz w:val="24"/>
          <w:szCs w:val="24"/>
        </w:rPr>
        <w:t xml:space="preserve"> This would allow further estimation of adiposity as part of routine MRI </w:t>
      </w:r>
      <w:r w:rsidRPr="00A741F5">
        <w:rPr>
          <w:sz w:val="24"/>
          <w:szCs w:val="24"/>
        </w:rPr>
        <w:t>imaging</w:t>
      </w:r>
      <w:r>
        <w:rPr>
          <w:sz w:val="24"/>
          <w:szCs w:val="24"/>
        </w:rPr>
        <w:t xml:space="preserve">. </w:t>
      </w:r>
    </w:p>
    <w:p w14:paraId="2A4B72DF" w14:textId="0E23C472" w:rsidR="005F69E4" w:rsidRDefault="005F69E4" w:rsidP="008D7EED">
      <w:pPr>
        <w:spacing w:line="480" w:lineRule="auto"/>
        <w:rPr>
          <w:sz w:val="24"/>
          <w:szCs w:val="24"/>
        </w:rPr>
      </w:pPr>
      <w:r>
        <w:rPr>
          <w:sz w:val="24"/>
          <w:szCs w:val="24"/>
        </w:rPr>
        <w:t>We acknowledge that there are several limitation</w:t>
      </w:r>
      <w:r w:rsidR="00A408B2">
        <w:rPr>
          <w:sz w:val="24"/>
          <w:szCs w:val="24"/>
        </w:rPr>
        <w:t>s</w:t>
      </w:r>
      <w:r>
        <w:rPr>
          <w:sz w:val="24"/>
          <w:szCs w:val="24"/>
        </w:rPr>
        <w:t xml:space="preserve"> of these data. We were able to perform the analysis on only 10 patients </w:t>
      </w:r>
      <w:r w:rsidR="00A408B2">
        <w:rPr>
          <w:sz w:val="24"/>
          <w:szCs w:val="24"/>
        </w:rPr>
        <w:t xml:space="preserve">due to time differences between </w:t>
      </w:r>
      <w:r w:rsidR="00C404DF">
        <w:rPr>
          <w:sz w:val="24"/>
          <w:szCs w:val="24"/>
        </w:rPr>
        <w:t>BIS</w:t>
      </w:r>
      <w:r w:rsidR="00887338">
        <w:rPr>
          <w:sz w:val="24"/>
          <w:szCs w:val="24"/>
        </w:rPr>
        <w:t xml:space="preserve"> </w:t>
      </w:r>
      <w:r w:rsidR="00A408B2">
        <w:rPr>
          <w:sz w:val="24"/>
          <w:szCs w:val="24"/>
        </w:rPr>
        <w:t xml:space="preserve">measures and MRI imaging. The role of sex and puberty was not able to be examined due to the </w:t>
      </w:r>
      <w:r w:rsidR="00FC66CD">
        <w:rPr>
          <w:sz w:val="24"/>
          <w:szCs w:val="24"/>
        </w:rPr>
        <w:t xml:space="preserve">relatively </w:t>
      </w:r>
      <w:r w:rsidR="00A408B2">
        <w:rPr>
          <w:sz w:val="24"/>
          <w:szCs w:val="24"/>
        </w:rPr>
        <w:t>low patient number</w:t>
      </w:r>
      <w:r w:rsidR="00FC66CD">
        <w:rPr>
          <w:sz w:val="24"/>
          <w:szCs w:val="24"/>
        </w:rPr>
        <w:t xml:space="preserve"> and preponderance of male patients</w:t>
      </w:r>
      <w:r w:rsidR="00A408B2">
        <w:rPr>
          <w:sz w:val="24"/>
          <w:szCs w:val="24"/>
        </w:rPr>
        <w:t>.</w:t>
      </w:r>
      <w:r w:rsidR="004D5436">
        <w:rPr>
          <w:sz w:val="24"/>
          <w:szCs w:val="24"/>
        </w:rPr>
        <w:t xml:space="preserve"> </w:t>
      </w:r>
      <w:bookmarkStart w:id="7" w:name="_Hlk61946646"/>
      <w:r w:rsidR="004D5436">
        <w:rPr>
          <w:sz w:val="24"/>
          <w:szCs w:val="24"/>
        </w:rPr>
        <w:t>There are also recognised limitation of BIS-derived measures of body composition, with the variable accuracy of these measures</w:t>
      </w:r>
      <w:r w:rsidR="00923B26">
        <w:rPr>
          <w:sz w:val="24"/>
          <w:szCs w:val="24"/>
        </w:rPr>
        <w:t xml:space="preserve"> and the variable fasting state of the patients, </w:t>
      </w:r>
      <w:bookmarkEnd w:id="7"/>
      <w:r w:rsidR="009B2D52">
        <w:rPr>
          <w:sz w:val="24"/>
          <w:szCs w:val="24"/>
        </w:rPr>
        <w:t xml:space="preserve">although it is a recognised methodology for estimation of body composition. A further limitation is that </w:t>
      </w:r>
      <w:r w:rsidR="009B2D52" w:rsidRPr="009B2D52">
        <w:rPr>
          <w:sz w:val="24"/>
          <w:szCs w:val="24"/>
        </w:rPr>
        <w:t xml:space="preserve">the majority of studies </w:t>
      </w:r>
      <w:r w:rsidR="009B2D52">
        <w:rPr>
          <w:sz w:val="24"/>
          <w:szCs w:val="24"/>
        </w:rPr>
        <w:t xml:space="preserve">reporting accuracy of BIS or CT-estimated PCSA </w:t>
      </w:r>
      <w:r w:rsidR="009B2D52" w:rsidRPr="009B2D52">
        <w:rPr>
          <w:sz w:val="24"/>
          <w:szCs w:val="24"/>
        </w:rPr>
        <w:t>are cross validations of two imperfect methods against each other, rather than validations against a gold standard</w:t>
      </w:r>
      <w:r w:rsidR="009B2D52">
        <w:rPr>
          <w:sz w:val="24"/>
          <w:szCs w:val="24"/>
        </w:rPr>
        <w:t xml:space="preserve"> such as deuterium dilution</w:t>
      </w:r>
      <w:r w:rsidR="009B2D52">
        <w:rPr>
          <w:sz w:val="24"/>
          <w:szCs w:val="24"/>
        </w:rPr>
        <w:fldChar w:fldCharType="begin" w:fldLock="1"/>
      </w:r>
      <w:r w:rsidR="000B1D00">
        <w:rPr>
          <w:sz w:val="24"/>
          <w:szCs w:val="24"/>
        </w:rPr>
        <w:instrText>ADDIN CSL_CITATION {"citationItems":[{"id":"ITEM-1","itemData":{"DOI":"10.1016/j.clnu.2018.12.033","ISSN":"15321983","PMID":"30737045","abstract":"Preterm birth and body composition have demonstrable effects on growth and later health outcomes. Preterm infants reach term equivalent age with a lower proportion of lean mass and higher body fat percentage than their term equivalent counterparts. Weight and length do not give an accurate assessment of body composition. Tracking body composition rather than just weight is a fundamental part of improving nutritional outcomes. This is important given the ongoing controversies regarding the nutritional needs of preterm infants, as well as establishing suitable targets for their growth. In this review we describe current methodologies used in the measurement of body composition of the preterm infant and the review the recent published evidence for their accuracy and utility. Current measurement techniques employed include air displacement plethysmography, bioelectrical impedance analysis, isotope dilution techniques, MRI and a combination of manual measurements including skinfold thickness, body mass index and mid upper arm/mid-thigh circumference. These measures allow for the estimation of fat mass, fat-free mass and regional assessment of adiposity. Some methods, such as dual-energy X-ray absorptiometry and air displacement plethysmography do allow for comparison of change in body composition over time in cohorts of preterm infants that may be studied over a longer period of time and into adult life. However, none of the currently described methods give an accurate and practically achievable method of obtaining body composition measures in preterm infants in day to day routine clinical practise, although this remains a key priority when decisions are being made about how best to feed.","author":[{"dropping-particle":"","family":"Andrews","given":"Edward T.","non-dropping-particle":"","parse-names":false,"suffix":""},{"dropping-particle":"","family":"Beattie","given":"R. Mark","non-dropping-particle":"","parse-names":false,"suffix":""},{"dropping-particle":"","family":"Johnson","given":"Mark J.","non-dropping-particle":"","parse-names":false,"suffix":""}],"container-title":"Clinical Nutrition","id":"ITEM-1","issue":"6","issued":{"date-parts":[["2019","12","1"]]},"page":"2521-2530","publisher":"Churchill Livingstone","title":"Measuring body composition in the preterm infant: Evidence base and practicalities","type":"article","volume":"38"},"uris":["http://www.mendeley.com/documents/?uuid=dd5d7937-f7b3-3a2b-a20b-c4ffdf706ef5"]}],"mendeley":{"formattedCitation":"&lt;sup&gt;29&lt;/sup&gt;","plainTextFormattedCitation":"29","previouslyFormattedCitation":"&lt;sup&gt;28&lt;/sup&gt;"},"properties":{"noteIndex":0},"schema":"https://github.com/citation-style-language/schema/raw/master/csl-citation.json"}</w:instrText>
      </w:r>
      <w:r w:rsidR="009B2D52">
        <w:rPr>
          <w:sz w:val="24"/>
          <w:szCs w:val="24"/>
        </w:rPr>
        <w:fldChar w:fldCharType="separate"/>
      </w:r>
      <w:r w:rsidR="000B1D00" w:rsidRPr="000B1D00">
        <w:rPr>
          <w:noProof/>
          <w:sz w:val="24"/>
          <w:szCs w:val="24"/>
          <w:vertAlign w:val="superscript"/>
        </w:rPr>
        <w:t>29</w:t>
      </w:r>
      <w:r w:rsidR="009B2D52">
        <w:rPr>
          <w:sz w:val="24"/>
          <w:szCs w:val="24"/>
        </w:rPr>
        <w:fldChar w:fldCharType="end"/>
      </w:r>
      <w:r w:rsidR="009B2D52">
        <w:rPr>
          <w:sz w:val="24"/>
          <w:szCs w:val="24"/>
        </w:rPr>
        <w:t>.</w:t>
      </w:r>
      <w:r w:rsidR="00054412">
        <w:rPr>
          <w:sz w:val="24"/>
          <w:szCs w:val="24"/>
        </w:rPr>
        <w:t xml:space="preserve"> </w:t>
      </w:r>
      <w:bookmarkStart w:id="8" w:name="_Hlk61944840"/>
      <w:r w:rsidR="00054412">
        <w:rPr>
          <w:sz w:val="24"/>
          <w:szCs w:val="24"/>
        </w:rPr>
        <w:t>We acknowledge that total skeletal muscle area at L3 may prove to be a better proxy of total lean body mass, however this is limited in a paediatric population by lack of reference data to place measurement values in context</w:t>
      </w:r>
      <w:r w:rsidR="00054412">
        <w:rPr>
          <w:sz w:val="24"/>
          <w:szCs w:val="24"/>
        </w:rPr>
        <w:fldChar w:fldCharType="begin" w:fldLock="1"/>
      </w:r>
      <w:r w:rsidR="000B1D00">
        <w:rPr>
          <w:sz w:val="24"/>
          <w:szCs w:val="24"/>
        </w:rPr>
        <w:instrText>ADDIN CSL_CITATION {"citationItems":[{"id":"ITEM-1","itemData":{"DOI":"10.3945/ajcn.115.111203","ISSN":"19383207","PMID":"26016860","abstract":"Background: Whole-body magnetic resonance imaging (MRI) is the gold standard for the assessment of skeletal muscle (SM) and adipose tissue volumes. It is unclear whether single-slice estimates can replace whole-body data. Objective: We evaluated the accuracy of the best single lumbar and midthigh MRI slice to assess whole-body SM, visceral adipose tissue (VAT), and subcutaneous adipose tissue (SAT). Design: Whole-body MRI was performed in 142 healthy adults aged 19-65 y [mean ± SD age: 37.0 ± 11.8 y; BMI (in kg/m&lt;sup&gt;2&lt;/sup&gt;): 25.3 ± 5.9]. Single slices were taken at lumbar vertebrae L1-L5 plus intervertebral discs and the thigh (midthigh, 10 cm distally from the midthigh, and 10 cm proximally from the midthigh). The value of single-slice areas was also tested in a longitudinal study on 48 healthy volunteers during weight loss (8.2 6 5.2 kg). Results: Cross-sectionally, all SM and adipose tissue single-slice areas correlated with total tissue volumes (P &lt; 0.01). Because of the close associations between L3 areas and corresponding tissue volumes (r = 0.832-0.986, P &lt; 0.01), this location was identified as the reference to estimate SM and adipose tissue in both sexes. SM, SAT, and VAT areas at L3 explained most of the variance of total tissue volumes (69-97%, with SEs of estimation of 1.96 and 2.03 L for SM, 0.23 and 0.61 L for VAT, and 4.44 and 2.47 L for SAT for men and women, respectively. There was no major effect on the explained variance compared with that for optimal slices. For SM, the optimal slice area was shown at midthigh. With weight-loss changes in total SM, VAT, and SAT, volumes were significantly different from those at baseline (SM changes: -2.8 ± 2.9 L; VAT changes: -0.7 1.0 L; SAT changes: -5.1 ± 6.0 L). The area at L3 reflected changes in total VAT and SAT. To assess changes in total SM volumes, areas at midthigh showed the best evidence. Conclusion: In both sexes, a single MRI scan at the level of L3 is the best compromise site to assess total tissue volumes of SM, VAT, and SAT. By contrast, L3 does not predict changes in tissue components.","author":[{"dropping-particle":"","family":"Schweitzer","given":"Lisa","non-dropping-particle":"","parse-names":false,"suffix":""},{"dropping-particle":"","family":"Geisler","given":"Corinna","non-dropping-particle":"","parse-names":false,"suffix":""},{"dropping-particle":"","family":"Pourhassan","given":"Maryam","non-dropping-particle":"","parse-names":false,"suffix":""},{"dropping-particle":"","family":"Braun","given":"Wiebke","non-dropping-particle":"","parse-names":false,"suffix":""},{"dropping-particle":"","family":"Glüer","given":"Claus Christian","non-dropping-particle":"","parse-names":false,"suffix":""},{"dropping-particle":"","family":"Bosy-Westphal","given":"Anja","non-dropping-particle":"","parse-names":false,"suffix":""},{"dropping-particle":"","family":"Müller","given":"Manfred J.","non-dropping-particle":"","parse-names":false,"suffix":""}],"container-title":"American Journal of Clinical Nutrition","id":"ITEM-1","issue":"1","issued":{"date-parts":[["2015","7","1"]]},"page":"58-65","publisher":"American Society for Nutrition","title":"What is the best reference site for a single MRI slice to assess whole body skeletal muscle and adipose tissue volumes in healthy adults?","type":"article-journal","volume":"102"},"uris":["http://www.mendeley.com/documents/?uuid=ec2df707-e176-3e8e-8dda-caf3a14b0bdb"]}],"mendeley":{"formattedCitation":"&lt;sup&gt;30&lt;/sup&gt;","plainTextFormattedCitation":"30","previouslyFormattedCitation":"&lt;sup&gt;29&lt;/sup&gt;"},"properties":{"noteIndex":0},"schema":"https://github.com/citation-style-language/schema/raw/master/csl-citation.json"}</w:instrText>
      </w:r>
      <w:r w:rsidR="00054412">
        <w:rPr>
          <w:sz w:val="24"/>
          <w:szCs w:val="24"/>
        </w:rPr>
        <w:fldChar w:fldCharType="separate"/>
      </w:r>
      <w:r w:rsidR="000B1D00" w:rsidRPr="000B1D00">
        <w:rPr>
          <w:noProof/>
          <w:sz w:val="24"/>
          <w:szCs w:val="24"/>
          <w:vertAlign w:val="superscript"/>
        </w:rPr>
        <w:t>30</w:t>
      </w:r>
      <w:r w:rsidR="00054412">
        <w:rPr>
          <w:sz w:val="24"/>
          <w:szCs w:val="24"/>
        </w:rPr>
        <w:fldChar w:fldCharType="end"/>
      </w:r>
      <w:r w:rsidR="00054412">
        <w:rPr>
          <w:sz w:val="24"/>
          <w:szCs w:val="24"/>
        </w:rPr>
        <w:t xml:space="preserve">. </w:t>
      </w:r>
      <w:bookmarkEnd w:id="8"/>
    </w:p>
    <w:p w14:paraId="7AE19B8C" w14:textId="42A4832B" w:rsidR="00A408B2" w:rsidRDefault="00A408B2" w:rsidP="008D7EED">
      <w:pPr>
        <w:spacing w:line="480" w:lineRule="auto"/>
        <w:rPr>
          <w:sz w:val="24"/>
          <w:szCs w:val="24"/>
          <w:u w:val="single"/>
        </w:rPr>
      </w:pPr>
      <w:r w:rsidRPr="00A408B2">
        <w:rPr>
          <w:sz w:val="24"/>
          <w:szCs w:val="24"/>
          <w:u w:val="single"/>
        </w:rPr>
        <w:t>Conclusion</w:t>
      </w:r>
    </w:p>
    <w:p w14:paraId="3C48F15F" w14:textId="45186312" w:rsidR="00A408B2" w:rsidRDefault="00FC66CD" w:rsidP="008D7EED">
      <w:pPr>
        <w:spacing w:line="480" w:lineRule="auto"/>
        <w:rPr>
          <w:sz w:val="24"/>
          <w:szCs w:val="24"/>
        </w:rPr>
      </w:pPr>
      <w:r>
        <w:rPr>
          <w:sz w:val="24"/>
          <w:szCs w:val="24"/>
        </w:rPr>
        <w:t>These</w:t>
      </w:r>
      <w:r w:rsidR="00A408B2">
        <w:rPr>
          <w:sz w:val="24"/>
          <w:szCs w:val="24"/>
        </w:rPr>
        <w:t xml:space="preserve"> data provide a strong indication </w:t>
      </w:r>
      <w:r>
        <w:rPr>
          <w:sz w:val="24"/>
          <w:szCs w:val="24"/>
        </w:rPr>
        <w:t>that</w:t>
      </w:r>
      <w:r w:rsidR="00A408B2">
        <w:rPr>
          <w:sz w:val="24"/>
          <w:szCs w:val="24"/>
        </w:rPr>
        <w:t xml:space="preserve"> routine MRI imaging </w:t>
      </w:r>
      <w:r>
        <w:rPr>
          <w:sz w:val="24"/>
          <w:szCs w:val="24"/>
        </w:rPr>
        <w:t xml:space="preserve">are useful </w:t>
      </w:r>
      <w:r w:rsidR="00A408B2">
        <w:rPr>
          <w:sz w:val="24"/>
          <w:szCs w:val="24"/>
        </w:rPr>
        <w:t xml:space="preserve">in the assessment of </w:t>
      </w:r>
      <w:r w:rsidR="00E92B21">
        <w:rPr>
          <w:sz w:val="24"/>
          <w:szCs w:val="24"/>
        </w:rPr>
        <w:t>lean mass in</w:t>
      </w:r>
      <w:r w:rsidR="00A408B2">
        <w:rPr>
          <w:sz w:val="24"/>
          <w:szCs w:val="24"/>
        </w:rPr>
        <w:t xml:space="preserve"> children with Crohn’s disease, with strong correlation between psoas area and </w:t>
      </w:r>
      <w:r w:rsidR="00C404DF">
        <w:rPr>
          <w:sz w:val="24"/>
          <w:szCs w:val="24"/>
        </w:rPr>
        <w:t>BIS</w:t>
      </w:r>
      <w:r w:rsidR="00A408B2">
        <w:rPr>
          <w:sz w:val="24"/>
          <w:szCs w:val="24"/>
        </w:rPr>
        <w:t>-derived estimates of lean mass</w:t>
      </w:r>
      <w:r>
        <w:rPr>
          <w:sz w:val="24"/>
          <w:szCs w:val="24"/>
        </w:rPr>
        <w:t xml:space="preserve">. This raises the possibility of being able to </w:t>
      </w:r>
      <w:r>
        <w:rPr>
          <w:sz w:val="24"/>
          <w:szCs w:val="24"/>
        </w:rPr>
        <w:lastRenderedPageBreak/>
        <w:t>offer</w:t>
      </w:r>
      <w:r w:rsidR="00F8566F">
        <w:rPr>
          <w:sz w:val="24"/>
          <w:szCs w:val="24"/>
        </w:rPr>
        <w:t xml:space="preserve"> tailored nutritional support to impact on outcome</w:t>
      </w:r>
      <w:r w:rsidR="00A408B2">
        <w:rPr>
          <w:sz w:val="24"/>
          <w:szCs w:val="24"/>
        </w:rPr>
        <w:t xml:space="preserve">. Further studies are required to </w:t>
      </w:r>
      <w:r w:rsidR="0079688A">
        <w:rPr>
          <w:sz w:val="24"/>
          <w:szCs w:val="24"/>
        </w:rPr>
        <w:t>confirm</w:t>
      </w:r>
      <w:r w:rsidR="00A408B2">
        <w:rPr>
          <w:sz w:val="24"/>
          <w:szCs w:val="24"/>
        </w:rPr>
        <w:t xml:space="preserve"> normal measures </w:t>
      </w:r>
      <w:r w:rsidR="0079688A">
        <w:rPr>
          <w:sz w:val="24"/>
          <w:szCs w:val="24"/>
        </w:rPr>
        <w:t>derived from CT scans are applicable</w:t>
      </w:r>
      <w:r w:rsidR="00454B21">
        <w:rPr>
          <w:sz w:val="24"/>
          <w:szCs w:val="24"/>
        </w:rPr>
        <w:t xml:space="preserve"> and to determine the prevalence of sarcopenia</w:t>
      </w:r>
      <w:r w:rsidR="0079688A">
        <w:rPr>
          <w:sz w:val="24"/>
          <w:szCs w:val="24"/>
        </w:rPr>
        <w:t>. I</w:t>
      </w:r>
      <w:r w:rsidR="00A408B2">
        <w:rPr>
          <w:sz w:val="24"/>
          <w:szCs w:val="24"/>
        </w:rPr>
        <w:t>mplementation of additional MRI sequences to assess adiposity, prior to routine clinical implementation</w:t>
      </w:r>
      <w:r w:rsidR="0079688A">
        <w:rPr>
          <w:sz w:val="24"/>
          <w:szCs w:val="24"/>
        </w:rPr>
        <w:t>,</w:t>
      </w:r>
      <w:r w:rsidR="00A408B2">
        <w:rPr>
          <w:sz w:val="24"/>
          <w:szCs w:val="24"/>
        </w:rPr>
        <w:t xml:space="preserve"> to aid personalisation of nutritional therapy</w:t>
      </w:r>
      <w:r w:rsidR="0079688A">
        <w:rPr>
          <w:sz w:val="24"/>
          <w:szCs w:val="24"/>
        </w:rPr>
        <w:t xml:space="preserve"> is an important next step</w:t>
      </w:r>
      <w:r w:rsidR="00A408B2">
        <w:rPr>
          <w:sz w:val="24"/>
          <w:szCs w:val="24"/>
        </w:rPr>
        <w:t>.</w:t>
      </w:r>
    </w:p>
    <w:p w14:paraId="0F0BBF3F" w14:textId="208FF701" w:rsidR="00A408B2" w:rsidRDefault="00A408B2" w:rsidP="008D7EED">
      <w:pPr>
        <w:spacing w:line="480" w:lineRule="auto"/>
        <w:rPr>
          <w:sz w:val="24"/>
          <w:szCs w:val="24"/>
        </w:rPr>
      </w:pPr>
    </w:p>
    <w:p w14:paraId="4E039A75" w14:textId="7B496413" w:rsidR="00EB5499" w:rsidRDefault="00EB5499" w:rsidP="008D7EED">
      <w:pPr>
        <w:spacing w:line="480" w:lineRule="auto"/>
        <w:rPr>
          <w:sz w:val="24"/>
          <w:szCs w:val="24"/>
        </w:rPr>
      </w:pPr>
    </w:p>
    <w:p w14:paraId="49912A7B" w14:textId="61179B01" w:rsidR="00EB5499" w:rsidRDefault="00EB5499" w:rsidP="008D7EED">
      <w:pPr>
        <w:spacing w:line="480" w:lineRule="auto"/>
        <w:rPr>
          <w:sz w:val="24"/>
          <w:szCs w:val="24"/>
        </w:rPr>
      </w:pPr>
    </w:p>
    <w:p w14:paraId="61A26BE6" w14:textId="2F123E08" w:rsidR="00EB5499" w:rsidRDefault="00EB5499" w:rsidP="008D7EED">
      <w:pPr>
        <w:spacing w:line="480" w:lineRule="auto"/>
        <w:rPr>
          <w:sz w:val="24"/>
          <w:szCs w:val="24"/>
        </w:rPr>
      </w:pPr>
    </w:p>
    <w:p w14:paraId="69E28CD3" w14:textId="33416547" w:rsidR="00EB5499" w:rsidRDefault="00EB5499" w:rsidP="008D7EED">
      <w:pPr>
        <w:spacing w:line="480" w:lineRule="auto"/>
        <w:rPr>
          <w:sz w:val="24"/>
          <w:szCs w:val="24"/>
        </w:rPr>
      </w:pPr>
    </w:p>
    <w:p w14:paraId="6ED71A79" w14:textId="4D1F9150" w:rsidR="00EB5499" w:rsidRDefault="00EB5499" w:rsidP="008D7EED">
      <w:pPr>
        <w:spacing w:line="480" w:lineRule="auto"/>
        <w:rPr>
          <w:sz w:val="24"/>
          <w:szCs w:val="24"/>
        </w:rPr>
      </w:pPr>
    </w:p>
    <w:p w14:paraId="4F167F8E" w14:textId="2D284E18" w:rsidR="00EB5499" w:rsidRDefault="00EB5499" w:rsidP="008D7EED">
      <w:pPr>
        <w:spacing w:line="480" w:lineRule="auto"/>
        <w:rPr>
          <w:sz w:val="24"/>
          <w:szCs w:val="24"/>
        </w:rPr>
      </w:pPr>
    </w:p>
    <w:p w14:paraId="7E48AA95" w14:textId="44C51B5A" w:rsidR="00EB5499" w:rsidRDefault="00EB5499" w:rsidP="008D7EED">
      <w:pPr>
        <w:spacing w:line="480" w:lineRule="auto"/>
        <w:rPr>
          <w:sz w:val="24"/>
          <w:szCs w:val="24"/>
        </w:rPr>
      </w:pPr>
    </w:p>
    <w:p w14:paraId="58B72409" w14:textId="04EE4D08" w:rsidR="00EB5499" w:rsidRDefault="00EB5499" w:rsidP="008D7EED">
      <w:pPr>
        <w:spacing w:line="480" w:lineRule="auto"/>
        <w:rPr>
          <w:sz w:val="24"/>
          <w:szCs w:val="24"/>
        </w:rPr>
      </w:pPr>
    </w:p>
    <w:p w14:paraId="450DE4A1" w14:textId="4108BB39" w:rsidR="00EB5499" w:rsidRDefault="00EB5499" w:rsidP="008D7EED">
      <w:pPr>
        <w:spacing w:line="480" w:lineRule="auto"/>
        <w:rPr>
          <w:sz w:val="24"/>
          <w:szCs w:val="24"/>
        </w:rPr>
      </w:pPr>
    </w:p>
    <w:p w14:paraId="07033F2B" w14:textId="229B16B6" w:rsidR="00EB5499" w:rsidRDefault="00EB5499" w:rsidP="008D7EED">
      <w:pPr>
        <w:spacing w:line="480" w:lineRule="auto"/>
        <w:rPr>
          <w:sz w:val="24"/>
          <w:szCs w:val="24"/>
        </w:rPr>
      </w:pPr>
    </w:p>
    <w:p w14:paraId="32C2FF89" w14:textId="7DD2062E" w:rsidR="00EB5499" w:rsidRDefault="00EB5499" w:rsidP="008D7EED">
      <w:pPr>
        <w:spacing w:line="480" w:lineRule="auto"/>
        <w:rPr>
          <w:sz w:val="24"/>
          <w:szCs w:val="24"/>
        </w:rPr>
      </w:pPr>
    </w:p>
    <w:p w14:paraId="7D4403A0" w14:textId="354C0723" w:rsidR="00EB5499" w:rsidRDefault="00EB5499" w:rsidP="008D7EED">
      <w:pPr>
        <w:spacing w:line="480" w:lineRule="auto"/>
        <w:rPr>
          <w:sz w:val="24"/>
          <w:szCs w:val="24"/>
        </w:rPr>
      </w:pPr>
    </w:p>
    <w:p w14:paraId="40BAA6DA" w14:textId="77777777" w:rsidR="00EB5499" w:rsidRDefault="00EB5499" w:rsidP="008D7EED">
      <w:pPr>
        <w:spacing w:line="480" w:lineRule="auto"/>
        <w:rPr>
          <w:sz w:val="24"/>
          <w:szCs w:val="24"/>
        </w:rPr>
      </w:pPr>
    </w:p>
    <w:p w14:paraId="38103417" w14:textId="60AB1658" w:rsidR="00A408B2" w:rsidRDefault="00A408B2" w:rsidP="008D7EED">
      <w:pPr>
        <w:spacing w:line="480" w:lineRule="auto"/>
        <w:rPr>
          <w:sz w:val="24"/>
          <w:szCs w:val="24"/>
        </w:rPr>
      </w:pPr>
    </w:p>
    <w:p w14:paraId="148EF8B1" w14:textId="1C0F9A01" w:rsidR="00A408B2" w:rsidRPr="00A408B2" w:rsidRDefault="00A408B2" w:rsidP="008D7EED">
      <w:pPr>
        <w:spacing w:line="480" w:lineRule="auto"/>
        <w:rPr>
          <w:b/>
          <w:bCs/>
          <w:sz w:val="24"/>
          <w:szCs w:val="24"/>
          <w:u w:val="single"/>
        </w:rPr>
      </w:pPr>
      <w:r w:rsidRPr="00A408B2">
        <w:rPr>
          <w:b/>
          <w:bCs/>
          <w:sz w:val="24"/>
          <w:szCs w:val="24"/>
          <w:u w:val="single"/>
        </w:rPr>
        <w:lastRenderedPageBreak/>
        <w:t>Tables and Figures</w:t>
      </w:r>
    </w:p>
    <w:p w14:paraId="058C41B5" w14:textId="05DBCEEC" w:rsidR="00A408B2" w:rsidRDefault="00A408B2" w:rsidP="008D7EED">
      <w:pPr>
        <w:spacing w:line="480" w:lineRule="auto"/>
        <w:rPr>
          <w:sz w:val="24"/>
          <w:szCs w:val="24"/>
        </w:rPr>
      </w:pPr>
      <w:r w:rsidRPr="00A408B2">
        <w:rPr>
          <w:b/>
          <w:bCs/>
          <w:sz w:val="24"/>
          <w:szCs w:val="24"/>
        </w:rPr>
        <w:t>Table 1</w:t>
      </w:r>
      <w:r w:rsidR="007D69A9">
        <w:rPr>
          <w:b/>
          <w:bCs/>
          <w:sz w:val="24"/>
          <w:szCs w:val="24"/>
        </w:rPr>
        <w:t>-</w:t>
      </w:r>
      <w:r w:rsidR="00CD43A1">
        <w:rPr>
          <w:b/>
          <w:bCs/>
          <w:sz w:val="24"/>
          <w:szCs w:val="24"/>
        </w:rPr>
        <w:t xml:space="preserve"> </w:t>
      </w:r>
      <w:r w:rsidR="00E91C8F">
        <w:rPr>
          <w:sz w:val="24"/>
          <w:szCs w:val="24"/>
        </w:rPr>
        <w:t>Combined psoas cross sectional area Z-scores derived from ‘normal’ paediatric CT images</w:t>
      </w:r>
      <w:r w:rsidR="00E91C8F">
        <w:rPr>
          <w:sz w:val="24"/>
          <w:szCs w:val="24"/>
        </w:rPr>
        <w:fldChar w:fldCharType="begin" w:fldLock="1"/>
      </w:r>
      <w:r w:rsidR="000B1D00">
        <w:rPr>
          <w:sz w:val="24"/>
          <w:szCs w:val="24"/>
        </w:rPr>
        <w:instrText>ADDIN CSL_CITATION {"citationItems":[{"id":"ITEM-1","itemData":{"DOI":"10.1002/jcsm.12514","ISSN":"2190-5991","abstract":"Background: Sarcopenia, the unintentional loss of skeletal muscle mass, is associated with poor outcomes in adult patient populations. In adults, sarcopenia is often ascertained by cross-sectional imaging of the psoas muscle area (PMA). Although children with chronic medical illnesses may be at increased risk for muscle loss because of nutritional deficiencies, physical deconditioning, endocrine anomalies, and systemic inflammation, consistent quantitative definitions for sarcopenia in children are lacking. We aimed to generate paediatric reference values for PMA at two intervertebral lumbar levels, L3–4 and L4–5. Methods: In this cross-sectional study, we analysed abdominal computed tomography scans of consecutive children presenting to the emergency department. Participants were children 1–16 years who required abdominal cross-sectional imaging after paediatric trauma between January 1, 2005 and December 31, 2015 in a large Canadian quaternary care centre. Children with a documented chronic medical illness or an acute spinal trauma at presentation were excluded. Total PMA (tPMA) at levels L3–4 and L4–5 were measured in square millimetres (mm2) as the sum of left and right PMA. Age-specific and sex-specific tPMA percentile curves were modelled using quantile regression. Results: Computed tomography images from 779 children were included. Values of tPMA at L4–5 were significantly larger than at L3–4 at all ages, but their correlation was high for both girls (r = 0.95) and boys (r = 0.98). Amongst girls, tPMA 50th percentile values ranged from 365 to 2336 mm2 at L3–4 and from 447 to 2704 mm2 for L4–5. Amongst boys, 50th percentile values for tPMA ranged between 394 and 3050 mm2 at L3–4 and from 498 to 3513 mm2 at L4–5. Intraclass correlation coefficients were excellent at L3–4 (0.97, 95% CI 0.94 to 0.981) and L4–5 (0.99, 95% CI 0.986 to 0.995). Weight and tPMA were correlated, stratified by sex for boys (L3–4 r = 0.90; L4–5 r = 0.90) and for girls (L3–4 r = 0.87; L4–5 r = 0.87). An online application was subsequently developed to easily calculate age-specific and sex-specific z-scores and percentiles. Conclusions: We provide novel paediatric age-specific and sex-specific growth curves for tPMA at intervertebral L3–4 and L4–5 levels for children between the ages of 1-16 years. Together with an online tool (https://ahrc-apps.shinyapps.io/sarcopenia/), these tPMA curves should serve as a reference enabling earlier identification and targeted intervention of…","author":[{"dropping-particle":"","family":"Lurz","given":"Eberhard","non-dropping-particle":"","parse-names":false,"suffix":""},{"dropping-particle":"","family":"Patel","given":"Hiten","non-dropping-particle":"","parse-names":false,"suffix":""},{"dropping-particle":"","family":"Lebovic","given":"Gerald","non-dropping-particle":"","parse-names":false,"suffix":""},{"dropping-particle":"","family":"Quammie","given":"Claudia","non-dropping-particle":"","parse-names":false,"suffix":""},{"dropping-particle":"","family":"Woolfson","given":"Jessica P.","non-dropping-particle":"","parse-names":false,"suffix":""},{"dropping-particle":"","family":"Perez","given":"Manuela","non-dropping-particle":"","parse-names":false,"suffix":""},{"dropping-particle":"","family":"Ricciuto","given":"Amanda","non-dropping-particle":"","parse-names":false,"suffix":""},{"dropping-particle":"","family":"Wales","given":"Paul W.","non-dropping-particle":"","parse-names":false,"suffix":""},{"dropping-particle":"","family":"Kamath","given":"Binita M.","non-dropping-particle":"","parse-names":false,"suffix":""},{"dropping-particle":"","family":"Chavhan","given":"Govind B.","non-dropping-particle":"","parse-names":false,"suffix":""},{"dropping-particle":"","family":"Jüni","given":"Peter","non-dropping-particle":"","parse-names":false,"suffix":""},{"dropping-particle":"","family":"Ng","given":"Vicky L.","non-dropping-particle":"","parse-names":false,"suffix":""}],"container-title":"Journal of Cachexia, Sarcopenia and Muscle","id":"ITEM-1","issue":"2","issued":{"date-parts":[["2020","4","1"]]},"page":"405-414","publisher":"Wiley Blackwell","title":"Paediatric reference values for total psoas muscle area","type":"article-journal","volume":"11"},"uris":["http://www.mendeley.com/documents/?uuid=868f01ad-35d0-3ba6-bcfb-fd9e53c6d90f"]}],"mendeley":{"formattedCitation":"&lt;sup&gt;22&lt;/sup&gt;","plainTextFormattedCitation":"22","previouslyFormattedCitation":"&lt;sup&gt;21&lt;/sup&gt;"},"properties":{"noteIndex":0},"schema":"https://github.com/citation-style-language/schema/raw/master/csl-citation.json"}</w:instrText>
      </w:r>
      <w:r w:rsidR="00E91C8F">
        <w:rPr>
          <w:sz w:val="24"/>
          <w:szCs w:val="24"/>
        </w:rPr>
        <w:fldChar w:fldCharType="separate"/>
      </w:r>
      <w:r w:rsidR="000B1D00" w:rsidRPr="000B1D00">
        <w:rPr>
          <w:noProof/>
          <w:sz w:val="24"/>
          <w:szCs w:val="24"/>
          <w:vertAlign w:val="superscript"/>
        </w:rPr>
        <w:t>22</w:t>
      </w:r>
      <w:r w:rsidR="00E91C8F">
        <w:rPr>
          <w:sz w:val="24"/>
          <w:szCs w:val="24"/>
        </w:rPr>
        <w:fldChar w:fldCharType="end"/>
      </w:r>
      <w:r w:rsidR="00E91C8F">
        <w:rPr>
          <w:sz w:val="24"/>
          <w:szCs w:val="24"/>
        </w:rPr>
        <w:t xml:space="preserve">. </w:t>
      </w:r>
    </w:p>
    <w:p w14:paraId="7189223F" w14:textId="18136C63" w:rsidR="00454B21" w:rsidRPr="00CD43A1" w:rsidRDefault="00454B21" w:rsidP="008D7EED">
      <w:pPr>
        <w:spacing w:line="480" w:lineRule="auto"/>
        <w:rPr>
          <w:sz w:val="24"/>
          <w:szCs w:val="24"/>
        </w:rPr>
      </w:pPr>
      <w:r w:rsidRPr="00454B21">
        <w:rPr>
          <w:b/>
          <w:bCs/>
          <w:sz w:val="24"/>
          <w:szCs w:val="24"/>
        </w:rPr>
        <w:t>Table 2-</w:t>
      </w:r>
      <w:r>
        <w:rPr>
          <w:sz w:val="24"/>
          <w:szCs w:val="24"/>
        </w:rPr>
        <w:t xml:space="preserve"> </w:t>
      </w:r>
      <w:r w:rsidR="00E91C8F">
        <w:rPr>
          <w:sz w:val="24"/>
          <w:szCs w:val="24"/>
        </w:rPr>
        <w:t>Coefficient of variation for eight patients with multiple measures of psoas cross-sectional area.</w:t>
      </w:r>
    </w:p>
    <w:p w14:paraId="42723155" w14:textId="3C02EEC3" w:rsidR="00A408B2" w:rsidRPr="00C371C4" w:rsidRDefault="00A408B2" w:rsidP="008D7EED">
      <w:pPr>
        <w:spacing w:line="480" w:lineRule="auto"/>
        <w:rPr>
          <w:sz w:val="24"/>
          <w:szCs w:val="24"/>
        </w:rPr>
      </w:pPr>
      <w:r w:rsidRPr="00A408B2">
        <w:rPr>
          <w:b/>
          <w:bCs/>
          <w:sz w:val="24"/>
          <w:szCs w:val="24"/>
        </w:rPr>
        <w:t>Figure 1A</w:t>
      </w:r>
      <w:r w:rsidR="00CD43A1">
        <w:rPr>
          <w:sz w:val="24"/>
          <w:szCs w:val="24"/>
        </w:rPr>
        <w:t>- Positive relationship between combined mean psoas cross-sectional area and bioelectrical impedance (BIA) derived whole body lean mass</w:t>
      </w:r>
      <w:r w:rsidR="00D111BE">
        <w:rPr>
          <w:sz w:val="24"/>
          <w:szCs w:val="24"/>
        </w:rPr>
        <w:t xml:space="preserve"> (Kg)</w:t>
      </w:r>
      <w:r w:rsidR="00CD43A1">
        <w:rPr>
          <w:sz w:val="24"/>
          <w:szCs w:val="24"/>
        </w:rPr>
        <w:t xml:space="preserve">, Pearson correlation coefficient, </w:t>
      </w:r>
      <w:r w:rsidR="00D111BE">
        <w:rPr>
          <w:rFonts w:cstheme="minorHAnsi"/>
          <w:sz w:val="24"/>
          <w:szCs w:val="24"/>
        </w:rPr>
        <w:t>0.831, p=0.003</w:t>
      </w:r>
      <w:r w:rsidR="00CD43A1">
        <w:rPr>
          <w:sz w:val="24"/>
          <w:szCs w:val="24"/>
        </w:rPr>
        <w:t>,</w:t>
      </w:r>
      <w:r w:rsidRPr="00A408B2">
        <w:rPr>
          <w:b/>
          <w:bCs/>
          <w:sz w:val="24"/>
          <w:szCs w:val="24"/>
        </w:rPr>
        <w:t xml:space="preserve"> 1B</w:t>
      </w:r>
      <w:r w:rsidR="00C371C4">
        <w:rPr>
          <w:b/>
          <w:bCs/>
          <w:sz w:val="24"/>
          <w:szCs w:val="24"/>
        </w:rPr>
        <w:t xml:space="preserve">- </w:t>
      </w:r>
      <w:r w:rsidR="00D111BE">
        <w:rPr>
          <w:sz w:val="24"/>
          <w:szCs w:val="24"/>
        </w:rPr>
        <w:t>Positive relationship between combined mean psoas cross-sectional area and age</w:t>
      </w:r>
      <w:r w:rsidR="006F69E3">
        <w:rPr>
          <w:sz w:val="24"/>
          <w:szCs w:val="24"/>
        </w:rPr>
        <w:t xml:space="preserve"> at MRI scan</w:t>
      </w:r>
      <w:r w:rsidR="00D111BE">
        <w:rPr>
          <w:sz w:val="24"/>
          <w:szCs w:val="24"/>
        </w:rPr>
        <w:t xml:space="preserve"> (years), Pearson correlation coefficient </w:t>
      </w:r>
      <w:r w:rsidR="00D111BE">
        <w:rPr>
          <w:rFonts w:cstheme="minorHAnsi"/>
          <w:sz w:val="24"/>
          <w:szCs w:val="24"/>
        </w:rPr>
        <w:t>0.759, p=0.011.</w:t>
      </w:r>
    </w:p>
    <w:p w14:paraId="008E9089" w14:textId="4BE45BE1" w:rsidR="00A408B2" w:rsidRPr="00A408B2" w:rsidRDefault="00A408B2" w:rsidP="008D7EED">
      <w:pPr>
        <w:spacing w:line="480" w:lineRule="auto"/>
        <w:rPr>
          <w:b/>
          <w:bCs/>
          <w:sz w:val="24"/>
          <w:szCs w:val="24"/>
        </w:rPr>
      </w:pPr>
      <w:r w:rsidRPr="00A408B2">
        <w:rPr>
          <w:b/>
          <w:bCs/>
          <w:sz w:val="24"/>
          <w:szCs w:val="24"/>
        </w:rPr>
        <w:t>Figure 2A</w:t>
      </w:r>
      <w:r w:rsidR="006F69E3">
        <w:rPr>
          <w:b/>
          <w:bCs/>
          <w:sz w:val="24"/>
          <w:szCs w:val="24"/>
        </w:rPr>
        <w:t xml:space="preserve">- </w:t>
      </w:r>
      <w:r w:rsidR="009C6D1F" w:rsidRPr="009C6D1F">
        <w:rPr>
          <w:sz w:val="24"/>
          <w:szCs w:val="24"/>
        </w:rPr>
        <w:t>Correlation of combined</w:t>
      </w:r>
      <w:r w:rsidR="009C6D1F">
        <w:rPr>
          <w:sz w:val="24"/>
          <w:szCs w:val="24"/>
        </w:rPr>
        <w:t xml:space="preserve"> </w:t>
      </w:r>
      <w:r w:rsidR="006F69E3">
        <w:rPr>
          <w:sz w:val="24"/>
          <w:szCs w:val="24"/>
        </w:rPr>
        <w:t>mean psoas cross-sectional area</w:t>
      </w:r>
      <w:r w:rsidR="006F69E3" w:rsidRPr="006F69E3">
        <w:rPr>
          <w:sz w:val="24"/>
          <w:szCs w:val="24"/>
        </w:rPr>
        <w:t xml:space="preserve"> </w:t>
      </w:r>
      <w:r w:rsidR="006F69E3">
        <w:rPr>
          <w:sz w:val="24"/>
          <w:szCs w:val="24"/>
        </w:rPr>
        <w:t xml:space="preserve">and height Z-score Pearson correlation coefficient, </w:t>
      </w:r>
      <w:r w:rsidR="006F69E3" w:rsidRPr="00CE3635">
        <w:rPr>
          <w:sz w:val="24"/>
          <w:szCs w:val="24"/>
        </w:rPr>
        <w:t>0.343</w:t>
      </w:r>
      <w:r w:rsidR="006F69E3">
        <w:rPr>
          <w:rFonts w:cstheme="minorHAnsi"/>
          <w:sz w:val="24"/>
          <w:szCs w:val="24"/>
        </w:rPr>
        <w:t>, p=0.33</w:t>
      </w:r>
      <w:r w:rsidR="006F69E3">
        <w:rPr>
          <w:sz w:val="24"/>
          <w:szCs w:val="24"/>
        </w:rPr>
        <w:t>,</w:t>
      </w:r>
      <w:r w:rsidRPr="00A408B2">
        <w:rPr>
          <w:b/>
          <w:bCs/>
          <w:sz w:val="24"/>
          <w:szCs w:val="24"/>
        </w:rPr>
        <w:t xml:space="preserve"> 2B</w:t>
      </w:r>
      <w:r w:rsidR="009C6D1F">
        <w:rPr>
          <w:b/>
          <w:bCs/>
          <w:sz w:val="24"/>
          <w:szCs w:val="24"/>
        </w:rPr>
        <w:t xml:space="preserve">- </w:t>
      </w:r>
      <w:r w:rsidR="009C6D1F" w:rsidRPr="009C6D1F">
        <w:rPr>
          <w:sz w:val="24"/>
          <w:szCs w:val="24"/>
        </w:rPr>
        <w:t>Correlation of c</w:t>
      </w:r>
      <w:r w:rsidR="006F69E3" w:rsidRPr="009C6D1F">
        <w:rPr>
          <w:sz w:val="24"/>
          <w:szCs w:val="24"/>
        </w:rPr>
        <w:t>ombined</w:t>
      </w:r>
      <w:r w:rsidR="006F69E3">
        <w:rPr>
          <w:sz w:val="24"/>
          <w:szCs w:val="24"/>
        </w:rPr>
        <w:t xml:space="preserve"> mean psoas cross-sectional area and weight Z-score, Pearson correlation coefficient, </w:t>
      </w:r>
      <w:r w:rsidR="006F69E3">
        <w:rPr>
          <w:rFonts w:cstheme="minorHAnsi"/>
          <w:sz w:val="24"/>
          <w:szCs w:val="24"/>
        </w:rPr>
        <w:t>0.222, p=0.54</w:t>
      </w:r>
      <w:r w:rsidR="006F69E3">
        <w:rPr>
          <w:sz w:val="24"/>
          <w:szCs w:val="24"/>
        </w:rPr>
        <w:t>,</w:t>
      </w:r>
      <w:r w:rsidRPr="00A408B2">
        <w:rPr>
          <w:b/>
          <w:bCs/>
          <w:sz w:val="24"/>
          <w:szCs w:val="24"/>
        </w:rPr>
        <w:t xml:space="preserve"> 2C</w:t>
      </w:r>
      <w:r w:rsidR="006F69E3">
        <w:rPr>
          <w:b/>
          <w:bCs/>
          <w:sz w:val="24"/>
          <w:szCs w:val="24"/>
        </w:rPr>
        <w:t>-</w:t>
      </w:r>
      <w:r w:rsidR="006F69E3" w:rsidRPr="006F69E3">
        <w:rPr>
          <w:sz w:val="24"/>
          <w:szCs w:val="24"/>
        </w:rPr>
        <w:t xml:space="preserve"> </w:t>
      </w:r>
      <w:r w:rsidR="009C6D1F" w:rsidRPr="009C6D1F">
        <w:rPr>
          <w:sz w:val="24"/>
          <w:szCs w:val="24"/>
        </w:rPr>
        <w:t>Correlation of combined</w:t>
      </w:r>
      <w:r w:rsidR="009C6D1F">
        <w:rPr>
          <w:sz w:val="24"/>
          <w:szCs w:val="24"/>
        </w:rPr>
        <w:t xml:space="preserve"> </w:t>
      </w:r>
      <w:r w:rsidR="006F69E3">
        <w:rPr>
          <w:sz w:val="24"/>
          <w:szCs w:val="24"/>
        </w:rPr>
        <w:t xml:space="preserve">mean psoas cross-sectional area and age at MRI scan (years), Pearson correlation coefficient, </w:t>
      </w:r>
      <w:r w:rsidR="006F69E3">
        <w:rPr>
          <w:rFonts w:cstheme="minorHAnsi"/>
          <w:sz w:val="24"/>
          <w:szCs w:val="24"/>
        </w:rPr>
        <w:t>0.6034, p=0.065</w:t>
      </w:r>
      <w:r w:rsidR="006F69E3">
        <w:rPr>
          <w:sz w:val="24"/>
          <w:szCs w:val="24"/>
        </w:rPr>
        <w:t>,</w:t>
      </w:r>
    </w:p>
    <w:p w14:paraId="6F31AB48" w14:textId="5A327BD5" w:rsidR="006F69E3" w:rsidRDefault="006F69E3" w:rsidP="008D7EED">
      <w:pPr>
        <w:spacing w:line="480" w:lineRule="auto"/>
        <w:rPr>
          <w:sz w:val="24"/>
          <w:szCs w:val="24"/>
        </w:rPr>
      </w:pPr>
    </w:p>
    <w:p w14:paraId="5DC58839" w14:textId="7E07D77B" w:rsidR="006F69E3" w:rsidRDefault="006F69E3" w:rsidP="008D7EED">
      <w:pPr>
        <w:spacing w:line="480" w:lineRule="auto"/>
        <w:rPr>
          <w:sz w:val="24"/>
          <w:szCs w:val="24"/>
        </w:rPr>
      </w:pPr>
    </w:p>
    <w:p w14:paraId="0DE295A7" w14:textId="77777777" w:rsidR="006F69E3" w:rsidRDefault="006F69E3" w:rsidP="008D7EED">
      <w:pPr>
        <w:spacing w:line="480" w:lineRule="auto"/>
        <w:rPr>
          <w:sz w:val="24"/>
          <w:szCs w:val="24"/>
        </w:rPr>
      </w:pPr>
    </w:p>
    <w:p w14:paraId="04C35098" w14:textId="53F7951C" w:rsidR="006F69E3" w:rsidRDefault="006F69E3" w:rsidP="008D7EED">
      <w:pPr>
        <w:spacing w:line="480" w:lineRule="auto"/>
        <w:rPr>
          <w:sz w:val="24"/>
          <w:szCs w:val="24"/>
        </w:rPr>
      </w:pPr>
    </w:p>
    <w:p w14:paraId="5C202E5C" w14:textId="599F5B6F" w:rsidR="006F69E3" w:rsidRDefault="006F69E3" w:rsidP="008D7EED">
      <w:pPr>
        <w:spacing w:line="480" w:lineRule="auto"/>
        <w:rPr>
          <w:sz w:val="24"/>
          <w:szCs w:val="24"/>
        </w:rPr>
      </w:pPr>
    </w:p>
    <w:p w14:paraId="51838D43" w14:textId="12A5A108" w:rsidR="006F69E3" w:rsidRDefault="006F69E3" w:rsidP="008D7EED">
      <w:pPr>
        <w:spacing w:line="480" w:lineRule="auto"/>
        <w:rPr>
          <w:sz w:val="24"/>
          <w:szCs w:val="24"/>
        </w:rPr>
      </w:pPr>
    </w:p>
    <w:p w14:paraId="771F5EA9" w14:textId="77777777" w:rsidR="009C6D1F" w:rsidRDefault="009C6D1F" w:rsidP="008D7EED">
      <w:pPr>
        <w:spacing w:line="480" w:lineRule="auto"/>
        <w:rPr>
          <w:sz w:val="24"/>
          <w:szCs w:val="24"/>
        </w:rPr>
      </w:pPr>
    </w:p>
    <w:p w14:paraId="716ECD2C" w14:textId="77777777" w:rsidR="004A4216" w:rsidRDefault="004A4216" w:rsidP="008D7EED">
      <w:pPr>
        <w:spacing w:line="480" w:lineRule="auto"/>
        <w:rPr>
          <w:b/>
          <w:bCs/>
          <w:sz w:val="24"/>
          <w:szCs w:val="24"/>
          <w:u w:val="single"/>
        </w:rPr>
      </w:pPr>
      <w:r>
        <w:rPr>
          <w:b/>
          <w:bCs/>
          <w:sz w:val="24"/>
          <w:szCs w:val="24"/>
          <w:u w:val="single"/>
        </w:rPr>
        <w:lastRenderedPageBreak/>
        <w:t>Funding</w:t>
      </w:r>
    </w:p>
    <w:p w14:paraId="2A312F27" w14:textId="211A77EE" w:rsidR="004A4216" w:rsidRPr="004A4216" w:rsidRDefault="004A4216" w:rsidP="00144F10">
      <w:pPr>
        <w:spacing w:line="480" w:lineRule="auto"/>
        <w:rPr>
          <w:sz w:val="24"/>
          <w:szCs w:val="24"/>
        </w:rPr>
      </w:pPr>
      <w:r w:rsidRPr="004A4216">
        <w:rPr>
          <w:sz w:val="24"/>
          <w:szCs w:val="24"/>
        </w:rPr>
        <w:t xml:space="preserve">This study is funded </w:t>
      </w:r>
      <w:r>
        <w:rPr>
          <w:sz w:val="24"/>
          <w:szCs w:val="24"/>
        </w:rPr>
        <w:t>by an ESPEN personal fellowship to Dr James Ashton</w:t>
      </w:r>
      <w:r w:rsidR="00144F10">
        <w:rPr>
          <w:sz w:val="24"/>
          <w:szCs w:val="24"/>
        </w:rPr>
        <w:t xml:space="preserve">. </w:t>
      </w:r>
      <w:r w:rsidR="00144F10" w:rsidRPr="00144F10">
        <w:rPr>
          <w:sz w:val="24"/>
          <w:szCs w:val="24"/>
        </w:rPr>
        <w:t>This study was supported</w:t>
      </w:r>
      <w:r w:rsidR="00144F10">
        <w:rPr>
          <w:sz w:val="24"/>
          <w:szCs w:val="24"/>
        </w:rPr>
        <w:t xml:space="preserve"> by </w:t>
      </w:r>
      <w:r w:rsidR="00144F10" w:rsidRPr="00144F10">
        <w:rPr>
          <w:sz w:val="24"/>
          <w:szCs w:val="24"/>
        </w:rPr>
        <w:t>the National</w:t>
      </w:r>
      <w:r w:rsidR="00144F10">
        <w:rPr>
          <w:sz w:val="24"/>
          <w:szCs w:val="24"/>
        </w:rPr>
        <w:t xml:space="preserve"> </w:t>
      </w:r>
      <w:r w:rsidR="00144F10" w:rsidRPr="00144F10">
        <w:rPr>
          <w:sz w:val="24"/>
          <w:szCs w:val="24"/>
        </w:rPr>
        <w:t>Institute for Health Research [NIHR] Southampton Biomedical Centre,</w:t>
      </w:r>
      <w:r w:rsidR="00144F10">
        <w:rPr>
          <w:sz w:val="24"/>
          <w:szCs w:val="24"/>
        </w:rPr>
        <w:t xml:space="preserve"> </w:t>
      </w:r>
      <w:r w:rsidR="00144F10" w:rsidRPr="00144F10">
        <w:rPr>
          <w:sz w:val="24"/>
          <w:szCs w:val="24"/>
        </w:rPr>
        <w:t>and the National Institute for Health Research [NIHR] Data Science Team</w:t>
      </w:r>
      <w:r w:rsidR="00144F10">
        <w:rPr>
          <w:sz w:val="24"/>
          <w:szCs w:val="24"/>
        </w:rPr>
        <w:t xml:space="preserve"> </w:t>
      </w:r>
      <w:r w:rsidR="00144F10" w:rsidRPr="00144F10">
        <w:rPr>
          <w:sz w:val="24"/>
          <w:szCs w:val="24"/>
        </w:rPr>
        <w:t>within Southampton Biomedical Centre. The views expressed are those of the</w:t>
      </w:r>
      <w:r w:rsidR="00144F10">
        <w:rPr>
          <w:sz w:val="24"/>
          <w:szCs w:val="24"/>
        </w:rPr>
        <w:t xml:space="preserve"> </w:t>
      </w:r>
      <w:r w:rsidR="00144F10" w:rsidRPr="00144F10">
        <w:rPr>
          <w:sz w:val="24"/>
          <w:szCs w:val="24"/>
        </w:rPr>
        <w:t>author</w:t>
      </w:r>
      <w:r w:rsidR="00144F10">
        <w:rPr>
          <w:sz w:val="24"/>
          <w:szCs w:val="24"/>
        </w:rPr>
        <w:t>s</w:t>
      </w:r>
      <w:r w:rsidR="00144F10" w:rsidRPr="00144F10">
        <w:rPr>
          <w:sz w:val="24"/>
          <w:szCs w:val="24"/>
        </w:rPr>
        <w:t xml:space="preserve"> and not necessarily those of the NIHR or the Department of Health</w:t>
      </w:r>
      <w:r w:rsidR="00144F10">
        <w:rPr>
          <w:sz w:val="24"/>
          <w:szCs w:val="24"/>
        </w:rPr>
        <w:t xml:space="preserve"> </w:t>
      </w:r>
      <w:r w:rsidR="00144F10" w:rsidRPr="00144F10">
        <w:rPr>
          <w:sz w:val="24"/>
          <w:szCs w:val="24"/>
        </w:rPr>
        <w:t>and Social Care.</w:t>
      </w:r>
    </w:p>
    <w:p w14:paraId="51A56C35" w14:textId="77777777" w:rsidR="004A4216" w:rsidRDefault="004A4216" w:rsidP="008D7EED">
      <w:pPr>
        <w:spacing w:line="480" w:lineRule="auto"/>
        <w:rPr>
          <w:b/>
          <w:bCs/>
          <w:sz w:val="24"/>
          <w:szCs w:val="24"/>
          <w:u w:val="single"/>
        </w:rPr>
      </w:pPr>
      <w:r>
        <w:rPr>
          <w:b/>
          <w:bCs/>
          <w:sz w:val="24"/>
          <w:szCs w:val="24"/>
          <w:u w:val="single"/>
        </w:rPr>
        <w:t>Conflicts of interest</w:t>
      </w:r>
    </w:p>
    <w:p w14:paraId="579D328B" w14:textId="74457CC6" w:rsidR="004A4216" w:rsidRDefault="004A4216" w:rsidP="008D7EED">
      <w:pPr>
        <w:spacing w:line="480" w:lineRule="auto"/>
        <w:rPr>
          <w:sz w:val="24"/>
          <w:szCs w:val="24"/>
        </w:rPr>
      </w:pPr>
      <w:r>
        <w:rPr>
          <w:sz w:val="24"/>
          <w:szCs w:val="24"/>
        </w:rPr>
        <w:t>The authors declare no conflicts of interest.</w:t>
      </w:r>
    </w:p>
    <w:p w14:paraId="71E033D2" w14:textId="196565E9" w:rsidR="004A4216" w:rsidRDefault="004A4216" w:rsidP="008D7EED">
      <w:pPr>
        <w:spacing w:line="480" w:lineRule="auto"/>
        <w:rPr>
          <w:b/>
          <w:bCs/>
          <w:sz w:val="24"/>
          <w:szCs w:val="24"/>
          <w:u w:val="single"/>
        </w:rPr>
      </w:pPr>
      <w:r w:rsidRPr="004A4216">
        <w:rPr>
          <w:b/>
          <w:bCs/>
          <w:sz w:val="24"/>
          <w:szCs w:val="24"/>
          <w:u w:val="single"/>
        </w:rPr>
        <w:t>Contributorship</w:t>
      </w:r>
    </w:p>
    <w:p w14:paraId="6203685F" w14:textId="469BB699" w:rsidR="004A4216" w:rsidRDefault="004A4216" w:rsidP="008D7EED">
      <w:pPr>
        <w:spacing w:line="480" w:lineRule="auto"/>
        <w:rPr>
          <w:sz w:val="24"/>
          <w:szCs w:val="24"/>
        </w:rPr>
      </w:pPr>
      <w:r>
        <w:rPr>
          <w:sz w:val="24"/>
          <w:szCs w:val="24"/>
        </w:rPr>
        <w:t>JJA and RMB conceived the study. DP and MG performed the MRI measurements. JJA analysed the data with help from LM and MJJ. JJA wrote the manuscript with help from all authors. All authors approved the manuscript prior to submission</w:t>
      </w:r>
    </w:p>
    <w:p w14:paraId="5EB8DF93" w14:textId="7565FBFE" w:rsidR="004A4216" w:rsidRDefault="004A4216" w:rsidP="008D7EED">
      <w:pPr>
        <w:spacing w:line="480" w:lineRule="auto"/>
        <w:rPr>
          <w:sz w:val="24"/>
          <w:szCs w:val="24"/>
        </w:rPr>
      </w:pPr>
    </w:p>
    <w:p w14:paraId="64812732" w14:textId="49C9A6F8" w:rsidR="004A4216" w:rsidRDefault="004A4216" w:rsidP="008D7EED">
      <w:pPr>
        <w:spacing w:line="480" w:lineRule="auto"/>
        <w:rPr>
          <w:sz w:val="24"/>
          <w:szCs w:val="24"/>
        </w:rPr>
      </w:pPr>
    </w:p>
    <w:p w14:paraId="581750F5" w14:textId="1189B12E" w:rsidR="004A4216" w:rsidRDefault="004A4216" w:rsidP="008D7EED">
      <w:pPr>
        <w:spacing w:line="480" w:lineRule="auto"/>
        <w:rPr>
          <w:sz w:val="24"/>
          <w:szCs w:val="24"/>
        </w:rPr>
      </w:pPr>
    </w:p>
    <w:p w14:paraId="6A5EF3F2" w14:textId="57C17AA2" w:rsidR="004A4216" w:rsidRDefault="004A4216" w:rsidP="008D7EED">
      <w:pPr>
        <w:spacing w:line="480" w:lineRule="auto"/>
        <w:rPr>
          <w:sz w:val="24"/>
          <w:szCs w:val="24"/>
        </w:rPr>
      </w:pPr>
    </w:p>
    <w:p w14:paraId="348A6C06" w14:textId="3D5EED7C" w:rsidR="004A4216" w:rsidRDefault="004A4216" w:rsidP="008D7EED">
      <w:pPr>
        <w:spacing w:line="480" w:lineRule="auto"/>
        <w:rPr>
          <w:sz w:val="24"/>
          <w:szCs w:val="24"/>
        </w:rPr>
      </w:pPr>
    </w:p>
    <w:p w14:paraId="7DC97693" w14:textId="34D6DF03" w:rsidR="004A4216" w:rsidRDefault="004A4216" w:rsidP="008D7EED">
      <w:pPr>
        <w:spacing w:line="480" w:lineRule="auto"/>
        <w:rPr>
          <w:sz w:val="24"/>
          <w:szCs w:val="24"/>
        </w:rPr>
      </w:pPr>
    </w:p>
    <w:p w14:paraId="32364870" w14:textId="6785BC10" w:rsidR="004A4216" w:rsidRDefault="004A4216" w:rsidP="008D7EED">
      <w:pPr>
        <w:spacing w:line="480" w:lineRule="auto"/>
        <w:rPr>
          <w:sz w:val="24"/>
          <w:szCs w:val="24"/>
        </w:rPr>
      </w:pPr>
    </w:p>
    <w:p w14:paraId="108CA7AE" w14:textId="7F0966F8" w:rsidR="004A4216" w:rsidRDefault="004A4216" w:rsidP="008D7EED">
      <w:pPr>
        <w:spacing w:line="480" w:lineRule="auto"/>
        <w:rPr>
          <w:sz w:val="24"/>
          <w:szCs w:val="24"/>
        </w:rPr>
      </w:pPr>
    </w:p>
    <w:p w14:paraId="41BF3492" w14:textId="523508BE" w:rsidR="00BA535B" w:rsidRPr="008D7EED" w:rsidRDefault="00BA535B" w:rsidP="008D7EED">
      <w:pPr>
        <w:spacing w:line="480" w:lineRule="auto"/>
        <w:rPr>
          <w:b/>
          <w:bCs/>
          <w:sz w:val="24"/>
          <w:szCs w:val="24"/>
          <w:u w:val="single"/>
        </w:rPr>
      </w:pPr>
      <w:bookmarkStart w:id="9" w:name="_GoBack"/>
      <w:bookmarkEnd w:id="9"/>
      <w:r w:rsidRPr="008D7EED">
        <w:rPr>
          <w:b/>
          <w:bCs/>
          <w:sz w:val="24"/>
          <w:szCs w:val="24"/>
          <w:u w:val="single"/>
        </w:rPr>
        <w:lastRenderedPageBreak/>
        <w:t>References</w:t>
      </w:r>
    </w:p>
    <w:p w14:paraId="50D4BFD1" w14:textId="2E37EE92" w:rsidR="000B1D00" w:rsidRPr="000B1D00" w:rsidRDefault="00BA535B" w:rsidP="000B1D00">
      <w:pPr>
        <w:widowControl w:val="0"/>
        <w:autoSpaceDE w:val="0"/>
        <w:autoSpaceDN w:val="0"/>
        <w:adjustRightInd w:val="0"/>
        <w:spacing w:line="480" w:lineRule="auto"/>
        <w:ind w:left="640" w:hanging="640"/>
        <w:rPr>
          <w:rFonts w:ascii="Calibri" w:hAnsi="Calibri" w:cs="Calibri"/>
          <w:noProof/>
          <w:sz w:val="24"/>
          <w:szCs w:val="24"/>
        </w:rPr>
      </w:pPr>
      <w:r>
        <w:rPr>
          <w:b/>
          <w:bCs/>
          <w:sz w:val="24"/>
          <w:szCs w:val="24"/>
          <w:u w:val="single"/>
        </w:rPr>
        <w:fldChar w:fldCharType="begin" w:fldLock="1"/>
      </w:r>
      <w:r>
        <w:rPr>
          <w:b/>
          <w:bCs/>
          <w:sz w:val="24"/>
          <w:szCs w:val="24"/>
          <w:u w:val="single"/>
        </w:rPr>
        <w:instrText xml:space="preserve">ADDIN Mendeley Bibliography CSL_BIBLIOGRAPHY </w:instrText>
      </w:r>
      <w:r>
        <w:rPr>
          <w:b/>
          <w:bCs/>
          <w:sz w:val="24"/>
          <w:szCs w:val="24"/>
          <w:u w:val="single"/>
        </w:rPr>
        <w:fldChar w:fldCharType="separate"/>
      </w:r>
      <w:r w:rsidR="000B1D00" w:rsidRPr="000B1D00">
        <w:rPr>
          <w:rFonts w:ascii="Calibri" w:hAnsi="Calibri" w:cs="Calibri"/>
          <w:noProof/>
          <w:sz w:val="24"/>
          <w:szCs w:val="24"/>
        </w:rPr>
        <w:t>1.</w:t>
      </w:r>
      <w:r w:rsidR="000B1D00" w:rsidRPr="000B1D00">
        <w:rPr>
          <w:rFonts w:ascii="Calibri" w:hAnsi="Calibri" w:cs="Calibri"/>
          <w:noProof/>
          <w:sz w:val="24"/>
          <w:szCs w:val="24"/>
        </w:rPr>
        <w:tab/>
        <w:t xml:space="preserve">Motil KJ., Grand RJ., Davis-Kraft L., Ferlic LL., Smith EO. Growth failure in children with inflammatory bowel disease: A prospective study. </w:t>
      </w:r>
      <w:r w:rsidR="000B1D00" w:rsidRPr="000B1D00">
        <w:rPr>
          <w:rFonts w:ascii="Calibri" w:hAnsi="Calibri" w:cs="Calibri"/>
          <w:i/>
          <w:iCs/>
          <w:noProof/>
          <w:sz w:val="24"/>
          <w:szCs w:val="24"/>
        </w:rPr>
        <w:t>Gastroenterology</w:t>
      </w:r>
      <w:r w:rsidR="000B1D00" w:rsidRPr="000B1D00">
        <w:rPr>
          <w:rFonts w:ascii="Calibri" w:hAnsi="Calibri" w:cs="Calibri"/>
          <w:noProof/>
          <w:sz w:val="24"/>
          <w:szCs w:val="24"/>
        </w:rPr>
        <w:t xml:space="preserve"> 1993;</w:t>
      </w:r>
      <w:r w:rsidR="000B1D00" w:rsidRPr="000B1D00">
        <w:rPr>
          <w:rFonts w:ascii="Calibri" w:hAnsi="Calibri" w:cs="Calibri"/>
          <w:b/>
          <w:bCs/>
          <w:noProof/>
          <w:sz w:val="24"/>
          <w:szCs w:val="24"/>
        </w:rPr>
        <w:t>105</w:t>
      </w:r>
      <w:r w:rsidR="000B1D00" w:rsidRPr="000B1D00">
        <w:rPr>
          <w:rFonts w:ascii="Calibri" w:hAnsi="Calibri" w:cs="Calibri"/>
          <w:noProof/>
          <w:sz w:val="24"/>
          <w:szCs w:val="24"/>
        </w:rPr>
        <w:t>(3):681–91. Doi: 10.5555/URI:PII:001650859390883E.</w:t>
      </w:r>
    </w:p>
    <w:p w14:paraId="0CCF8FAB"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w:t>
      </w:r>
      <w:r w:rsidRPr="000B1D00">
        <w:rPr>
          <w:rFonts w:ascii="Calibri" w:hAnsi="Calibri" w:cs="Calibri"/>
          <w:noProof/>
          <w:sz w:val="24"/>
          <w:szCs w:val="24"/>
        </w:rPr>
        <w:tab/>
        <w:t xml:space="preserve">Ashton JJ., Green Z., Young A., Borca F., Coelho T., Batra A., et al. Growth failure is rare in a contemporary cohort of paediatric inflammatory bowel disease patients. </w:t>
      </w:r>
      <w:r w:rsidRPr="000B1D00">
        <w:rPr>
          <w:rFonts w:ascii="Calibri" w:hAnsi="Calibri" w:cs="Calibri"/>
          <w:i/>
          <w:iCs/>
          <w:noProof/>
          <w:sz w:val="24"/>
          <w:szCs w:val="24"/>
        </w:rPr>
        <w:t>Acta Paediatr</w:t>
      </w:r>
      <w:r w:rsidRPr="000B1D00">
        <w:rPr>
          <w:rFonts w:ascii="Calibri" w:hAnsi="Calibri" w:cs="Calibri"/>
          <w:noProof/>
          <w:sz w:val="24"/>
          <w:szCs w:val="24"/>
        </w:rPr>
        <w:t xml:space="preserve"> 2020:apa.15383. Doi: 10.1111/apa.15383.</w:t>
      </w:r>
    </w:p>
    <w:p w14:paraId="11C74554"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3.</w:t>
      </w:r>
      <w:r w:rsidRPr="000B1D00">
        <w:rPr>
          <w:rFonts w:ascii="Calibri" w:hAnsi="Calibri" w:cs="Calibri"/>
          <w:noProof/>
          <w:sz w:val="24"/>
          <w:szCs w:val="24"/>
        </w:rPr>
        <w:tab/>
        <w:t xml:space="preserve">Hollingworth TW., Oke SM., Patel H., Smith TR. Getting to grips with sarcopenia: Recent advances and practical management for the gastroenterologist. </w:t>
      </w:r>
      <w:r w:rsidRPr="000B1D00">
        <w:rPr>
          <w:rFonts w:ascii="Calibri" w:hAnsi="Calibri" w:cs="Calibri"/>
          <w:i/>
          <w:iCs/>
          <w:noProof/>
          <w:sz w:val="24"/>
          <w:szCs w:val="24"/>
        </w:rPr>
        <w:t>Frontline Gastroenterol</w:t>
      </w:r>
      <w:r w:rsidRPr="000B1D00">
        <w:rPr>
          <w:rFonts w:ascii="Calibri" w:hAnsi="Calibri" w:cs="Calibri"/>
          <w:noProof/>
          <w:sz w:val="24"/>
          <w:szCs w:val="24"/>
        </w:rPr>
        <w:t xml:space="preserve"> 2020:53–61. Doi: 10.1136/flgastro-2019-101348.</w:t>
      </w:r>
    </w:p>
    <w:p w14:paraId="24BB4F74"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4.</w:t>
      </w:r>
      <w:r w:rsidRPr="000B1D00">
        <w:rPr>
          <w:rFonts w:ascii="Calibri" w:hAnsi="Calibri" w:cs="Calibri"/>
          <w:noProof/>
          <w:sz w:val="24"/>
          <w:szCs w:val="24"/>
        </w:rPr>
        <w:tab/>
        <w:t xml:space="preserve">Ryan E., McNicholas D., Creavin B., Kelly ME., Walsh T., Beddy D. Sarcopenia and inflammatory bowel disease: A systematic review. </w:t>
      </w:r>
      <w:r w:rsidRPr="000B1D00">
        <w:rPr>
          <w:rFonts w:ascii="Calibri" w:hAnsi="Calibri" w:cs="Calibri"/>
          <w:i/>
          <w:iCs/>
          <w:noProof/>
          <w:sz w:val="24"/>
          <w:szCs w:val="24"/>
        </w:rPr>
        <w:t>Inflamm Bowel Dis</w:t>
      </w:r>
      <w:r w:rsidRPr="000B1D00">
        <w:rPr>
          <w:rFonts w:ascii="Calibri" w:hAnsi="Calibri" w:cs="Calibri"/>
          <w:noProof/>
          <w:sz w:val="24"/>
          <w:szCs w:val="24"/>
        </w:rPr>
        <w:t xml:space="preserve"> 2019:67–73. Doi: 10.1093/ibd/izy212.</w:t>
      </w:r>
    </w:p>
    <w:p w14:paraId="40E3E7DD"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5.</w:t>
      </w:r>
      <w:r w:rsidRPr="000B1D00">
        <w:rPr>
          <w:rFonts w:ascii="Calibri" w:hAnsi="Calibri" w:cs="Calibri"/>
          <w:noProof/>
          <w:sz w:val="24"/>
          <w:szCs w:val="24"/>
        </w:rPr>
        <w:tab/>
        <w:t xml:space="preserve">Davies A., Nixon A., Muhammed R., Tsintzas K., Kirkham S., Stephens FB., et al. Reduced skeletal muscle protein balance in paediatric Crohn’s disease. </w:t>
      </w:r>
      <w:r w:rsidRPr="000B1D00">
        <w:rPr>
          <w:rFonts w:ascii="Calibri" w:hAnsi="Calibri" w:cs="Calibri"/>
          <w:i/>
          <w:iCs/>
          <w:noProof/>
          <w:sz w:val="24"/>
          <w:szCs w:val="24"/>
        </w:rPr>
        <w:t>Clin Nutr</w:t>
      </w:r>
      <w:r w:rsidRPr="000B1D00">
        <w:rPr>
          <w:rFonts w:ascii="Calibri" w:hAnsi="Calibri" w:cs="Calibri"/>
          <w:noProof/>
          <w:sz w:val="24"/>
          <w:szCs w:val="24"/>
        </w:rPr>
        <w:t xml:space="preserve"> 2019. Doi: 10.1016/j.clnu.2019.05.017.</w:t>
      </w:r>
    </w:p>
    <w:p w14:paraId="0242D125"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6.</w:t>
      </w:r>
      <w:r w:rsidRPr="000B1D00">
        <w:rPr>
          <w:rFonts w:ascii="Calibri" w:hAnsi="Calibri" w:cs="Calibri"/>
          <w:noProof/>
          <w:sz w:val="24"/>
          <w:szCs w:val="24"/>
        </w:rPr>
        <w:tab/>
        <w:t xml:space="preserve">Ashton JJ., Green Z., Beattie RM. Beyond bedside measures of malnutrition in paediatric Crohn’s disease – Should we be thinking of sarcopenia. </w:t>
      </w:r>
      <w:r w:rsidRPr="000B1D00">
        <w:rPr>
          <w:rFonts w:ascii="Calibri" w:hAnsi="Calibri" w:cs="Calibri"/>
          <w:i/>
          <w:iCs/>
          <w:noProof/>
          <w:sz w:val="24"/>
          <w:szCs w:val="24"/>
        </w:rPr>
        <w:t>Clin Nutr</w:t>
      </w:r>
      <w:r w:rsidRPr="000B1D00">
        <w:rPr>
          <w:rFonts w:ascii="Calibri" w:hAnsi="Calibri" w:cs="Calibri"/>
          <w:noProof/>
          <w:sz w:val="24"/>
          <w:szCs w:val="24"/>
        </w:rPr>
        <w:t xml:space="preserve"> 2020. Doi: 10.1016/j.clnu.2020.03.034.</w:t>
      </w:r>
    </w:p>
    <w:p w14:paraId="585E3355"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7.</w:t>
      </w:r>
      <w:r w:rsidRPr="000B1D00">
        <w:rPr>
          <w:rFonts w:ascii="Calibri" w:hAnsi="Calibri" w:cs="Calibri"/>
          <w:noProof/>
          <w:sz w:val="24"/>
          <w:szCs w:val="24"/>
        </w:rPr>
        <w:tab/>
        <w:t xml:space="preserve">Burnham JM., Shults J., Semeao E., Foster BJ., Zemel BS., Stallings VA., et al. Body-composition alterations consistent with cachexia in children and young adults with Crohn disease. </w:t>
      </w:r>
      <w:r w:rsidRPr="000B1D00">
        <w:rPr>
          <w:rFonts w:ascii="Calibri" w:hAnsi="Calibri" w:cs="Calibri"/>
          <w:i/>
          <w:iCs/>
          <w:noProof/>
          <w:sz w:val="24"/>
          <w:szCs w:val="24"/>
        </w:rPr>
        <w:t>Am J Clin Nutr</w:t>
      </w:r>
      <w:r w:rsidRPr="000B1D00">
        <w:rPr>
          <w:rFonts w:ascii="Calibri" w:hAnsi="Calibri" w:cs="Calibri"/>
          <w:noProof/>
          <w:sz w:val="24"/>
          <w:szCs w:val="24"/>
        </w:rPr>
        <w:t xml:space="preserve"> 2005;</w:t>
      </w:r>
      <w:r w:rsidRPr="000B1D00">
        <w:rPr>
          <w:rFonts w:ascii="Calibri" w:hAnsi="Calibri" w:cs="Calibri"/>
          <w:b/>
          <w:bCs/>
          <w:noProof/>
          <w:sz w:val="24"/>
          <w:szCs w:val="24"/>
        </w:rPr>
        <w:t>82</w:t>
      </w:r>
      <w:r w:rsidRPr="000B1D00">
        <w:rPr>
          <w:rFonts w:ascii="Calibri" w:hAnsi="Calibri" w:cs="Calibri"/>
          <w:noProof/>
          <w:sz w:val="24"/>
          <w:szCs w:val="24"/>
        </w:rPr>
        <w:t>(2):413–20. Doi: 10.1093/AJCN.</w:t>
      </w:r>
    </w:p>
    <w:p w14:paraId="30E43B3E"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lastRenderedPageBreak/>
        <w:t>8.</w:t>
      </w:r>
      <w:r w:rsidRPr="000B1D00">
        <w:rPr>
          <w:rFonts w:ascii="Calibri" w:hAnsi="Calibri" w:cs="Calibri"/>
          <w:noProof/>
          <w:sz w:val="24"/>
          <w:szCs w:val="24"/>
        </w:rPr>
        <w:tab/>
        <w:t xml:space="preserve">Thayu M., Shults J., Burnham JM., Zemel BS., Baldassano RN., Leonard MB. Gender differences in body composition deficits at diagnosis in children and adolescents with Crohn’s disease. </w:t>
      </w:r>
      <w:r w:rsidRPr="000B1D00">
        <w:rPr>
          <w:rFonts w:ascii="Calibri" w:hAnsi="Calibri" w:cs="Calibri"/>
          <w:i/>
          <w:iCs/>
          <w:noProof/>
          <w:sz w:val="24"/>
          <w:szCs w:val="24"/>
        </w:rPr>
        <w:t>Inflamm Bowel Dis</w:t>
      </w:r>
      <w:r w:rsidRPr="000B1D00">
        <w:rPr>
          <w:rFonts w:ascii="Calibri" w:hAnsi="Calibri" w:cs="Calibri"/>
          <w:noProof/>
          <w:sz w:val="24"/>
          <w:szCs w:val="24"/>
        </w:rPr>
        <w:t xml:space="preserve"> 2007;</w:t>
      </w:r>
      <w:r w:rsidRPr="000B1D00">
        <w:rPr>
          <w:rFonts w:ascii="Calibri" w:hAnsi="Calibri" w:cs="Calibri"/>
          <w:b/>
          <w:bCs/>
          <w:noProof/>
          <w:sz w:val="24"/>
          <w:szCs w:val="24"/>
        </w:rPr>
        <w:t>13</w:t>
      </w:r>
      <w:r w:rsidRPr="000B1D00">
        <w:rPr>
          <w:rFonts w:ascii="Calibri" w:hAnsi="Calibri" w:cs="Calibri"/>
          <w:noProof/>
          <w:sz w:val="24"/>
          <w:szCs w:val="24"/>
        </w:rPr>
        <w:t>(9):1121–8. Doi: 10.1002/ibd.20149.</w:t>
      </w:r>
    </w:p>
    <w:p w14:paraId="3EC19191"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9.</w:t>
      </w:r>
      <w:r w:rsidRPr="000B1D00">
        <w:rPr>
          <w:rFonts w:ascii="Calibri" w:hAnsi="Calibri" w:cs="Calibri"/>
          <w:noProof/>
          <w:sz w:val="24"/>
          <w:szCs w:val="24"/>
        </w:rPr>
        <w:tab/>
        <w:t xml:space="preserve">Schneider SM., Al-Jaouni R., Filippi J., Wiroth J-B., Zeanandin G., Arab K., et al. Sarcopenia is prevalent in patients with Crohnʼs disease in clinical remission. </w:t>
      </w:r>
      <w:r w:rsidRPr="000B1D00">
        <w:rPr>
          <w:rFonts w:ascii="Calibri" w:hAnsi="Calibri" w:cs="Calibri"/>
          <w:i/>
          <w:iCs/>
          <w:noProof/>
          <w:sz w:val="24"/>
          <w:szCs w:val="24"/>
        </w:rPr>
        <w:t>Inflamm Bowel Dis</w:t>
      </w:r>
      <w:r w:rsidRPr="000B1D00">
        <w:rPr>
          <w:rFonts w:ascii="Calibri" w:hAnsi="Calibri" w:cs="Calibri"/>
          <w:noProof/>
          <w:sz w:val="24"/>
          <w:szCs w:val="24"/>
        </w:rPr>
        <w:t xml:space="preserve"> 2008;</w:t>
      </w:r>
      <w:r w:rsidRPr="000B1D00">
        <w:rPr>
          <w:rFonts w:ascii="Calibri" w:hAnsi="Calibri" w:cs="Calibri"/>
          <w:b/>
          <w:bCs/>
          <w:noProof/>
          <w:sz w:val="24"/>
          <w:szCs w:val="24"/>
        </w:rPr>
        <w:t>14</w:t>
      </w:r>
      <w:r w:rsidRPr="000B1D00">
        <w:rPr>
          <w:rFonts w:ascii="Calibri" w:hAnsi="Calibri" w:cs="Calibri"/>
          <w:noProof/>
          <w:sz w:val="24"/>
          <w:szCs w:val="24"/>
        </w:rPr>
        <w:t>(11):1562–8. Doi: 10.1002/ibd.20504.</w:t>
      </w:r>
    </w:p>
    <w:p w14:paraId="22FA2B90"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10.</w:t>
      </w:r>
      <w:r w:rsidRPr="000B1D00">
        <w:rPr>
          <w:rFonts w:ascii="Calibri" w:hAnsi="Calibri" w:cs="Calibri"/>
          <w:noProof/>
          <w:sz w:val="24"/>
          <w:szCs w:val="24"/>
        </w:rPr>
        <w:tab/>
        <w:t xml:space="preserve">Atlan L., Pratt LT., Cohen S., Shiran S., Yerushalmy-feler A. Sarcopenia is a predictor for severe disease course in paediatric inflammatory bowel disease. </w:t>
      </w:r>
      <w:r w:rsidRPr="000B1D00">
        <w:rPr>
          <w:rFonts w:ascii="Calibri" w:hAnsi="Calibri" w:cs="Calibri"/>
          <w:i/>
          <w:iCs/>
          <w:noProof/>
          <w:sz w:val="24"/>
          <w:szCs w:val="24"/>
        </w:rPr>
        <w:t>J Crohn’s Colitis</w:t>
      </w:r>
      <w:r w:rsidRPr="000B1D00">
        <w:rPr>
          <w:rFonts w:ascii="Calibri" w:hAnsi="Calibri" w:cs="Calibri"/>
          <w:noProof/>
          <w:sz w:val="24"/>
          <w:szCs w:val="24"/>
        </w:rPr>
        <w:t xml:space="preserve"> 2020;</w:t>
      </w:r>
      <w:r w:rsidRPr="000B1D00">
        <w:rPr>
          <w:rFonts w:ascii="Calibri" w:hAnsi="Calibri" w:cs="Calibri"/>
          <w:b/>
          <w:bCs/>
          <w:noProof/>
          <w:sz w:val="24"/>
          <w:szCs w:val="24"/>
        </w:rPr>
        <w:t>14</w:t>
      </w:r>
      <w:r w:rsidRPr="000B1D00">
        <w:rPr>
          <w:rFonts w:ascii="Calibri" w:hAnsi="Calibri" w:cs="Calibri"/>
          <w:noProof/>
          <w:sz w:val="24"/>
          <w:szCs w:val="24"/>
        </w:rPr>
        <w:t>(Supplement_1):S197–8. Doi: 10.1093/ECCO-JCC.</w:t>
      </w:r>
    </w:p>
    <w:p w14:paraId="7265FC84"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11.</w:t>
      </w:r>
      <w:r w:rsidRPr="000B1D00">
        <w:rPr>
          <w:rFonts w:ascii="Calibri" w:hAnsi="Calibri" w:cs="Calibri"/>
          <w:noProof/>
          <w:sz w:val="24"/>
          <w:szCs w:val="24"/>
        </w:rPr>
        <w:tab/>
        <w:t xml:space="preserve">Van Rheenen PF., Aloi M., Assa A., Bronsky J., Escher JC., Fagerberg UL., et al. The Medical Management of Paediatric Crohn’s Disease: an ECCO-ESPGHAN Guideline Update. </w:t>
      </w:r>
      <w:r w:rsidRPr="000B1D00">
        <w:rPr>
          <w:rFonts w:ascii="Calibri" w:hAnsi="Calibri" w:cs="Calibri"/>
          <w:i/>
          <w:iCs/>
          <w:noProof/>
          <w:sz w:val="24"/>
          <w:szCs w:val="24"/>
        </w:rPr>
        <w:t>J Crohn’s Colitis</w:t>
      </w:r>
      <w:r w:rsidRPr="000B1D00">
        <w:rPr>
          <w:rFonts w:ascii="Calibri" w:hAnsi="Calibri" w:cs="Calibri"/>
          <w:noProof/>
          <w:sz w:val="24"/>
          <w:szCs w:val="24"/>
        </w:rPr>
        <w:t xml:space="preserve"> 2020;</w:t>
      </w:r>
      <w:r w:rsidRPr="000B1D00">
        <w:rPr>
          <w:rFonts w:ascii="Calibri" w:hAnsi="Calibri" w:cs="Calibri"/>
          <w:b/>
          <w:bCs/>
          <w:noProof/>
          <w:sz w:val="24"/>
          <w:szCs w:val="24"/>
        </w:rPr>
        <w:t>2020</w:t>
      </w:r>
      <w:r w:rsidRPr="000B1D00">
        <w:rPr>
          <w:rFonts w:ascii="Calibri" w:hAnsi="Calibri" w:cs="Calibri"/>
          <w:noProof/>
          <w:sz w:val="24"/>
          <w:szCs w:val="24"/>
        </w:rPr>
        <w:t>:1–24. Doi: 10.1093/ecco-jcc/jjaa161.</w:t>
      </w:r>
    </w:p>
    <w:p w14:paraId="4D953F8D"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12.</w:t>
      </w:r>
      <w:r w:rsidRPr="000B1D00">
        <w:rPr>
          <w:rFonts w:ascii="Calibri" w:hAnsi="Calibri" w:cs="Calibri"/>
          <w:noProof/>
          <w:sz w:val="24"/>
          <w:szCs w:val="24"/>
        </w:rPr>
        <w:tab/>
        <w:t xml:space="preserve">Ashton JJ., Gavin J., Beattie RM. Exclusive enteral nutrition in Crohn’s disease: Evidence and practicalities. </w:t>
      </w:r>
      <w:r w:rsidRPr="000B1D00">
        <w:rPr>
          <w:rFonts w:ascii="Calibri" w:hAnsi="Calibri" w:cs="Calibri"/>
          <w:i/>
          <w:iCs/>
          <w:noProof/>
          <w:sz w:val="24"/>
          <w:szCs w:val="24"/>
        </w:rPr>
        <w:t>Clin Nutr</w:t>
      </w:r>
      <w:r w:rsidRPr="000B1D00">
        <w:rPr>
          <w:rFonts w:ascii="Calibri" w:hAnsi="Calibri" w:cs="Calibri"/>
          <w:noProof/>
          <w:sz w:val="24"/>
          <w:szCs w:val="24"/>
        </w:rPr>
        <w:t xml:space="preserve"> 2018;</w:t>
      </w:r>
      <w:r w:rsidRPr="000B1D00">
        <w:rPr>
          <w:rFonts w:ascii="Calibri" w:hAnsi="Calibri" w:cs="Calibri"/>
          <w:b/>
          <w:bCs/>
          <w:noProof/>
          <w:sz w:val="24"/>
          <w:szCs w:val="24"/>
        </w:rPr>
        <w:t>38</w:t>
      </w:r>
      <w:r w:rsidRPr="000B1D00">
        <w:rPr>
          <w:rFonts w:ascii="Calibri" w:hAnsi="Calibri" w:cs="Calibri"/>
          <w:noProof/>
          <w:sz w:val="24"/>
          <w:szCs w:val="24"/>
        </w:rPr>
        <w:t>(1):80–9. Doi: 10.1016/j.clnu.2018.01.020.</w:t>
      </w:r>
    </w:p>
    <w:p w14:paraId="71B3D7C4"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13.</w:t>
      </w:r>
      <w:r w:rsidRPr="000B1D00">
        <w:rPr>
          <w:rFonts w:ascii="Calibri" w:hAnsi="Calibri" w:cs="Calibri"/>
          <w:noProof/>
          <w:sz w:val="24"/>
          <w:szCs w:val="24"/>
        </w:rPr>
        <w:tab/>
        <w:t xml:space="preserve">Levine A., Wine E., Assa A., Sigall Boneh R., Shaoul R., Kori M., et al. Crohn’s Disease Exclusion Diet Plus Partial Enteral Nutrition Induces Sustained Remission in a Randomized Controlled Trial. </w:t>
      </w:r>
      <w:r w:rsidRPr="000B1D00">
        <w:rPr>
          <w:rFonts w:ascii="Calibri" w:hAnsi="Calibri" w:cs="Calibri"/>
          <w:i/>
          <w:iCs/>
          <w:noProof/>
          <w:sz w:val="24"/>
          <w:szCs w:val="24"/>
        </w:rPr>
        <w:t>Gastroenterology</w:t>
      </w:r>
      <w:r w:rsidRPr="000B1D00">
        <w:rPr>
          <w:rFonts w:ascii="Calibri" w:hAnsi="Calibri" w:cs="Calibri"/>
          <w:noProof/>
          <w:sz w:val="24"/>
          <w:szCs w:val="24"/>
        </w:rPr>
        <w:t xml:space="preserve"> 2019;</w:t>
      </w:r>
      <w:r w:rsidRPr="000B1D00">
        <w:rPr>
          <w:rFonts w:ascii="Calibri" w:hAnsi="Calibri" w:cs="Calibri"/>
          <w:b/>
          <w:bCs/>
          <w:noProof/>
          <w:sz w:val="24"/>
          <w:szCs w:val="24"/>
        </w:rPr>
        <w:t>157</w:t>
      </w:r>
      <w:r w:rsidRPr="000B1D00">
        <w:rPr>
          <w:rFonts w:ascii="Calibri" w:hAnsi="Calibri" w:cs="Calibri"/>
          <w:noProof/>
          <w:sz w:val="24"/>
          <w:szCs w:val="24"/>
        </w:rPr>
        <w:t>(2):440-450.e8. Doi: 10.1053/j.gastro.2019.04.021.</w:t>
      </w:r>
    </w:p>
    <w:p w14:paraId="1B69685A"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14.</w:t>
      </w:r>
      <w:r w:rsidRPr="000B1D00">
        <w:rPr>
          <w:rFonts w:ascii="Calibri" w:hAnsi="Calibri" w:cs="Calibri"/>
          <w:noProof/>
          <w:sz w:val="24"/>
          <w:szCs w:val="24"/>
        </w:rPr>
        <w:tab/>
        <w:t xml:space="preserve">Svolos V., Hansen R., Nichols B., Quince C., Ijaz UZ., Papadopoulou RT., et al. Treatment of Active Crohn’s Disease With an Ordinary Food-based Diet That Replicates Exclusive Enteral Nutrition. </w:t>
      </w:r>
      <w:r w:rsidRPr="000B1D00">
        <w:rPr>
          <w:rFonts w:ascii="Calibri" w:hAnsi="Calibri" w:cs="Calibri"/>
          <w:i/>
          <w:iCs/>
          <w:noProof/>
          <w:sz w:val="24"/>
          <w:szCs w:val="24"/>
        </w:rPr>
        <w:t>Gastroenterology</w:t>
      </w:r>
      <w:r w:rsidRPr="000B1D00">
        <w:rPr>
          <w:rFonts w:ascii="Calibri" w:hAnsi="Calibri" w:cs="Calibri"/>
          <w:noProof/>
          <w:sz w:val="24"/>
          <w:szCs w:val="24"/>
        </w:rPr>
        <w:t xml:space="preserve"> 2019;</w:t>
      </w:r>
      <w:r w:rsidRPr="000B1D00">
        <w:rPr>
          <w:rFonts w:ascii="Calibri" w:hAnsi="Calibri" w:cs="Calibri"/>
          <w:b/>
          <w:bCs/>
          <w:noProof/>
          <w:sz w:val="24"/>
          <w:szCs w:val="24"/>
        </w:rPr>
        <w:t>156</w:t>
      </w:r>
      <w:r w:rsidRPr="000B1D00">
        <w:rPr>
          <w:rFonts w:ascii="Calibri" w:hAnsi="Calibri" w:cs="Calibri"/>
          <w:noProof/>
          <w:sz w:val="24"/>
          <w:szCs w:val="24"/>
        </w:rPr>
        <w:t xml:space="preserve">(5):1354–67. Doi: </w:t>
      </w:r>
      <w:r w:rsidRPr="000B1D00">
        <w:rPr>
          <w:rFonts w:ascii="Calibri" w:hAnsi="Calibri" w:cs="Calibri"/>
          <w:noProof/>
          <w:sz w:val="24"/>
          <w:szCs w:val="24"/>
        </w:rPr>
        <w:lastRenderedPageBreak/>
        <w:t>10.1053/j.gastro.2018.12.002.</w:t>
      </w:r>
    </w:p>
    <w:p w14:paraId="35D4F8C5"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15.</w:t>
      </w:r>
      <w:r w:rsidRPr="000B1D00">
        <w:rPr>
          <w:rFonts w:ascii="Calibri" w:hAnsi="Calibri" w:cs="Calibri"/>
          <w:noProof/>
          <w:sz w:val="24"/>
          <w:szCs w:val="24"/>
        </w:rPr>
        <w:tab/>
        <w:t xml:space="preserve">Singh S., Dulai PS., Zarrinpar A., Ramamoorthy S., Sandborn WJ. Obesity in IBD: epidemiology, pathogenesis, disease course and treatment outcomes. </w:t>
      </w:r>
      <w:r w:rsidRPr="000B1D00">
        <w:rPr>
          <w:rFonts w:ascii="Calibri" w:hAnsi="Calibri" w:cs="Calibri"/>
          <w:i/>
          <w:iCs/>
          <w:noProof/>
          <w:sz w:val="24"/>
          <w:szCs w:val="24"/>
        </w:rPr>
        <w:t>Nat Rev Gastroenterol Hepatol</w:t>
      </w:r>
      <w:r w:rsidRPr="000B1D00">
        <w:rPr>
          <w:rFonts w:ascii="Calibri" w:hAnsi="Calibri" w:cs="Calibri"/>
          <w:noProof/>
          <w:sz w:val="24"/>
          <w:szCs w:val="24"/>
        </w:rPr>
        <w:t xml:space="preserve"> 2017;</w:t>
      </w:r>
      <w:r w:rsidRPr="000B1D00">
        <w:rPr>
          <w:rFonts w:ascii="Calibri" w:hAnsi="Calibri" w:cs="Calibri"/>
          <w:b/>
          <w:bCs/>
          <w:noProof/>
          <w:sz w:val="24"/>
          <w:szCs w:val="24"/>
        </w:rPr>
        <w:t>14</w:t>
      </w:r>
      <w:r w:rsidRPr="000B1D00">
        <w:rPr>
          <w:rFonts w:ascii="Calibri" w:hAnsi="Calibri" w:cs="Calibri"/>
          <w:noProof/>
          <w:sz w:val="24"/>
          <w:szCs w:val="24"/>
        </w:rPr>
        <w:t>(2):110–21. Doi: 10.1038/nrgastro.2016.181.</w:t>
      </w:r>
    </w:p>
    <w:p w14:paraId="4658809F"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16.</w:t>
      </w:r>
      <w:r w:rsidRPr="000B1D00">
        <w:rPr>
          <w:rFonts w:ascii="Calibri" w:hAnsi="Calibri" w:cs="Calibri"/>
          <w:noProof/>
          <w:sz w:val="24"/>
          <w:szCs w:val="24"/>
        </w:rPr>
        <w:tab/>
        <w:t xml:space="preserve">Levine A., Koletzko S., Turner D., Escher JC., Cucchiara S., de Ridder L., et al. ESPGHAN revised porto criteria for the diagnosis of inflammatory bowel disease in children and adolescents. </w:t>
      </w:r>
      <w:r w:rsidRPr="000B1D00">
        <w:rPr>
          <w:rFonts w:ascii="Calibri" w:hAnsi="Calibri" w:cs="Calibri"/>
          <w:i/>
          <w:iCs/>
          <w:noProof/>
          <w:sz w:val="24"/>
          <w:szCs w:val="24"/>
        </w:rPr>
        <w:t>J Pediatr Gastroenterol Nutr</w:t>
      </w:r>
      <w:r w:rsidRPr="000B1D00">
        <w:rPr>
          <w:rFonts w:ascii="Calibri" w:hAnsi="Calibri" w:cs="Calibri"/>
          <w:noProof/>
          <w:sz w:val="24"/>
          <w:szCs w:val="24"/>
        </w:rPr>
        <w:t xml:space="preserve"> 2014;</w:t>
      </w:r>
      <w:r w:rsidRPr="000B1D00">
        <w:rPr>
          <w:rFonts w:ascii="Calibri" w:hAnsi="Calibri" w:cs="Calibri"/>
          <w:b/>
          <w:bCs/>
          <w:noProof/>
          <w:sz w:val="24"/>
          <w:szCs w:val="24"/>
        </w:rPr>
        <w:t>58</w:t>
      </w:r>
      <w:r w:rsidRPr="000B1D00">
        <w:rPr>
          <w:rFonts w:ascii="Calibri" w:hAnsi="Calibri" w:cs="Calibri"/>
          <w:noProof/>
          <w:sz w:val="24"/>
          <w:szCs w:val="24"/>
        </w:rPr>
        <w:t>(6):795–806. Doi: 10.1097/MPG.0000000000000239.</w:t>
      </w:r>
    </w:p>
    <w:p w14:paraId="4C4B328C"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17.</w:t>
      </w:r>
      <w:r w:rsidRPr="000B1D00">
        <w:rPr>
          <w:rFonts w:ascii="Calibri" w:hAnsi="Calibri" w:cs="Calibri"/>
          <w:noProof/>
          <w:sz w:val="24"/>
          <w:szCs w:val="24"/>
        </w:rPr>
        <w:tab/>
        <w:t xml:space="preserve">Wells JC. A critique of the expression of paediatric body composition data. </w:t>
      </w:r>
      <w:r w:rsidRPr="000B1D00">
        <w:rPr>
          <w:rFonts w:ascii="Calibri" w:hAnsi="Calibri" w:cs="Calibri"/>
          <w:i/>
          <w:iCs/>
          <w:noProof/>
          <w:sz w:val="24"/>
          <w:szCs w:val="24"/>
        </w:rPr>
        <w:t>Arch Dis Child</w:t>
      </w:r>
      <w:r w:rsidRPr="000B1D00">
        <w:rPr>
          <w:rFonts w:ascii="Calibri" w:hAnsi="Calibri" w:cs="Calibri"/>
          <w:noProof/>
          <w:sz w:val="24"/>
          <w:szCs w:val="24"/>
        </w:rPr>
        <w:t xml:space="preserve"> 2001;</w:t>
      </w:r>
      <w:r w:rsidRPr="000B1D00">
        <w:rPr>
          <w:rFonts w:ascii="Calibri" w:hAnsi="Calibri" w:cs="Calibri"/>
          <w:b/>
          <w:bCs/>
          <w:noProof/>
          <w:sz w:val="24"/>
          <w:szCs w:val="24"/>
        </w:rPr>
        <w:t>85</w:t>
      </w:r>
      <w:r w:rsidRPr="000B1D00">
        <w:rPr>
          <w:rFonts w:ascii="Calibri" w:hAnsi="Calibri" w:cs="Calibri"/>
          <w:noProof/>
          <w:sz w:val="24"/>
          <w:szCs w:val="24"/>
        </w:rPr>
        <w:t>(1):67–72. Doi: 10.1136/adc.85.1.67.</w:t>
      </w:r>
    </w:p>
    <w:p w14:paraId="7BDEF614"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18.</w:t>
      </w:r>
      <w:r w:rsidRPr="000B1D00">
        <w:rPr>
          <w:rFonts w:ascii="Calibri" w:hAnsi="Calibri" w:cs="Calibri"/>
          <w:noProof/>
          <w:sz w:val="24"/>
          <w:szCs w:val="24"/>
        </w:rPr>
        <w:tab/>
        <w:t xml:space="preserve">Gerasimidis K., Talwar D., Duncan A., Moyes P., Buchanan E., Hassan K., et al. Impact of exclusive enteral nutrition on body composition and circulating micronutrients in plasma and erythrocytes of children with active Crohn’s disease. </w:t>
      </w:r>
      <w:r w:rsidRPr="000B1D00">
        <w:rPr>
          <w:rFonts w:ascii="Calibri" w:hAnsi="Calibri" w:cs="Calibri"/>
          <w:i/>
          <w:iCs/>
          <w:noProof/>
          <w:sz w:val="24"/>
          <w:szCs w:val="24"/>
        </w:rPr>
        <w:t>Inflamm Bowel Dis</w:t>
      </w:r>
      <w:r w:rsidRPr="000B1D00">
        <w:rPr>
          <w:rFonts w:ascii="Calibri" w:hAnsi="Calibri" w:cs="Calibri"/>
          <w:noProof/>
          <w:sz w:val="24"/>
          <w:szCs w:val="24"/>
        </w:rPr>
        <w:t xml:space="preserve"> 2012;</w:t>
      </w:r>
      <w:r w:rsidRPr="000B1D00">
        <w:rPr>
          <w:rFonts w:ascii="Calibri" w:hAnsi="Calibri" w:cs="Calibri"/>
          <w:b/>
          <w:bCs/>
          <w:noProof/>
          <w:sz w:val="24"/>
          <w:szCs w:val="24"/>
        </w:rPr>
        <w:t>18</w:t>
      </w:r>
      <w:r w:rsidRPr="000B1D00">
        <w:rPr>
          <w:rFonts w:ascii="Calibri" w:hAnsi="Calibri" w:cs="Calibri"/>
          <w:noProof/>
          <w:sz w:val="24"/>
          <w:szCs w:val="24"/>
        </w:rPr>
        <w:t>(9):1672–81. Doi: 10.1002/ibd.21916.</w:t>
      </w:r>
    </w:p>
    <w:p w14:paraId="33935993"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19.</w:t>
      </w:r>
      <w:r w:rsidRPr="000B1D00">
        <w:rPr>
          <w:rFonts w:ascii="Calibri" w:hAnsi="Calibri" w:cs="Calibri"/>
          <w:noProof/>
          <w:sz w:val="24"/>
          <w:szCs w:val="24"/>
        </w:rPr>
        <w:tab/>
        <w:t>syngo.via - Siemens Healthineers United Kingdom. Available at: https://www.siemens-healthineers.com/en-uk/medical-imaging-it/advanced-visualization-solutions/syngovia. Accessed November 17, 2020.</w:t>
      </w:r>
    </w:p>
    <w:p w14:paraId="36E01D11"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20.</w:t>
      </w:r>
      <w:r w:rsidRPr="000B1D00">
        <w:rPr>
          <w:rFonts w:ascii="Calibri" w:hAnsi="Calibri" w:cs="Calibri"/>
          <w:noProof/>
          <w:sz w:val="24"/>
          <w:szCs w:val="24"/>
        </w:rPr>
        <w:tab/>
        <w:t xml:space="preserve">Paternostro R., Lampichler K., Bardach C., Asenbaum U., Landler C., Bauer D., et al. The value of different CT-based methods for diagnosing low muscle mass and predicting mortality in patients with cirrhosis. </w:t>
      </w:r>
      <w:r w:rsidRPr="000B1D00">
        <w:rPr>
          <w:rFonts w:ascii="Calibri" w:hAnsi="Calibri" w:cs="Calibri"/>
          <w:i/>
          <w:iCs/>
          <w:noProof/>
          <w:sz w:val="24"/>
          <w:szCs w:val="24"/>
        </w:rPr>
        <w:t>Liver Int</w:t>
      </w:r>
      <w:r w:rsidRPr="000B1D00">
        <w:rPr>
          <w:rFonts w:ascii="Calibri" w:hAnsi="Calibri" w:cs="Calibri"/>
          <w:noProof/>
          <w:sz w:val="24"/>
          <w:szCs w:val="24"/>
        </w:rPr>
        <w:t xml:space="preserve"> 2019;</w:t>
      </w:r>
      <w:r w:rsidRPr="000B1D00">
        <w:rPr>
          <w:rFonts w:ascii="Calibri" w:hAnsi="Calibri" w:cs="Calibri"/>
          <w:b/>
          <w:bCs/>
          <w:noProof/>
          <w:sz w:val="24"/>
          <w:szCs w:val="24"/>
        </w:rPr>
        <w:t>39</w:t>
      </w:r>
      <w:r w:rsidRPr="000B1D00">
        <w:rPr>
          <w:rFonts w:ascii="Calibri" w:hAnsi="Calibri" w:cs="Calibri"/>
          <w:noProof/>
          <w:sz w:val="24"/>
          <w:szCs w:val="24"/>
        </w:rPr>
        <w:t>(12):2374–85. Doi: 10.1111/liv.14217.</w:t>
      </w:r>
    </w:p>
    <w:p w14:paraId="4EC7E5A6"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21.</w:t>
      </w:r>
      <w:r w:rsidRPr="000B1D00">
        <w:rPr>
          <w:rFonts w:ascii="Calibri" w:hAnsi="Calibri" w:cs="Calibri"/>
          <w:noProof/>
          <w:sz w:val="24"/>
          <w:szCs w:val="24"/>
        </w:rPr>
        <w:tab/>
        <w:t xml:space="preserve">Natale V., Rajagopalan A. Worldwide variation in human growth and the World </w:t>
      </w:r>
      <w:r w:rsidRPr="000B1D00">
        <w:rPr>
          <w:rFonts w:ascii="Calibri" w:hAnsi="Calibri" w:cs="Calibri"/>
          <w:noProof/>
          <w:sz w:val="24"/>
          <w:szCs w:val="24"/>
        </w:rPr>
        <w:lastRenderedPageBreak/>
        <w:t>Health Organization growth standards: a systematic review n.d. Doi: 10.1136/bmjopen-2013-003735.</w:t>
      </w:r>
    </w:p>
    <w:p w14:paraId="65C1EE4A"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22.</w:t>
      </w:r>
      <w:r w:rsidRPr="000B1D00">
        <w:rPr>
          <w:rFonts w:ascii="Calibri" w:hAnsi="Calibri" w:cs="Calibri"/>
          <w:noProof/>
          <w:sz w:val="24"/>
          <w:szCs w:val="24"/>
        </w:rPr>
        <w:tab/>
        <w:t xml:space="preserve">Lurz E., Patel H., Lebovic G., Quammie C., Woolfson JP., Perez M., et al. Paediatric reference values for total psoas muscle area. </w:t>
      </w:r>
      <w:r w:rsidRPr="000B1D00">
        <w:rPr>
          <w:rFonts w:ascii="Calibri" w:hAnsi="Calibri" w:cs="Calibri"/>
          <w:i/>
          <w:iCs/>
          <w:noProof/>
          <w:sz w:val="24"/>
          <w:szCs w:val="24"/>
        </w:rPr>
        <w:t>J Cachexia Sarcopenia Muscle</w:t>
      </w:r>
      <w:r w:rsidRPr="000B1D00">
        <w:rPr>
          <w:rFonts w:ascii="Calibri" w:hAnsi="Calibri" w:cs="Calibri"/>
          <w:noProof/>
          <w:sz w:val="24"/>
          <w:szCs w:val="24"/>
        </w:rPr>
        <w:t xml:space="preserve"> 2020;</w:t>
      </w:r>
      <w:r w:rsidRPr="000B1D00">
        <w:rPr>
          <w:rFonts w:ascii="Calibri" w:hAnsi="Calibri" w:cs="Calibri"/>
          <w:b/>
          <w:bCs/>
          <w:noProof/>
          <w:sz w:val="24"/>
          <w:szCs w:val="24"/>
        </w:rPr>
        <w:t>11</w:t>
      </w:r>
      <w:r w:rsidRPr="000B1D00">
        <w:rPr>
          <w:rFonts w:ascii="Calibri" w:hAnsi="Calibri" w:cs="Calibri"/>
          <w:noProof/>
          <w:sz w:val="24"/>
          <w:szCs w:val="24"/>
        </w:rPr>
        <w:t>(2):405–14. Doi: 10.1002/jcsm.12514.</w:t>
      </w:r>
    </w:p>
    <w:p w14:paraId="5BDF76AE"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23.</w:t>
      </w:r>
      <w:r w:rsidRPr="000B1D00">
        <w:rPr>
          <w:rFonts w:ascii="Calibri" w:hAnsi="Calibri" w:cs="Calibri"/>
          <w:noProof/>
          <w:sz w:val="24"/>
          <w:szCs w:val="24"/>
        </w:rPr>
        <w:tab/>
        <w:t xml:space="preserve">Gavin J., Ashton JJ., Heather N., Marino L V., Beattie RM. Nutritional support in paediatric Crohn’s disease; Outcome at 12 months. </w:t>
      </w:r>
      <w:r w:rsidRPr="000B1D00">
        <w:rPr>
          <w:rFonts w:ascii="Calibri" w:hAnsi="Calibri" w:cs="Calibri"/>
          <w:i/>
          <w:iCs/>
          <w:noProof/>
          <w:sz w:val="24"/>
          <w:szCs w:val="24"/>
        </w:rPr>
        <w:t>Acta Paediatr</w:t>
      </w:r>
      <w:r w:rsidRPr="000B1D00">
        <w:rPr>
          <w:rFonts w:ascii="Calibri" w:hAnsi="Calibri" w:cs="Calibri"/>
          <w:noProof/>
          <w:sz w:val="24"/>
          <w:szCs w:val="24"/>
        </w:rPr>
        <w:t xml:space="preserve"> 2017. Doi: 10.1111/apa.14075.</w:t>
      </w:r>
    </w:p>
    <w:p w14:paraId="26D8DD56"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24.</w:t>
      </w:r>
      <w:r w:rsidRPr="000B1D00">
        <w:rPr>
          <w:rFonts w:ascii="Calibri" w:hAnsi="Calibri" w:cs="Calibri"/>
          <w:noProof/>
          <w:sz w:val="24"/>
          <w:szCs w:val="24"/>
        </w:rPr>
        <w:tab/>
        <w:t xml:space="preserve">Sigall-Boneh R., Pfeffer-Gik T., Segal I., Zangen T., Boaz M., Levine A. Partial Enteral Nutrition with a Crohnʼs Disease Exclusion Diet Is Effective for Induction of Remission in Children and Young Adults with Crohnʼs Disease. </w:t>
      </w:r>
      <w:r w:rsidRPr="000B1D00">
        <w:rPr>
          <w:rFonts w:ascii="Calibri" w:hAnsi="Calibri" w:cs="Calibri"/>
          <w:i/>
          <w:iCs/>
          <w:noProof/>
          <w:sz w:val="24"/>
          <w:szCs w:val="24"/>
        </w:rPr>
        <w:t>Inflamm Bowel Dis</w:t>
      </w:r>
      <w:r w:rsidRPr="000B1D00">
        <w:rPr>
          <w:rFonts w:ascii="Calibri" w:hAnsi="Calibri" w:cs="Calibri"/>
          <w:noProof/>
          <w:sz w:val="24"/>
          <w:szCs w:val="24"/>
        </w:rPr>
        <w:t xml:space="preserve"> 2014;</w:t>
      </w:r>
      <w:r w:rsidRPr="000B1D00">
        <w:rPr>
          <w:rFonts w:ascii="Calibri" w:hAnsi="Calibri" w:cs="Calibri"/>
          <w:b/>
          <w:bCs/>
          <w:noProof/>
          <w:sz w:val="24"/>
          <w:szCs w:val="24"/>
        </w:rPr>
        <w:t>20</w:t>
      </w:r>
      <w:r w:rsidRPr="000B1D00">
        <w:rPr>
          <w:rFonts w:ascii="Calibri" w:hAnsi="Calibri" w:cs="Calibri"/>
          <w:noProof/>
          <w:sz w:val="24"/>
          <w:szCs w:val="24"/>
        </w:rPr>
        <w:t>(8):1353–60. Doi: 10.1097/MIB.0000000000000110.</w:t>
      </w:r>
    </w:p>
    <w:p w14:paraId="68AFE3D6"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25.</w:t>
      </w:r>
      <w:r w:rsidRPr="000B1D00">
        <w:rPr>
          <w:rFonts w:ascii="Calibri" w:hAnsi="Calibri" w:cs="Calibri"/>
          <w:noProof/>
          <w:sz w:val="24"/>
          <w:szCs w:val="24"/>
        </w:rPr>
        <w:tab/>
        <w:t xml:space="preserve">Bamba S., Sasaki M., Takaoka A., Takahashi K., Imaeda H., Nishida A., et al. Sarcopenia is a predictive factor for intestinal resection in admitted patients with Crohn’s disease. </w:t>
      </w:r>
      <w:r w:rsidRPr="000B1D00">
        <w:rPr>
          <w:rFonts w:ascii="Calibri" w:hAnsi="Calibri" w:cs="Calibri"/>
          <w:i/>
          <w:iCs/>
          <w:noProof/>
          <w:sz w:val="24"/>
          <w:szCs w:val="24"/>
        </w:rPr>
        <w:t>PLoS One</w:t>
      </w:r>
      <w:r w:rsidRPr="000B1D00">
        <w:rPr>
          <w:rFonts w:ascii="Calibri" w:hAnsi="Calibri" w:cs="Calibri"/>
          <w:noProof/>
          <w:sz w:val="24"/>
          <w:szCs w:val="24"/>
        </w:rPr>
        <w:t xml:space="preserve"> 2017;</w:t>
      </w:r>
      <w:r w:rsidRPr="000B1D00">
        <w:rPr>
          <w:rFonts w:ascii="Calibri" w:hAnsi="Calibri" w:cs="Calibri"/>
          <w:b/>
          <w:bCs/>
          <w:noProof/>
          <w:sz w:val="24"/>
          <w:szCs w:val="24"/>
        </w:rPr>
        <w:t>12</w:t>
      </w:r>
      <w:r w:rsidRPr="000B1D00">
        <w:rPr>
          <w:rFonts w:ascii="Calibri" w:hAnsi="Calibri" w:cs="Calibri"/>
          <w:noProof/>
          <w:sz w:val="24"/>
          <w:szCs w:val="24"/>
        </w:rPr>
        <w:t>(6):e0180036. Doi: 10.1371/journal.pone.0180036.</w:t>
      </w:r>
    </w:p>
    <w:p w14:paraId="3EC48067"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26.</w:t>
      </w:r>
      <w:r w:rsidRPr="000B1D00">
        <w:rPr>
          <w:rFonts w:ascii="Calibri" w:hAnsi="Calibri" w:cs="Calibri"/>
          <w:noProof/>
          <w:sz w:val="24"/>
          <w:szCs w:val="24"/>
        </w:rPr>
        <w:tab/>
        <w:t xml:space="preserve">Dhaliwal J., Martincevic I., Williams B., Frost K., Uusoue K., Arpino V., et al. Body Composition Using Air Displacement Plethysmography in Children With Inflammatory Bowel Disease. </w:t>
      </w:r>
      <w:r w:rsidRPr="000B1D00">
        <w:rPr>
          <w:rFonts w:ascii="Calibri" w:hAnsi="Calibri" w:cs="Calibri"/>
          <w:i/>
          <w:iCs/>
          <w:noProof/>
          <w:sz w:val="24"/>
          <w:szCs w:val="24"/>
        </w:rPr>
        <w:t>J Pediatr Gastroenterol Nutr</w:t>
      </w:r>
      <w:r w:rsidRPr="000B1D00">
        <w:rPr>
          <w:rFonts w:ascii="Calibri" w:hAnsi="Calibri" w:cs="Calibri"/>
          <w:noProof/>
          <w:sz w:val="24"/>
          <w:szCs w:val="24"/>
        </w:rPr>
        <w:t xml:space="preserve"> 2020;</w:t>
      </w:r>
      <w:r w:rsidRPr="000B1D00">
        <w:rPr>
          <w:rFonts w:ascii="Calibri" w:hAnsi="Calibri" w:cs="Calibri"/>
          <w:b/>
          <w:bCs/>
          <w:noProof/>
          <w:sz w:val="24"/>
          <w:szCs w:val="24"/>
        </w:rPr>
        <w:t>71</w:t>
      </w:r>
      <w:r w:rsidRPr="000B1D00">
        <w:rPr>
          <w:rFonts w:ascii="Calibri" w:hAnsi="Calibri" w:cs="Calibri"/>
          <w:noProof/>
          <w:sz w:val="24"/>
          <w:szCs w:val="24"/>
        </w:rPr>
        <w:t>(1):52–8. Doi: 10.1097/MPG.0000000000002683.</w:t>
      </w:r>
    </w:p>
    <w:p w14:paraId="137ECC55"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27.</w:t>
      </w:r>
      <w:r w:rsidRPr="000B1D00">
        <w:rPr>
          <w:rFonts w:ascii="Calibri" w:hAnsi="Calibri" w:cs="Calibri"/>
          <w:noProof/>
          <w:sz w:val="24"/>
          <w:szCs w:val="24"/>
        </w:rPr>
        <w:tab/>
        <w:t xml:space="preserve">Hashimoto F., Kakimoto A., Ota N., Ito S., Nishizawa S. Automated segmentation of 2D low-dose CT images of the psoas-major muscle using deep convolutional neural networks. </w:t>
      </w:r>
      <w:r w:rsidRPr="000B1D00">
        <w:rPr>
          <w:rFonts w:ascii="Calibri" w:hAnsi="Calibri" w:cs="Calibri"/>
          <w:i/>
          <w:iCs/>
          <w:noProof/>
          <w:sz w:val="24"/>
          <w:szCs w:val="24"/>
        </w:rPr>
        <w:t>Radiol Phys Technol</w:t>
      </w:r>
      <w:r w:rsidRPr="000B1D00">
        <w:rPr>
          <w:rFonts w:ascii="Calibri" w:hAnsi="Calibri" w:cs="Calibri"/>
          <w:noProof/>
          <w:sz w:val="24"/>
          <w:szCs w:val="24"/>
        </w:rPr>
        <w:t xml:space="preserve"> 2019;</w:t>
      </w:r>
      <w:r w:rsidRPr="000B1D00">
        <w:rPr>
          <w:rFonts w:ascii="Calibri" w:hAnsi="Calibri" w:cs="Calibri"/>
          <w:b/>
          <w:bCs/>
          <w:noProof/>
          <w:sz w:val="24"/>
          <w:szCs w:val="24"/>
        </w:rPr>
        <w:t>12</w:t>
      </w:r>
      <w:r w:rsidRPr="000B1D00">
        <w:rPr>
          <w:rFonts w:ascii="Calibri" w:hAnsi="Calibri" w:cs="Calibri"/>
          <w:noProof/>
          <w:sz w:val="24"/>
          <w:szCs w:val="24"/>
        </w:rPr>
        <w:t>(2). Doi: 10.1007/s12194-019-00512-y.</w:t>
      </w:r>
    </w:p>
    <w:p w14:paraId="0271955A"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lastRenderedPageBreak/>
        <w:t>28.</w:t>
      </w:r>
      <w:r w:rsidRPr="000B1D00">
        <w:rPr>
          <w:rFonts w:ascii="Calibri" w:hAnsi="Calibri" w:cs="Calibri"/>
          <w:noProof/>
          <w:sz w:val="24"/>
          <w:szCs w:val="24"/>
        </w:rPr>
        <w:tab/>
        <w:t xml:space="preserve">Ma J. Dixon techniques for water and fat imaging. </w:t>
      </w:r>
      <w:r w:rsidRPr="000B1D00">
        <w:rPr>
          <w:rFonts w:ascii="Calibri" w:hAnsi="Calibri" w:cs="Calibri"/>
          <w:i/>
          <w:iCs/>
          <w:noProof/>
          <w:sz w:val="24"/>
          <w:szCs w:val="24"/>
        </w:rPr>
        <w:t>J Magn Reson Imaging</w:t>
      </w:r>
      <w:r w:rsidRPr="000B1D00">
        <w:rPr>
          <w:rFonts w:ascii="Calibri" w:hAnsi="Calibri" w:cs="Calibri"/>
          <w:noProof/>
          <w:sz w:val="24"/>
          <w:szCs w:val="24"/>
        </w:rPr>
        <w:t xml:space="preserve"> 2008;</w:t>
      </w:r>
      <w:r w:rsidRPr="000B1D00">
        <w:rPr>
          <w:rFonts w:ascii="Calibri" w:hAnsi="Calibri" w:cs="Calibri"/>
          <w:b/>
          <w:bCs/>
          <w:noProof/>
          <w:sz w:val="24"/>
          <w:szCs w:val="24"/>
        </w:rPr>
        <w:t>28</w:t>
      </w:r>
      <w:r w:rsidRPr="000B1D00">
        <w:rPr>
          <w:rFonts w:ascii="Calibri" w:hAnsi="Calibri" w:cs="Calibri"/>
          <w:noProof/>
          <w:sz w:val="24"/>
          <w:szCs w:val="24"/>
        </w:rPr>
        <w:t>(3):543–58. Doi: 10.1002/jmri.21492.</w:t>
      </w:r>
    </w:p>
    <w:p w14:paraId="5A7B4136"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szCs w:val="24"/>
        </w:rPr>
      </w:pPr>
      <w:r w:rsidRPr="000B1D00">
        <w:rPr>
          <w:rFonts w:ascii="Calibri" w:hAnsi="Calibri" w:cs="Calibri"/>
          <w:noProof/>
          <w:sz w:val="24"/>
          <w:szCs w:val="24"/>
        </w:rPr>
        <w:t>29.</w:t>
      </w:r>
      <w:r w:rsidRPr="000B1D00">
        <w:rPr>
          <w:rFonts w:ascii="Calibri" w:hAnsi="Calibri" w:cs="Calibri"/>
          <w:noProof/>
          <w:sz w:val="24"/>
          <w:szCs w:val="24"/>
        </w:rPr>
        <w:tab/>
        <w:t xml:space="preserve">Andrews ET., Beattie RM., Johnson MJ. Measuring body composition in the preterm infant: Evidence base and practicalities. </w:t>
      </w:r>
      <w:r w:rsidRPr="000B1D00">
        <w:rPr>
          <w:rFonts w:ascii="Calibri" w:hAnsi="Calibri" w:cs="Calibri"/>
          <w:i/>
          <w:iCs/>
          <w:noProof/>
          <w:sz w:val="24"/>
          <w:szCs w:val="24"/>
        </w:rPr>
        <w:t>Clin Nutr</w:t>
      </w:r>
      <w:r w:rsidRPr="000B1D00">
        <w:rPr>
          <w:rFonts w:ascii="Calibri" w:hAnsi="Calibri" w:cs="Calibri"/>
          <w:noProof/>
          <w:sz w:val="24"/>
          <w:szCs w:val="24"/>
        </w:rPr>
        <w:t xml:space="preserve"> 2019:2521–30. Doi: 10.1016/j.clnu.2018.12.033.</w:t>
      </w:r>
    </w:p>
    <w:p w14:paraId="45819234" w14:textId="77777777" w:rsidR="000B1D00" w:rsidRPr="000B1D00" w:rsidRDefault="000B1D00" w:rsidP="000B1D00">
      <w:pPr>
        <w:widowControl w:val="0"/>
        <w:autoSpaceDE w:val="0"/>
        <w:autoSpaceDN w:val="0"/>
        <w:adjustRightInd w:val="0"/>
        <w:spacing w:line="480" w:lineRule="auto"/>
        <w:ind w:left="640" w:hanging="640"/>
        <w:rPr>
          <w:rFonts w:ascii="Calibri" w:hAnsi="Calibri" w:cs="Calibri"/>
          <w:noProof/>
          <w:sz w:val="24"/>
        </w:rPr>
      </w:pPr>
      <w:r w:rsidRPr="000B1D00">
        <w:rPr>
          <w:rFonts w:ascii="Calibri" w:hAnsi="Calibri" w:cs="Calibri"/>
          <w:noProof/>
          <w:sz w:val="24"/>
          <w:szCs w:val="24"/>
        </w:rPr>
        <w:t>30.</w:t>
      </w:r>
      <w:r w:rsidRPr="000B1D00">
        <w:rPr>
          <w:rFonts w:ascii="Calibri" w:hAnsi="Calibri" w:cs="Calibri"/>
          <w:noProof/>
          <w:sz w:val="24"/>
          <w:szCs w:val="24"/>
        </w:rPr>
        <w:tab/>
        <w:t xml:space="preserve">Schweitzer L., Geisler C., Pourhassan M., Braun W., Glüer CC., Bosy-Westphal A., et al. What is the best reference site for a single MRI slice to assess whole body skeletal muscle and adipose tissue volumes in healthy adults? </w:t>
      </w:r>
      <w:r w:rsidRPr="000B1D00">
        <w:rPr>
          <w:rFonts w:ascii="Calibri" w:hAnsi="Calibri" w:cs="Calibri"/>
          <w:i/>
          <w:iCs/>
          <w:noProof/>
          <w:sz w:val="24"/>
          <w:szCs w:val="24"/>
        </w:rPr>
        <w:t>Am J Clin Nutr</w:t>
      </w:r>
      <w:r w:rsidRPr="000B1D00">
        <w:rPr>
          <w:rFonts w:ascii="Calibri" w:hAnsi="Calibri" w:cs="Calibri"/>
          <w:noProof/>
          <w:sz w:val="24"/>
          <w:szCs w:val="24"/>
        </w:rPr>
        <w:t xml:space="preserve"> 2015;</w:t>
      </w:r>
      <w:r w:rsidRPr="000B1D00">
        <w:rPr>
          <w:rFonts w:ascii="Calibri" w:hAnsi="Calibri" w:cs="Calibri"/>
          <w:b/>
          <w:bCs/>
          <w:noProof/>
          <w:sz w:val="24"/>
          <w:szCs w:val="24"/>
        </w:rPr>
        <w:t>102</w:t>
      </w:r>
      <w:r w:rsidRPr="000B1D00">
        <w:rPr>
          <w:rFonts w:ascii="Calibri" w:hAnsi="Calibri" w:cs="Calibri"/>
          <w:noProof/>
          <w:sz w:val="24"/>
          <w:szCs w:val="24"/>
        </w:rPr>
        <w:t>(1):58–65. Doi: 10.3945/ajcn.115.111203.</w:t>
      </w:r>
    </w:p>
    <w:p w14:paraId="3E59B4C9" w14:textId="77777777" w:rsidR="00BA535B" w:rsidRPr="00BA535B" w:rsidRDefault="00BA535B" w:rsidP="00E83748">
      <w:pPr>
        <w:pStyle w:val="ListParagraph"/>
        <w:spacing w:line="480" w:lineRule="auto"/>
        <w:rPr>
          <w:b/>
          <w:bCs/>
          <w:sz w:val="24"/>
          <w:szCs w:val="24"/>
          <w:u w:val="single"/>
        </w:rPr>
      </w:pPr>
      <w:r>
        <w:rPr>
          <w:b/>
          <w:bCs/>
          <w:sz w:val="24"/>
          <w:szCs w:val="24"/>
          <w:u w:val="single"/>
        </w:rPr>
        <w:fldChar w:fldCharType="end"/>
      </w:r>
    </w:p>
    <w:sectPr w:rsidR="00BA535B" w:rsidRPr="00BA5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OT863180f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545CA"/>
    <w:multiLevelType w:val="hybridMultilevel"/>
    <w:tmpl w:val="141A8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302A11"/>
    <w:multiLevelType w:val="hybridMultilevel"/>
    <w:tmpl w:val="14AEC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48"/>
    <w:rsid w:val="000179CD"/>
    <w:rsid w:val="00035B79"/>
    <w:rsid w:val="00054412"/>
    <w:rsid w:val="00067585"/>
    <w:rsid w:val="000B1D00"/>
    <w:rsid w:val="000B6E90"/>
    <w:rsid w:val="00112D9B"/>
    <w:rsid w:val="00116145"/>
    <w:rsid w:val="001204E2"/>
    <w:rsid w:val="00131646"/>
    <w:rsid w:val="00144F10"/>
    <w:rsid w:val="001611C7"/>
    <w:rsid w:val="00177867"/>
    <w:rsid w:val="0019138A"/>
    <w:rsid w:val="001B6F3C"/>
    <w:rsid w:val="001D6DF6"/>
    <w:rsid w:val="00255ED0"/>
    <w:rsid w:val="002610D9"/>
    <w:rsid w:val="002622B3"/>
    <w:rsid w:val="0028660F"/>
    <w:rsid w:val="002A6CEC"/>
    <w:rsid w:val="002B5AFF"/>
    <w:rsid w:val="00364D59"/>
    <w:rsid w:val="00382245"/>
    <w:rsid w:val="00386751"/>
    <w:rsid w:val="003A34AE"/>
    <w:rsid w:val="003F6BE9"/>
    <w:rsid w:val="00412142"/>
    <w:rsid w:val="0041374C"/>
    <w:rsid w:val="0042623F"/>
    <w:rsid w:val="00454B21"/>
    <w:rsid w:val="00470AE6"/>
    <w:rsid w:val="004A4216"/>
    <w:rsid w:val="004B7376"/>
    <w:rsid w:val="004D5436"/>
    <w:rsid w:val="005118A0"/>
    <w:rsid w:val="00520F83"/>
    <w:rsid w:val="00553576"/>
    <w:rsid w:val="00581782"/>
    <w:rsid w:val="0059326A"/>
    <w:rsid w:val="005A3531"/>
    <w:rsid w:val="005C3DAB"/>
    <w:rsid w:val="005F69E4"/>
    <w:rsid w:val="00627AB5"/>
    <w:rsid w:val="00630FBA"/>
    <w:rsid w:val="006818DD"/>
    <w:rsid w:val="0069077E"/>
    <w:rsid w:val="006B3A2B"/>
    <w:rsid w:val="006D078A"/>
    <w:rsid w:val="006F668B"/>
    <w:rsid w:val="006F69E3"/>
    <w:rsid w:val="00714523"/>
    <w:rsid w:val="0071600E"/>
    <w:rsid w:val="0073056C"/>
    <w:rsid w:val="0073315E"/>
    <w:rsid w:val="007410FE"/>
    <w:rsid w:val="0075793A"/>
    <w:rsid w:val="0079688A"/>
    <w:rsid w:val="007B07EB"/>
    <w:rsid w:val="007C0499"/>
    <w:rsid w:val="007C6E7F"/>
    <w:rsid w:val="007D69A9"/>
    <w:rsid w:val="007D7BB4"/>
    <w:rsid w:val="007F377E"/>
    <w:rsid w:val="008248BA"/>
    <w:rsid w:val="00886CAA"/>
    <w:rsid w:val="00887338"/>
    <w:rsid w:val="00897273"/>
    <w:rsid w:val="00897D96"/>
    <w:rsid w:val="008D281E"/>
    <w:rsid w:val="008D7EED"/>
    <w:rsid w:val="008E0581"/>
    <w:rsid w:val="008E6181"/>
    <w:rsid w:val="009013E3"/>
    <w:rsid w:val="009060C1"/>
    <w:rsid w:val="009134B8"/>
    <w:rsid w:val="009169E5"/>
    <w:rsid w:val="00923B26"/>
    <w:rsid w:val="00981A08"/>
    <w:rsid w:val="009A4BA6"/>
    <w:rsid w:val="009A5D11"/>
    <w:rsid w:val="009B2D52"/>
    <w:rsid w:val="009C6D1F"/>
    <w:rsid w:val="009D1273"/>
    <w:rsid w:val="009D4A73"/>
    <w:rsid w:val="009E55EC"/>
    <w:rsid w:val="00A052F4"/>
    <w:rsid w:val="00A408B2"/>
    <w:rsid w:val="00A64BAC"/>
    <w:rsid w:val="00A66DAB"/>
    <w:rsid w:val="00A741F5"/>
    <w:rsid w:val="00AC749E"/>
    <w:rsid w:val="00AE5229"/>
    <w:rsid w:val="00B02BF8"/>
    <w:rsid w:val="00B12F58"/>
    <w:rsid w:val="00B51BA1"/>
    <w:rsid w:val="00B653F4"/>
    <w:rsid w:val="00B66A38"/>
    <w:rsid w:val="00BA535B"/>
    <w:rsid w:val="00C03BF1"/>
    <w:rsid w:val="00C258BD"/>
    <w:rsid w:val="00C26D74"/>
    <w:rsid w:val="00C371C4"/>
    <w:rsid w:val="00C404DF"/>
    <w:rsid w:val="00C53D01"/>
    <w:rsid w:val="00C653B9"/>
    <w:rsid w:val="00C94FE0"/>
    <w:rsid w:val="00CA4679"/>
    <w:rsid w:val="00CD43A1"/>
    <w:rsid w:val="00CD48D5"/>
    <w:rsid w:val="00CE3635"/>
    <w:rsid w:val="00D111BE"/>
    <w:rsid w:val="00D2724C"/>
    <w:rsid w:val="00D56394"/>
    <w:rsid w:val="00D775CA"/>
    <w:rsid w:val="00D81EA2"/>
    <w:rsid w:val="00DF4882"/>
    <w:rsid w:val="00DF63B3"/>
    <w:rsid w:val="00E11B55"/>
    <w:rsid w:val="00E13ED2"/>
    <w:rsid w:val="00E232B8"/>
    <w:rsid w:val="00E3289C"/>
    <w:rsid w:val="00E50090"/>
    <w:rsid w:val="00E802B9"/>
    <w:rsid w:val="00E83748"/>
    <w:rsid w:val="00E91623"/>
    <w:rsid w:val="00E91C8F"/>
    <w:rsid w:val="00E92B21"/>
    <w:rsid w:val="00EB1913"/>
    <w:rsid w:val="00EB5499"/>
    <w:rsid w:val="00EC1097"/>
    <w:rsid w:val="00EE163B"/>
    <w:rsid w:val="00EE25BD"/>
    <w:rsid w:val="00F27CD7"/>
    <w:rsid w:val="00F4161F"/>
    <w:rsid w:val="00F523FE"/>
    <w:rsid w:val="00F66DC8"/>
    <w:rsid w:val="00F8566F"/>
    <w:rsid w:val="00FB33FA"/>
    <w:rsid w:val="00FB39FA"/>
    <w:rsid w:val="00FC66CD"/>
    <w:rsid w:val="00FE3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4556"/>
  <w15:docId w15:val="{F5098A7E-E97D-4276-9FA5-450B7408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748"/>
    <w:pPr>
      <w:ind w:left="720"/>
      <w:contextualSpacing/>
    </w:pPr>
  </w:style>
  <w:style w:type="paragraph" w:styleId="BalloonText">
    <w:name w:val="Balloon Text"/>
    <w:basedOn w:val="Normal"/>
    <w:link w:val="BalloonTextChar"/>
    <w:uiPriority w:val="99"/>
    <w:semiHidden/>
    <w:unhideWhenUsed/>
    <w:rsid w:val="003F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E9"/>
    <w:rPr>
      <w:rFonts w:ascii="Segoe UI" w:hAnsi="Segoe UI" w:cs="Segoe UI"/>
      <w:sz w:val="18"/>
      <w:szCs w:val="18"/>
    </w:rPr>
  </w:style>
  <w:style w:type="character" w:styleId="CommentReference">
    <w:name w:val="annotation reference"/>
    <w:basedOn w:val="DefaultParagraphFont"/>
    <w:uiPriority w:val="99"/>
    <w:semiHidden/>
    <w:unhideWhenUsed/>
    <w:rsid w:val="009060C1"/>
    <w:rPr>
      <w:sz w:val="16"/>
      <w:szCs w:val="16"/>
    </w:rPr>
  </w:style>
  <w:style w:type="paragraph" w:styleId="CommentText">
    <w:name w:val="annotation text"/>
    <w:basedOn w:val="Normal"/>
    <w:link w:val="CommentTextChar"/>
    <w:uiPriority w:val="99"/>
    <w:semiHidden/>
    <w:unhideWhenUsed/>
    <w:rsid w:val="009060C1"/>
    <w:pPr>
      <w:spacing w:line="240" w:lineRule="auto"/>
    </w:pPr>
    <w:rPr>
      <w:sz w:val="20"/>
      <w:szCs w:val="20"/>
    </w:rPr>
  </w:style>
  <w:style w:type="character" w:customStyle="1" w:styleId="CommentTextChar">
    <w:name w:val="Comment Text Char"/>
    <w:basedOn w:val="DefaultParagraphFont"/>
    <w:link w:val="CommentText"/>
    <w:uiPriority w:val="99"/>
    <w:semiHidden/>
    <w:rsid w:val="009060C1"/>
    <w:rPr>
      <w:sz w:val="20"/>
      <w:szCs w:val="20"/>
    </w:rPr>
  </w:style>
  <w:style w:type="paragraph" w:styleId="CommentSubject">
    <w:name w:val="annotation subject"/>
    <w:basedOn w:val="CommentText"/>
    <w:next w:val="CommentText"/>
    <w:link w:val="CommentSubjectChar"/>
    <w:uiPriority w:val="99"/>
    <w:semiHidden/>
    <w:unhideWhenUsed/>
    <w:rsid w:val="009060C1"/>
    <w:rPr>
      <w:b/>
      <w:bCs/>
    </w:rPr>
  </w:style>
  <w:style w:type="character" w:customStyle="1" w:styleId="CommentSubjectChar">
    <w:name w:val="Comment Subject Char"/>
    <w:basedOn w:val="CommentTextChar"/>
    <w:link w:val="CommentSubject"/>
    <w:uiPriority w:val="99"/>
    <w:semiHidden/>
    <w:rsid w:val="009060C1"/>
    <w:rPr>
      <w:b/>
      <w:bCs/>
      <w:sz w:val="20"/>
      <w:szCs w:val="20"/>
    </w:rPr>
  </w:style>
  <w:style w:type="table" w:styleId="TableGrid">
    <w:name w:val="Table Grid"/>
    <w:basedOn w:val="TableNormal"/>
    <w:uiPriority w:val="39"/>
    <w:rsid w:val="00DF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D69A9"/>
    <w:rPr>
      <w:color w:val="0563C1" w:themeColor="hyperlink"/>
      <w:u w:val="single"/>
    </w:rPr>
  </w:style>
  <w:style w:type="character" w:customStyle="1" w:styleId="UnresolvedMention1">
    <w:name w:val="Unresolved Mention1"/>
    <w:basedOn w:val="DefaultParagraphFont"/>
    <w:uiPriority w:val="99"/>
    <w:semiHidden/>
    <w:unhideWhenUsed/>
    <w:rsid w:val="00426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5992">
      <w:bodyDiv w:val="1"/>
      <w:marLeft w:val="0"/>
      <w:marRight w:val="0"/>
      <w:marTop w:val="0"/>
      <w:marBottom w:val="0"/>
      <w:divBdr>
        <w:top w:val="none" w:sz="0" w:space="0" w:color="auto"/>
        <w:left w:val="none" w:sz="0" w:space="0" w:color="auto"/>
        <w:bottom w:val="none" w:sz="0" w:space="0" w:color="auto"/>
        <w:right w:val="none" w:sz="0" w:space="0" w:color="auto"/>
      </w:divBdr>
    </w:div>
    <w:div w:id="1063219353">
      <w:bodyDiv w:val="1"/>
      <w:marLeft w:val="0"/>
      <w:marRight w:val="0"/>
      <w:marTop w:val="0"/>
      <w:marBottom w:val="0"/>
      <w:divBdr>
        <w:top w:val="none" w:sz="0" w:space="0" w:color="auto"/>
        <w:left w:val="none" w:sz="0" w:space="0" w:color="auto"/>
        <w:bottom w:val="none" w:sz="0" w:space="0" w:color="auto"/>
        <w:right w:val="none" w:sz="0" w:space="0" w:color="auto"/>
      </w:divBdr>
    </w:div>
    <w:div w:id="1276714953">
      <w:bodyDiv w:val="1"/>
      <w:marLeft w:val="0"/>
      <w:marRight w:val="0"/>
      <w:marTop w:val="0"/>
      <w:marBottom w:val="0"/>
      <w:divBdr>
        <w:top w:val="none" w:sz="0" w:space="0" w:color="auto"/>
        <w:left w:val="none" w:sz="0" w:space="0" w:color="auto"/>
        <w:bottom w:val="none" w:sz="0" w:space="0" w:color="auto"/>
        <w:right w:val="none" w:sz="0" w:space="0" w:color="auto"/>
      </w:divBdr>
    </w:div>
    <w:div w:id="19489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hrc-apps.shinyapps.io/sarcope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beattie@uhs.nhs.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B582-1B91-45D6-BA42-1CAC2CC5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21233</Words>
  <Characters>121033</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141983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Ashton</dc:creator>
  <cp:lastModifiedBy>James Ashton</cp:lastModifiedBy>
  <cp:revision>15</cp:revision>
  <dcterms:created xsi:type="dcterms:W3CDTF">2020-12-18T16:53:00Z</dcterms:created>
  <dcterms:modified xsi:type="dcterms:W3CDTF">2021-01-22T13:19:00Z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http://www.zotero.org/styles/clinical-nutrition</vt:lpwstr>
  </property>
  <property fmtid="{D5CDD505-2E9C-101B-9397-08002B2CF9AE}" pid="9" name="Mendeley Recent Style Name 3_1">
    <vt:lpwstr>Clinical Nutrition</vt:lpwstr>
  </property>
  <property fmtid="{D5CDD505-2E9C-101B-9397-08002B2CF9AE}" pid="10" name="Mendeley Recent Style Id 4_1">
    <vt:lpwstr>http://www.zotero.org/styles/clinical-and-translational-gastroenterology</vt:lpwstr>
  </property>
  <property fmtid="{D5CDD505-2E9C-101B-9397-08002B2CF9AE}" pid="11" name="Mendeley Recent Style Name 4_1">
    <vt:lpwstr>Clinical and Translational Gastroenterology</vt:lpwstr>
  </property>
  <property fmtid="{D5CDD505-2E9C-101B-9397-08002B2CF9AE}" pid="12" name="Mendeley Recent Style Id 5_1">
    <vt:lpwstr>http://www.zotero.org/styles/expert-review-of-gastroenterology-and-hepatology</vt:lpwstr>
  </property>
  <property fmtid="{D5CDD505-2E9C-101B-9397-08002B2CF9AE}" pid="13" name="Mendeley Recent Style Name 5_1">
    <vt:lpwstr>Expert Review of Gastroenterology &amp; Hepatology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http://www.zotero.org/styles/inflammatory-bowel-diseases</vt:lpwstr>
  </property>
  <property fmtid="{D5CDD505-2E9C-101B-9397-08002B2CF9AE}" pid="17" name="Mendeley Recent Style Name 7_1">
    <vt:lpwstr>Inflammatory Bowel Diseases</vt:lpwstr>
  </property>
  <property fmtid="{D5CDD505-2E9C-101B-9397-08002B2CF9AE}" pid="18" name="Mendeley Recent Style Id 8_1">
    <vt:lpwstr>http://www.zotero.org/styles/journal-of-crohns-and-colitis</vt:lpwstr>
  </property>
  <property fmtid="{D5CDD505-2E9C-101B-9397-08002B2CF9AE}" pid="19" name="Mendeley Recent Style Name 8_1">
    <vt:lpwstr>Journal of Crohn's and Colitis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http://www.zotero.org/styles/journal-of-crohns-and-colitis</vt:lpwstr>
  </property>
</Properties>
</file>